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D167BB" w:rsidP="00096AA7">
            <w:pPr>
              <w:rPr>
                <w:rFonts w:ascii="Arial" w:hAnsi="Arial" w:cs="Arial"/>
                <w:b/>
                <w:color w:val="002C47"/>
                <w:sz w:val="36"/>
                <w:szCs w:val="36"/>
              </w:rPr>
            </w:pPr>
            <w:r>
              <w:rPr>
                <w:rFonts w:ascii="Arial" w:hAnsi="Arial" w:cs="Arial"/>
                <w:b/>
                <w:color w:val="002C47"/>
                <w:sz w:val="36"/>
                <w:szCs w:val="36"/>
              </w:rPr>
              <w:t>September 2013</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proofErr w:type="spellStart"/>
            <w:r w:rsidR="00D167BB" w:rsidRPr="00D167BB">
              <w:rPr>
                <w:color w:val="FFFFFF" w:themeColor="background1"/>
              </w:rPr>
              <w:t>IVIg</w:t>
            </w:r>
            <w:proofErr w:type="spellEnd"/>
          </w:p>
        </w:tc>
      </w:tr>
      <w:tr w:rsidR="0032583B" w:rsidRPr="00B64760" w:rsidTr="0032583B">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Proprietary Product Name: </w:t>
            </w:r>
            <w:proofErr w:type="spellStart"/>
            <w:r w:rsidR="00D167BB" w:rsidRPr="00D167BB">
              <w:rPr>
                <w:color w:val="FFFFFF" w:themeColor="background1"/>
              </w:rPr>
              <w:t>Flebogamma</w:t>
            </w:r>
            <w:proofErr w:type="spellEnd"/>
            <w:r w:rsidR="00D167BB" w:rsidRPr="00D167BB">
              <w:rPr>
                <w:color w:val="FFFFFF" w:themeColor="background1"/>
              </w:rPr>
              <w:t xml:space="preserve"> 10% DIF</w:t>
            </w:r>
          </w:p>
        </w:tc>
      </w:tr>
      <w:tr w:rsidR="0032583B" w:rsidRPr="00B64760" w:rsidTr="0032583B">
        <w:trPr>
          <w:trHeight w:val="486"/>
        </w:trPr>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Sponsor: </w:t>
            </w:r>
            <w:proofErr w:type="spellStart"/>
            <w:r w:rsidR="00D167BB" w:rsidRPr="00D167BB">
              <w:rPr>
                <w:color w:val="FFFFFF" w:themeColor="background1"/>
              </w:rPr>
              <w:t>Grifols</w:t>
            </w:r>
            <w:proofErr w:type="spellEnd"/>
            <w:r w:rsidR="00D167BB" w:rsidRPr="00D167BB">
              <w:rPr>
                <w:color w:val="FFFFFF" w:themeColor="background1"/>
              </w:rPr>
              <w:t xml:space="preserve">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D167BB" w:rsidRPr="00EE440B">
          <w:rPr>
            <w:rStyle w:val="Hyperlink"/>
          </w:rPr>
          <w:t>http://www.tga.gov.au</w:t>
        </w:r>
      </w:hyperlink>
      <w:r w:rsidR="00112F56">
        <w:t>&gt;</w:t>
      </w:r>
      <w:r>
        <w:t>.</w:t>
      </w:r>
    </w:p>
    <w:p w:rsidR="008E7846" w:rsidRDefault="008E7846" w:rsidP="008E7846">
      <w:pPr>
        <w:pStyle w:val="NonTOCHeading2"/>
      </w:pPr>
      <w:r>
        <w:t xml:space="preserve">About </w:t>
      </w:r>
      <w:proofErr w:type="spellStart"/>
      <w:r>
        <w:t>AusPARs</w:t>
      </w:r>
      <w:proofErr w:type="spellEnd"/>
    </w:p>
    <w:p w:rsidR="008E7846" w:rsidRDefault="008E7846" w:rsidP="008E7846">
      <w:pPr>
        <w:pStyle w:val="ListBullet"/>
        <w:numPr>
          <w:ilvl w:val="0"/>
          <w:numId w:val="3"/>
        </w:numPr>
        <w:ind w:left="357" w:hanging="357"/>
      </w:pPr>
      <w:r>
        <w:t>An Australian Public Assessment Record (</w:t>
      </w:r>
      <w:proofErr w:type="spellStart"/>
      <w:r>
        <w:t>AusPAR</w:t>
      </w:r>
      <w:proofErr w:type="spellEnd"/>
      <w:r>
        <w:t>) provides information about the evaluation of a prescription medicine and the considerations that led the TGA to approve or not approve a pr</w:t>
      </w:r>
      <w:r w:rsidR="00D167BB">
        <w:t>escription medicine submission.</w:t>
      </w:r>
    </w:p>
    <w:p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rsidR="008E7846" w:rsidRDefault="008E7846" w:rsidP="008E7846">
      <w:pPr>
        <w:pStyle w:val="ListBullet"/>
        <w:numPr>
          <w:ilvl w:val="0"/>
          <w:numId w:val="3"/>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 xml:space="preserve">An </w:t>
      </w:r>
      <w:proofErr w:type="spellStart"/>
      <w:r>
        <w:t>AusPAR</w:t>
      </w:r>
      <w:proofErr w:type="spellEnd"/>
      <w:r>
        <w:t xml:space="preserve">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7A0708" w:rsidRDefault="006F0076">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69706028" w:history="1">
            <w:r w:rsidR="007A0708" w:rsidRPr="00A213AE">
              <w:rPr>
                <w:rStyle w:val="Hyperlink"/>
                <w:noProof/>
              </w:rPr>
              <w:t>I. Introduction to product submission</w:t>
            </w:r>
            <w:r w:rsidR="007A0708">
              <w:rPr>
                <w:noProof/>
                <w:webHidden/>
              </w:rPr>
              <w:tab/>
            </w:r>
            <w:r w:rsidR="007A0708">
              <w:rPr>
                <w:noProof/>
                <w:webHidden/>
              </w:rPr>
              <w:fldChar w:fldCharType="begin"/>
            </w:r>
            <w:r w:rsidR="007A0708">
              <w:rPr>
                <w:noProof/>
                <w:webHidden/>
              </w:rPr>
              <w:instrText xml:space="preserve"> PAGEREF _Toc369706028 \h </w:instrText>
            </w:r>
            <w:r w:rsidR="007A0708">
              <w:rPr>
                <w:noProof/>
                <w:webHidden/>
              </w:rPr>
            </w:r>
            <w:r w:rsidR="007A0708">
              <w:rPr>
                <w:noProof/>
                <w:webHidden/>
              </w:rPr>
              <w:fldChar w:fldCharType="separate"/>
            </w:r>
            <w:r w:rsidR="007A0708">
              <w:rPr>
                <w:noProof/>
                <w:webHidden/>
              </w:rPr>
              <w:t>4</w:t>
            </w:r>
            <w:r w:rsidR="007A0708">
              <w:rPr>
                <w:noProof/>
                <w:webHidden/>
              </w:rPr>
              <w:fldChar w:fldCharType="end"/>
            </w:r>
          </w:hyperlink>
        </w:p>
        <w:p w:rsidR="007A0708" w:rsidRDefault="007A0708">
          <w:pPr>
            <w:pStyle w:val="TOC3"/>
            <w:rPr>
              <w:rFonts w:asciiTheme="minorHAnsi" w:eastAsiaTheme="minorEastAsia" w:hAnsiTheme="minorHAnsi" w:cstheme="minorBidi"/>
              <w:noProof/>
              <w:lang w:eastAsia="en-AU"/>
            </w:rPr>
          </w:pPr>
          <w:hyperlink w:anchor="_Toc369706029" w:history="1">
            <w:r w:rsidRPr="00A213AE">
              <w:rPr>
                <w:rStyle w:val="Hyperlink"/>
                <w:noProof/>
                <w:lang w:eastAsia="en-AU"/>
              </w:rPr>
              <w:t>Submission details</w:t>
            </w:r>
            <w:r>
              <w:rPr>
                <w:noProof/>
                <w:webHidden/>
              </w:rPr>
              <w:tab/>
            </w:r>
            <w:r>
              <w:rPr>
                <w:noProof/>
                <w:webHidden/>
              </w:rPr>
              <w:fldChar w:fldCharType="begin"/>
            </w:r>
            <w:r>
              <w:rPr>
                <w:noProof/>
                <w:webHidden/>
              </w:rPr>
              <w:instrText xml:space="preserve"> PAGEREF _Toc369706029 \h </w:instrText>
            </w:r>
            <w:r>
              <w:rPr>
                <w:noProof/>
                <w:webHidden/>
              </w:rPr>
            </w:r>
            <w:r>
              <w:rPr>
                <w:noProof/>
                <w:webHidden/>
              </w:rPr>
              <w:fldChar w:fldCharType="separate"/>
            </w:r>
            <w:r>
              <w:rPr>
                <w:noProof/>
                <w:webHidden/>
              </w:rPr>
              <w:t>4</w:t>
            </w:r>
            <w:r>
              <w:rPr>
                <w:noProof/>
                <w:webHidden/>
              </w:rPr>
              <w:fldChar w:fldCharType="end"/>
            </w:r>
          </w:hyperlink>
        </w:p>
        <w:p w:rsidR="007A0708" w:rsidRDefault="007A0708">
          <w:pPr>
            <w:pStyle w:val="TOC3"/>
            <w:rPr>
              <w:rFonts w:asciiTheme="minorHAnsi" w:eastAsiaTheme="minorEastAsia" w:hAnsiTheme="minorHAnsi" w:cstheme="minorBidi"/>
              <w:noProof/>
              <w:lang w:eastAsia="en-AU"/>
            </w:rPr>
          </w:pPr>
          <w:hyperlink w:anchor="_Toc369706030" w:history="1">
            <w:r w:rsidRPr="00A213AE">
              <w:rPr>
                <w:rStyle w:val="Hyperlink"/>
                <w:noProof/>
              </w:rPr>
              <w:t>Product background</w:t>
            </w:r>
            <w:r>
              <w:rPr>
                <w:noProof/>
                <w:webHidden/>
              </w:rPr>
              <w:tab/>
            </w:r>
            <w:r>
              <w:rPr>
                <w:noProof/>
                <w:webHidden/>
              </w:rPr>
              <w:fldChar w:fldCharType="begin"/>
            </w:r>
            <w:r>
              <w:rPr>
                <w:noProof/>
                <w:webHidden/>
              </w:rPr>
              <w:instrText xml:space="preserve"> PAGEREF _Toc369706030 \h </w:instrText>
            </w:r>
            <w:r>
              <w:rPr>
                <w:noProof/>
                <w:webHidden/>
              </w:rPr>
            </w:r>
            <w:r>
              <w:rPr>
                <w:noProof/>
                <w:webHidden/>
              </w:rPr>
              <w:fldChar w:fldCharType="separate"/>
            </w:r>
            <w:r>
              <w:rPr>
                <w:noProof/>
                <w:webHidden/>
              </w:rPr>
              <w:t>4</w:t>
            </w:r>
            <w:r>
              <w:rPr>
                <w:noProof/>
                <w:webHidden/>
              </w:rPr>
              <w:fldChar w:fldCharType="end"/>
            </w:r>
          </w:hyperlink>
        </w:p>
        <w:p w:rsidR="007A0708" w:rsidRDefault="007A0708">
          <w:pPr>
            <w:pStyle w:val="TOC3"/>
            <w:rPr>
              <w:rFonts w:asciiTheme="minorHAnsi" w:eastAsiaTheme="minorEastAsia" w:hAnsiTheme="minorHAnsi" w:cstheme="minorBidi"/>
              <w:noProof/>
              <w:lang w:eastAsia="en-AU"/>
            </w:rPr>
          </w:pPr>
          <w:hyperlink w:anchor="_Toc369706031" w:history="1">
            <w:r w:rsidRPr="00A213AE">
              <w:rPr>
                <w:rStyle w:val="Hyperlink"/>
                <w:noProof/>
              </w:rPr>
              <w:t>Regulatory status</w:t>
            </w:r>
            <w:r>
              <w:rPr>
                <w:noProof/>
                <w:webHidden/>
              </w:rPr>
              <w:tab/>
            </w:r>
            <w:r>
              <w:rPr>
                <w:noProof/>
                <w:webHidden/>
              </w:rPr>
              <w:fldChar w:fldCharType="begin"/>
            </w:r>
            <w:r>
              <w:rPr>
                <w:noProof/>
                <w:webHidden/>
              </w:rPr>
              <w:instrText xml:space="preserve"> PAGEREF _Toc369706031 \h </w:instrText>
            </w:r>
            <w:r>
              <w:rPr>
                <w:noProof/>
                <w:webHidden/>
              </w:rPr>
            </w:r>
            <w:r>
              <w:rPr>
                <w:noProof/>
                <w:webHidden/>
              </w:rPr>
              <w:fldChar w:fldCharType="separate"/>
            </w:r>
            <w:r>
              <w:rPr>
                <w:noProof/>
                <w:webHidden/>
              </w:rPr>
              <w:t>5</w:t>
            </w:r>
            <w:r>
              <w:rPr>
                <w:noProof/>
                <w:webHidden/>
              </w:rPr>
              <w:fldChar w:fldCharType="end"/>
            </w:r>
          </w:hyperlink>
        </w:p>
        <w:p w:rsidR="007A0708" w:rsidRDefault="007A0708">
          <w:pPr>
            <w:pStyle w:val="TOC3"/>
            <w:rPr>
              <w:rFonts w:asciiTheme="minorHAnsi" w:eastAsiaTheme="minorEastAsia" w:hAnsiTheme="minorHAnsi" w:cstheme="minorBidi"/>
              <w:noProof/>
              <w:lang w:eastAsia="en-AU"/>
            </w:rPr>
          </w:pPr>
          <w:hyperlink w:anchor="_Toc369706032" w:history="1">
            <w:r w:rsidRPr="00A213AE">
              <w:rPr>
                <w:rStyle w:val="Hyperlink"/>
                <w:noProof/>
              </w:rPr>
              <w:t>Product Information</w:t>
            </w:r>
            <w:r>
              <w:rPr>
                <w:noProof/>
                <w:webHidden/>
              </w:rPr>
              <w:tab/>
            </w:r>
            <w:r>
              <w:rPr>
                <w:noProof/>
                <w:webHidden/>
              </w:rPr>
              <w:fldChar w:fldCharType="begin"/>
            </w:r>
            <w:r>
              <w:rPr>
                <w:noProof/>
                <w:webHidden/>
              </w:rPr>
              <w:instrText xml:space="preserve"> PAGEREF _Toc369706032 \h </w:instrText>
            </w:r>
            <w:r>
              <w:rPr>
                <w:noProof/>
                <w:webHidden/>
              </w:rPr>
            </w:r>
            <w:r>
              <w:rPr>
                <w:noProof/>
                <w:webHidden/>
              </w:rPr>
              <w:fldChar w:fldCharType="separate"/>
            </w:r>
            <w:r>
              <w:rPr>
                <w:noProof/>
                <w:webHidden/>
              </w:rPr>
              <w:t>5</w:t>
            </w:r>
            <w:r>
              <w:rPr>
                <w:noProof/>
                <w:webHidden/>
              </w:rPr>
              <w:fldChar w:fldCharType="end"/>
            </w:r>
          </w:hyperlink>
        </w:p>
        <w:p w:rsidR="007A0708" w:rsidRDefault="007A0708">
          <w:pPr>
            <w:pStyle w:val="TOC2"/>
            <w:rPr>
              <w:rFonts w:asciiTheme="minorHAnsi" w:eastAsiaTheme="minorEastAsia" w:hAnsiTheme="minorHAnsi" w:cstheme="minorBidi"/>
              <w:b w:val="0"/>
              <w:noProof/>
              <w:sz w:val="22"/>
              <w:lang w:eastAsia="en-AU"/>
            </w:rPr>
          </w:pPr>
          <w:hyperlink w:anchor="_Toc369706033" w:history="1">
            <w:r w:rsidRPr="00A213AE">
              <w:rPr>
                <w:rStyle w:val="Hyperlink"/>
                <w:noProof/>
              </w:rPr>
              <w:t>II. Quality findings</w:t>
            </w:r>
            <w:r>
              <w:rPr>
                <w:noProof/>
                <w:webHidden/>
              </w:rPr>
              <w:tab/>
            </w:r>
            <w:r>
              <w:rPr>
                <w:noProof/>
                <w:webHidden/>
              </w:rPr>
              <w:fldChar w:fldCharType="begin"/>
            </w:r>
            <w:r>
              <w:rPr>
                <w:noProof/>
                <w:webHidden/>
              </w:rPr>
              <w:instrText xml:space="preserve"> PAGEREF _Toc369706033 \h </w:instrText>
            </w:r>
            <w:r>
              <w:rPr>
                <w:noProof/>
                <w:webHidden/>
              </w:rPr>
            </w:r>
            <w:r>
              <w:rPr>
                <w:noProof/>
                <w:webHidden/>
              </w:rPr>
              <w:fldChar w:fldCharType="separate"/>
            </w:r>
            <w:r>
              <w:rPr>
                <w:noProof/>
                <w:webHidden/>
              </w:rPr>
              <w:t>6</w:t>
            </w:r>
            <w:r>
              <w:rPr>
                <w:noProof/>
                <w:webHidden/>
              </w:rPr>
              <w:fldChar w:fldCharType="end"/>
            </w:r>
          </w:hyperlink>
        </w:p>
        <w:p w:rsidR="007A0708" w:rsidRDefault="007A0708">
          <w:pPr>
            <w:pStyle w:val="TOC3"/>
            <w:rPr>
              <w:rFonts w:asciiTheme="minorHAnsi" w:eastAsiaTheme="minorEastAsia" w:hAnsiTheme="minorHAnsi" w:cstheme="minorBidi"/>
              <w:noProof/>
              <w:lang w:eastAsia="en-AU"/>
            </w:rPr>
          </w:pPr>
          <w:hyperlink w:anchor="_Toc369706034" w:history="1">
            <w:r w:rsidRPr="00A213AE">
              <w:rPr>
                <w:rStyle w:val="Hyperlink"/>
                <w:noProof/>
              </w:rPr>
              <w:t>Drug product</w:t>
            </w:r>
            <w:r>
              <w:rPr>
                <w:noProof/>
                <w:webHidden/>
              </w:rPr>
              <w:tab/>
            </w:r>
            <w:r>
              <w:rPr>
                <w:noProof/>
                <w:webHidden/>
              </w:rPr>
              <w:fldChar w:fldCharType="begin"/>
            </w:r>
            <w:r>
              <w:rPr>
                <w:noProof/>
                <w:webHidden/>
              </w:rPr>
              <w:instrText xml:space="preserve"> PAGEREF _Toc369706034 \h </w:instrText>
            </w:r>
            <w:r>
              <w:rPr>
                <w:noProof/>
                <w:webHidden/>
              </w:rPr>
            </w:r>
            <w:r>
              <w:rPr>
                <w:noProof/>
                <w:webHidden/>
              </w:rPr>
              <w:fldChar w:fldCharType="separate"/>
            </w:r>
            <w:r>
              <w:rPr>
                <w:noProof/>
                <w:webHidden/>
              </w:rPr>
              <w:t>6</w:t>
            </w:r>
            <w:r>
              <w:rPr>
                <w:noProof/>
                <w:webHidden/>
              </w:rPr>
              <w:fldChar w:fldCharType="end"/>
            </w:r>
          </w:hyperlink>
        </w:p>
        <w:p w:rsidR="007A0708" w:rsidRDefault="007A0708">
          <w:pPr>
            <w:pStyle w:val="TOC3"/>
            <w:rPr>
              <w:rFonts w:asciiTheme="minorHAnsi" w:eastAsiaTheme="minorEastAsia" w:hAnsiTheme="minorHAnsi" w:cstheme="minorBidi"/>
              <w:noProof/>
              <w:lang w:eastAsia="en-AU"/>
            </w:rPr>
          </w:pPr>
          <w:hyperlink w:anchor="_Toc369706035" w:history="1">
            <w:r w:rsidRPr="00A213AE">
              <w:rPr>
                <w:rStyle w:val="Hyperlink"/>
                <w:noProof/>
              </w:rPr>
              <w:t>Stability</w:t>
            </w:r>
            <w:r>
              <w:rPr>
                <w:noProof/>
                <w:webHidden/>
              </w:rPr>
              <w:tab/>
            </w:r>
            <w:r>
              <w:rPr>
                <w:noProof/>
                <w:webHidden/>
              </w:rPr>
              <w:fldChar w:fldCharType="begin"/>
            </w:r>
            <w:r>
              <w:rPr>
                <w:noProof/>
                <w:webHidden/>
              </w:rPr>
              <w:instrText xml:space="preserve"> PAGEREF _Toc369706035 \h </w:instrText>
            </w:r>
            <w:r>
              <w:rPr>
                <w:noProof/>
                <w:webHidden/>
              </w:rPr>
            </w:r>
            <w:r>
              <w:rPr>
                <w:noProof/>
                <w:webHidden/>
              </w:rPr>
              <w:fldChar w:fldCharType="separate"/>
            </w:r>
            <w:r>
              <w:rPr>
                <w:noProof/>
                <w:webHidden/>
              </w:rPr>
              <w:t>6</w:t>
            </w:r>
            <w:r>
              <w:rPr>
                <w:noProof/>
                <w:webHidden/>
              </w:rPr>
              <w:fldChar w:fldCharType="end"/>
            </w:r>
          </w:hyperlink>
        </w:p>
        <w:p w:rsidR="007A0708" w:rsidRDefault="007A0708">
          <w:pPr>
            <w:pStyle w:val="TOC3"/>
            <w:rPr>
              <w:rFonts w:asciiTheme="minorHAnsi" w:eastAsiaTheme="minorEastAsia" w:hAnsiTheme="minorHAnsi" w:cstheme="minorBidi"/>
              <w:noProof/>
              <w:lang w:eastAsia="en-AU"/>
            </w:rPr>
          </w:pPr>
          <w:hyperlink w:anchor="_Toc369706036" w:history="1">
            <w:r w:rsidRPr="00A213AE">
              <w:rPr>
                <w:rStyle w:val="Hyperlink"/>
                <w:noProof/>
              </w:rPr>
              <w:t>Biopharmaceutics</w:t>
            </w:r>
            <w:r>
              <w:rPr>
                <w:noProof/>
                <w:webHidden/>
              </w:rPr>
              <w:tab/>
            </w:r>
            <w:r>
              <w:rPr>
                <w:noProof/>
                <w:webHidden/>
              </w:rPr>
              <w:fldChar w:fldCharType="begin"/>
            </w:r>
            <w:r>
              <w:rPr>
                <w:noProof/>
                <w:webHidden/>
              </w:rPr>
              <w:instrText xml:space="preserve"> PAGEREF _Toc369706036 \h </w:instrText>
            </w:r>
            <w:r>
              <w:rPr>
                <w:noProof/>
                <w:webHidden/>
              </w:rPr>
            </w:r>
            <w:r>
              <w:rPr>
                <w:noProof/>
                <w:webHidden/>
              </w:rPr>
              <w:fldChar w:fldCharType="separate"/>
            </w:r>
            <w:r>
              <w:rPr>
                <w:noProof/>
                <w:webHidden/>
              </w:rPr>
              <w:t>6</w:t>
            </w:r>
            <w:r>
              <w:rPr>
                <w:noProof/>
                <w:webHidden/>
              </w:rPr>
              <w:fldChar w:fldCharType="end"/>
            </w:r>
          </w:hyperlink>
        </w:p>
        <w:p w:rsidR="007A0708" w:rsidRDefault="007A0708">
          <w:pPr>
            <w:pStyle w:val="TOC3"/>
            <w:rPr>
              <w:rFonts w:asciiTheme="minorHAnsi" w:eastAsiaTheme="minorEastAsia" w:hAnsiTheme="minorHAnsi" w:cstheme="minorBidi"/>
              <w:noProof/>
              <w:lang w:eastAsia="en-AU"/>
            </w:rPr>
          </w:pPr>
          <w:hyperlink w:anchor="_Toc369706037" w:history="1">
            <w:r w:rsidRPr="00A213AE">
              <w:rPr>
                <w:rStyle w:val="Hyperlink"/>
                <w:noProof/>
              </w:rPr>
              <w:t>Advisory committee considerations</w:t>
            </w:r>
            <w:r>
              <w:rPr>
                <w:noProof/>
                <w:webHidden/>
              </w:rPr>
              <w:tab/>
            </w:r>
            <w:r>
              <w:rPr>
                <w:noProof/>
                <w:webHidden/>
              </w:rPr>
              <w:fldChar w:fldCharType="begin"/>
            </w:r>
            <w:r>
              <w:rPr>
                <w:noProof/>
                <w:webHidden/>
              </w:rPr>
              <w:instrText xml:space="preserve"> PAGEREF _Toc369706037 \h </w:instrText>
            </w:r>
            <w:r>
              <w:rPr>
                <w:noProof/>
                <w:webHidden/>
              </w:rPr>
            </w:r>
            <w:r>
              <w:rPr>
                <w:noProof/>
                <w:webHidden/>
              </w:rPr>
              <w:fldChar w:fldCharType="separate"/>
            </w:r>
            <w:r>
              <w:rPr>
                <w:noProof/>
                <w:webHidden/>
              </w:rPr>
              <w:t>6</w:t>
            </w:r>
            <w:r>
              <w:rPr>
                <w:noProof/>
                <w:webHidden/>
              </w:rPr>
              <w:fldChar w:fldCharType="end"/>
            </w:r>
          </w:hyperlink>
        </w:p>
        <w:p w:rsidR="007A0708" w:rsidRDefault="007A0708">
          <w:pPr>
            <w:pStyle w:val="TOC3"/>
            <w:rPr>
              <w:rFonts w:asciiTheme="minorHAnsi" w:eastAsiaTheme="minorEastAsia" w:hAnsiTheme="minorHAnsi" w:cstheme="minorBidi"/>
              <w:noProof/>
              <w:lang w:eastAsia="en-AU"/>
            </w:rPr>
          </w:pPr>
          <w:hyperlink w:anchor="_Toc369706038" w:history="1">
            <w:r w:rsidRPr="00A213AE">
              <w:rPr>
                <w:rStyle w:val="Hyperlink"/>
                <w:noProof/>
              </w:rPr>
              <w:t>Quality summary and conclusions</w:t>
            </w:r>
            <w:r>
              <w:rPr>
                <w:noProof/>
                <w:webHidden/>
              </w:rPr>
              <w:tab/>
            </w:r>
            <w:r>
              <w:rPr>
                <w:noProof/>
                <w:webHidden/>
              </w:rPr>
              <w:fldChar w:fldCharType="begin"/>
            </w:r>
            <w:r>
              <w:rPr>
                <w:noProof/>
                <w:webHidden/>
              </w:rPr>
              <w:instrText xml:space="preserve"> PAGEREF _Toc369706038 \h </w:instrText>
            </w:r>
            <w:r>
              <w:rPr>
                <w:noProof/>
                <w:webHidden/>
              </w:rPr>
            </w:r>
            <w:r>
              <w:rPr>
                <w:noProof/>
                <w:webHidden/>
              </w:rPr>
              <w:fldChar w:fldCharType="separate"/>
            </w:r>
            <w:r>
              <w:rPr>
                <w:noProof/>
                <w:webHidden/>
              </w:rPr>
              <w:t>8</w:t>
            </w:r>
            <w:r>
              <w:rPr>
                <w:noProof/>
                <w:webHidden/>
              </w:rPr>
              <w:fldChar w:fldCharType="end"/>
            </w:r>
          </w:hyperlink>
        </w:p>
        <w:p w:rsidR="007A0708" w:rsidRDefault="007A0708">
          <w:pPr>
            <w:pStyle w:val="TOC2"/>
            <w:rPr>
              <w:rFonts w:asciiTheme="minorHAnsi" w:eastAsiaTheme="minorEastAsia" w:hAnsiTheme="minorHAnsi" w:cstheme="minorBidi"/>
              <w:b w:val="0"/>
              <w:noProof/>
              <w:sz w:val="22"/>
              <w:lang w:eastAsia="en-AU"/>
            </w:rPr>
          </w:pPr>
          <w:hyperlink w:anchor="_Toc369706039" w:history="1">
            <w:r w:rsidRPr="00A213AE">
              <w:rPr>
                <w:rStyle w:val="Hyperlink"/>
                <w:noProof/>
              </w:rPr>
              <w:t>III. Nonclinical findings</w:t>
            </w:r>
            <w:r>
              <w:rPr>
                <w:noProof/>
                <w:webHidden/>
              </w:rPr>
              <w:tab/>
            </w:r>
            <w:r>
              <w:rPr>
                <w:noProof/>
                <w:webHidden/>
              </w:rPr>
              <w:fldChar w:fldCharType="begin"/>
            </w:r>
            <w:r>
              <w:rPr>
                <w:noProof/>
                <w:webHidden/>
              </w:rPr>
              <w:instrText xml:space="preserve"> PAGEREF _Toc369706039 \h </w:instrText>
            </w:r>
            <w:r>
              <w:rPr>
                <w:noProof/>
                <w:webHidden/>
              </w:rPr>
            </w:r>
            <w:r>
              <w:rPr>
                <w:noProof/>
                <w:webHidden/>
              </w:rPr>
              <w:fldChar w:fldCharType="separate"/>
            </w:r>
            <w:r>
              <w:rPr>
                <w:noProof/>
                <w:webHidden/>
              </w:rPr>
              <w:t>8</w:t>
            </w:r>
            <w:r>
              <w:rPr>
                <w:noProof/>
                <w:webHidden/>
              </w:rPr>
              <w:fldChar w:fldCharType="end"/>
            </w:r>
          </w:hyperlink>
        </w:p>
        <w:p w:rsidR="007A0708" w:rsidRDefault="007A0708">
          <w:pPr>
            <w:pStyle w:val="TOC2"/>
            <w:rPr>
              <w:rFonts w:asciiTheme="minorHAnsi" w:eastAsiaTheme="minorEastAsia" w:hAnsiTheme="minorHAnsi" w:cstheme="minorBidi"/>
              <w:b w:val="0"/>
              <w:noProof/>
              <w:sz w:val="22"/>
              <w:lang w:eastAsia="en-AU"/>
            </w:rPr>
          </w:pPr>
          <w:hyperlink w:anchor="_Toc369706040" w:history="1">
            <w:r w:rsidRPr="00A213AE">
              <w:rPr>
                <w:rStyle w:val="Hyperlink"/>
                <w:noProof/>
              </w:rPr>
              <w:t>IV. Clinical findings</w:t>
            </w:r>
            <w:r>
              <w:rPr>
                <w:noProof/>
                <w:webHidden/>
              </w:rPr>
              <w:tab/>
            </w:r>
            <w:r>
              <w:rPr>
                <w:noProof/>
                <w:webHidden/>
              </w:rPr>
              <w:fldChar w:fldCharType="begin"/>
            </w:r>
            <w:r>
              <w:rPr>
                <w:noProof/>
                <w:webHidden/>
              </w:rPr>
              <w:instrText xml:space="preserve"> PAGEREF _Toc369706040 \h </w:instrText>
            </w:r>
            <w:r>
              <w:rPr>
                <w:noProof/>
                <w:webHidden/>
              </w:rPr>
            </w:r>
            <w:r>
              <w:rPr>
                <w:noProof/>
                <w:webHidden/>
              </w:rPr>
              <w:fldChar w:fldCharType="separate"/>
            </w:r>
            <w:r>
              <w:rPr>
                <w:noProof/>
                <w:webHidden/>
              </w:rPr>
              <w:t>9</w:t>
            </w:r>
            <w:r>
              <w:rPr>
                <w:noProof/>
                <w:webHidden/>
              </w:rPr>
              <w:fldChar w:fldCharType="end"/>
            </w:r>
          </w:hyperlink>
        </w:p>
        <w:p w:rsidR="007A0708" w:rsidRDefault="007A0708">
          <w:pPr>
            <w:pStyle w:val="TOC3"/>
            <w:rPr>
              <w:rFonts w:asciiTheme="minorHAnsi" w:eastAsiaTheme="minorEastAsia" w:hAnsiTheme="minorHAnsi" w:cstheme="minorBidi"/>
              <w:noProof/>
              <w:lang w:eastAsia="en-AU"/>
            </w:rPr>
          </w:pPr>
          <w:hyperlink w:anchor="_Toc369706041" w:history="1">
            <w:r w:rsidRPr="00A213AE">
              <w:rPr>
                <w:rStyle w:val="Hyperlink"/>
                <w:noProof/>
              </w:rPr>
              <w:t>Introduction</w:t>
            </w:r>
            <w:r>
              <w:rPr>
                <w:noProof/>
                <w:webHidden/>
              </w:rPr>
              <w:tab/>
            </w:r>
            <w:r>
              <w:rPr>
                <w:noProof/>
                <w:webHidden/>
              </w:rPr>
              <w:fldChar w:fldCharType="begin"/>
            </w:r>
            <w:r>
              <w:rPr>
                <w:noProof/>
                <w:webHidden/>
              </w:rPr>
              <w:instrText xml:space="preserve"> PAGEREF _Toc369706041 \h </w:instrText>
            </w:r>
            <w:r>
              <w:rPr>
                <w:noProof/>
                <w:webHidden/>
              </w:rPr>
            </w:r>
            <w:r>
              <w:rPr>
                <w:noProof/>
                <w:webHidden/>
              </w:rPr>
              <w:fldChar w:fldCharType="separate"/>
            </w:r>
            <w:r>
              <w:rPr>
                <w:noProof/>
                <w:webHidden/>
              </w:rPr>
              <w:t>9</w:t>
            </w:r>
            <w:r>
              <w:rPr>
                <w:noProof/>
                <w:webHidden/>
              </w:rPr>
              <w:fldChar w:fldCharType="end"/>
            </w:r>
          </w:hyperlink>
        </w:p>
        <w:p w:rsidR="007A0708" w:rsidRDefault="007A0708">
          <w:pPr>
            <w:pStyle w:val="TOC3"/>
            <w:rPr>
              <w:rFonts w:asciiTheme="minorHAnsi" w:eastAsiaTheme="minorEastAsia" w:hAnsiTheme="minorHAnsi" w:cstheme="minorBidi"/>
              <w:noProof/>
              <w:lang w:eastAsia="en-AU"/>
            </w:rPr>
          </w:pPr>
          <w:hyperlink w:anchor="_Toc369706042" w:history="1">
            <w:r w:rsidRPr="00A213AE">
              <w:rPr>
                <w:rStyle w:val="Hyperlink"/>
                <w:noProof/>
              </w:rPr>
              <w:t>Pharmacokinetics</w:t>
            </w:r>
            <w:r>
              <w:rPr>
                <w:noProof/>
                <w:webHidden/>
              </w:rPr>
              <w:tab/>
            </w:r>
            <w:r>
              <w:rPr>
                <w:noProof/>
                <w:webHidden/>
              </w:rPr>
              <w:fldChar w:fldCharType="begin"/>
            </w:r>
            <w:r>
              <w:rPr>
                <w:noProof/>
                <w:webHidden/>
              </w:rPr>
              <w:instrText xml:space="preserve"> PAGEREF _Toc369706042 \h </w:instrText>
            </w:r>
            <w:r>
              <w:rPr>
                <w:noProof/>
                <w:webHidden/>
              </w:rPr>
            </w:r>
            <w:r>
              <w:rPr>
                <w:noProof/>
                <w:webHidden/>
              </w:rPr>
              <w:fldChar w:fldCharType="separate"/>
            </w:r>
            <w:r>
              <w:rPr>
                <w:noProof/>
                <w:webHidden/>
              </w:rPr>
              <w:t>9</w:t>
            </w:r>
            <w:r>
              <w:rPr>
                <w:noProof/>
                <w:webHidden/>
              </w:rPr>
              <w:fldChar w:fldCharType="end"/>
            </w:r>
          </w:hyperlink>
        </w:p>
        <w:p w:rsidR="007A0708" w:rsidRDefault="007A0708">
          <w:pPr>
            <w:pStyle w:val="TOC3"/>
            <w:rPr>
              <w:rFonts w:asciiTheme="minorHAnsi" w:eastAsiaTheme="minorEastAsia" w:hAnsiTheme="minorHAnsi" w:cstheme="minorBidi"/>
              <w:noProof/>
              <w:lang w:eastAsia="en-AU"/>
            </w:rPr>
          </w:pPr>
          <w:hyperlink w:anchor="_Toc369706043" w:history="1">
            <w:r w:rsidRPr="00A213AE">
              <w:rPr>
                <w:rStyle w:val="Hyperlink"/>
                <w:noProof/>
              </w:rPr>
              <w:t>Efficacy</w:t>
            </w:r>
            <w:r>
              <w:rPr>
                <w:noProof/>
                <w:webHidden/>
              </w:rPr>
              <w:tab/>
            </w:r>
            <w:r>
              <w:rPr>
                <w:noProof/>
                <w:webHidden/>
              </w:rPr>
              <w:fldChar w:fldCharType="begin"/>
            </w:r>
            <w:r>
              <w:rPr>
                <w:noProof/>
                <w:webHidden/>
              </w:rPr>
              <w:instrText xml:space="preserve"> PAGEREF _Toc369706043 \h </w:instrText>
            </w:r>
            <w:r>
              <w:rPr>
                <w:noProof/>
                <w:webHidden/>
              </w:rPr>
            </w:r>
            <w:r>
              <w:rPr>
                <w:noProof/>
                <w:webHidden/>
              </w:rPr>
              <w:fldChar w:fldCharType="separate"/>
            </w:r>
            <w:r>
              <w:rPr>
                <w:noProof/>
                <w:webHidden/>
              </w:rPr>
              <w:t>11</w:t>
            </w:r>
            <w:r>
              <w:rPr>
                <w:noProof/>
                <w:webHidden/>
              </w:rPr>
              <w:fldChar w:fldCharType="end"/>
            </w:r>
          </w:hyperlink>
        </w:p>
        <w:p w:rsidR="007A0708" w:rsidRDefault="007A0708">
          <w:pPr>
            <w:pStyle w:val="TOC3"/>
            <w:rPr>
              <w:rFonts w:asciiTheme="minorHAnsi" w:eastAsiaTheme="minorEastAsia" w:hAnsiTheme="minorHAnsi" w:cstheme="minorBidi"/>
              <w:noProof/>
              <w:lang w:eastAsia="en-AU"/>
            </w:rPr>
          </w:pPr>
          <w:hyperlink w:anchor="_Toc369706044" w:history="1">
            <w:r w:rsidRPr="00A213AE">
              <w:rPr>
                <w:rStyle w:val="Hyperlink"/>
                <w:noProof/>
              </w:rPr>
              <w:t>Safety</w:t>
            </w:r>
            <w:r>
              <w:rPr>
                <w:noProof/>
                <w:webHidden/>
              </w:rPr>
              <w:tab/>
            </w:r>
            <w:r>
              <w:rPr>
                <w:noProof/>
                <w:webHidden/>
              </w:rPr>
              <w:fldChar w:fldCharType="begin"/>
            </w:r>
            <w:r>
              <w:rPr>
                <w:noProof/>
                <w:webHidden/>
              </w:rPr>
              <w:instrText xml:space="preserve"> PAGEREF _Toc369706044 \h </w:instrText>
            </w:r>
            <w:r>
              <w:rPr>
                <w:noProof/>
                <w:webHidden/>
              </w:rPr>
            </w:r>
            <w:r>
              <w:rPr>
                <w:noProof/>
                <w:webHidden/>
              </w:rPr>
              <w:fldChar w:fldCharType="separate"/>
            </w:r>
            <w:r>
              <w:rPr>
                <w:noProof/>
                <w:webHidden/>
              </w:rPr>
              <w:t>14</w:t>
            </w:r>
            <w:r>
              <w:rPr>
                <w:noProof/>
                <w:webHidden/>
              </w:rPr>
              <w:fldChar w:fldCharType="end"/>
            </w:r>
          </w:hyperlink>
        </w:p>
        <w:p w:rsidR="007A0708" w:rsidRDefault="007A0708">
          <w:pPr>
            <w:pStyle w:val="TOC3"/>
            <w:rPr>
              <w:rFonts w:asciiTheme="minorHAnsi" w:eastAsiaTheme="minorEastAsia" w:hAnsiTheme="minorHAnsi" w:cstheme="minorBidi"/>
              <w:noProof/>
              <w:lang w:eastAsia="en-AU"/>
            </w:rPr>
          </w:pPr>
          <w:hyperlink w:anchor="_Toc369706045" w:history="1">
            <w:r w:rsidRPr="00A213AE">
              <w:rPr>
                <w:rStyle w:val="Hyperlink"/>
                <w:noProof/>
              </w:rPr>
              <w:t>List of questions</w:t>
            </w:r>
            <w:r>
              <w:rPr>
                <w:noProof/>
                <w:webHidden/>
              </w:rPr>
              <w:tab/>
            </w:r>
            <w:r>
              <w:rPr>
                <w:noProof/>
                <w:webHidden/>
              </w:rPr>
              <w:fldChar w:fldCharType="begin"/>
            </w:r>
            <w:r>
              <w:rPr>
                <w:noProof/>
                <w:webHidden/>
              </w:rPr>
              <w:instrText xml:space="preserve"> PAGEREF _Toc369706045 \h </w:instrText>
            </w:r>
            <w:r>
              <w:rPr>
                <w:noProof/>
                <w:webHidden/>
              </w:rPr>
            </w:r>
            <w:r>
              <w:rPr>
                <w:noProof/>
                <w:webHidden/>
              </w:rPr>
              <w:fldChar w:fldCharType="separate"/>
            </w:r>
            <w:r>
              <w:rPr>
                <w:noProof/>
                <w:webHidden/>
              </w:rPr>
              <w:t>17</w:t>
            </w:r>
            <w:r>
              <w:rPr>
                <w:noProof/>
                <w:webHidden/>
              </w:rPr>
              <w:fldChar w:fldCharType="end"/>
            </w:r>
          </w:hyperlink>
        </w:p>
        <w:p w:rsidR="007A0708" w:rsidRDefault="007A0708">
          <w:pPr>
            <w:pStyle w:val="TOC3"/>
            <w:rPr>
              <w:rFonts w:asciiTheme="minorHAnsi" w:eastAsiaTheme="minorEastAsia" w:hAnsiTheme="minorHAnsi" w:cstheme="minorBidi"/>
              <w:noProof/>
              <w:lang w:eastAsia="en-AU"/>
            </w:rPr>
          </w:pPr>
          <w:hyperlink w:anchor="_Toc369706046" w:history="1">
            <w:r w:rsidRPr="00A213AE">
              <w:rPr>
                <w:rStyle w:val="Hyperlink"/>
                <w:noProof/>
              </w:rPr>
              <w:t>Clinical summary and conclusions</w:t>
            </w:r>
            <w:r>
              <w:rPr>
                <w:noProof/>
                <w:webHidden/>
              </w:rPr>
              <w:tab/>
            </w:r>
            <w:r>
              <w:rPr>
                <w:noProof/>
                <w:webHidden/>
              </w:rPr>
              <w:fldChar w:fldCharType="begin"/>
            </w:r>
            <w:r>
              <w:rPr>
                <w:noProof/>
                <w:webHidden/>
              </w:rPr>
              <w:instrText xml:space="preserve"> PAGEREF _Toc369706046 \h </w:instrText>
            </w:r>
            <w:r>
              <w:rPr>
                <w:noProof/>
                <w:webHidden/>
              </w:rPr>
            </w:r>
            <w:r>
              <w:rPr>
                <w:noProof/>
                <w:webHidden/>
              </w:rPr>
              <w:fldChar w:fldCharType="separate"/>
            </w:r>
            <w:r>
              <w:rPr>
                <w:noProof/>
                <w:webHidden/>
              </w:rPr>
              <w:t>18</w:t>
            </w:r>
            <w:r>
              <w:rPr>
                <w:noProof/>
                <w:webHidden/>
              </w:rPr>
              <w:fldChar w:fldCharType="end"/>
            </w:r>
          </w:hyperlink>
        </w:p>
        <w:p w:rsidR="007A0708" w:rsidRDefault="007A0708">
          <w:pPr>
            <w:pStyle w:val="TOC2"/>
            <w:rPr>
              <w:rFonts w:asciiTheme="minorHAnsi" w:eastAsiaTheme="minorEastAsia" w:hAnsiTheme="minorHAnsi" w:cstheme="minorBidi"/>
              <w:b w:val="0"/>
              <w:noProof/>
              <w:sz w:val="22"/>
              <w:lang w:eastAsia="en-AU"/>
            </w:rPr>
          </w:pPr>
          <w:hyperlink w:anchor="_Toc369706047" w:history="1">
            <w:r w:rsidRPr="00A213AE">
              <w:rPr>
                <w:rStyle w:val="Hyperlink"/>
                <w:noProof/>
              </w:rPr>
              <w:t>V. Pharmacovigilance findings</w:t>
            </w:r>
            <w:r>
              <w:rPr>
                <w:noProof/>
                <w:webHidden/>
              </w:rPr>
              <w:tab/>
            </w:r>
            <w:r>
              <w:rPr>
                <w:noProof/>
                <w:webHidden/>
              </w:rPr>
              <w:fldChar w:fldCharType="begin"/>
            </w:r>
            <w:r>
              <w:rPr>
                <w:noProof/>
                <w:webHidden/>
              </w:rPr>
              <w:instrText xml:space="preserve"> PAGEREF _Toc369706047 \h </w:instrText>
            </w:r>
            <w:r>
              <w:rPr>
                <w:noProof/>
                <w:webHidden/>
              </w:rPr>
            </w:r>
            <w:r>
              <w:rPr>
                <w:noProof/>
                <w:webHidden/>
              </w:rPr>
              <w:fldChar w:fldCharType="separate"/>
            </w:r>
            <w:r>
              <w:rPr>
                <w:noProof/>
                <w:webHidden/>
              </w:rPr>
              <w:t>21</w:t>
            </w:r>
            <w:r>
              <w:rPr>
                <w:noProof/>
                <w:webHidden/>
              </w:rPr>
              <w:fldChar w:fldCharType="end"/>
            </w:r>
          </w:hyperlink>
        </w:p>
        <w:p w:rsidR="007A0708" w:rsidRDefault="007A0708">
          <w:pPr>
            <w:pStyle w:val="TOC3"/>
            <w:rPr>
              <w:rFonts w:asciiTheme="minorHAnsi" w:eastAsiaTheme="minorEastAsia" w:hAnsiTheme="minorHAnsi" w:cstheme="minorBidi"/>
              <w:noProof/>
              <w:lang w:eastAsia="en-AU"/>
            </w:rPr>
          </w:pPr>
          <w:hyperlink w:anchor="_Toc369706048" w:history="1">
            <w:r w:rsidRPr="00A213AE">
              <w:rPr>
                <w:rStyle w:val="Hyperlink"/>
                <w:noProof/>
                <w:lang w:eastAsia="en-AU"/>
              </w:rPr>
              <w:t>Risk management plan</w:t>
            </w:r>
            <w:r>
              <w:rPr>
                <w:noProof/>
                <w:webHidden/>
              </w:rPr>
              <w:tab/>
            </w:r>
            <w:r>
              <w:rPr>
                <w:noProof/>
                <w:webHidden/>
              </w:rPr>
              <w:fldChar w:fldCharType="begin"/>
            </w:r>
            <w:r>
              <w:rPr>
                <w:noProof/>
                <w:webHidden/>
              </w:rPr>
              <w:instrText xml:space="preserve"> PAGEREF _Toc369706048 \h </w:instrText>
            </w:r>
            <w:r>
              <w:rPr>
                <w:noProof/>
                <w:webHidden/>
              </w:rPr>
            </w:r>
            <w:r>
              <w:rPr>
                <w:noProof/>
                <w:webHidden/>
              </w:rPr>
              <w:fldChar w:fldCharType="separate"/>
            </w:r>
            <w:r>
              <w:rPr>
                <w:noProof/>
                <w:webHidden/>
              </w:rPr>
              <w:t>21</w:t>
            </w:r>
            <w:r>
              <w:rPr>
                <w:noProof/>
                <w:webHidden/>
              </w:rPr>
              <w:fldChar w:fldCharType="end"/>
            </w:r>
          </w:hyperlink>
        </w:p>
        <w:p w:rsidR="007A0708" w:rsidRDefault="007A0708">
          <w:pPr>
            <w:pStyle w:val="TOC2"/>
            <w:rPr>
              <w:rFonts w:asciiTheme="minorHAnsi" w:eastAsiaTheme="minorEastAsia" w:hAnsiTheme="minorHAnsi" w:cstheme="minorBidi"/>
              <w:b w:val="0"/>
              <w:noProof/>
              <w:sz w:val="22"/>
              <w:lang w:eastAsia="en-AU"/>
            </w:rPr>
          </w:pPr>
          <w:hyperlink w:anchor="_Toc369706049" w:history="1">
            <w:r w:rsidRPr="00A213AE">
              <w:rPr>
                <w:rStyle w:val="Hyperlink"/>
                <w:noProof/>
              </w:rPr>
              <w:t>VI. Overall conclusion and risk/benefit assessment</w:t>
            </w:r>
            <w:r>
              <w:rPr>
                <w:noProof/>
                <w:webHidden/>
              </w:rPr>
              <w:tab/>
            </w:r>
            <w:r>
              <w:rPr>
                <w:noProof/>
                <w:webHidden/>
              </w:rPr>
              <w:fldChar w:fldCharType="begin"/>
            </w:r>
            <w:r>
              <w:rPr>
                <w:noProof/>
                <w:webHidden/>
              </w:rPr>
              <w:instrText xml:space="preserve"> PAGEREF _Toc369706049 \h </w:instrText>
            </w:r>
            <w:r>
              <w:rPr>
                <w:noProof/>
                <w:webHidden/>
              </w:rPr>
            </w:r>
            <w:r>
              <w:rPr>
                <w:noProof/>
                <w:webHidden/>
              </w:rPr>
              <w:fldChar w:fldCharType="separate"/>
            </w:r>
            <w:r>
              <w:rPr>
                <w:noProof/>
                <w:webHidden/>
              </w:rPr>
              <w:t>26</w:t>
            </w:r>
            <w:r>
              <w:rPr>
                <w:noProof/>
                <w:webHidden/>
              </w:rPr>
              <w:fldChar w:fldCharType="end"/>
            </w:r>
          </w:hyperlink>
        </w:p>
        <w:p w:rsidR="007A0708" w:rsidRDefault="007A0708">
          <w:pPr>
            <w:pStyle w:val="TOC3"/>
            <w:rPr>
              <w:rFonts w:asciiTheme="minorHAnsi" w:eastAsiaTheme="minorEastAsia" w:hAnsiTheme="minorHAnsi" w:cstheme="minorBidi"/>
              <w:noProof/>
              <w:lang w:eastAsia="en-AU"/>
            </w:rPr>
          </w:pPr>
          <w:hyperlink w:anchor="_Toc369706050" w:history="1">
            <w:r w:rsidRPr="00A213AE">
              <w:rPr>
                <w:rStyle w:val="Hyperlink"/>
                <w:noProof/>
              </w:rPr>
              <w:t>Quality</w:t>
            </w:r>
            <w:r>
              <w:rPr>
                <w:noProof/>
                <w:webHidden/>
              </w:rPr>
              <w:tab/>
            </w:r>
            <w:r>
              <w:rPr>
                <w:noProof/>
                <w:webHidden/>
              </w:rPr>
              <w:fldChar w:fldCharType="begin"/>
            </w:r>
            <w:r>
              <w:rPr>
                <w:noProof/>
                <w:webHidden/>
              </w:rPr>
              <w:instrText xml:space="preserve"> PAGEREF _Toc369706050 \h </w:instrText>
            </w:r>
            <w:r>
              <w:rPr>
                <w:noProof/>
                <w:webHidden/>
              </w:rPr>
            </w:r>
            <w:r>
              <w:rPr>
                <w:noProof/>
                <w:webHidden/>
              </w:rPr>
              <w:fldChar w:fldCharType="separate"/>
            </w:r>
            <w:r>
              <w:rPr>
                <w:noProof/>
                <w:webHidden/>
              </w:rPr>
              <w:t>26</w:t>
            </w:r>
            <w:r>
              <w:rPr>
                <w:noProof/>
                <w:webHidden/>
              </w:rPr>
              <w:fldChar w:fldCharType="end"/>
            </w:r>
          </w:hyperlink>
        </w:p>
        <w:p w:rsidR="007A0708" w:rsidRDefault="007A0708">
          <w:pPr>
            <w:pStyle w:val="TOC3"/>
            <w:rPr>
              <w:rFonts w:asciiTheme="minorHAnsi" w:eastAsiaTheme="minorEastAsia" w:hAnsiTheme="minorHAnsi" w:cstheme="minorBidi"/>
              <w:noProof/>
              <w:lang w:eastAsia="en-AU"/>
            </w:rPr>
          </w:pPr>
          <w:hyperlink w:anchor="_Toc369706051" w:history="1">
            <w:r w:rsidRPr="00A213AE">
              <w:rPr>
                <w:rStyle w:val="Hyperlink"/>
                <w:noProof/>
              </w:rPr>
              <w:t>Nonclinical</w:t>
            </w:r>
            <w:r>
              <w:rPr>
                <w:noProof/>
                <w:webHidden/>
              </w:rPr>
              <w:tab/>
            </w:r>
            <w:r>
              <w:rPr>
                <w:noProof/>
                <w:webHidden/>
              </w:rPr>
              <w:fldChar w:fldCharType="begin"/>
            </w:r>
            <w:r>
              <w:rPr>
                <w:noProof/>
                <w:webHidden/>
              </w:rPr>
              <w:instrText xml:space="preserve"> PAGEREF _Toc369706051 \h </w:instrText>
            </w:r>
            <w:r>
              <w:rPr>
                <w:noProof/>
                <w:webHidden/>
              </w:rPr>
            </w:r>
            <w:r>
              <w:rPr>
                <w:noProof/>
                <w:webHidden/>
              </w:rPr>
              <w:fldChar w:fldCharType="separate"/>
            </w:r>
            <w:r>
              <w:rPr>
                <w:noProof/>
                <w:webHidden/>
              </w:rPr>
              <w:t>26</w:t>
            </w:r>
            <w:r>
              <w:rPr>
                <w:noProof/>
                <w:webHidden/>
              </w:rPr>
              <w:fldChar w:fldCharType="end"/>
            </w:r>
          </w:hyperlink>
        </w:p>
        <w:p w:rsidR="007A0708" w:rsidRDefault="007A0708">
          <w:pPr>
            <w:pStyle w:val="TOC3"/>
            <w:rPr>
              <w:rFonts w:asciiTheme="minorHAnsi" w:eastAsiaTheme="minorEastAsia" w:hAnsiTheme="minorHAnsi" w:cstheme="minorBidi"/>
              <w:noProof/>
              <w:lang w:eastAsia="en-AU"/>
            </w:rPr>
          </w:pPr>
          <w:hyperlink w:anchor="_Toc369706052" w:history="1">
            <w:r w:rsidRPr="00A213AE">
              <w:rPr>
                <w:rStyle w:val="Hyperlink"/>
                <w:noProof/>
              </w:rPr>
              <w:t>Clinical</w:t>
            </w:r>
            <w:r>
              <w:rPr>
                <w:noProof/>
                <w:webHidden/>
              </w:rPr>
              <w:tab/>
            </w:r>
            <w:r>
              <w:rPr>
                <w:noProof/>
                <w:webHidden/>
              </w:rPr>
              <w:fldChar w:fldCharType="begin"/>
            </w:r>
            <w:r>
              <w:rPr>
                <w:noProof/>
                <w:webHidden/>
              </w:rPr>
              <w:instrText xml:space="preserve"> PAGEREF _Toc369706052 \h </w:instrText>
            </w:r>
            <w:r>
              <w:rPr>
                <w:noProof/>
                <w:webHidden/>
              </w:rPr>
            </w:r>
            <w:r>
              <w:rPr>
                <w:noProof/>
                <w:webHidden/>
              </w:rPr>
              <w:fldChar w:fldCharType="separate"/>
            </w:r>
            <w:r>
              <w:rPr>
                <w:noProof/>
                <w:webHidden/>
              </w:rPr>
              <w:t>26</w:t>
            </w:r>
            <w:r>
              <w:rPr>
                <w:noProof/>
                <w:webHidden/>
              </w:rPr>
              <w:fldChar w:fldCharType="end"/>
            </w:r>
          </w:hyperlink>
        </w:p>
        <w:p w:rsidR="007A0708" w:rsidRDefault="007A0708">
          <w:pPr>
            <w:pStyle w:val="TOC3"/>
            <w:rPr>
              <w:rFonts w:asciiTheme="minorHAnsi" w:eastAsiaTheme="minorEastAsia" w:hAnsiTheme="minorHAnsi" w:cstheme="minorBidi"/>
              <w:noProof/>
              <w:lang w:eastAsia="en-AU"/>
            </w:rPr>
          </w:pPr>
          <w:hyperlink w:anchor="_Toc369706053" w:history="1">
            <w:r w:rsidRPr="00A213AE">
              <w:rPr>
                <w:rStyle w:val="Hyperlink"/>
                <w:noProof/>
                <w:lang w:eastAsia="en-AU"/>
              </w:rPr>
              <w:t>Risk management plan</w:t>
            </w:r>
            <w:r>
              <w:rPr>
                <w:noProof/>
                <w:webHidden/>
              </w:rPr>
              <w:tab/>
            </w:r>
            <w:r>
              <w:rPr>
                <w:noProof/>
                <w:webHidden/>
              </w:rPr>
              <w:fldChar w:fldCharType="begin"/>
            </w:r>
            <w:r>
              <w:rPr>
                <w:noProof/>
                <w:webHidden/>
              </w:rPr>
              <w:instrText xml:space="preserve"> PAGEREF _Toc369706053 \h </w:instrText>
            </w:r>
            <w:r>
              <w:rPr>
                <w:noProof/>
                <w:webHidden/>
              </w:rPr>
            </w:r>
            <w:r>
              <w:rPr>
                <w:noProof/>
                <w:webHidden/>
              </w:rPr>
              <w:fldChar w:fldCharType="separate"/>
            </w:r>
            <w:r>
              <w:rPr>
                <w:noProof/>
                <w:webHidden/>
              </w:rPr>
              <w:t>27</w:t>
            </w:r>
            <w:r>
              <w:rPr>
                <w:noProof/>
                <w:webHidden/>
              </w:rPr>
              <w:fldChar w:fldCharType="end"/>
            </w:r>
          </w:hyperlink>
        </w:p>
        <w:p w:rsidR="007A0708" w:rsidRDefault="007A0708">
          <w:pPr>
            <w:pStyle w:val="TOC3"/>
            <w:rPr>
              <w:rFonts w:asciiTheme="minorHAnsi" w:eastAsiaTheme="minorEastAsia" w:hAnsiTheme="minorHAnsi" w:cstheme="minorBidi"/>
              <w:noProof/>
              <w:lang w:eastAsia="en-AU"/>
            </w:rPr>
          </w:pPr>
          <w:hyperlink w:anchor="_Toc369706054" w:history="1">
            <w:r w:rsidRPr="00A213AE">
              <w:rPr>
                <w:rStyle w:val="Hyperlink"/>
                <w:noProof/>
              </w:rPr>
              <w:t>Risk-benefit analysis</w:t>
            </w:r>
            <w:r>
              <w:rPr>
                <w:noProof/>
                <w:webHidden/>
              </w:rPr>
              <w:tab/>
            </w:r>
            <w:r>
              <w:rPr>
                <w:noProof/>
                <w:webHidden/>
              </w:rPr>
              <w:fldChar w:fldCharType="begin"/>
            </w:r>
            <w:r>
              <w:rPr>
                <w:noProof/>
                <w:webHidden/>
              </w:rPr>
              <w:instrText xml:space="preserve"> PAGEREF _Toc369706054 \h </w:instrText>
            </w:r>
            <w:r>
              <w:rPr>
                <w:noProof/>
                <w:webHidden/>
              </w:rPr>
            </w:r>
            <w:r>
              <w:rPr>
                <w:noProof/>
                <w:webHidden/>
              </w:rPr>
              <w:fldChar w:fldCharType="separate"/>
            </w:r>
            <w:r>
              <w:rPr>
                <w:noProof/>
                <w:webHidden/>
              </w:rPr>
              <w:t>28</w:t>
            </w:r>
            <w:r>
              <w:rPr>
                <w:noProof/>
                <w:webHidden/>
              </w:rPr>
              <w:fldChar w:fldCharType="end"/>
            </w:r>
          </w:hyperlink>
        </w:p>
        <w:p w:rsidR="007A0708" w:rsidRDefault="007A0708">
          <w:pPr>
            <w:pStyle w:val="TOC3"/>
            <w:rPr>
              <w:rFonts w:asciiTheme="minorHAnsi" w:eastAsiaTheme="minorEastAsia" w:hAnsiTheme="minorHAnsi" w:cstheme="minorBidi"/>
              <w:noProof/>
              <w:lang w:eastAsia="en-AU"/>
            </w:rPr>
          </w:pPr>
          <w:hyperlink w:anchor="_Toc369706055" w:history="1">
            <w:r w:rsidRPr="00A213AE">
              <w:rPr>
                <w:rStyle w:val="Hyperlink"/>
                <w:noProof/>
              </w:rPr>
              <w:t>Outcome</w:t>
            </w:r>
            <w:r>
              <w:rPr>
                <w:noProof/>
                <w:webHidden/>
              </w:rPr>
              <w:tab/>
            </w:r>
            <w:r>
              <w:rPr>
                <w:noProof/>
                <w:webHidden/>
              </w:rPr>
              <w:fldChar w:fldCharType="begin"/>
            </w:r>
            <w:r>
              <w:rPr>
                <w:noProof/>
                <w:webHidden/>
              </w:rPr>
              <w:instrText xml:space="preserve"> PAGEREF _Toc369706055 \h </w:instrText>
            </w:r>
            <w:r>
              <w:rPr>
                <w:noProof/>
                <w:webHidden/>
              </w:rPr>
            </w:r>
            <w:r>
              <w:rPr>
                <w:noProof/>
                <w:webHidden/>
              </w:rPr>
              <w:fldChar w:fldCharType="separate"/>
            </w:r>
            <w:r>
              <w:rPr>
                <w:noProof/>
                <w:webHidden/>
              </w:rPr>
              <w:t>34</w:t>
            </w:r>
            <w:r>
              <w:rPr>
                <w:noProof/>
                <w:webHidden/>
              </w:rPr>
              <w:fldChar w:fldCharType="end"/>
            </w:r>
          </w:hyperlink>
        </w:p>
        <w:p w:rsidR="007A0708" w:rsidRDefault="007A0708">
          <w:pPr>
            <w:pStyle w:val="TOC2"/>
            <w:tabs>
              <w:tab w:val="left" w:pos="2448"/>
            </w:tabs>
            <w:rPr>
              <w:rFonts w:asciiTheme="minorHAnsi" w:eastAsiaTheme="minorEastAsia" w:hAnsiTheme="minorHAnsi" w:cstheme="minorBidi"/>
              <w:b w:val="0"/>
              <w:noProof/>
              <w:sz w:val="22"/>
              <w:lang w:eastAsia="en-AU"/>
            </w:rPr>
          </w:pPr>
          <w:hyperlink w:anchor="_Toc369706056" w:history="1">
            <w:r w:rsidRPr="00A213AE">
              <w:rPr>
                <w:rStyle w:val="Hyperlink"/>
                <w:noProof/>
              </w:rPr>
              <w:t>Attachment 1.</w:t>
            </w:r>
            <w:r>
              <w:rPr>
                <w:rFonts w:asciiTheme="minorHAnsi" w:eastAsiaTheme="minorEastAsia" w:hAnsiTheme="minorHAnsi" w:cstheme="minorBidi"/>
                <w:b w:val="0"/>
                <w:noProof/>
                <w:sz w:val="22"/>
                <w:lang w:eastAsia="en-AU"/>
              </w:rPr>
              <w:tab/>
            </w:r>
            <w:r w:rsidRPr="00A213AE">
              <w:rPr>
                <w:rStyle w:val="Hyperlink"/>
                <w:noProof/>
              </w:rPr>
              <w:t>Product Information</w:t>
            </w:r>
            <w:r>
              <w:rPr>
                <w:noProof/>
                <w:webHidden/>
              </w:rPr>
              <w:tab/>
            </w:r>
            <w:r>
              <w:rPr>
                <w:noProof/>
                <w:webHidden/>
              </w:rPr>
              <w:fldChar w:fldCharType="begin"/>
            </w:r>
            <w:r>
              <w:rPr>
                <w:noProof/>
                <w:webHidden/>
              </w:rPr>
              <w:instrText xml:space="preserve"> PAGEREF _Toc369706056 \h </w:instrText>
            </w:r>
            <w:r>
              <w:rPr>
                <w:noProof/>
                <w:webHidden/>
              </w:rPr>
            </w:r>
            <w:r>
              <w:rPr>
                <w:noProof/>
                <w:webHidden/>
              </w:rPr>
              <w:fldChar w:fldCharType="separate"/>
            </w:r>
            <w:r>
              <w:rPr>
                <w:noProof/>
                <w:webHidden/>
              </w:rPr>
              <w:t>35</w:t>
            </w:r>
            <w:r>
              <w:rPr>
                <w:noProof/>
                <w:webHidden/>
              </w:rPr>
              <w:fldChar w:fldCharType="end"/>
            </w:r>
          </w:hyperlink>
        </w:p>
        <w:p w:rsidR="003A7F6C" w:rsidRPr="00B811C6" w:rsidRDefault="006F0076" w:rsidP="00B811C6">
          <w:pPr>
            <w:pStyle w:val="TOC2"/>
          </w:pPr>
          <w:r>
            <w:fldChar w:fldCharType="end"/>
          </w:r>
        </w:p>
      </w:sdtContent>
    </w:sdt>
    <w:bookmarkStart w:id="2" w:name="_Toc314842482" w:displacedByCustomXml="prev"/>
    <w:p w:rsidR="002E64AC" w:rsidRDefault="002E64AC">
      <w:pPr>
        <w:spacing w:before="0" w:after="200" w:line="0" w:lineRule="auto"/>
        <w:rPr>
          <w:rFonts w:ascii="Arial" w:eastAsia="Times New Roman" w:hAnsi="Arial"/>
          <w:b/>
          <w:bCs/>
          <w:sz w:val="32"/>
          <w:szCs w:val="26"/>
        </w:rPr>
      </w:pPr>
      <w:r>
        <w:br w:type="page"/>
      </w:r>
    </w:p>
    <w:p w:rsidR="008E7846" w:rsidRDefault="00F53C07" w:rsidP="008E7846">
      <w:pPr>
        <w:pStyle w:val="Heading2"/>
      </w:pPr>
      <w:bookmarkStart w:id="3" w:name="_Toc369706028"/>
      <w:r>
        <w:lastRenderedPageBreak/>
        <w:t>I.</w:t>
      </w:r>
      <w:r w:rsidR="008E7846">
        <w:t xml:space="preserve"> Introduction to product submission</w:t>
      </w:r>
      <w:bookmarkEnd w:id="0"/>
      <w:bookmarkEnd w:id="2"/>
      <w:bookmarkEnd w:id="3"/>
    </w:p>
    <w:p w:rsidR="008E7846" w:rsidRDefault="008E7846" w:rsidP="008E7846">
      <w:pPr>
        <w:pStyle w:val="Heading3"/>
        <w:rPr>
          <w:lang w:eastAsia="en-AU"/>
        </w:rPr>
      </w:pPr>
      <w:bookmarkStart w:id="4" w:name="_Toc247691502"/>
      <w:bookmarkStart w:id="5" w:name="_Toc314842483"/>
      <w:bookmarkStart w:id="6" w:name="_Toc369706029"/>
      <w:r>
        <w:rPr>
          <w:lang w:eastAsia="en-AU"/>
        </w:rPr>
        <w:t>Submission details</w:t>
      </w:r>
      <w:bookmarkEnd w:id="4"/>
      <w:bookmarkEnd w:id="5"/>
      <w:bookmarkEnd w:id="6"/>
    </w:p>
    <w:tbl>
      <w:tblPr>
        <w:tblW w:w="9497" w:type="dxa"/>
        <w:tblInd w:w="108" w:type="dxa"/>
        <w:tblLook w:val="01E0"/>
      </w:tblPr>
      <w:tblGrid>
        <w:gridCol w:w="2907"/>
        <w:gridCol w:w="6590"/>
      </w:tblGrid>
      <w:tr w:rsidR="008E7846" w:rsidRPr="003D1E62" w:rsidTr="0089635C">
        <w:trPr>
          <w:trHeight w:hRule="exact" w:val="454"/>
        </w:trPr>
        <w:tc>
          <w:tcPr>
            <w:tcW w:w="2907" w:type="dxa"/>
          </w:tcPr>
          <w:p w:rsidR="008E7846" w:rsidRPr="003D1E62" w:rsidRDefault="002E64AC" w:rsidP="003D1E62">
            <w:pPr>
              <w:rPr>
                <w:i/>
              </w:rPr>
            </w:pPr>
            <w:r>
              <w:rPr>
                <w:i/>
              </w:rPr>
              <w:t>Type of s</w:t>
            </w:r>
            <w:r w:rsidR="008E7846" w:rsidRPr="003D1E62">
              <w:rPr>
                <w:i/>
              </w:rPr>
              <w:t>ubmission</w:t>
            </w:r>
            <w:r>
              <w:rPr>
                <w:i/>
              </w:rPr>
              <w:t>:</w:t>
            </w:r>
          </w:p>
        </w:tc>
        <w:tc>
          <w:tcPr>
            <w:tcW w:w="6590" w:type="dxa"/>
          </w:tcPr>
          <w:p w:rsidR="008E7846" w:rsidRPr="003D1E62" w:rsidRDefault="008E7846" w:rsidP="003D1E62">
            <w:r w:rsidRPr="003D1E62">
              <w:t>Major Variation (New Strength)</w:t>
            </w:r>
          </w:p>
        </w:tc>
      </w:tr>
      <w:tr w:rsidR="008E7846" w:rsidRPr="003D1E62" w:rsidTr="0089635C">
        <w:trPr>
          <w:trHeight w:hRule="exact" w:val="454"/>
        </w:trPr>
        <w:tc>
          <w:tcPr>
            <w:tcW w:w="2907" w:type="dxa"/>
          </w:tcPr>
          <w:p w:rsidR="008E7846" w:rsidRPr="003D1E62" w:rsidRDefault="008E7846" w:rsidP="003D1E62">
            <w:r w:rsidRPr="003D1E62">
              <w:rPr>
                <w:i/>
              </w:rPr>
              <w:t>Decision</w:t>
            </w:r>
            <w:r w:rsidRPr="003D1E62">
              <w:t>:</w:t>
            </w:r>
          </w:p>
        </w:tc>
        <w:tc>
          <w:tcPr>
            <w:tcW w:w="6590" w:type="dxa"/>
          </w:tcPr>
          <w:p w:rsidR="008E7846" w:rsidRPr="003D1E62" w:rsidRDefault="008E7846" w:rsidP="002E64AC">
            <w:r w:rsidRPr="003D1E62">
              <w:t>Approved</w:t>
            </w:r>
          </w:p>
        </w:tc>
      </w:tr>
      <w:tr w:rsidR="008E7846" w:rsidRPr="003D1E62" w:rsidTr="0089635C">
        <w:trPr>
          <w:trHeight w:hRule="exact" w:val="454"/>
        </w:trPr>
        <w:tc>
          <w:tcPr>
            <w:tcW w:w="2907" w:type="dxa"/>
          </w:tcPr>
          <w:p w:rsidR="008E7846" w:rsidRPr="003D1E62" w:rsidRDefault="002E64AC" w:rsidP="003D1E62">
            <w:pPr>
              <w:rPr>
                <w:i/>
              </w:rPr>
            </w:pPr>
            <w:r>
              <w:rPr>
                <w:i/>
              </w:rPr>
              <w:t>Date of d</w:t>
            </w:r>
            <w:r w:rsidR="008E7846" w:rsidRPr="003D1E62">
              <w:rPr>
                <w:i/>
              </w:rPr>
              <w:t>ecision:</w:t>
            </w:r>
          </w:p>
        </w:tc>
        <w:tc>
          <w:tcPr>
            <w:tcW w:w="6590" w:type="dxa"/>
          </w:tcPr>
          <w:p w:rsidR="008E7846" w:rsidRPr="003D1E62" w:rsidRDefault="002E64AC" w:rsidP="003D1E62">
            <w:r>
              <w:t>11 January 2013</w:t>
            </w:r>
          </w:p>
        </w:tc>
      </w:tr>
    </w:tbl>
    <w:p w:rsidR="008E7846" w:rsidRDefault="008E7846" w:rsidP="008E7846"/>
    <w:tbl>
      <w:tblPr>
        <w:tblW w:w="9214" w:type="dxa"/>
        <w:tblInd w:w="108" w:type="dxa"/>
        <w:tblLook w:val="01E0"/>
      </w:tblPr>
      <w:tblGrid>
        <w:gridCol w:w="2907"/>
        <w:gridCol w:w="6307"/>
      </w:tblGrid>
      <w:tr w:rsidR="008E7846" w:rsidRPr="00487162" w:rsidTr="00BF1190">
        <w:tc>
          <w:tcPr>
            <w:tcW w:w="2907" w:type="dxa"/>
          </w:tcPr>
          <w:p w:rsidR="008E7846" w:rsidRPr="00487162" w:rsidRDefault="008E7846" w:rsidP="002E64AC">
            <w:pPr>
              <w:rPr>
                <w:i/>
              </w:rPr>
            </w:pPr>
            <w:r w:rsidRPr="00487162">
              <w:rPr>
                <w:i/>
              </w:rPr>
              <w:t>Active ingredient:</w:t>
            </w:r>
          </w:p>
        </w:tc>
        <w:tc>
          <w:tcPr>
            <w:tcW w:w="6307" w:type="dxa"/>
          </w:tcPr>
          <w:p w:rsidR="008E7846" w:rsidRPr="00487162" w:rsidRDefault="002E64AC" w:rsidP="00E45619">
            <w:r w:rsidRPr="00790C83">
              <w:t>Human Normal Immunoglobulin for Intravenous Administration</w:t>
            </w:r>
          </w:p>
        </w:tc>
      </w:tr>
      <w:tr w:rsidR="008E7846" w:rsidRPr="00487162" w:rsidTr="00BF1190">
        <w:tc>
          <w:tcPr>
            <w:tcW w:w="2907" w:type="dxa"/>
          </w:tcPr>
          <w:p w:rsidR="008E7846" w:rsidRPr="00487162" w:rsidRDefault="008E7846" w:rsidP="002E64AC">
            <w:pPr>
              <w:rPr>
                <w:i/>
              </w:rPr>
            </w:pPr>
            <w:r w:rsidRPr="00487162">
              <w:rPr>
                <w:i/>
              </w:rPr>
              <w:t xml:space="preserve">Product </w:t>
            </w:r>
            <w:r w:rsidR="002E64AC">
              <w:rPr>
                <w:i/>
              </w:rPr>
              <w:t>n</w:t>
            </w:r>
            <w:r w:rsidRPr="00487162">
              <w:rPr>
                <w:i/>
              </w:rPr>
              <w:t>ame:</w:t>
            </w:r>
          </w:p>
        </w:tc>
        <w:tc>
          <w:tcPr>
            <w:tcW w:w="6307" w:type="dxa"/>
          </w:tcPr>
          <w:p w:rsidR="008E7846" w:rsidRPr="00487162" w:rsidRDefault="002E64AC" w:rsidP="00E45619">
            <w:proofErr w:type="spellStart"/>
            <w:r>
              <w:t>Flebogamma</w:t>
            </w:r>
            <w:proofErr w:type="spellEnd"/>
            <w:r>
              <w:t xml:space="preserve"> 10% DIF</w:t>
            </w:r>
          </w:p>
        </w:tc>
      </w:tr>
      <w:tr w:rsidR="008E7846" w:rsidRPr="00487162" w:rsidTr="00BF1190">
        <w:tc>
          <w:tcPr>
            <w:tcW w:w="2907" w:type="dxa"/>
          </w:tcPr>
          <w:p w:rsidR="008E7846" w:rsidRPr="00487162" w:rsidRDefault="008E7846" w:rsidP="00E45619">
            <w:pPr>
              <w:rPr>
                <w:i/>
              </w:rPr>
            </w:pPr>
            <w:r w:rsidRPr="00487162">
              <w:rPr>
                <w:i/>
              </w:rPr>
              <w:t>Sponsor’s Name and Address:</w:t>
            </w:r>
          </w:p>
        </w:tc>
        <w:tc>
          <w:tcPr>
            <w:tcW w:w="6307" w:type="dxa"/>
          </w:tcPr>
          <w:p w:rsidR="008E7846" w:rsidRPr="00487162" w:rsidRDefault="002E64AC" w:rsidP="002E64AC">
            <w:proofErr w:type="spellStart"/>
            <w:r>
              <w:t>Grifols</w:t>
            </w:r>
            <w:proofErr w:type="spellEnd"/>
            <w:r>
              <w:t xml:space="preserve"> Australia Pty Ltd</w:t>
            </w:r>
            <w:r>
              <w:br/>
              <w:t>PO Box 795</w:t>
            </w:r>
            <w:r>
              <w:br/>
              <w:t>Mount Waverley VIC 3149</w:t>
            </w:r>
          </w:p>
        </w:tc>
      </w:tr>
      <w:tr w:rsidR="008E7846" w:rsidRPr="00487162" w:rsidTr="00BF1190">
        <w:tc>
          <w:tcPr>
            <w:tcW w:w="2907" w:type="dxa"/>
          </w:tcPr>
          <w:p w:rsidR="008E7846" w:rsidRPr="00487162" w:rsidRDefault="008E7846" w:rsidP="002E64AC">
            <w:pPr>
              <w:rPr>
                <w:i/>
              </w:rPr>
            </w:pPr>
            <w:r w:rsidRPr="00487162">
              <w:rPr>
                <w:i/>
              </w:rPr>
              <w:t>Dose form:</w:t>
            </w:r>
          </w:p>
        </w:tc>
        <w:tc>
          <w:tcPr>
            <w:tcW w:w="6307" w:type="dxa"/>
          </w:tcPr>
          <w:p w:rsidR="008E7846" w:rsidRPr="00487162" w:rsidRDefault="002E64AC" w:rsidP="00E45619">
            <w:r>
              <w:t>Injection, solution</w:t>
            </w:r>
          </w:p>
        </w:tc>
      </w:tr>
      <w:tr w:rsidR="008E7846" w:rsidRPr="00487162" w:rsidTr="00BF1190">
        <w:tc>
          <w:tcPr>
            <w:tcW w:w="2907" w:type="dxa"/>
          </w:tcPr>
          <w:p w:rsidR="008E7846" w:rsidRPr="00487162" w:rsidRDefault="008E7846" w:rsidP="002E64AC">
            <w:pPr>
              <w:rPr>
                <w:i/>
              </w:rPr>
            </w:pPr>
            <w:r w:rsidRPr="00487162">
              <w:rPr>
                <w:i/>
              </w:rPr>
              <w:t>Strengths:</w:t>
            </w:r>
          </w:p>
        </w:tc>
        <w:tc>
          <w:tcPr>
            <w:tcW w:w="6307" w:type="dxa"/>
          </w:tcPr>
          <w:p w:rsidR="008E7846" w:rsidRPr="00487162" w:rsidRDefault="002E64AC" w:rsidP="00E45619">
            <w:r w:rsidRPr="00FB3865">
              <w:t>5</w:t>
            </w:r>
            <w:r>
              <w:t xml:space="preserve"> </w:t>
            </w:r>
            <w:r w:rsidRPr="00FB3865">
              <w:t>g/50</w:t>
            </w:r>
            <w:r>
              <w:t xml:space="preserve"> </w:t>
            </w:r>
            <w:proofErr w:type="spellStart"/>
            <w:r w:rsidRPr="00FB3865">
              <w:t>mL</w:t>
            </w:r>
            <w:proofErr w:type="spellEnd"/>
            <w:r w:rsidRPr="00FB3865">
              <w:t>, 10</w:t>
            </w:r>
            <w:r>
              <w:t xml:space="preserve"> </w:t>
            </w:r>
            <w:r w:rsidRPr="00FB3865">
              <w:t>g/100</w:t>
            </w:r>
            <w:r>
              <w:t xml:space="preserve"> </w:t>
            </w:r>
            <w:proofErr w:type="spellStart"/>
            <w:r w:rsidRPr="00FB3865">
              <w:t>mL</w:t>
            </w:r>
            <w:proofErr w:type="spellEnd"/>
            <w:r w:rsidRPr="00FB3865">
              <w:t>, 20</w:t>
            </w:r>
            <w:r>
              <w:t xml:space="preserve"> </w:t>
            </w:r>
            <w:r w:rsidRPr="00FB3865">
              <w:t>g/200</w:t>
            </w:r>
            <w:r>
              <w:t xml:space="preserve"> </w:t>
            </w:r>
            <w:proofErr w:type="spellStart"/>
            <w:r w:rsidRPr="00FB3865">
              <w:t>mL</w:t>
            </w:r>
            <w:proofErr w:type="spellEnd"/>
          </w:p>
        </w:tc>
      </w:tr>
      <w:tr w:rsidR="008E7846" w:rsidRPr="00487162" w:rsidTr="00BF1190">
        <w:tc>
          <w:tcPr>
            <w:tcW w:w="2907" w:type="dxa"/>
          </w:tcPr>
          <w:p w:rsidR="008E7846" w:rsidRPr="00487162" w:rsidRDefault="008E7846" w:rsidP="002E64AC">
            <w:pPr>
              <w:rPr>
                <w:i/>
              </w:rPr>
            </w:pPr>
            <w:r w:rsidRPr="00487162">
              <w:rPr>
                <w:i/>
              </w:rPr>
              <w:t>Containers:</w:t>
            </w:r>
          </w:p>
        </w:tc>
        <w:tc>
          <w:tcPr>
            <w:tcW w:w="6307" w:type="dxa"/>
          </w:tcPr>
          <w:p w:rsidR="008E7846" w:rsidRPr="00487162" w:rsidRDefault="002E64AC" w:rsidP="00E45619">
            <w:r w:rsidRPr="00FB3865">
              <w:t>Type II glass v</w:t>
            </w:r>
            <w:r>
              <w:t xml:space="preserve">ial/bottle closed with a </w:t>
            </w:r>
            <w:proofErr w:type="spellStart"/>
            <w:r>
              <w:t>chloro</w:t>
            </w:r>
            <w:proofErr w:type="spellEnd"/>
            <w:r>
              <w:t xml:space="preserve"> </w:t>
            </w:r>
            <w:r w:rsidRPr="00FB3865">
              <w:t>butyl rubber stopper</w:t>
            </w:r>
          </w:p>
        </w:tc>
      </w:tr>
      <w:tr w:rsidR="008E7846" w:rsidRPr="00487162" w:rsidTr="00BF1190">
        <w:tc>
          <w:tcPr>
            <w:tcW w:w="2907" w:type="dxa"/>
          </w:tcPr>
          <w:p w:rsidR="008E7846" w:rsidRPr="00487162" w:rsidRDefault="008E7846" w:rsidP="00E45619">
            <w:pPr>
              <w:rPr>
                <w:i/>
              </w:rPr>
            </w:pPr>
            <w:r w:rsidRPr="00487162">
              <w:rPr>
                <w:i/>
              </w:rPr>
              <w:t>Approved Therapeutic use:</w:t>
            </w:r>
          </w:p>
        </w:tc>
        <w:tc>
          <w:tcPr>
            <w:tcW w:w="6307" w:type="dxa"/>
          </w:tcPr>
          <w:p w:rsidR="002E64AC" w:rsidRDefault="002E64AC" w:rsidP="002E64AC">
            <w:r>
              <w:t>Replacement therapy indications:</w:t>
            </w:r>
          </w:p>
          <w:p w:rsidR="002E64AC" w:rsidRDefault="002E64AC" w:rsidP="002E64AC">
            <w:pPr>
              <w:pStyle w:val="ListBullet"/>
            </w:pPr>
            <w:r>
              <w:t>Primary Immunodeficiency (PI) Diseases</w:t>
            </w:r>
          </w:p>
          <w:p w:rsidR="002E64AC" w:rsidRDefault="002E64AC" w:rsidP="002E64AC">
            <w:pPr>
              <w:pStyle w:val="ListBullet"/>
            </w:pPr>
            <w:r>
              <w:t xml:space="preserve">Symptomatic </w:t>
            </w:r>
            <w:proofErr w:type="spellStart"/>
            <w:r>
              <w:t>hypogammaglobulinaemia</w:t>
            </w:r>
            <w:proofErr w:type="spellEnd"/>
            <w:r>
              <w:t xml:space="preserve"> secondary to underlying disease or treatment.</w:t>
            </w:r>
          </w:p>
          <w:p w:rsidR="002E64AC" w:rsidRDefault="002E64AC" w:rsidP="002E64AC">
            <w:proofErr w:type="spellStart"/>
            <w:r>
              <w:t>Immunomodulation</w:t>
            </w:r>
            <w:proofErr w:type="spellEnd"/>
            <w:r>
              <w:t xml:space="preserve"> indications:</w:t>
            </w:r>
          </w:p>
          <w:p w:rsidR="002E64AC" w:rsidRDefault="002E64AC" w:rsidP="002E64AC">
            <w:pPr>
              <w:pStyle w:val="ListBullet"/>
            </w:pPr>
            <w:r>
              <w:t xml:space="preserve">Idiopathic </w:t>
            </w:r>
            <w:proofErr w:type="spellStart"/>
            <w:r>
              <w:t>Thrombocytopaenic</w:t>
            </w:r>
            <w:proofErr w:type="spellEnd"/>
            <w:r>
              <w:t xml:space="preserve"> </w:t>
            </w:r>
            <w:proofErr w:type="spellStart"/>
            <w:r>
              <w:t>Purpura</w:t>
            </w:r>
            <w:proofErr w:type="spellEnd"/>
            <w:r>
              <w:t xml:space="preserve"> (ITP), in patients at high risk of bleeding or prior to surgery to correct the platelet count</w:t>
            </w:r>
          </w:p>
          <w:p w:rsidR="002E64AC" w:rsidRDefault="002E64AC" w:rsidP="002E64AC">
            <w:pPr>
              <w:pStyle w:val="ListBullet"/>
            </w:pPr>
            <w:proofErr w:type="spellStart"/>
            <w:r>
              <w:t>Guillain</w:t>
            </w:r>
            <w:proofErr w:type="spellEnd"/>
            <w:r>
              <w:t xml:space="preserve"> </w:t>
            </w:r>
            <w:proofErr w:type="spellStart"/>
            <w:r>
              <w:t>Barré</w:t>
            </w:r>
            <w:proofErr w:type="spellEnd"/>
            <w:r>
              <w:t xml:space="preserve"> syndrome</w:t>
            </w:r>
          </w:p>
          <w:p w:rsidR="008E7846" w:rsidRPr="00487162" w:rsidRDefault="002E64AC" w:rsidP="002E64AC">
            <w:pPr>
              <w:pStyle w:val="ListBullet"/>
              <w:rPr>
                <w:rFonts w:eastAsia="MS Mincho"/>
                <w:lang w:eastAsia="ja-JP"/>
              </w:rPr>
            </w:pPr>
            <w:r>
              <w:t>Kawasaki disease.</w:t>
            </w:r>
          </w:p>
        </w:tc>
      </w:tr>
      <w:tr w:rsidR="008E7846" w:rsidRPr="00487162" w:rsidTr="00BF1190">
        <w:tc>
          <w:tcPr>
            <w:tcW w:w="2907" w:type="dxa"/>
          </w:tcPr>
          <w:p w:rsidR="008E7846" w:rsidRPr="00487162" w:rsidRDefault="008E7846" w:rsidP="002E64AC">
            <w:pPr>
              <w:rPr>
                <w:i/>
              </w:rPr>
            </w:pPr>
            <w:r w:rsidRPr="00487162">
              <w:rPr>
                <w:i/>
              </w:rPr>
              <w:t>Route of administration:</w:t>
            </w:r>
          </w:p>
        </w:tc>
        <w:tc>
          <w:tcPr>
            <w:tcW w:w="6307" w:type="dxa"/>
          </w:tcPr>
          <w:p w:rsidR="008E7846" w:rsidRPr="00487162" w:rsidRDefault="002E64AC" w:rsidP="00E45619">
            <w:r>
              <w:t>Intravenous</w:t>
            </w:r>
          </w:p>
        </w:tc>
      </w:tr>
      <w:tr w:rsidR="008E7846" w:rsidRPr="00487162" w:rsidTr="00BF1190">
        <w:tc>
          <w:tcPr>
            <w:tcW w:w="2907" w:type="dxa"/>
          </w:tcPr>
          <w:p w:rsidR="008E7846" w:rsidRPr="00487162" w:rsidRDefault="008E7846" w:rsidP="002E64AC">
            <w:pPr>
              <w:rPr>
                <w:i/>
              </w:rPr>
            </w:pPr>
            <w:r w:rsidRPr="00487162">
              <w:rPr>
                <w:i/>
              </w:rPr>
              <w:t>ARTG Numbers</w:t>
            </w:r>
            <w:r w:rsidR="002E64AC">
              <w:rPr>
                <w:i/>
              </w:rPr>
              <w:t>:</w:t>
            </w:r>
          </w:p>
        </w:tc>
        <w:tc>
          <w:tcPr>
            <w:tcW w:w="6307" w:type="dxa"/>
          </w:tcPr>
          <w:p w:rsidR="008E7846" w:rsidRPr="00487162" w:rsidRDefault="002E64AC" w:rsidP="00E45619">
            <w:r w:rsidRPr="00BF1CFC">
              <w:t>184353, 182358, 182359</w:t>
            </w:r>
          </w:p>
        </w:tc>
      </w:tr>
    </w:tbl>
    <w:p w:rsidR="008E7846" w:rsidRDefault="008E7846" w:rsidP="008E7846">
      <w:pPr>
        <w:pStyle w:val="Heading3"/>
      </w:pPr>
      <w:bookmarkStart w:id="7" w:name="_Toc247691503"/>
      <w:bookmarkStart w:id="8" w:name="_Toc314842484"/>
      <w:bookmarkStart w:id="9" w:name="_Toc369706030"/>
      <w:r>
        <w:t>Product background</w:t>
      </w:r>
      <w:bookmarkEnd w:id="7"/>
      <w:bookmarkEnd w:id="8"/>
      <w:bookmarkEnd w:id="9"/>
    </w:p>
    <w:p w:rsidR="002E64AC" w:rsidRDefault="002E64AC" w:rsidP="002E64AC">
      <w:r w:rsidRPr="00DE2B8C">
        <w:t xml:space="preserve">This </w:t>
      </w:r>
      <w:proofErr w:type="spellStart"/>
      <w:r w:rsidRPr="00DE2B8C">
        <w:t>AusPAR</w:t>
      </w:r>
      <w:proofErr w:type="spellEnd"/>
      <w:r w:rsidRPr="00DE2B8C">
        <w:t xml:space="preserve"> describes an application by the sponsor, </w:t>
      </w:r>
      <w:proofErr w:type="spellStart"/>
      <w:r w:rsidRPr="00DE2B8C">
        <w:t>Grifols</w:t>
      </w:r>
      <w:proofErr w:type="spellEnd"/>
      <w:r w:rsidRPr="00DE2B8C">
        <w:t xml:space="preserve"> Australia Pty Ltd, to register </w:t>
      </w:r>
      <w:proofErr w:type="spellStart"/>
      <w:r>
        <w:t>Flebogamma</w:t>
      </w:r>
      <w:proofErr w:type="spellEnd"/>
      <w:r>
        <w:t xml:space="preserve"> 10% DIF, </w:t>
      </w:r>
      <w:r w:rsidRPr="00DE2B8C">
        <w:t>a new 10% (100mg/</w:t>
      </w:r>
      <w:proofErr w:type="spellStart"/>
      <w:r w:rsidRPr="00DE2B8C">
        <w:t>mL</w:t>
      </w:r>
      <w:proofErr w:type="spellEnd"/>
      <w:r w:rsidRPr="00DE2B8C">
        <w:t xml:space="preserve">) </w:t>
      </w:r>
      <w:r>
        <w:t>dosage form of h</w:t>
      </w:r>
      <w:r w:rsidRPr="00DE2B8C">
        <w:t xml:space="preserve">uman </w:t>
      </w:r>
      <w:r>
        <w:t>n</w:t>
      </w:r>
      <w:r w:rsidRPr="00DE2B8C">
        <w:t xml:space="preserve">ormal </w:t>
      </w:r>
      <w:r>
        <w:t xml:space="preserve">Intravenous </w:t>
      </w:r>
      <w:r w:rsidRPr="00DE2B8C">
        <w:t xml:space="preserve">Immunoglobulin </w:t>
      </w:r>
      <w:r>
        <w:t>(</w:t>
      </w:r>
      <w:proofErr w:type="spellStart"/>
      <w:r>
        <w:t>IVIg</w:t>
      </w:r>
      <w:proofErr w:type="spellEnd"/>
      <w:r>
        <w:t xml:space="preserve">), which is currently </w:t>
      </w:r>
      <w:r w:rsidRPr="00DE2B8C">
        <w:t xml:space="preserve">registered </w:t>
      </w:r>
      <w:r>
        <w:t xml:space="preserve">in a </w:t>
      </w:r>
      <w:r w:rsidRPr="00DE2B8C">
        <w:t xml:space="preserve">5% </w:t>
      </w:r>
      <w:r>
        <w:t>(50mg/</w:t>
      </w:r>
      <w:proofErr w:type="spellStart"/>
      <w:r>
        <w:t>mL</w:t>
      </w:r>
      <w:proofErr w:type="spellEnd"/>
      <w:r>
        <w:t xml:space="preserve">) strength </w:t>
      </w:r>
      <w:r w:rsidRPr="00DE2B8C">
        <w:t>(</w:t>
      </w:r>
      <w:proofErr w:type="spellStart"/>
      <w:r w:rsidRPr="00DE2B8C">
        <w:t>Flebogamma</w:t>
      </w:r>
      <w:proofErr w:type="spellEnd"/>
      <w:r w:rsidRPr="00DE2B8C">
        <w:t xml:space="preserve"> 5% DIF</w:t>
      </w:r>
      <w:r>
        <w:t>).</w:t>
      </w:r>
    </w:p>
    <w:p w:rsidR="002E64AC" w:rsidRDefault="002E64AC" w:rsidP="002E64AC">
      <w:proofErr w:type="spellStart"/>
      <w:r w:rsidRPr="001E4344">
        <w:t>Flebogamma</w:t>
      </w:r>
      <w:proofErr w:type="spellEnd"/>
      <w:r w:rsidRPr="001E4344">
        <w:t xml:space="preserve"> 10% DIF consists mainly of immunoglobulin G (</w:t>
      </w:r>
      <w:proofErr w:type="spellStart"/>
      <w:r w:rsidRPr="001E4344">
        <w:t>IgG</w:t>
      </w:r>
      <w:proofErr w:type="spellEnd"/>
      <w:r w:rsidRPr="001E4344">
        <w:t xml:space="preserve">) and contains the </w:t>
      </w:r>
      <w:proofErr w:type="spellStart"/>
      <w:r w:rsidRPr="001E4344">
        <w:t>IgG</w:t>
      </w:r>
      <w:proofErr w:type="spellEnd"/>
      <w:r w:rsidRPr="001E4344">
        <w:t xml:space="preserve"> antibodies present in the normal population. It is usually prepared from pooled plasma </w:t>
      </w:r>
      <w:r w:rsidRPr="001E4344">
        <w:lastRenderedPageBreak/>
        <w:t xml:space="preserve">from not fewer than 1,000 donors from the USA. It has a distribution of immunoglobulin G subclasses closely proportional </w:t>
      </w:r>
      <w:r>
        <w:t>to that in native human plasma.</w:t>
      </w:r>
    </w:p>
    <w:p w:rsidR="002E64AC" w:rsidRDefault="002E64AC" w:rsidP="002E64AC">
      <w:r>
        <w:t>The donor pool includes healthy individuals who are subjected to medical examinations, laboratory tests, and a review of their medical history. Donations are screened using:</w:t>
      </w:r>
    </w:p>
    <w:p w:rsidR="002E64AC" w:rsidRPr="002E64AC" w:rsidRDefault="002E64AC" w:rsidP="002E64AC">
      <w:pPr>
        <w:pStyle w:val="ListBullet"/>
      </w:pPr>
      <w:r w:rsidRPr="002E64AC">
        <w:t>serology screening for the hepatitis B surface antigen (</w:t>
      </w:r>
      <w:proofErr w:type="spellStart"/>
      <w:r w:rsidRPr="002E64AC">
        <w:t>HBsAg</w:t>
      </w:r>
      <w:proofErr w:type="spellEnd"/>
      <w:r w:rsidRPr="002E64AC">
        <w:t>), anti human immunodeficiency virus 1 and 2 (HIV-1/HIV-2), and anti hepatitis C virus (HCV) antibodies; and</w:t>
      </w:r>
    </w:p>
    <w:p w:rsidR="002E64AC" w:rsidRPr="002E64AC" w:rsidRDefault="002E64AC" w:rsidP="002E64AC">
      <w:pPr>
        <w:pStyle w:val="ListBullet"/>
      </w:pPr>
      <w:r w:rsidRPr="002E64AC">
        <w:t>nucleic acid testing for the ribonucleic acid (RNA) of HCV, RNA of HIV-1, and deoxyribonucleic acid (DNA) of hepatitis B virus (HBV).</w:t>
      </w:r>
    </w:p>
    <w:p w:rsidR="002E64AC" w:rsidRDefault="002E64AC" w:rsidP="002E64AC">
      <w:r>
        <w:t xml:space="preserve">Additionally, the manufacturing plasma pool is tested and found non reactive for viral markers of infection (anti HIV 1/2, anti HCV and </w:t>
      </w:r>
      <w:proofErr w:type="spellStart"/>
      <w:r>
        <w:t>HBsAg</w:t>
      </w:r>
      <w:proofErr w:type="spellEnd"/>
      <w:r>
        <w:t>, and for RNA of HIV, RNA of HCV, and DNA of HBV).</w:t>
      </w:r>
    </w:p>
    <w:p w:rsidR="002E64AC" w:rsidRDefault="002E64AC" w:rsidP="002E64AC">
      <w:r>
        <w:t xml:space="preserve">There are many primary immunodeficiency diseases, characterised by </w:t>
      </w:r>
      <w:proofErr w:type="spellStart"/>
      <w:r>
        <w:t>hypogammaglobulinaemia</w:t>
      </w:r>
      <w:proofErr w:type="spellEnd"/>
      <w:r>
        <w:t xml:space="preserve"> and/or defective antibody production and a consequent increased susceptibility to infection. The most common of these is </w:t>
      </w:r>
      <w:proofErr w:type="spellStart"/>
      <w:r>
        <w:t>IgA</w:t>
      </w:r>
      <w:proofErr w:type="spellEnd"/>
      <w:r>
        <w:t xml:space="preserve"> deficiency (1:700 in the Caucasian population). Secondary </w:t>
      </w:r>
      <w:proofErr w:type="spellStart"/>
      <w:r>
        <w:t>immunodeficiencies</w:t>
      </w:r>
      <w:proofErr w:type="spellEnd"/>
      <w:r>
        <w:t xml:space="preserve"> are linked to a wide range of diseases, and are much more common than primary disorders.</w:t>
      </w:r>
    </w:p>
    <w:p w:rsidR="002E64AC" w:rsidRDefault="002E64AC" w:rsidP="002E64AC">
      <w:r>
        <w:t>Chronic refractory ITP is an autoimmune disorder characterised by a persistent platelet count of &lt; 50,000 µL for at least 3 months with no concurrent causative or contributory illness. The sponsor provides an estimated incidence of 1 new patient per 100,000 persons per year. The incidence may be lower in children as 80% have resolution of disease within 2 months.</w:t>
      </w:r>
    </w:p>
    <w:p w:rsidR="002E64AC" w:rsidRPr="001E4344" w:rsidRDefault="002E64AC" w:rsidP="002E64AC">
      <w:proofErr w:type="spellStart"/>
      <w:r>
        <w:t>Guillain</w:t>
      </w:r>
      <w:proofErr w:type="spellEnd"/>
      <w:r>
        <w:t xml:space="preserve"> </w:t>
      </w:r>
      <w:proofErr w:type="spellStart"/>
      <w:r>
        <w:t>Barré</w:t>
      </w:r>
      <w:proofErr w:type="spellEnd"/>
      <w:r>
        <w:t xml:space="preserve"> syndrome is an acute inflammatory </w:t>
      </w:r>
      <w:proofErr w:type="spellStart"/>
      <w:r>
        <w:t>polyneuropathy</w:t>
      </w:r>
      <w:proofErr w:type="spellEnd"/>
      <w:r>
        <w:t xml:space="preserve"> characterised by an ascending paralysis. It is thought to be a reactive autoimmune disorder directed at Schwann cell membranes usually triggered by a preceding viral or bacterial infection. The reported rate worldwide is 0.6-4 cases per 100,000 </w:t>
      </w:r>
      <w:proofErr w:type="gramStart"/>
      <w:r>
        <w:t>population</w:t>
      </w:r>
      <w:proofErr w:type="gramEnd"/>
      <w:r>
        <w:t>. Immunoglobulin is a commonly used therapy.</w:t>
      </w:r>
    </w:p>
    <w:p w:rsidR="008E7846" w:rsidRPr="003F31A2" w:rsidRDefault="00386150" w:rsidP="008E7846">
      <w:pPr>
        <w:pStyle w:val="Heading3"/>
      </w:pPr>
      <w:bookmarkStart w:id="10" w:name="_Toc314842485"/>
      <w:bookmarkStart w:id="11" w:name="_Toc247691504"/>
      <w:bookmarkStart w:id="12" w:name="_Toc369706031"/>
      <w:r>
        <w:t>Regulatory s</w:t>
      </w:r>
      <w:r w:rsidR="008E7846">
        <w:t>tatus</w:t>
      </w:r>
      <w:bookmarkEnd w:id="10"/>
      <w:bookmarkEnd w:id="11"/>
      <w:bookmarkEnd w:id="12"/>
    </w:p>
    <w:p w:rsidR="008E7846" w:rsidRDefault="00445B79" w:rsidP="00445B79">
      <w:r>
        <w:t xml:space="preserve">The international regulatory status for </w:t>
      </w:r>
      <w:proofErr w:type="spellStart"/>
      <w:r>
        <w:t>Flebogamma</w:t>
      </w:r>
      <w:proofErr w:type="spellEnd"/>
      <w:r>
        <w:t xml:space="preserve"> 10% DIF is summarised in Table 1.</w:t>
      </w:r>
    </w:p>
    <w:p w:rsidR="00445B79" w:rsidRPr="00434F18" w:rsidRDefault="00445B79" w:rsidP="00445B79">
      <w:pPr>
        <w:pStyle w:val="TableTitle"/>
      </w:pPr>
      <w:proofErr w:type="gramStart"/>
      <w:r w:rsidRPr="004C5C28">
        <w:t>Table 1</w:t>
      </w:r>
      <w:r>
        <w:t>:</w:t>
      </w:r>
      <w:r w:rsidRPr="004C5C28">
        <w:t xml:space="preserve"> </w:t>
      </w:r>
      <w:r>
        <w:t xml:space="preserve">Current international marketing approval for </w:t>
      </w:r>
      <w:proofErr w:type="spellStart"/>
      <w:r>
        <w:t>Flebogamma</w:t>
      </w:r>
      <w:proofErr w:type="spellEnd"/>
      <w:r>
        <w:t xml:space="preserve"> 10% DIF.</w:t>
      </w:r>
      <w:proofErr w:type="gramEnd"/>
    </w:p>
    <w:p w:rsidR="008E7846" w:rsidRDefault="00445B79" w:rsidP="00445B79">
      <w:r>
        <w:rPr>
          <w:noProof/>
          <w:lang w:eastAsia="en-AU"/>
        </w:rPr>
        <w:drawing>
          <wp:inline distT="0" distB="0" distL="0" distR="0">
            <wp:extent cx="5400040" cy="728894"/>
            <wp:effectExtent l="19050" t="0" r="0" b="0"/>
            <wp:docPr id="2" name="Picture 2" descr="Table 1: Current international marketing approval for Flebogamma 10% D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1: Current international marketing approval for Flebogamma 10% DIF."/>
                    <pic:cNvPicPr>
                      <a:picLocks noChangeAspect="1" noChangeArrowheads="1"/>
                    </pic:cNvPicPr>
                  </pic:nvPicPr>
                  <pic:blipFill>
                    <a:blip r:embed="rId13" cstate="print"/>
                    <a:srcRect/>
                    <a:stretch>
                      <a:fillRect/>
                    </a:stretch>
                  </pic:blipFill>
                  <pic:spPr bwMode="auto">
                    <a:xfrm>
                      <a:off x="0" y="0"/>
                      <a:ext cx="5400040" cy="728894"/>
                    </a:xfrm>
                    <a:prstGeom prst="rect">
                      <a:avLst/>
                    </a:prstGeom>
                    <a:noFill/>
                    <a:ln w="9525">
                      <a:noFill/>
                      <a:miter lim="800000"/>
                      <a:headEnd/>
                      <a:tailEnd/>
                    </a:ln>
                  </pic:spPr>
                </pic:pic>
              </a:graphicData>
            </a:graphic>
          </wp:inline>
        </w:drawing>
      </w:r>
    </w:p>
    <w:p w:rsidR="008E7846" w:rsidRDefault="008E7846" w:rsidP="008E7846">
      <w:pPr>
        <w:pStyle w:val="Heading3"/>
      </w:pPr>
      <w:bookmarkStart w:id="13" w:name="_Toc247691505"/>
      <w:bookmarkStart w:id="14" w:name="_Toc314842486"/>
      <w:bookmarkStart w:id="15" w:name="_Toc369706032"/>
      <w:r>
        <w:t>Product Information</w:t>
      </w:r>
      <w:bookmarkEnd w:id="13"/>
      <w:bookmarkEnd w:id="14"/>
      <w:bookmarkEnd w:id="15"/>
    </w:p>
    <w:p w:rsidR="008E7846" w:rsidRDefault="008E7846" w:rsidP="008E7846">
      <w:r>
        <w:t xml:space="preserve">The approved Product Information (PI) current at the time this </w:t>
      </w:r>
      <w:proofErr w:type="spellStart"/>
      <w:r>
        <w:t>AusPAR</w:t>
      </w:r>
      <w:proofErr w:type="spellEnd"/>
      <w:r>
        <w:t xml:space="preserve"> was prepared can be found as Attachment 1.</w:t>
      </w:r>
      <w:bookmarkStart w:id="16" w:name="_Toc247691506"/>
      <w:bookmarkStart w:id="17" w:name="_Toc314842487"/>
    </w:p>
    <w:p w:rsidR="008E7846" w:rsidRPr="003602A9" w:rsidRDefault="008E7846" w:rsidP="008E7846">
      <w:pPr>
        <w:pStyle w:val="Heading2"/>
        <w:ind w:left="-11"/>
      </w:pPr>
      <w:bookmarkStart w:id="18" w:name="_Toc369706033"/>
      <w:r>
        <w:lastRenderedPageBreak/>
        <w:t>II. Quality</w:t>
      </w:r>
      <w:bookmarkEnd w:id="1"/>
      <w:r>
        <w:t xml:space="preserve"> findings</w:t>
      </w:r>
      <w:bookmarkEnd w:id="16"/>
      <w:bookmarkEnd w:id="17"/>
      <w:bookmarkEnd w:id="18"/>
    </w:p>
    <w:p w:rsidR="008E7846" w:rsidRDefault="008E7846" w:rsidP="008E7846">
      <w:pPr>
        <w:pStyle w:val="Heading3"/>
      </w:pPr>
      <w:bookmarkStart w:id="19" w:name="_Toc247691508"/>
      <w:bookmarkStart w:id="20" w:name="_Toc314842490"/>
      <w:bookmarkStart w:id="21" w:name="_Toc369706034"/>
      <w:r w:rsidRPr="008751DC">
        <w:t xml:space="preserve">Drug </w:t>
      </w:r>
      <w:r>
        <w:t>p</w:t>
      </w:r>
      <w:r w:rsidRPr="008751DC">
        <w:t>roduct</w:t>
      </w:r>
      <w:bookmarkEnd w:id="19"/>
      <w:bookmarkEnd w:id="20"/>
      <w:bookmarkEnd w:id="21"/>
    </w:p>
    <w:p w:rsidR="00445B79" w:rsidRPr="00212A52" w:rsidRDefault="00445B79" w:rsidP="00445B79">
      <w:pPr>
        <w:pStyle w:val="Heading4"/>
      </w:pPr>
      <w:r w:rsidRPr="00212A52">
        <w:t>Manufacture</w:t>
      </w:r>
    </w:p>
    <w:p w:rsidR="00445B79" w:rsidRPr="00053842" w:rsidRDefault="00445B79" w:rsidP="00445B79">
      <w:pPr>
        <w:rPr>
          <w:lang w:eastAsia="ja-JP"/>
        </w:rPr>
      </w:pPr>
      <w:proofErr w:type="spellStart"/>
      <w:r w:rsidRPr="00053842">
        <w:rPr>
          <w:lang w:eastAsia="ja-JP"/>
        </w:rPr>
        <w:t>Flebogamma</w:t>
      </w:r>
      <w:proofErr w:type="spellEnd"/>
      <w:r w:rsidRPr="00053842">
        <w:rPr>
          <w:lang w:eastAsia="ja-JP"/>
        </w:rPr>
        <w:t xml:space="preserve"> 10% DIF shares the same manufacturing process up to the </w:t>
      </w:r>
      <w:r>
        <w:rPr>
          <w:lang w:eastAsia="ja-JP"/>
        </w:rPr>
        <w:t xml:space="preserve">final concentration step as the </w:t>
      </w:r>
      <w:proofErr w:type="spellStart"/>
      <w:r w:rsidRPr="00053842">
        <w:rPr>
          <w:lang w:eastAsia="ja-JP"/>
        </w:rPr>
        <w:t>Flebogamma</w:t>
      </w:r>
      <w:proofErr w:type="spellEnd"/>
      <w:r w:rsidRPr="00053842">
        <w:rPr>
          <w:lang w:eastAsia="ja-JP"/>
        </w:rPr>
        <w:t xml:space="preserve"> 5% DIF product. This application includes an additional site of manufacture for the</w:t>
      </w:r>
      <w:r>
        <w:rPr>
          <w:lang w:eastAsia="ja-JP"/>
        </w:rPr>
        <w:t xml:space="preserve"> </w:t>
      </w:r>
      <w:r w:rsidRPr="00053842">
        <w:rPr>
          <w:lang w:eastAsia="ja-JP"/>
        </w:rPr>
        <w:t>intermedi</w:t>
      </w:r>
      <w:r>
        <w:rPr>
          <w:lang w:eastAsia="ja-JP"/>
        </w:rPr>
        <w:t xml:space="preserve">ate Fraction II+III </w:t>
      </w:r>
      <w:r w:rsidRPr="00053842">
        <w:rPr>
          <w:lang w:eastAsia="ja-JP"/>
        </w:rPr>
        <w:t>not</w:t>
      </w:r>
      <w:r>
        <w:rPr>
          <w:lang w:eastAsia="ja-JP"/>
        </w:rPr>
        <w:t xml:space="preserve"> </w:t>
      </w:r>
      <w:r w:rsidRPr="00053842">
        <w:rPr>
          <w:lang w:eastAsia="ja-JP"/>
        </w:rPr>
        <w:t xml:space="preserve">currently approved for </w:t>
      </w:r>
      <w:proofErr w:type="spellStart"/>
      <w:r w:rsidRPr="00053842">
        <w:rPr>
          <w:lang w:eastAsia="ja-JP"/>
        </w:rPr>
        <w:t>Flebogamma</w:t>
      </w:r>
      <w:proofErr w:type="spellEnd"/>
      <w:r w:rsidRPr="00053842">
        <w:rPr>
          <w:lang w:eastAsia="ja-JP"/>
        </w:rPr>
        <w:t xml:space="preserve"> 5% DIF.</w:t>
      </w:r>
    </w:p>
    <w:p w:rsidR="00445B79" w:rsidRDefault="00445B79" w:rsidP="00445B79">
      <w:pPr>
        <w:rPr>
          <w:lang w:eastAsia="ja-JP"/>
        </w:rPr>
      </w:pPr>
      <w:r>
        <w:rPr>
          <w:lang w:eastAsia="ja-JP"/>
        </w:rPr>
        <w:t xml:space="preserve">The Plasma Master File (PMF) for the additional site of manufacture </w:t>
      </w:r>
      <w:r w:rsidRPr="00053842">
        <w:rPr>
          <w:lang w:eastAsia="ja-JP"/>
        </w:rPr>
        <w:t>was not provided for this application as the sources and processes</w:t>
      </w:r>
      <w:r>
        <w:rPr>
          <w:lang w:eastAsia="ja-JP"/>
        </w:rPr>
        <w:t xml:space="preserve"> </w:t>
      </w:r>
      <w:r w:rsidRPr="00053842">
        <w:rPr>
          <w:lang w:eastAsia="ja-JP"/>
        </w:rPr>
        <w:t>used are described by</w:t>
      </w:r>
      <w:r>
        <w:rPr>
          <w:lang w:eastAsia="ja-JP"/>
        </w:rPr>
        <w:t xml:space="preserve"> the </w:t>
      </w:r>
      <w:proofErr w:type="spellStart"/>
      <w:r>
        <w:rPr>
          <w:lang w:eastAsia="ja-JP"/>
        </w:rPr>
        <w:t>Instituto</w:t>
      </w:r>
      <w:proofErr w:type="spellEnd"/>
      <w:r>
        <w:rPr>
          <w:lang w:eastAsia="ja-JP"/>
        </w:rPr>
        <w:t xml:space="preserve"> </w:t>
      </w:r>
      <w:proofErr w:type="spellStart"/>
      <w:r>
        <w:rPr>
          <w:lang w:eastAsia="ja-JP"/>
        </w:rPr>
        <w:t>Grifols</w:t>
      </w:r>
      <w:proofErr w:type="spellEnd"/>
      <w:r>
        <w:rPr>
          <w:lang w:eastAsia="ja-JP"/>
        </w:rPr>
        <w:t xml:space="preserve"> PMF</w:t>
      </w:r>
      <w:r>
        <w:rPr>
          <w:rStyle w:val="FootnoteReference"/>
          <w:lang w:eastAsia="ja-JP"/>
        </w:rPr>
        <w:footnoteReference w:id="1"/>
      </w:r>
      <w:r>
        <w:rPr>
          <w:lang w:eastAsia="ja-JP"/>
        </w:rPr>
        <w:t xml:space="preserve"> </w:t>
      </w:r>
      <w:r w:rsidRPr="00053842">
        <w:rPr>
          <w:lang w:eastAsia="ja-JP"/>
        </w:rPr>
        <w:t>which ha</w:t>
      </w:r>
      <w:r>
        <w:rPr>
          <w:lang w:eastAsia="ja-JP"/>
        </w:rPr>
        <w:t xml:space="preserve">s been accepted by the TGA. The </w:t>
      </w:r>
      <w:r w:rsidRPr="00053842">
        <w:rPr>
          <w:lang w:eastAsia="ja-JP"/>
        </w:rPr>
        <w:t>plasma is from source plasma from renumerated donors.</w:t>
      </w:r>
    </w:p>
    <w:p w:rsidR="00445B79" w:rsidRPr="009A3DFA" w:rsidRDefault="00445B79" w:rsidP="00445B79">
      <w:pPr>
        <w:pStyle w:val="Heading3"/>
        <w:rPr>
          <w:rFonts w:ascii="Cambria" w:eastAsia="MS Mincho" w:hAnsi="Cambria"/>
          <w:b w:val="0"/>
          <w:bCs w:val="0"/>
          <w:lang w:eastAsia="ja-JP"/>
        </w:rPr>
      </w:pPr>
      <w:bookmarkStart w:id="22" w:name="_Toc368492567"/>
      <w:bookmarkStart w:id="23" w:name="_Toc369706035"/>
      <w:r>
        <w:t>Stab</w:t>
      </w:r>
      <w:r w:rsidRPr="004341E7">
        <w:rPr>
          <w:rStyle w:val="Heading4Char"/>
        </w:rPr>
        <w:t>i</w:t>
      </w:r>
      <w:r>
        <w:t>lity</w:t>
      </w:r>
      <w:bookmarkEnd w:id="22"/>
      <w:bookmarkEnd w:id="23"/>
    </w:p>
    <w:p w:rsidR="00445B79" w:rsidRDefault="00445B79" w:rsidP="00445B79">
      <w:pPr>
        <w:rPr>
          <w:lang w:eastAsia="ja-JP"/>
        </w:rPr>
      </w:pPr>
      <w:r>
        <w:rPr>
          <w:lang w:eastAsia="ja-JP"/>
        </w:rPr>
        <w:t>Stability data have been generated under stressed and real time conditions to characterise the stability profile of the product.</w:t>
      </w:r>
    </w:p>
    <w:p w:rsidR="00445B79" w:rsidRDefault="00445B79" w:rsidP="00445B79">
      <w:pPr>
        <w:rPr>
          <w:lang w:eastAsia="ja-JP"/>
        </w:rPr>
      </w:pPr>
      <w:r>
        <w:rPr>
          <w:lang w:eastAsia="ja-JP"/>
        </w:rPr>
        <w:t>The proposed shelf life is 2 years when stored below 30°C (protected from light, do not freeze).</w:t>
      </w:r>
    </w:p>
    <w:p w:rsidR="00445B79" w:rsidRPr="009A3DFA" w:rsidRDefault="00445B79" w:rsidP="00445B79">
      <w:pPr>
        <w:rPr>
          <w:lang w:eastAsia="ja-JP"/>
        </w:rPr>
      </w:pPr>
      <w:r>
        <w:rPr>
          <w:lang w:eastAsia="ja-JP"/>
        </w:rPr>
        <w:t>The data supports the proposed shelf life.</w:t>
      </w:r>
    </w:p>
    <w:p w:rsidR="008E7846" w:rsidRDefault="008E7846" w:rsidP="008E7846">
      <w:pPr>
        <w:pStyle w:val="Heading3"/>
      </w:pPr>
      <w:bookmarkStart w:id="24" w:name="_Toc314842491"/>
      <w:bookmarkStart w:id="25" w:name="_Toc369706036"/>
      <w:proofErr w:type="spellStart"/>
      <w:r>
        <w:t>Biopharmaceutics</w:t>
      </w:r>
      <w:bookmarkEnd w:id="24"/>
      <w:bookmarkEnd w:id="25"/>
      <w:proofErr w:type="spellEnd"/>
    </w:p>
    <w:p w:rsidR="008E7846" w:rsidRDefault="00445B79" w:rsidP="008E7846">
      <w:proofErr w:type="spellStart"/>
      <w:r w:rsidRPr="009A3DFA">
        <w:t>Biopharmaceutic</w:t>
      </w:r>
      <w:proofErr w:type="spellEnd"/>
      <w:r w:rsidRPr="009A3DFA">
        <w:t xml:space="preserve"> data are not required for this product</w:t>
      </w:r>
      <w:r>
        <w:rPr>
          <w:b/>
          <w:bCs/>
        </w:rPr>
        <w:t>.</w:t>
      </w:r>
    </w:p>
    <w:p w:rsidR="008E7846" w:rsidRDefault="008E7846" w:rsidP="008E7846">
      <w:pPr>
        <w:pStyle w:val="Heading3"/>
      </w:pPr>
      <w:bookmarkStart w:id="26" w:name="_Toc314842492"/>
      <w:bookmarkStart w:id="27" w:name="_Toc369706037"/>
      <w:r>
        <w:t>Advisory committee considerations</w:t>
      </w:r>
      <w:bookmarkEnd w:id="26"/>
      <w:bookmarkEnd w:id="27"/>
    </w:p>
    <w:p w:rsidR="00445B79" w:rsidRPr="009C6187" w:rsidRDefault="00445B79" w:rsidP="00445B79">
      <w:r w:rsidRPr="009C6187">
        <w:t>The evaluator asked the Pharmaceutical Subcommittee (PSC) of the Advisory Committee on Prescription Medicines (ACPM) to review the quality evaluation report(s) and to advise the TGA as follows:</w:t>
      </w:r>
    </w:p>
    <w:p w:rsidR="00445B79" w:rsidRPr="009C6187" w:rsidRDefault="00445B79" w:rsidP="00445B79">
      <w:pPr>
        <w:pStyle w:val="Numberbullet0"/>
      </w:pPr>
      <w:r w:rsidRPr="009C6187">
        <w:t xml:space="preserve">Does the PSC consider that the evaluation of the quality and </w:t>
      </w:r>
      <w:proofErr w:type="spellStart"/>
      <w:r w:rsidRPr="009C6187">
        <w:t>biopharmaceutic</w:t>
      </w:r>
      <w:proofErr w:type="spellEnd"/>
      <w:r w:rsidRPr="009C6187">
        <w:t xml:space="preserve"> data has been carried out satisfactorily and that reasonable conclusions have been drawn?</w:t>
      </w:r>
    </w:p>
    <w:p w:rsidR="00445B79" w:rsidRPr="009C6187" w:rsidRDefault="00445B79" w:rsidP="00445B79">
      <w:pPr>
        <w:pStyle w:val="Numberbullet0"/>
      </w:pPr>
      <w:r w:rsidRPr="009C6187">
        <w:t>Would the PSC please consider and advise on the following specific matter(s) relating to this application:</w:t>
      </w:r>
    </w:p>
    <w:p w:rsidR="00445B79" w:rsidRPr="009C6187" w:rsidRDefault="00445B79" w:rsidP="00445B79">
      <w:pPr>
        <w:ind w:left="426"/>
      </w:pPr>
      <w:r w:rsidRPr="009C6187">
        <w:t>The company has had a limited opportunity as a result of the Business Process Reform process to address issues associated with pro</w:t>
      </w:r>
      <w:r>
        <w:t xml:space="preserve"> </w:t>
      </w:r>
      <w:r w:rsidRPr="009C6187">
        <w:t>coagulant activities in immunoglobulin products. The requirement to assess the level of pro</w:t>
      </w:r>
      <w:r>
        <w:t xml:space="preserve"> </w:t>
      </w:r>
      <w:r w:rsidRPr="009C6187">
        <w:t>coagulant activity in the product and to demonstrate that the manufacturing process has steps that are effective in their removal has arisen recently as a result of events in late 2010. Proposed changes to the monograph covering this product will be introduced in 2012.</w:t>
      </w:r>
    </w:p>
    <w:p w:rsidR="00445B79" w:rsidRPr="009C6187" w:rsidRDefault="00445B79" w:rsidP="00445B79">
      <w:pPr>
        <w:ind w:left="426"/>
      </w:pPr>
      <w:r w:rsidRPr="009C6187">
        <w:t>The studies the company is undertaking are ongoing with several aspects outlined below are considered critical for the company to address in order to satisfy the evaluator that the steps in manufacture are able to remove all pro</w:t>
      </w:r>
      <w:r>
        <w:t xml:space="preserve"> </w:t>
      </w:r>
      <w:r w:rsidRPr="009C6187">
        <w:t>coagulant activity in a worst case scenario.</w:t>
      </w:r>
    </w:p>
    <w:p w:rsidR="00445B79" w:rsidRPr="009C6187" w:rsidRDefault="00445B79" w:rsidP="00445B79">
      <w:pPr>
        <w:ind w:left="426"/>
      </w:pPr>
      <w:r w:rsidRPr="009C6187">
        <w:lastRenderedPageBreak/>
        <w:t>The evaluator considers that the following issues are required to be addressed to permit assessment of the capacity of the process to remove pro</w:t>
      </w:r>
      <w:r>
        <w:t xml:space="preserve"> </w:t>
      </w:r>
      <w:r w:rsidRPr="009C6187">
        <w:t>coagulant activity:</w:t>
      </w:r>
    </w:p>
    <w:p w:rsidR="00445B79" w:rsidRPr="009C6187" w:rsidRDefault="00445B79" w:rsidP="00445B79">
      <w:pPr>
        <w:pStyle w:val="ListBullet2"/>
        <w:ind w:hanging="294"/>
      </w:pPr>
      <w:r w:rsidRPr="009C6187">
        <w:t>The effectiveness of the pasteurisation process in removing Factor XI activity. The current studies have shown that there is a time and concentration dependence of the pasteurisation process in removing FXI activity. The pasteurisation process did not remove all of the spiked 100pM FXI; justification is required that the capacity of the pasteurisation process to remove FXI will be effective to ensure that product supplied is safe. The company is requested to provide evidence or justification that the capacity of the pasteurisation process is sufficiently robust</w:t>
      </w:r>
      <w:r>
        <w:t>.</w:t>
      </w:r>
    </w:p>
    <w:p w:rsidR="00445B79" w:rsidRPr="009C6187" w:rsidRDefault="00445B79" w:rsidP="00445B79">
      <w:pPr>
        <w:pStyle w:val="ListBullet2"/>
        <w:ind w:hanging="294"/>
      </w:pPr>
      <w:r w:rsidRPr="009C6187">
        <w:t>The results of the ongoing study (which is scheduled to conclude at the end of 2011), focused on the partitioning of FXI during the fractionation process to Fraction II+III, taking into account the optional steps during the fractionation process.</w:t>
      </w:r>
    </w:p>
    <w:p w:rsidR="00445B79" w:rsidRPr="009C6187" w:rsidRDefault="00445B79" w:rsidP="00445B79">
      <w:pPr>
        <w:pStyle w:val="ListBullet2"/>
        <w:ind w:hanging="294"/>
      </w:pPr>
      <w:r w:rsidRPr="009C6187">
        <w:t>Data normalised to an international standard where feasible.</w:t>
      </w:r>
    </w:p>
    <w:p w:rsidR="00445B79" w:rsidRPr="009C6187" w:rsidRDefault="00445B79" w:rsidP="00445B79">
      <w:pPr>
        <w:pStyle w:val="ListBullet2"/>
        <w:ind w:hanging="294"/>
      </w:pPr>
      <w:r w:rsidRPr="009C6187">
        <w:t>The PSC is requested provide advice as to how to proceed with this application given the circumstances.</w:t>
      </w:r>
    </w:p>
    <w:p w:rsidR="00445B79" w:rsidRPr="009C6187" w:rsidRDefault="00445B79" w:rsidP="00445B79">
      <w:pPr>
        <w:pStyle w:val="Numberbullet0"/>
      </w:pPr>
      <w:r w:rsidRPr="009C6187">
        <w:t>Does the PSC consider that any additional issues need to be explored and/or raised with the sponsor before the evaluation is finalised?</w:t>
      </w:r>
    </w:p>
    <w:p w:rsidR="00445B79" w:rsidRPr="009C6187" w:rsidRDefault="00445B79" w:rsidP="00445B79">
      <w:pPr>
        <w:pStyle w:val="Numberbullet0"/>
      </w:pPr>
      <w:r w:rsidRPr="009C6187">
        <w:t xml:space="preserve">Does the PSC wish to reconsider this application or to review the resolution of any specific matters relating to the quality and </w:t>
      </w:r>
      <w:proofErr w:type="spellStart"/>
      <w:r w:rsidRPr="009C6187">
        <w:t>biopharmaceutic</w:t>
      </w:r>
      <w:proofErr w:type="spellEnd"/>
      <w:r w:rsidRPr="009C6187">
        <w:t xml:space="preserve"> data prior to the application being considered by the ACPM and/or the Clinical Delegate?</w:t>
      </w:r>
    </w:p>
    <w:p w:rsidR="00445B79" w:rsidRPr="009C6187" w:rsidRDefault="00445B79" w:rsidP="00445B79">
      <w:pPr>
        <w:pStyle w:val="Numberbullet0"/>
      </w:pPr>
      <w:r w:rsidRPr="009C6187">
        <w:t>Does the PSC wish to highlight any particular aspects of this product or the application data for consideration by the ACPM and/or the Clinical Delegate before a decision to approve or reject the application is made?</w:t>
      </w:r>
    </w:p>
    <w:p w:rsidR="00445B79" w:rsidRPr="009C6187" w:rsidRDefault="00445B79" w:rsidP="00445B79">
      <w:r w:rsidRPr="009C6187">
        <w:t>At the 142nd (2011/7) meeting of the PSC, the Committee made the following recommendation (no 2241)</w:t>
      </w:r>
    </w:p>
    <w:p w:rsidR="00445B79" w:rsidRPr="009C6187" w:rsidRDefault="00445B79" w:rsidP="00445B79">
      <w:pPr>
        <w:pStyle w:val="Numberbullet0"/>
        <w:numPr>
          <w:ilvl w:val="0"/>
          <w:numId w:val="38"/>
        </w:numPr>
      </w:pPr>
      <w:r w:rsidRPr="009C6187">
        <w:t xml:space="preserve">The PSC endorsed all the questions raised by the TGA in relation to the quality and </w:t>
      </w:r>
      <w:proofErr w:type="spellStart"/>
      <w:r w:rsidRPr="009C6187">
        <w:t>pharmaceutic</w:t>
      </w:r>
      <w:proofErr w:type="spellEnd"/>
      <w:r w:rsidRPr="009C6187">
        <w:t xml:space="preserve"> aspects of the submission by </w:t>
      </w:r>
      <w:proofErr w:type="spellStart"/>
      <w:r w:rsidRPr="009C6187">
        <w:t>Grifols</w:t>
      </w:r>
      <w:proofErr w:type="spellEnd"/>
      <w:r w:rsidRPr="009C6187">
        <w:t xml:space="preserve"> Australia Pty Ltd to register </w:t>
      </w:r>
      <w:proofErr w:type="spellStart"/>
      <w:r w:rsidRPr="009C6187">
        <w:t>Flebogamma</w:t>
      </w:r>
      <w:proofErr w:type="spellEnd"/>
      <w:r w:rsidRPr="009C6187">
        <w:t xml:space="preserve"> 10% DIF solution for injection containing 5 g/50 </w:t>
      </w:r>
      <w:proofErr w:type="spellStart"/>
      <w:r w:rsidRPr="009C6187">
        <w:t>mL</w:t>
      </w:r>
      <w:proofErr w:type="spellEnd"/>
      <w:r w:rsidRPr="009C6187">
        <w:t xml:space="preserve">, 10 g/100 </w:t>
      </w:r>
      <w:proofErr w:type="spellStart"/>
      <w:r w:rsidRPr="009C6187">
        <w:t>mL</w:t>
      </w:r>
      <w:proofErr w:type="spellEnd"/>
      <w:r w:rsidRPr="009C6187">
        <w:t xml:space="preserve"> and 20 g/200 </w:t>
      </w:r>
      <w:proofErr w:type="spellStart"/>
      <w:r w:rsidRPr="009C6187">
        <w:t>mL</w:t>
      </w:r>
      <w:proofErr w:type="spellEnd"/>
      <w:r w:rsidRPr="009C6187">
        <w:t xml:space="preserve"> of human normal immunoglobulin. In particular, the Committee agreed that the sponsor should provide:</w:t>
      </w:r>
    </w:p>
    <w:p w:rsidR="00445B79" w:rsidRPr="009C6187" w:rsidRDefault="00445B79" w:rsidP="00445B79">
      <w:pPr>
        <w:pStyle w:val="ListBullet2"/>
        <w:ind w:hanging="294"/>
      </w:pPr>
      <w:r w:rsidRPr="009C6187">
        <w:t xml:space="preserve">Evidence or justification that the capacity of the pasteurisation process is sufficiently robust to remove all Factor XI activity from the proposed products. </w:t>
      </w:r>
    </w:p>
    <w:p w:rsidR="00445B79" w:rsidRPr="009C6187" w:rsidRDefault="00445B79" w:rsidP="00445B79">
      <w:pPr>
        <w:pStyle w:val="ListBullet2"/>
        <w:ind w:hanging="294"/>
      </w:pPr>
      <w:r w:rsidRPr="009C6187">
        <w:t>The results of an ongoing study (scheduled to conclude at the end of 2011) focused on the partitioning of Factor XI during the fractionation process to Fraction II+III, taking into account the optional steps during the fractionation process.</w:t>
      </w:r>
    </w:p>
    <w:p w:rsidR="00445B79" w:rsidRPr="009C6187" w:rsidRDefault="00445B79" w:rsidP="00445B79">
      <w:pPr>
        <w:pStyle w:val="ListBullet2"/>
        <w:ind w:hanging="294"/>
      </w:pPr>
      <w:r w:rsidRPr="009C6187">
        <w:t>Data normalised to an international standard where feasible.</w:t>
      </w:r>
    </w:p>
    <w:p w:rsidR="00445B79" w:rsidRPr="009C6187" w:rsidRDefault="00445B79" w:rsidP="00445B79">
      <w:pPr>
        <w:pStyle w:val="Numberbullet0"/>
      </w:pPr>
      <w:r w:rsidRPr="009C6187">
        <w:t>The Committee advised that all outstanding issues should be addressed to the satisfaction of the TGA. The PSC noted recent regulatory events associated with this class of products that arose subsequent to this submission. Consequently, the Committee endorsed the evaluator’s opinion that the sponsor should unequivocally address the identified issues in relation to the removal of all pro</w:t>
      </w:r>
      <w:r>
        <w:t xml:space="preserve"> </w:t>
      </w:r>
      <w:r w:rsidRPr="009C6187">
        <w:t>coagulant activity from the proposed products.</w:t>
      </w:r>
    </w:p>
    <w:p w:rsidR="00445B79" w:rsidRPr="009C6187" w:rsidRDefault="00445B79" w:rsidP="00445B79">
      <w:pPr>
        <w:pStyle w:val="Numberbullet0"/>
      </w:pPr>
      <w:r w:rsidRPr="009C6187">
        <w:t xml:space="preserve">In the </w:t>
      </w:r>
      <w:r>
        <w:t>PI:</w:t>
      </w:r>
    </w:p>
    <w:p w:rsidR="00445B79" w:rsidRPr="009C6187" w:rsidRDefault="00445B79" w:rsidP="00445B79">
      <w:pPr>
        <w:ind w:left="426"/>
      </w:pPr>
      <w:r w:rsidRPr="009C6187">
        <w:t>This document should be reviewed to ensure consistency with the abbreviations for units</w:t>
      </w:r>
      <w:r>
        <w:t>, for example, the references to:</w:t>
      </w:r>
    </w:p>
    <w:p w:rsidR="00445B79" w:rsidRPr="009C6187" w:rsidRDefault="00445B79" w:rsidP="00445B79">
      <w:pPr>
        <w:pStyle w:val="ListBullet2"/>
        <w:ind w:hanging="294"/>
      </w:pPr>
      <w:r w:rsidRPr="009C6187">
        <w:lastRenderedPageBreak/>
        <w:t>“</w:t>
      </w:r>
      <w:proofErr w:type="gramStart"/>
      <w:r w:rsidRPr="009C6187">
        <w:t>ml</w:t>
      </w:r>
      <w:proofErr w:type="gramEnd"/>
      <w:r w:rsidRPr="009C6187">
        <w:t>” should be changed to much preferred “</w:t>
      </w:r>
      <w:proofErr w:type="spellStart"/>
      <w:r w:rsidRPr="009C6187">
        <w:t>mL</w:t>
      </w:r>
      <w:proofErr w:type="spellEnd"/>
      <w:r w:rsidRPr="009C6187">
        <w:t xml:space="preserve">” to be consistent to the abbreviation ‘L’ used for litre </w:t>
      </w:r>
      <w:r>
        <w:t>in other parts of the document.</w:t>
      </w:r>
    </w:p>
    <w:p w:rsidR="00445B79" w:rsidRPr="009C6187" w:rsidRDefault="00445B79" w:rsidP="00445B79">
      <w:pPr>
        <w:pStyle w:val="ListBullet2"/>
        <w:ind w:hanging="294"/>
      </w:pPr>
      <w:r w:rsidRPr="009C6187">
        <w:t>“</w:t>
      </w:r>
      <w:proofErr w:type="gramStart"/>
      <w:r w:rsidRPr="009C6187">
        <w:t>dl</w:t>
      </w:r>
      <w:proofErr w:type="gramEnd"/>
      <w:r w:rsidRPr="009C6187">
        <w:t>” shou</w:t>
      </w:r>
      <w:r>
        <w:t xml:space="preserve">ld be expressed in terms of </w:t>
      </w:r>
      <w:proofErr w:type="spellStart"/>
      <w:r>
        <w:t>mL.</w:t>
      </w:r>
      <w:proofErr w:type="spellEnd"/>
    </w:p>
    <w:p w:rsidR="00445B79" w:rsidRPr="009C6187" w:rsidRDefault="00445B79" w:rsidP="00445B79">
      <w:pPr>
        <w:pStyle w:val="Numberbullet0"/>
      </w:pPr>
      <w:r w:rsidRPr="009C6187">
        <w:t xml:space="preserve">The PSC was of the consensus that the outstanding issues in relation to Factor XI activity may have safety implications. The PSC therefore concluded that this submission has insufficient evidence to support acceptance on quality and </w:t>
      </w:r>
      <w:proofErr w:type="spellStart"/>
      <w:r w:rsidRPr="009C6187">
        <w:t>pharmaceutic</w:t>
      </w:r>
      <w:proofErr w:type="spellEnd"/>
      <w:r w:rsidRPr="009C6187">
        <w:t xml:space="preserve"> grounds.</w:t>
      </w:r>
    </w:p>
    <w:p w:rsidR="00445B79" w:rsidRPr="009C6187" w:rsidRDefault="00445B79" w:rsidP="00445B79">
      <w:pPr>
        <w:pStyle w:val="Numberbullet0"/>
      </w:pPr>
      <w:r w:rsidRPr="009C6187">
        <w:t xml:space="preserve">The Committee agreed that this submission should be presented </w:t>
      </w:r>
      <w:r>
        <w:t xml:space="preserve">again </w:t>
      </w:r>
      <w:r w:rsidRPr="009C6187">
        <w:t>when additional information to address the identified issues is available.</w:t>
      </w:r>
    </w:p>
    <w:p w:rsidR="008E7846" w:rsidRPr="008751DC" w:rsidRDefault="008E7846" w:rsidP="008E7846">
      <w:pPr>
        <w:pStyle w:val="Heading3"/>
      </w:pPr>
      <w:bookmarkStart w:id="28" w:name="_Toc247691509"/>
      <w:bookmarkStart w:id="29" w:name="_Toc314842493"/>
      <w:bookmarkStart w:id="30" w:name="_Toc369706038"/>
      <w:r>
        <w:t>Quality s</w:t>
      </w:r>
      <w:r w:rsidRPr="008751DC">
        <w:t>ummary</w:t>
      </w:r>
      <w:r>
        <w:t xml:space="preserve"> and conclusion</w:t>
      </w:r>
      <w:bookmarkEnd w:id="28"/>
      <w:bookmarkEnd w:id="29"/>
      <w:r w:rsidR="00BE5158">
        <w:t>s</w:t>
      </w:r>
      <w:bookmarkEnd w:id="30"/>
    </w:p>
    <w:p w:rsidR="00BE5158" w:rsidRDefault="00BE5158" w:rsidP="00BE5158">
      <w:pPr>
        <w:rPr>
          <w:highlight w:val="yellow"/>
        </w:rPr>
      </w:pPr>
      <w:r>
        <w:t xml:space="preserve">The administrative, product usage, chemical, pharmaceutical, microbiological and </w:t>
      </w:r>
      <w:proofErr w:type="spellStart"/>
      <w:r>
        <w:t>biopharmaceutic</w:t>
      </w:r>
      <w:proofErr w:type="spellEnd"/>
      <w:r>
        <w:t xml:space="preserve"> data (as applicable) submitted in support of this application have been evaluated in accordance with the Australian legislation, </w:t>
      </w:r>
      <w:proofErr w:type="spellStart"/>
      <w:r>
        <w:t>pharmacopeial</w:t>
      </w:r>
      <w:proofErr w:type="spellEnd"/>
      <w:r>
        <w:t xml:space="preserve"> standards and relevant technical guidelines adopted by the TGA.</w:t>
      </w:r>
    </w:p>
    <w:p w:rsidR="00BE5158" w:rsidRDefault="00BE5158" w:rsidP="00BE5158">
      <w:r>
        <w:t>It is recommended that as</w:t>
      </w:r>
      <w:r w:rsidRPr="00C40988">
        <w:t xml:space="preserve"> a condition of registration that the first five independent batches of</w:t>
      </w:r>
    </w:p>
    <w:p w:rsidR="00BE5158" w:rsidRPr="00BE5158" w:rsidRDefault="00BE5158" w:rsidP="00BE5158">
      <w:pPr>
        <w:pStyle w:val="ListBullet"/>
      </w:pPr>
      <w:proofErr w:type="spellStart"/>
      <w:r w:rsidRPr="00BE5158">
        <w:t>Flebogamma</w:t>
      </w:r>
      <w:proofErr w:type="spellEnd"/>
      <w:r w:rsidRPr="00BE5158">
        <w:t xml:space="preserve"> 10% DIF, Human Normal Immunoglobulin 5 g/50 </w:t>
      </w:r>
      <w:proofErr w:type="spellStart"/>
      <w:r w:rsidRPr="00BE5158">
        <w:t>mL</w:t>
      </w:r>
      <w:proofErr w:type="spellEnd"/>
      <w:r w:rsidRPr="00BE5158">
        <w:t>, injection vial for Intravenous Administration (Aust R 184353)</w:t>
      </w:r>
    </w:p>
    <w:p w:rsidR="00BE5158" w:rsidRPr="00BE5158" w:rsidRDefault="00BE5158" w:rsidP="00BE5158">
      <w:pPr>
        <w:pStyle w:val="ListBullet"/>
      </w:pPr>
      <w:proofErr w:type="spellStart"/>
      <w:r w:rsidRPr="00BE5158">
        <w:t>Flebogamma</w:t>
      </w:r>
      <w:proofErr w:type="spellEnd"/>
      <w:r w:rsidRPr="00BE5158">
        <w:t xml:space="preserve"> 10% DIF, Human Normal Immunoglobulin 10 g/100 </w:t>
      </w:r>
      <w:proofErr w:type="spellStart"/>
      <w:r w:rsidRPr="00BE5158">
        <w:t>mL</w:t>
      </w:r>
      <w:proofErr w:type="spellEnd"/>
      <w:r w:rsidRPr="00BE5158">
        <w:t>, injection vial for Intravenous Administration (Aust R 182358)</w:t>
      </w:r>
    </w:p>
    <w:p w:rsidR="00BE5158" w:rsidRPr="00BE5158" w:rsidRDefault="00BE5158" w:rsidP="00BE5158">
      <w:pPr>
        <w:pStyle w:val="ListBullet"/>
      </w:pPr>
      <w:proofErr w:type="spellStart"/>
      <w:r w:rsidRPr="00BE5158">
        <w:t>Flebogamma</w:t>
      </w:r>
      <w:proofErr w:type="spellEnd"/>
      <w:r w:rsidRPr="00BE5158">
        <w:t xml:space="preserve"> 10% DIF, Human Normal Immunoglobulin 20 g/200 </w:t>
      </w:r>
      <w:proofErr w:type="spellStart"/>
      <w:r w:rsidRPr="00BE5158">
        <w:t>mL</w:t>
      </w:r>
      <w:proofErr w:type="spellEnd"/>
      <w:r w:rsidRPr="00BE5158">
        <w:t>, injection vial for Intravenous Administration (Aust R 182359)</w:t>
      </w:r>
    </w:p>
    <w:p w:rsidR="00BE5158" w:rsidRPr="00C40988" w:rsidRDefault="00BE5158" w:rsidP="00BE5158">
      <w:r w:rsidRPr="00C40988">
        <w:t>imported into Australia are not released for sale until samples and/or the manufacturer’s release data</w:t>
      </w:r>
      <w:r>
        <w:t xml:space="preserve"> </w:t>
      </w:r>
      <w:r w:rsidRPr="00C40988">
        <w:t>have been assessed and endorsed for release by the TGA Office of Laboratories and Scientific Services</w:t>
      </w:r>
      <w:r>
        <w:t xml:space="preserve"> </w:t>
      </w:r>
      <w:r w:rsidRPr="00C40988">
        <w:t>(OLSS).</w:t>
      </w:r>
    </w:p>
    <w:p w:rsidR="00BE5158" w:rsidRDefault="00BE5158" w:rsidP="00BE5158">
      <w:r w:rsidRPr="00C40988">
        <w:t>The sponsor should supply:</w:t>
      </w:r>
    </w:p>
    <w:p w:rsidR="00BE5158" w:rsidRPr="00D60910" w:rsidRDefault="00BE5158" w:rsidP="00BE5158">
      <w:pPr>
        <w:pStyle w:val="Numberbullet0"/>
        <w:numPr>
          <w:ilvl w:val="0"/>
          <w:numId w:val="40"/>
        </w:numPr>
      </w:pPr>
      <w:r w:rsidRPr="00D60910">
        <w:t>Certificates of Analysis of all active ingredient (drug substance) and final product.</w:t>
      </w:r>
    </w:p>
    <w:p w:rsidR="00BE5158" w:rsidRPr="00D60910" w:rsidRDefault="00BE5158" w:rsidP="00BE5158">
      <w:pPr>
        <w:pStyle w:val="Numberbullet0"/>
        <w:numPr>
          <w:ilvl w:val="0"/>
          <w:numId w:val="40"/>
        </w:numPr>
      </w:pPr>
      <w:r w:rsidRPr="00D60910">
        <w:t>Information on the number of doses to be released in Australia with accompanying expiry dates for the product and diluents (if included).</w:t>
      </w:r>
    </w:p>
    <w:p w:rsidR="00BE5158" w:rsidRPr="00D60910" w:rsidRDefault="00BE5158" w:rsidP="00BE5158">
      <w:pPr>
        <w:pStyle w:val="Numberbullet0"/>
        <w:numPr>
          <w:ilvl w:val="0"/>
          <w:numId w:val="40"/>
        </w:numPr>
      </w:pPr>
      <w:r w:rsidRPr="00D60910">
        <w:t>Evidence of the maintenance of registered storage conditions during transport to Australia.</w:t>
      </w:r>
    </w:p>
    <w:p w:rsidR="00BE5158" w:rsidRPr="00D60910" w:rsidRDefault="00BE5158" w:rsidP="00BE5158">
      <w:pPr>
        <w:pStyle w:val="Numberbullet0"/>
        <w:numPr>
          <w:ilvl w:val="0"/>
          <w:numId w:val="40"/>
        </w:numPr>
      </w:pPr>
      <w:r w:rsidRPr="00D60910">
        <w:t>Three vials/ampoules/cartridges/syringes of each batch for testing by the TGA OLSS together with any necessary standards, impurities and active pharmaceutical ingredients (with their Certificates of Analysis) required for method development and validation.</w:t>
      </w:r>
    </w:p>
    <w:p w:rsidR="00BE5158" w:rsidRPr="00C40988" w:rsidRDefault="00BE5158" w:rsidP="00BE5158">
      <w:r w:rsidRPr="00C40988">
        <w:t xml:space="preserve">These batch release conditions will be reviewed and </w:t>
      </w:r>
      <w:r>
        <w:t xml:space="preserve">may be modified on the basis of </w:t>
      </w:r>
      <w:r w:rsidRPr="00C40988">
        <w:t>actual batch quality</w:t>
      </w:r>
      <w:r>
        <w:t xml:space="preserve"> </w:t>
      </w:r>
      <w:r w:rsidRPr="00C40988">
        <w:t>and consistency.</w:t>
      </w:r>
    </w:p>
    <w:p w:rsidR="008E7846" w:rsidRDefault="008E7846" w:rsidP="008E7846">
      <w:pPr>
        <w:pStyle w:val="Heading2"/>
      </w:pPr>
      <w:bookmarkStart w:id="31" w:name="_Toc196046439"/>
      <w:bookmarkStart w:id="32" w:name="_Toc247691510"/>
      <w:bookmarkStart w:id="33" w:name="_Toc314842494"/>
      <w:bookmarkStart w:id="34" w:name="_Toc369706039"/>
      <w:r>
        <w:t>III. Nonclinical</w:t>
      </w:r>
      <w:bookmarkEnd w:id="31"/>
      <w:r>
        <w:t xml:space="preserve"> findings</w:t>
      </w:r>
      <w:bookmarkEnd w:id="32"/>
      <w:bookmarkEnd w:id="33"/>
      <w:bookmarkEnd w:id="34"/>
    </w:p>
    <w:p w:rsidR="002959CF" w:rsidRDefault="002959CF" w:rsidP="002959CF">
      <w:r>
        <w:t>There was no requirement for a nonclinical evaluation in a submission of this type.</w:t>
      </w:r>
    </w:p>
    <w:p w:rsidR="008E7846" w:rsidRPr="00254787" w:rsidRDefault="008E7846" w:rsidP="008E7846">
      <w:pPr>
        <w:pStyle w:val="Heading2"/>
      </w:pPr>
      <w:bookmarkStart w:id="35" w:name="_Toc196046462"/>
      <w:bookmarkStart w:id="36" w:name="_Toc247691516"/>
      <w:bookmarkStart w:id="37" w:name="_Toc314842500"/>
      <w:bookmarkStart w:id="38" w:name="_Toc163441353"/>
      <w:bookmarkStart w:id="39" w:name="_Toc163441348"/>
      <w:bookmarkStart w:id="40" w:name="_Toc369706040"/>
      <w:r>
        <w:lastRenderedPageBreak/>
        <w:t xml:space="preserve">IV. </w:t>
      </w:r>
      <w:r w:rsidRPr="00254787">
        <w:t>Clinical</w:t>
      </w:r>
      <w:bookmarkEnd w:id="35"/>
      <w:r>
        <w:t xml:space="preserve"> </w:t>
      </w:r>
      <w:r w:rsidR="003A7F6C">
        <w:t>f</w:t>
      </w:r>
      <w:r>
        <w:t>indings</w:t>
      </w:r>
      <w:bookmarkEnd w:id="36"/>
      <w:bookmarkEnd w:id="37"/>
      <w:bookmarkEnd w:id="40"/>
    </w:p>
    <w:p w:rsidR="008E7846" w:rsidRDefault="008E7846" w:rsidP="008E7846">
      <w:pPr>
        <w:pStyle w:val="Heading3"/>
      </w:pPr>
      <w:bookmarkStart w:id="41" w:name="_Toc196046463"/>
      <w:bookmarkStart w:id="42" w:name="_Toc247691517"/>
      <w:bookmarkStart w:id="43" w:name="_Toc314842501"/>
      <w:bookmarkStart w:id="44" w:name="_Toc369706041"/>
      <w:r w:rsidRPr="00254787">
        <w:t>Introduction</w:t>
      </w:r>
      <w:bookmarkEnd w:id="41"/>
      <w:bookmarkEnd w:id="42"/>
      <w:bookmarkEnd w:id="43"/>
      <w:bookmarkEnd w:id="44"/>
    </w:p>
    <w:p w:rsidR="0084141F" w:rsidRDefault="0084141F" w:rsidP="0084141F">
      <w:r w:rsidRPr="007B3B30">
        <w:t xml:space="preserve">Reports of three studies were included. Study IG304 was designed to investigate safety, efficacy and pharmacokinetics of </w:t>
      </w:r>
      <w:proofErr w:type="spellStart"/>
      <w:r w:rsidRPr="007B3B30">
        <w:t>Flebogamma</w:t>
      </w:r>
      <w:proofErr w:type="spellEnd"/>
      <w:r w:rsidRPr="007B3B30">
        <w:t xml:space="preserve"> 10% DIF in patients with </w:t>
      </w:r>
      <w:r w:rsidRPr="001E4344">
        <w:t>pri</w:t>
      </w:r>
      <w:r>
        <w:t xml:space="preserve">mary immunodeficiency disease (PID). </w:t>
      </w:r>
      <w:r w:rsidRPr="007B3B30">
        <w:t>Studies IG202 and IG0601</w:t>
      </w:r>
      <w:r>
        <w:t xml:space="preserve"> </w:t>
      </w:r>
      <w:r w:rsidRPr="007B3B30">
        <w:t xml:space="preserve">investigated treatment of idiopathic thrombocytopenic </w:t>
      </w:r>
      <w:r>
        <w:t>purpure (ITP), which is an abnormally low platelet count due to unknown cause.</w:t>
      </w:r>
    </w:p>
    <w:p w:rsidR="0084141F" w:rsidRDefault="0084141F" w:rsidP="0084141F">
      <w:r>
        <w:t>The sponsor made the following statements with regard to Good Clinical Practice (GCP):</w:t>
      </w:r>
    </w:p>
    <w:p w:rsidR="0084141F" w:rsidRPr="0084141F" w:rsidRDefault="0084141F" w:rsidP="0084141F">
      <w:pPr>
        <w:pStyle w:val="ListBullet"/>
      </w:pPr>
      <w:r w:rsidRPr="0084141F">
        <w:t>Study IG304: The protocol and all protocol amendments were reviewed and approved by the Institutional Review Boards (IRBs) of the study sites. The study was conducted in accordance with GCP principles of the International Conference on Harmonisation (ICH) and the ethical principles in the Declaration of Helsinki. Signed</w:t>
      </w:r>
      <w:r>
        <w:t xml:space="preserve"> informed consent was required.</w:t>
      </w:r>
    </w:p>
    <w:p w:rsidR="0084141F" w:rsidRPr="0084141F" w:rsidRDefault="0084141F" w:rsidP="0084141F">
      <w:pPr>
        <w:pStyle w:val="ListBullet"/>
      </w:pPr>
      <w:r w:rsidRPr="0084141F">
        <w:t xml:space="preserve">Studies IG202 and IG0601: These were performed in accordance with the ethical principles stated in the Declaration of Helsinki, US Food and Drug Administration (FDA) regulation 21 CFR Parts 50, 56 and 312, ICH GCP, European Union guidelines of clinical investigation of IVIG and standard clinical operating procedures for </w:t>
      </w:r>
      <w:proofErr w:type="spellStart"/>
      <w:r w:rsidRPr="0084141F">
        <w:t>Instituto</w:t>
      </w:r>
      <w:proofErr w:type="spellEnd"/>
      <w:r w:rsidRPr="0084141F">
        <w:t xml:space="preserve"> </w:t>
      </w:r>
      <w:proofErr w:type="spellStart"/>
      <w:r w:rsidRPr="0084141F">
        <w:t>Grifols</w:t>
      </w:r>
      <w:proofErr w:type="spellEnd"/>
      <w:r w:rsidRPr="0084141F">
        <w:t xml:space="preserve">, S.A. and </w:t>
      </w:r>
      <w:proofErr w:type="spellStart"/>
      <w:r w:rsidRPr="0084141F">
        <w:t>CROfessionals</w:t>
      </w:r>
      <w:proofErr w:type="spellEnd"/>
      <w:r w:rsidRPr="0084141F">
        <w:t>, LLC. Signed informed consent was required.</w:t>
      </w:r>
    </w:p>
    <w:p w:rsidR="008E7846" w:rsidRPr="00254787" w:rsidRDefault="008E7846" w:rsidP="008E7846">
      <w:pPr>
        <w:pStyle w:val="Heading3"/>
      </w:pPr>
      <w:bookmarkStart w:id="45" w:name="_Toc196046464"/>
      <w:bookmarkStart w:id="46" w:name="_Toc247691518"/>
      <w:bookmarkStart w:id="47" w:name="_Toc314842502"/>
      <w:bookmarkStart w:id="48" w:name="_Toc369706042"/>
      <w:r w:rsidRPr="00254787">
        <w:t>Pharmacokinetics</w:t>
      </w:r>
      <w:bookmarkEnd w:id="38"/>
      <w:bookmarkEnd w:id="45"/>
      <w:bookmarkEnd w:id="46"/>
      <w:bookmarkEnd w:id="47"/>
      <w:bookmarkEnd w:id="48"/>
    </w:p>
    <w:p w:rsidR="0084141F" w:rsidRPr="00692437" w:rsidRDefault="0084141F" w:rsidP="0084141F">
      <w:pPr>
        <w:pStyle w:val="Heading4"/>
      </w:pPr>
      <w:r w:rsidRPr="00692437">
        <w:t>Study IG304</w:t>
      </w:r>
    </w:p>
    <w:p w:rsidR="0084141F" w:rsidRPr="0084141F" w:rsidRDefault="0084141F" w:rsidP="0084141F">
      <w:pPr>
        <w:pStyle w:val="Heading5"/>
      </w:pPr>
      <w:r w:rsidRPr="0084141F">
        <w:t>Design</w:t>
      </w:r>
    </w:p>
    <w:p w:rsidR="0084141F" w:rsidRPr="001E4344" w:rsidRDefault="0084141F" w:rsidP="0084141F">
      <w:r w:rsidRPr="001E4344">
        <w:t xml:space="preserve">Study IG304 was a </w:t>
      </w:r>
      <w:r>
        <w:t>P</w:t>
      </w:r>
      <w:r w:rsidRPr="001E4344">
        <w:t>hase III, multi</w:t>
      </w:r>
      <w:r>
        <w:t xml:space="preserve"> </w:t>
      </w:r>
      <w:r w:rsidRPr="001E4344">
        <w:t>centre, open</w:t>
      </w:r>
      <w:r>
        <w:t xml:space="preserve"> </w:t>
      </w:r>
      <w:r w:rsidRPr="001E4344">
        <w:t>label, historical</w:t>
      </w:r>
      <w:r>
        <w:t>ly controlled study of use of</w:t>
      </w:r>
      <w:r w:rsidRPr="001E4344">
        <w:t xml:space="preserve"> </w:t>
      </w:r>
      <w:r w:rsidRPr="00DB0543">
        <w:t xml:space="preserve">IVIG31 </w:t>
      </w:r>
      <w:proofErr w:type="spellStart"/>
      <w:r w:rsidRPr="00566D5C">
        <w:t>Grifols</w:t>
      </w:r>
      <w:proofErr w:type="spellEnd"/>
      <w:r w:rsidRPr="00DB0543">
        <w:t xml:space="preserve"> 10%</w:t>
      </w:r>
      <w:bookmarkStart w:id="49" w:name="_Ref322347263"/>
      <w:r w:rsidRPr="00DB0543">
        <w:rPr>
          <w:rStyle w:val="FootnoteReference"/>
          <w:rFonts w:cs="Arial"/>
          <w:sz w:val="20"/>
          <w:szCs w:val="20"/>
        </w:rPr>
        <w:footnoteReference w:id="2"/>
      </w:r>
      <w:bookmarkEnd w:id="49"/>
      <w:r w:rsidRPr="00DB0543">
        <w:t xml:space="preserve"> in replacement therapy of primary immunodeficiency disease.</w:t>
      </w:r>
      <w:r w:rsidRPr="001E4344">
        <w:t xml:space="preserve"> Patients with PID who were at least 3 years of age, with minimum weight 27.5 k</w:t>
      </w:r>
      <w:r>
        <w:t>g were eligible for the study.</w:t>
      </w:r>
    </w:p>
    <w:p w:rsidR="0084141F" w:rsidRPr="001E4344" w:rsidRDefault="0084141F" w:rsidP="0084141F">
      <w:r w:rsidRPr="001E4344">
        <w:t>The primary objective was to determine e</w:t>
      </w:r>
      <w:r>
        <w:t xml:space="preserve">fficacy with respect to the FDA </w:t>
      </w:r>
      <w:r w:rsidRPr="001E4344">
        <w:t>minima</w:t>
      </w:r>
      <w:r>
        <w:t>l requirements of no more than one</w:t>
      </w:r>
      <w:r w:rsidRPr="001E4344">
        <w:t xml:space="preserve"> serious bacterial infection per patient per year including bacterial pneumonia, bacteraemia or sepsis, </w:t>
      </w:r>
      <w:proofErr w:type="spellStart"/>
      <w:r w:rsidRPr="001E4344">
        <w:t>osteomyelitis</w:t>
      </w:r>
      <w:proofErr w:type="spellEnd"/>
      <w:r w:rsidRPr="001E4344">
        <w:t>, sep</w:t>
      </w:r>
      <w:r>
        <w:t>tic arthritis, visceral abscess and</w:t>
      </w:r>
      <w:r w:rsidRPr="001E4344">
        <w:t xml:space="preserve"> bacterial meningitis.</w:t>
      </w:r>
    </w:p>
    <w:p w:rsidR="0084141F" w:rsidRPr="001E4344" w:rsidRDefault="0084141F" w:rsidP="0084141F">
      <w:r w:rsidRPr="001E4344">
        <w:t xml:space="preserve">Secondary objectives were to assess safety and tolerability, and pharmacokinetics </w:t>
      </w:r>
      <w:r>
        <w:t xml:space="preserve">(PK) </w:t>
      </w:r>
      <w:r w:rsidRPr="001E4344">
        <w:t xml:space="preserve">compared to comparable intact </w:t>
      </w:r>
      <w:proofErr w:type="spellStart"/>
      <w:r w:rsidRPr="001E4344">
        <w:t>IgG</w:t>
      </w:r>
      <w:proofErr w:type="spellEnd"/>
      <w:r w:rsidRPr="001E4344">
        <w:t>. Secondary efficacy endpoints were:</w:t>
      </w:r>
    </w:p>
    <w:p w:rsidR="0084141F" w:rsidRPr="0084141F" w:rsidRDefault="0084141F" w:rsidP="0084141F">
      <w:pPr>
        <w:pStyle w:val="ListBullet"/>
      </w:pPr>
      <w:r w:rsidRPr="0084141F">
        <w:t>Number of days of work/school missed per patient year;</w:t>
      </w:r>
    </w:p>
    <w:p w:rsidR="0084141F" w:rsidRPr="0084141F" w:rsidRDefault="0084141F" w:rsidP="0084141F">
      <w:pPr>
        <w:pStyle w:val="ListBullet"/>
      </w:pPr>
      <w:r w:rsidRPr="0084141F">
        <w:t>Number and days of hospitalisations per patient year;</w:t>
      </w:r>
    </w:p>
    <w:p w:rsidR="0084141F" w:rsidRPr="0084141F" w:rsidRDefault="0084141F" w:rsidP="0084141F">
      <w:pPr>
        <w:pStyle w:val="ListBullet"/>
      </w:pPr>
      <w:r w:rsidRPr="0084141F">
        <w:t>Number of visits to physicians for acute problems and/or number of visits to hospital emergency rooms per patient year;</w:t>
      </w:r>
    </w:p>
    <w:p w:rsidR="0084141F" w:rsidRPr="0084141F" w:rsidRDefault="0084141F" w:rsidP="0084141F">
      <w:pPr>
        <w:pStyle w:val="ListBullet"/>
      </w:pPr>
      <w:r w:rsidRPr="0084141F">
        <w:t>Other infections per patient per year, documented by positive radiograph and fever;</w:t>
      </w:r>
    </w:p>
    <w:p w:rsidR="0084141F" w:rsidRPr="0084141F" w:rsidRDefault="0084141F" w:rsidP="0084141F">
      <w:pPr>
        <w:pStyle w:val="ListBullet"/>
      </w:pPr>
      <w:r w:rsidRPr="0084141F">
        <w:t>Number of infectious episodes per patient year, which includes both serious bacterial infections and other infections; and</w:t>
      </w:r>
    </w:p>
    <w:p w:rsidR="0084141F" w:rsidRPr="0084141F" w:rsidRDefault="0084141F" w:rsidP="0084141F">
      <w:pPr>
        <w:pStyle w:val="ListBullet"/>
      </w:pPr>
      <w:r w:rsidRPr="0084141F">
        <w:t xml:space="preserve">Number of days on antibiotics, prophylactic or therapeutic, both oral and </w:t>
      </w:r>
      <w:proofErr w:type="spellStart"/>
      <w:r w:rsidRPr="0084141F">
        <w:t>parenteral</w:t>
      </w:r>
      <w:proofErr w:type="spellEnd"/>
      <w:r w:rsidRPr="0084141F">
        <w:t>.</w:t>
      </w:r>
    </w:p>
    <w:p w:rsidR="0084141F" w:rsidRPr="001E4344" w:rsidRDefault="0084141F" w:rsidP="0084141F">
      <w:r w:rsidRPr="001E4344">
        <w:lastRenderedPageBreak/>
        <w:t xml:space="preserve">Safety was assessed by the recording of the number and percent of infusions with at least </w:t>
      </w:r>
      <w:r>
        <w:t>one</w:t>
      </w:r>
      <w:r w:rsidRPr="001E4344">
        <w:t xml:space="preserve"> adverse event </w:t>
      </w:r>
      <w:r>
        <w:t xml:space="preserve">(AE) </w:t>
      </w:r>
      <w:r w:rsidRPr="001E4344">
        <w:t>occurrin</w:t>
      </w:r>
      <w:r>
        <w:t>g during an infusion or within one</w:t>
      </w:r>
      <w:r w:rsidRPr="001E4344">
        <w:t xml:space="preserve"> hour after the infusion stopped; vital signs; the nature, severity, and frequency of </w:t>
      </w:r>
      <w:r>
        <w:t>AEs</w:t>
      </w:r>
      <w:r w:rsidRPr="001E4344">
        <w:t>; effects on hepatic, renal and haematological function; transmission of HBV, HCV, HIV; Parvo</w:t>
      </w:r>
      <w:r>
        <w:t>virus B19, and Coombs’ testing.</w:t>
      </w:r>
    </w:p>
    <w:p w:rsidR="0084141F" w:rsidRPr="00F76090" w:rsidRDefault="0084141F" w:rsidP="0084141F">
      <w:pPr>
        <w:rPr>
          <w:i/>
        </w:rPr>
      </w:pPr>
      <w:r w:rsidRPr="001E4344">
        <w:rPr>
          <w:i/>
        </w:rPr>
        <w:t xml:space="preserve">Study treatment: </w:t>
      </w:r>
      <w:r>
        <w:t>Planned dose was 300-</w:t>
      </w:r>
      <w:r w:rsidRPr="001E4344">
        <w:t xml:space="preserve">600 mg/kg treatment every </w:t>
      </w:r>
      <w:r>
        <w:t>three or four</w:t>
      </w:r>
      <w:r w:rsidRPr="001E4344">
        <w:t xml:space="preserve"> weeks for 12 months.</w:t>
      </w:r>
    </w:p>
    <w:p w:rsidR="0084141F" w:rsidRPr="001E4344" w:rsidRDefault="0084141F" w:rsidP="0084141F">
      <w:r w:rsidRPr="001E4344">
        <w:t xml:space="preserve">Patients were not given routine premedication. Adequate hydration was given to all patients prior to initiation of infusion with IGIV3I </w:t>
      </w:r>
      <w:proofErr w:type="spellStart"/>
      <w:r w:rsidRPr="00566D5C">
        <w:t>Grifols</w:t>
      </w:r>
      <w:proofErr w:type="spellEnd"/>
      <w:r w:rsidRPr="001E4344">
        <w:t xml:space="preserve"> 10%. If a patient had previously required premedication, they were to start this protocol without routine premedication. If </w:t>
      </w:r>
      <w:r>
        <w:t>AEs</w:t>
      </w:r>
      <w:r w:rsidRPr="001E4344">
        <w:t xml:space="preserve"> that may have been prevented by the use of a premedication occurred </w:t>
      </w:r>
      <w:r>
        <w:t>two or three</w:t>
      </w:r>
      <w:r w:rsidRPr="001E4344">
        <w:t xml:space="preserve"> times, use of the premedication other than a corticosteroid could be resumed for the remaining infusions of the</w:t>
      </w:r>
      <w:r>
        <w:t xml:space="preserve"> study.</w:t>
      </w:r>
    </w:p>
    <w:p w:rsidR="0084141F" w:rsidRPr="00F76090" w:rsidRDefault="0084141F" w:rsidP="0084141F">
      <w:pPr>
        <w:rPr>
          <w:i/>
        </w:rPr>
      </w:pPr>
      <w:r w:rsidRPr="001E4344">
        <w:rPr>
          <w:i/>
        </w:rPr>
        <w:t xml:space="preserve">Statistical methods: </w:t>
      </w:r>
      <w:r w:rsidRPr="001E4344">
        <w:t>The primary efficacy variable was the number of episodes of serious bacterial infections per patient per year. To estimate the infection rat</w:t>
      </w:r>
      <w:r>
        <w:t xml:space="preserve">e and develop the appropriate one </w:t>
      </w:r>
      <w:r w:rsidRPr="001E4344">
        <w:t>sided 98% upper confidence bound, a generali</w:t>
      </w:r>
      <w:r>
        <w:t>s</w:t>
      </w:r>
      <w:r w:rsidRPr="001E4344">
        <w:t>ed linear model for Poisson regression was used. The rate of serious bacterial infections per patient per year was estimated by dividing the total number of serious bacterial infections observed in the study by the total patient years (patient years = days on study/365).</w:t>
      </w:r>
      <w:r>
        <w:rPr>
          <w:rStyle w:val="FootnoteReference"/>
        </w:rPr>
        <w:footnoteReference w:id="3"/>
      </w:r>
    </w:p>
    <w:p w:rsidR="0084141F" w:rsidRPr="001E4344" w:rsidRDefault="0084141F" w:rsidP="0084141F">
      <w:r w:rsidRPr="001E4344">
        <w:t>Rates for secondary efficacy endpoints were calculated by dividing the total number of events observed in the st</w:t>
      </w:r>
      <w:r>
        <w:t>udy by the total patient years.</w:t>
      </w:r>
    </w:p>
    <w:p w:rsidR="0084141F" w:rsidRPr="001E4344" w:rsidRDefault="0084141F" w:rsidP="0084141F">
      <w:r w:rsidRPr="001E4344">
        <w:t xml:space="preserve">All </w:t>
      </w:r>
      <w:r>
        <w:t>AEs</w:t>
      </w:r>
      <w:r w:rsidRPr="001E4344">
        <w:t xml:space="preserve"> were summa</w:t>
      </w:r>
      <w:r>
        <w:t xml:space="preserve">rised. The upper bound of the one </w:t>
      </w:r>
      <w:proofErr w:type="gramStart"/>
      <w:r w:rsidRPr="001E4344">
        <w:t>sided</w:t>
      </w:r>
      <w:proofErr w:type="gramEnd"/>
      <w:r w:rsidRPr="001E4344">
        <w:t xml:space="preserve"> 95% confidence interval for the percent of patients who experienced any </w:t>
      </w:r>
      <w:r>
        <w:t>AE</w:t>
      </w:r>
      <w:r w:rsidRPr="001E4344">
        <w:t xml:space="preserve"> was calculated by using normal approximation. A similar analysis was performed for treatment</w:t>
      </w:r>
      <w:r>
        <w:t xml:space="preserve"> </w:t>
      </w:r>
      <w:r w:rsidRPr="001E4344">
        <w:t xml:space="preserve">related </w:t>
      </w:r>
      <w:r>
        <w:t>AEs</w:t>
      </w:r>
      <w:r w:rsidRPr="001E4344">
        <w:t xml:space="preserve">. </w:t>
      </w:r>
      <w:r>
        <w:t>AEs</w:t>
      </w:r>
      <w:r w:rsidRPr="001E4344">
        <w:t xml:space="preserve"> that occurred during an infusion or within 1, 24, 4</w:t>
      </w:r>
      <w:r>
        <w:t>8, or 72 h</w:t>
      </w:r>
      <w:r w:rsidRPr="001E4344">
        <w:t xml:space="preserve"> of an infusion were also summarised.</w:t>
      </w:r>
    </w:p>
    <w:p w:rsidR="0084141F" w:rsidRDefault="0084141F" w:rsidP="0084141F">
      <w:r w:rsidRPr="001E4344">
        <w:t>No adjustments for covariates were made to the statistical analysis. No adjustments were made to the statistical analyses to account for multiple centres. Data for patients who withdrew from the study were censored at the last recorded visit date. Missing data were not imputed.</w:t>
      </w:r>
    </w:p>
    <w:p w:rsidR="0084141F" w:rsidRPr="001E4344" w:rsidRDefault="0084141F" w:rsidP="0084141F">
      <w:r>
        <w:t>PK</w:t>
      </w:r>
      <w:r w:rsidRPr="001E4344">
        <w:t xml:space="preserve"> analysis was perf</w:t>
      </w:r>
      <w:r>
        <w:t>ormed on a subset of 19 of the 37 participants</w:t>
      </w:r>
      <w:r w:rsidRPr="001E4344">
        <w:t xml:space="preserve"> with </w:t>
      </w:r>
      <w:r>
        <w:t>PID</w:t>
      </w:r>
      <w:r w:rsidRPr="001E4344">
        <w:t xml:space="preserve">, enrolled in efficacy and safety Study IG304. The PK samples were collected after </w:t>
      </w:r>
      <w:r>
        <w:t xml:space="preserve">Infusion 7 for patients on a 28 </w:t>
      </w:r>
      <w:r w:rsidRPr="001E4344">
        <w:t xml:space="preserve">day schedule and after </w:t>
      </w:r>
      <w:r>
        <w:t xml:space="preserve">Infusion 9 for patients on a 21 </w:t>
      </w:r>
      <w:r w:rsidRPr="001E4344">
        <w:t xml:space="preserve">day schedule. Samples were collected during the </w:t>
      </w:r>
      <w:r>
        <w:t>sixth</w:t>
      </w:r>
      <w:r w:rsidRPr="001E4344">
        <w:t xml:space="preserve"> month after initiation of treatmen</w:t>
      </w:r>
      <w:r>
        <w:t>t.</w:t>
      </w:r>
    </w:p>
    <w:p w:rsidR="0084141F" w:rsidRPr="001E4344" w:rsidRDefault="0084141F" w:rsidP="0084141F">
      <w:r>
        <w:t>PK</w:t>
      </w:r>
      <w:r w:rsidRPr="001E4344">
        <w:t xml:space="preserve"> parameters for </w:t>
      </w:r>
      <w:proofErr w:type="spellStart"/>
      <w:r w:rsidRPr="001E4344">
        <w:t>IgG</w:t>
      </w:r>
      <w:proofErr w:type="spellEnd"/>
      <w:r w:rsidRPr="001E4344">
        <w:t xml:space="preserve">, </w:t>
      </w:r>
      <w:proofErr w:type="spellStart"/>
      <w:r w:rsidRPr="001E4344">
        <w:t>IgG</w:t>
      </w:r>
      <w:proofErr w:type="spellEnd"/>
      <w:r>
        <w:t xml:space="preserve"> subclasses, and antibodies to four</w:t>
      </w:r>
      <w:r w:rsidRPr="001E4344">
        <w:t xml:space="preserve"> specific antigens, CMV, tetanus </w:t>
      </w:r>
      <w:proofErr w:type="spellStart"/>
      <w:r w:rsidRPr="001E4344">
        <w:t>toxoid</w:t>
      </w:r>
      <w:proofErr w:type="spellEnd"/>
      <w:r w:rsidRPr="001E4344">
        <w:t>, pneumococcal polysaccharides, HBV were determined and results summarised based on the individual plasma concentration</w:t>
      </w:r>
      <w:r>
        <w:t xml:space="preserve"> </w:t>
      </w:r>
      <w:r w:rsidRPr="001E4344">
        <w:t xml:space="preserve">time data and the actual sampling times. </w:t>
      </w:r>
      <w:proofErr w:type="spellStart"/>
      <w:r w:rsidRPr="001E4344">
        <w:t>IgG</w:t>
      </w:r>
      <w:proofErr w:type="spellEnd"/>
      <w:r w:rsidRPr="001E4344">
        <w:t xml:space="preserve"> trough levels were compared with those before the trial.</w:t>
      </w:r>
    </w:p>
    <w:p w:rsidR="0084141F" w:rsidRDefault="0084141F" w:rsidP="0084141F">
      <w:r w:rsidRPr="001E4344">
        <w:t xml:space="preserve">The levels of total </w:t>
      </w:r>
      <w:proofErr w:type="spellStart"/>
      <w:r w:rsidRPr="001E4344">
        <w:t>IgG</w:t>
      </w:r>
      <w:proofErr w:type="spellEnd"/>
      <w:r w:rsidRPr="001E4344">
        <w:t xml:space="preserve"> and </w:t>
      </w:r>
      <w:proofErr w:type="spellStart"/>
      <w:r w:rsidRPr="001E4344">
        <w:t>IgG</w:t>
      </w:r>
      <w:proofErr w:type="spellEnd"/>
      <w:r w:rsidRPr="001E4344">
        <w:t xml:space="preserve"> subclasses were plotted on a log scale against time; antibody titres to specific antigens were also plotted on a log scale against time. The parameters </w:t>
      </w:r>
      <w:proofErr w:type="spellStart"/>
      <w:r w:rsidRPr="001E4344">
        <w:t>C</w:t>
      </w:r>
      <w:r w:rsidRPr="00692437">
        <w:rPr>
          <w:vertAlign w:val="subscript"/>
        </w:rPr>
        <w:t>max</w:t>
      </w:r>
      <w:proofErr w:type="spellEnd"/>
      <w:r>
        <w:t xml:space="preserve"> (maximum observed concentration),</w:t>
      </w:r>
      <w:r w:rsidRPr="001E4344">
        <w:t xml:space="preserve"> </w:t>
      </w:r>
      <w:proofErr w:type="spellStart"/>
      <w:r w:rsidRPr="001E4344">
        <w:t>t</w:t>
      </w:r>
      <w:r w:rsidRPr="00692437">
        <w:rPr>
          <w:vertAlign w:val="subscript"/>
        </w:rPr>
        <w:t>max</w:t>
      </w:r>
      <w:proofErr w:type="spellEnd"/>
      <w:r>
        <w:t xml:space="preserve"> (time of occurrence of </w:t>
      </w:r>
      <w:proofErr w:type="spellStart"/>
      <w:r w:rsidRPr="001E4344">
        <w:t>C</w:t>
      </w:r>
      <w:r w:rsidRPr="00692437">
        <w:rPr>
          <w:vertAlign w:val="subscript"/>
        </w:rPr>
        <w:t>max</w:t>
      </w:r>
      <w:proofErr w:type="spellEnd"/>
      <w:r>
        <w:t xml:space="preserve">), </w:t>
      </w:r>
      <w:r w:rsidRPr="001E4344">
        <w:t>elim</w:t>
      </w:r>
      <w:r>
        <w:t>ination rate constant (</w:t>
      </w:r>
      <w:proofErr w:type="spellStart"/>
      <w:r>
        <w:t>λz</w:t>
      </w:r>
      <w:proofErr w:type="spellEnd"/>
      <w:r>
        <w:t>), t</w:t>
      </w:r>
      <w:r w:rsidRPr="003C2E65">
        <w:rPr>
          <w:vertAlign w:val="subscript"/>
        </w:rPr>
        <w:t>½</w:t>
      </w:r>
      <w:r>
        <w:t xml:space="preserve"> (half life), </w:t>
      </w:r>
      <w:r w:rsidRPr="001E4344">
        <w:t>AUC</w:t>
      </w:r>
      <w:r w:rsidRPr="00692437">
        <w:rPr>
          <w:vertAlign w:val="subscript"/>
        </w:rPr>
        <w:t>(0- last</w:t>
      </w:r>
      <w:r>
        <w:rPr>
          <w:vertAlign w:val="subscript"/>
        </w:rPr>
        <w:t>)</w:t>
      </w:r>
      <w:r w:rsidRPr="001E4344">
        <w:t xml:space="preserve">, </w:t>
      </w:r>
      <w:r>
        <w:t xml:space="preserve">(area under the concentration curve </w:t>
      </w:r>
      <w:r w:rsidRPr="00692437">
        <w:t>from time zero to time of last measurable concentration</w:t>
      </w:r>
      <w:r>
        <w:t xml:space="preserve">), </w:t>
      </w:r>
      <w:r w:rsidRPr="001E4344">
        <w:t>AUC</w:t>
      </w:r>
      <w:r w:rsidRPr="00692437">
        <w:rPr>
          <w:vertAlign w:val="subscript"/>
        </w:rPr>
        <w:t>(0-inf</w:t>
      </w:r>
      <w:r>
        <w:rPr>
          <w:vertAlign w:val="subscript"/>
        </w:rPr>
        <w:t>)</w:t>
      </w:r>
      <w:r w:rsidRPr="00692437">
        <w:t xml:space="preserve"> </w:t>
      </w:r>
      <w:r>
        <w:t>(area under the concentration curve</w:t>
      </w:r>
      <w:r w:rsidRPr="00692437">
        <w:t xml:space="preserve"> </w:t>
      </w:r>
      <w:r>
        <w:t>from time zero to infinity), CL (clearance) of</w:t>
      </w:r>
      <w:r w:rsidRPr="001E4344">
        <w:t xml:space="preserve"> total </w:t>
      </w:r>
      <w:proofErr w:type="spellStart"/>
      <w:r w:rsidRPr="001E4344">
        <w:t>IgG</w:t>
      </w:r>
      <w:proofErr w:type="spellEnd"/>
      <w:r w:rsidRPr="001E4344">
        <w:t xml:space="preserve"> only</w:t>
      </w:r>
      <w:r>
        <w:t xml:space="preserve">, and </w:t>
      </w:r>
      <w:proofErr w:type="spellStart"/>
      <w:r>
        <w:t>Vd</w:t>
      </w:r>
      <w:proofErr w:type="spellEnd"/>
      <w:r>
        <w:t xml:space="preserve"> (volume of distribution) </w:t>
      </w:r>
      <w:r w:rsidRPr="001E4344">
        <w:t xml:space="preserve">of total </w:t>
      </w:r>
      <w:proofErr w:type="spellStart"/>
      <w:r w:rsidRPr="001E4344">
        <w:t>IgG</w:t>
      </w:r>
      <w:proofErr w:type="spellEnd"/>
      <w:r w:rsidRPr="001E4344">
        <w:t xml:space="preserve">, </w:t>
      </w:r>
      <w:proofErr w:type="spellStart"/>
      <w:r w:rsidRPr="001E4344">
        <w:t>IgG</w:t>
      </w:r>
      <w:proofErr w:type="spellEnd"/>
      <w:r w:rsidRPr="001E4344">
        <w:t xml:space="preserve"> subclasses, and </w:t>
      </w:r>
      <w:proofErr w:type="spellStart"/>
      <w:r w:rsidRPr="001E4344">
        <w:t>IgG</w:t>
      </w:r>
      <w:proofErr w:type="spellEnd"/>
      <w:r w:rsidRPr="001E4344">
        <w:t xml:space="preserve"> antibodies against specified antigens were m</w:t>
      </w:r>
      <w:r>
        <w:t xml:space="preserve">easured or derived by using non </w:t>
      </w:r>
      <w:r w:rsidRPr="001E4344">
        <w:t>co</w:t>
      </w:r>
      <w:r>
        <w:t>mpartmental methods and summaris</w:t>
      </w:r>
      <w:r w:rsidRPr="001E4344">
        <w:t>ed descriptively</w:t>
      </w:r>
      <w:r>
        <w:t>.</w:t>
      </w:r>
    </w:p>
    <w:p w:rsidR="0084141F" w:rsidRPr="0084141F" w:rsidRDefault="0084141F" w:rsidP="0084141F">
      <w:pPr>
        <w:pStyle w:val="Heading5"/>
      </w:pPr>
      <w:r w:rsidRPr="0084141F">
        <w:lastRenderedPageBreak/>
        <w:t>Results</w:t>
      </w:r>
    </w:p>
    <w:p w:rsidR="0084141F" w:rsidRPr="001E4344" w:rsidRDefault="0084141F" w:rsidP="0084141F">
      <w:r w:rsidRPr="001E4344">
        <w:t>All patients were adult Caucasians with mean age</w:t>
      </w:r>
      <w:r>
        <w:t xml:space="preserve"> 37.2 years; 47.4% were female.</w:t>
      </w:r>
    </w:p>
    <w:p w:rsidR="0084141F" w:rsidRDefault="0084141F" w:rsidP="0084141F">
      <w:r w:rsidRPr="001E4344">
        <w:t xml:space="preserve">Overall, the patterns observed in the PK behaviour for Total </w:t>
      </w:r>
      <w:proofErr w:type="spellStart"/>
      <w:r w:rsidRPr="001E4344">
        <w:t>IgG</w:t>
      </w:r>
      <w:proofErr w:type="spellEnd"/>
      <w:r w:rsidRPr="001E4344">
        <w:t xml:space="preserve"> levels, </w:t>
      </w:r>
      <w:proofErr w:type="spellStart"/>
      <w:r w:rsidRPr="001E4344">
        <w:t>IgG</w:t>
      </w:r>
      <w:proofErr w:type="spellEnd"/>
      <w:r w:rsidRPr="001E4344">
        <w:t xml:space="preserve"> subclass levels, and the </w:t>
      </w:r>
      <w:proofErr w:type="spellStart"/>
      <w:r w:rsidRPr="001E4344">
        <w:t>IgG</w:t>
      </w:r>
      <w:proofErr w:type="spellEnd"/>
      <w:r w:rsidRPr="001E4344">
        <w:t xml:space="preserve"> antibody levels to specified antigens were similar</w:t>
      </w:r>
      <w:r>
        <w:t xml:space="preserve"> for the two dosage regimens</w:t>
      </w:r>
      <w:r w:rsidRPr="001E4344">
        <w:t>.</w:t>
      </w:r>
    </w:p>
    <w:p w:rsidR="0084141F" w:rsidRDefault="0084141F" w:rsidP="0084141F">
      <w:r>
        <w:t xml:space="preserve">For patients on the 21 </w:t>
      </w:r>
      <w:r w:rsidRPr="00A95077">
        <w:t>day</w:t>
      </w:r>
      <w:r>
        <w:t xml:space="preserve"> </w:t>
      </w:r>
      <w:r w:rsidRPr="00A95077">
        <w:t xml:space="preserve">infusion schedule, the mean </w:t>
      </w:r>
      <w:proofErr w:type="spellStart"/>
      <w:r w:rsidRPr="00A95077">
        <w:t>C</w:t>
      </w:r>
      <w:r w:rsidRPr="00C00E83">
        <w:rPr>
          <w:vertAlign w:val="subscript"/>
        </w:rPr>
        <w:t>max</w:t>
      </w:r>
      <w:proofErr w:type="spellEnd"/>
      <w:r w:rsidRPr="00C00E83">
        <w:rPr>
          <w:vertAlign w:val="subscript"/>
        </w:rPr>
        <w:t xml:space="preserve"> </w:t>
      </w:r>
      <w:r w:rsidRPr="00A95077">
        <w:t>was 1950.00 mg/</w:t>
      </w:r>
      <w:proofErr w:type="spellStart"/>
      <w:r w:rsidRPr="00A95077">
        <w:t>dL</w:t>
      </w:r>
      <w:proofErr w:type="spellEnd"/>
      <w:r w:rsidRPr="00A95077">
        <w:t xml:space="preserve">, the mean </w:t>
      </w:r>
      <w:proofErr w:type="spellStart"/>
      <w:r w:rsidRPr="00A95077">
        <w:t>t</w:t>
      </w:r>
      <w:r w:rsidRPr="00C00E83">
        <w:rPr>
          <w:vertAlign w:val="subscript"/>
        </w:rPr>
        <w:t>max</w:t>
      </w:r>
      <w:proofErr w:type="spellEnd"/>
      <w:r w:rsidRPr="00A95077">
        <w:t xml:space="preserve"> was 0.2167 days</w:t>
      </w:r>
      <w:r>
        <w:t xml:space="preserve"> (~</w:t>
      </w:r>
      <w:r w:rsidRPr="00A95077">
        <w:t>5 h from the start of infusion), the mean AUC</w:t>
      </w:r>
      <w:r w:rsidRPr="00C00E83">
        <w:rPr>
          <w:vertAlign w:val="subscript"/>
        </w:rPr>
        <w:t>(0-last)</w:t>
      </w:r>
      <w:r w:rsidRPr="00A95077">
        <w:t xml:space="preserve"> was</w:t>
      </w:r>
      <w:r>
        <w:t xml:space="preserve"> </w:t>
      </w:r>
      <w:r w:rsidRPr="00A95077">
        <w:t>33951.41 day*mg/</w:t>
      </w:r>
      <w:proofErr w:type="spellStart"/>
      <w:r w:rsidRPr="00A95077">
        <w:t>dL</w:t>
      </w:r>
      <w:proofErr w:type="spellEnd"/>
      <w:r w:rsidRPr="00A95077">
        <w:t xml:space="preserve">, the estimated serum t½ was 33.76 days, the mean </w:t>
      </w:r>
      <w:r>
        <w:t>CL</w:t>
      </w:r>
      <w:r w:rsidRPr="00A95077">
        <w:t xml:space="preserve"> was 114.53 </w:t>
      </w:r>
      <w:proofErr w:type="spellStart"/>
      <w:r w:rsidRPr="00A95077">
        <w:t>mL</w:t>
      </w:r>
      <w:proofErr w:type="spellEnd"/>
      <w:r w:rsidRPr="00A95077">
        <w:t xml:space="preserve">/day, and the mean estimated </w:t>
      </w:r>
      <w:proofErr w:type="spellStart"/>
      <w:r>
        <w:t>Vd</w:t>
      </w:r>
      <w:proofErr w:type="spellEnd"/>
      <w:r w:rsidRPr="00A95077">
        <w:t xml:space="preserve"> was</w:t>
      </w:r>
      <w:r>
        <w:t xml:space="preserve"> 5.39 L.</w:t>
      </w:r>
    </w:p>
    <w:p w:rsidR="0084141F" w:rsidRPr="001E4344" w:rsidRDefault="0084141F" w:rsidP="0084141F">
      <w:r w:rsidRPr="00A95077">
        <w:t>For patients on the 28</w:t>
      </w:r>
      <w:r>
        <w:t xml:space="preserve"> </w:t>
      </w:r>
      <w:r w:rsidRPr="00A95077">
        <w:t xml:space="preserve">day infusion schedule, the mean </w:t>
      </w:r>
      <w:proofErr w:type="spellStart"/>
      <w:r w:rsidRPr="00A95077">
        <w:t>C</w:t>
      </w:r>
      <w:r w:rsidRPr="00C00E83">
        <w:rPr>
          <w:vertAlign w:val="subscript"/>
        </w:rPr>
        <w:t>max</w:t>
      </w:r>
      <w:proofErr w:type="spellEnd"/>
      <w:r w:rsidRPr="00A95077">
        <w:t xml:space="preserve"> was</w:t>
      </w:r>
      <w:r>
        <w:t xml:space="preserve"> </w:t>
      </w:r>
      <w:r w:rsidRPr="00A95077">
        <w:t>2092.22 mg/</w:t>
      </w:r>
      <w:proofErr w:type="spellStart"/>
      <w:r w:rsidRPr="00A95077">
        <w:t>dL</w:t>
      </w:r>
      <w:proofErr w:type="spellEnd"/>
      <w:r w:rsidRPr="00A95077">
        <w:t xml:space="preserve">, the mean </w:t>
      </w:r>
      <w:proofErr w:type="spellStart"/>
      <w:r w:rsidRPr="00A95077">
        <w:t>t</w:t>
      </w:r>
      <w:r w:rsidRPr="00C00E83">
        <w:rPr>
          <w:vertAlign w:val="subscript"/>
        </w:rPr>
        <w:t>max</w:t>
      </w:r>
      <w:proofErr w:type="spellEnd"/>
      <w:r w:rsidRPr="00A95077">
        <w:t xml:space="preserve"> was 0.0137 days (approximately 0.33 hours from the start</w:t>
      </w:r>
      <w:r>
        <w:t xml:space="preserve"> </w:t>
      </w:r>
      <w:r w:rsidRPr="00A95077">
        <w:t xml:space="preserve">of infusion), the mean </w:t>
      </w:r>
      <w:proofErr w:type="gramStart"/>
      <w:r w:rsidRPr="00A95077">
        <w:t>AUC</w:t>
      </w:r>
      <w:r w:rsidRPr="00C00E83">
        <w:rPr>
          <w:vertAlign w:val="subscript"/>
        </w:rPr>
        <w:t>(</w:t>
      </w:r>
      <w:proofErr w:type="gramEnd"/>
      <w:r w:rsidRPr="00C00E83">
        <w:rPr>
          <w:vertAlign w:val="subscript"/>
        </w:rPr>
        <w:t xml:space="preserve">0-last) </w:t>
      </w:r>
      <w:r w:rsidRPr="00A95077">
        <w:t>was 34236.70 day*mg/</w:t>
      </w:r>
      <w:proofErr w:type="spellStart"/>
      <w:r w:rsidRPr="00A95077">
        <w:t>dL</w:t>
      </w:r>
      <w:proofErr w:type="spellEnd"/>
      <w:r w:rsidRPr="00A95077">
        <w:t>, the estimated serum t</w:t>
      </w:r>
      <w:r w:rsidRPr="003C2E65">
        <w:rPr>
          <w:vertAlign w:val="subscript"/>
        </w:rPr>
        <w:t>½</w:t>
      </w:r>
      <w:r w:rsidRPr="00A95077">
        <w:t xml:space="preserve"> was</w:t>
      </w:r>
      <w:r>
        <w:t xml:space="preserve"> </w:t>
      </w:r>
      <w:r w:rsidRPr="00A95077">
        <w:t xml:space="preserve">37.14 days, the mean </w:t>
      </w:r>
      <w:r>
        <w:t>CL</w:t>
      </w:r>
      <w:r w:rsidRPr="00A95077">
        <w:t xml:space="preserve"> was 143.83 </w:t>
      </w:r>
      <w:proofErr w:type="spellStart"/>
      <w:r w:rsidRPr="00A95077">
        <w:t>mL</w:t>
      </w:r>
      <w:proofErr w:type="spellEnd"/>
      <w:r w:rsidRPr="00A95077">
        <w:t>/day, and the mean estimated</w:t>
      </w:r>
      <w:r>
        <w:t xml:space="preserve"> </w:t>
      </w:r>
      <w:proofErr w:type="spellStart"/>
      <w:r>
        <w:t>Vd</w:t>
      </w:r>
      <w:proofErr w:type="spellEnd"/>
      <w:r w:rsidRPr="00A95077">
        <w:t xml:space="preserve"> was 7.47 L.</w:t>
      </w:r>
    </w:p>
    <w:p w:rsidR="0084141F" w:rsidRPr="001500E0" w:rsidRDefault="0084141F" w:rsidP="0084141F">
      <w:r w:rsidRPr="001E4344">
        <w:t xml:space="preserve">Trough total </w:t>
      </w:r>
      <w:proofErr w:type="spellStart"/>
      <w:r w:rsidRPr="001E4344">
        <w:t>IgG</w:t>
      </w:r>
      <w:proofErr w:type="spellEnd"/>
      <w:r w:rsidRPr="001E4344">
        <w:t xml:space="preserve"> and </w:t>
      </w:r>
      <w:proofErr w:type="spellStart"/>
      <w:r w:rsidRPr="001E4344">
        <w:t>IgG</w:t>
      </w:r>
      <w:proofErr w:type="spellEnd"/>
      <w:r w:rsidRPr="001E4344">
        <w:t xml:space="preserve"> subclass concentrations were maintained at or near pre</w:t>
      </w:r>
      <w:r>
        <w:t xml:space="preserve"> </w:t>
      </w:r>
      <w:r w:rsidRPr="001E4344">
        <w:t xml:space="preserve">study levels throughout the treatment period with IVIG31 </w:t>
      </w:r>
      <w:proofErr w:type="spellStart"/>
      <w:r w:rsidRPr="00566D5C">
        <w:t>Grifols</w:t>
      </w:r>
      <w:proofErr w:type="spellEnd"/>
      <w:r>
        <w:t xml:space="preserve"> </w:t>
      </w:r>
      <w:r w:rsidRPr="001E4344">
        <w:t xml:space="preserve">10%, as evidenced by both the relatively small changes in these parameters observed over the course of the study and the absence of any patients recording decreases in trough total </w:t>
      </w:r>
      <w:proofErr w:type="spellStart"/>
      <w:r w:rsidRPr="001E4344">
        <w:t>IgG</w:t>
      </w:r>
      <w:proofErr w:type="spellEnd"/>
      <w:r w:rsidRPr="001E4344">
        <w:t xml:space="preserve"> &gt; 50% from screening or first infusio</w:t>
      </w:r>
      <w:r w:rsidRPr="001A3F5B">
        <w:t>n</w:t>
      </w:r>
      <w:r>
        <w:t xml:space="preserve"> (Figure 1).</w:t>
      </w:r>
    </w:p>
    <w:p w:rsidR="0084141F" w:rsidRPr="0084141F" w:rsidRDefault="0084141F" w:rsidP="0084141F">
      <w:pPr>
        <w:pStyle w:val="FigureTitle"/>
      </w:pPr>
      <w:r w:rsidRPr="0084141F">
        <w:t xml:space="preserve">Figure 1: Summary of trough </w:t>
      </w:r>
      <w:proofErr w:type="spellStart"/>
      <w:r w:rsidRPr="0084141F">
        <w:t>IgG</w:t>
      </w:r>
      <w:proofErr w:type="spellEnd"/>
      <w:r w:rsidRPr="0084141F">
        <w:t xml:space="preserve"> concentrations (intention-to-treat patients, mean values and SD) during the trial (Study IG304).</w:t>
      </w:r>
    </w:p>
    <w:p w:rsidR="0084141F" w:rsidRDefault="0084141F" w:rsidP="0084141F">
      <w:r>
        <w:rPr>
          <w:noProof/>
          <w:lang w:eastAsia="en-AU"/>
        </w:rPr>
        <w:drawing>
          <wp:inline distT="0" distB="0" distL="0" distR="0">
            <wp:extent cx="4729480" cy="2786380"/>
            <wp:effectExtent l="19050" t="0" r="0" b="0"/>
            <wp:docPr id="5" name="Picture 5" descr="Figure 1: Summary of trough IgG concentrations (intention-to-treat patients, mean values and SD) during the trial (Study IG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1: Summary of trough IgG concentrations (intention-to-treat patients, mean values and SD) during the trial (Study IG304)."/>
                    <pic:cNvPicPr>
                      <a:picLocks noChangeAspect="1" noChangeArrowheads="1"/>
                    </pic:cNvPicPr>
                  </pic:nvPicPr>
                  <pic:blipFill>
                    <a:blip r:embed="rId14" cstate="print"/>
                    <a:srcRect/>
                    <a:stretch>
                      <a:fillRect/>
                    </a:stretch>
                  </pic:blipFill>
                  <pic:spPr bwMode="auto">
                    <a:xfrm>
                      <a:off x="0" y="0"/>
                      <a:ext cx="4729480" cy="2786380"/>
                    </a:xfrm>
                    <a:prstGeom prst="rect">
                      <a:avLst/>
                    </a:prstGeom>
                    <a:noFill/>
                    <a:ln w="9525">
                      <a:noFill/>
                      <a:miter lim="800000"/>
                      <a:headEnd/>
                      <a:tailEnd/>
                    </a:ln>
                  </pic:spPr>
                </pic:pic>
              </a:graphicData>
            </a:graphic>
          </wp:inline>
        </w:drawing>
      </w:r>
    </w:p>
    <w:p w:rsidR="008E7846" w:rsidRPr="00254787" w:rsidRDefault="008E7846" w:rsidP="008E7846">
      <w:pPr>
        <w:pStyle w:val="Heading3"/>
      </w:pPr>
      <w:bookmarkStart w:id="50" w:name="_Toc163441372"/>
      <w:bookmarkStart w:id="51" w:name="_Toc196046485"/>
      <w:bookmarkStart w:id="52" w:name="_Toc247691521"/>
      <w:bookmarkStart w:id="53" w:name="_Toc314842504"/>
      <w:bookmarkStart w:id="54" w:name="_Toc369706043"/>
      <w:bookmarkEnd w:id="39"/>
      <w:r w:rsidRPr="00254787">
        <w:t>Efficacy</w:t>
      </w:r>
      <w:bookmarkEnd w:id="50"/>
      <w:bookmarkEnd w:id="51"/>
      <w:bookmarkEnd w:id="52"/>
      <w:bookmarkEnd w:id="53"/>
      <w:bookmarkEnd w:id="54"/>
    </w:p>
    <w:p w:rsidR="00245131" w:rsidRPr="00692437" w:rsidRDefault="00245131" w:rsidP="00245131">
      <w:pPr>
        <w:pStyle w:val="Heading4"/>
      </w:pPr>
      <w:bookmarkStart w:id="55" w:name="_Toc184439992"/>
      <w:bookmarkStart w:id="56" w:name="_Toc184440279"/>
      <w:bookmarkStart w:id="57" w:name="_Toc184444657"/>
      <w:bookmarkStart w:id="58" w:name="_Toc196046487"/>
      <w:r w:rsidRPr="00721C79">
        <w:t xml:space="preserve">Efficacy in </w:t>
      </w:r>
      <w:r>
        <w:t>p</w:t>
      </w:r>
      <w:r w:rsidRPr="00721C79">
        <w:t xml:space="preserve">rimary </w:t>
      </w:r>
      <w:r>
        <w:t>i</w:t>
      </w:r>
      <w:r w:rsidRPr="00721C79">
        <w:t xml:space="preserve">mmunodeficiency </w:t>
      </w:r>
      <w:r>
        <w:t>d</w:t>
      </w:r>
      <w:r w:rsidRPr="00721C79">
        <w:t>isease</w:t>
      </w:r>
      <w:r>
        <w:t xml:space="preserve"> (PID): </w:t>
      </w:r>
      <w:r w:rsidRPr="00692437">
        <w:t>Study IG304</w:t>
      </w:r>
    </w:p>
    <w:p w:rsidR="00245131" w:rsidRPr="00245131" w:rsidRDefault="00245131" w:rsidP="00245131">
      <w:pPr>
        <w:pStyle w:val="Heading5"/>
      </w:pPr>
      <w:r w:rsidRPr="00245131">
        <w:t>Results</w:t>
      </w:r>
    </w:p>
    <w:p w:rsidR="00245131" w:rsidRPr="001E4344" w:rsidRDefault="00245131" w:rsidP="00245131">
      <w:r>
        <w:t>Forty-six</w:t>
      </w:r>
      <w:r w:rsidRPr="001E4344">
        <w:t xml:space="preserve"> patients were enrolled and received at least one infusion of study product. This group constituted the </w:t>
      </w:r>
      <w:r>
        <w:t xml:space="preserve">intention to </w:t>
      </w:r>
      <w:r w:rsidRPr="00DB0543">
        <w:t xml:space="preserve">treat </w:t>
      </w:r>
      <w:r>
        <w:t>(</w:t>
      </w:r>
      <w:r w:rsidRPr="001E4344">
        <w:t>ITT</w:t>
      </w:r>
      <w:r>
        <w:t>)</w:t>
      </w:r>
      <w:r w:rsidRPr="001E4344">
        <w:t xml:space="preserve"> population used in all efficacy and safety calculations. A total of 37</w:t>
      </w:r>
      <w:r>
        <w:t>/46</w:t>
      </w:r>
      <w:r w:rsidRPr="001E4344">
        <w:t xml:space="preserve"> (80.4%) completed the study. Four participants </w:t>
      </w:r>
      <w:r>
        <w:t>were less than 18 years of age.</w:t>
      </w:r>
    </w:p>
    <w:p w:rsidR="00245131" w:rsidRPr="001E4344" w:rsidRDefault="00245131" w:rsidP="00245131">
      <w:r w:rsidRPr="001E4344">
        <w:t>Nine patients (19.6%) withdrew from the study. The most common reasons for early withdrawal were patient/parent or l</w:t>
      </w:r>
      <w:r>
        <w:t>egal guardian decision (four</w:t>
      </w:r>
      <w:r w:rsidRPr="001E4344">
        <w:t xml:space="preserve"> pati</w:t>
      </w:r>
      <w:r>
        <w:t xml:space="preserve">ents, 8.7%) and AE </w:t>
      </w:r>
      <w:r>
        <w:lastRenderedPageBreak/>
        <w:t>(three</w:t>
      </w:r>
      <w:r w:rsidRPr="001E4344">
        <w:t xml:space="preserve"> patients, 6.5%). One patient became pregnant and</w:t>
      </w:r>
      <w:r>
        <w:t xml:space="preserve"> one patient was lost to follow </w:t>
      </w:r>
      <w:r w:rsidRPr="001E4344">
        <w:t>up</w:t>
      </w:r>
      <w:r>
        <w:t xml:space="preserve">. </w:t>
      </w:r>
      <w:r w:rsidRPr="001E4344">
        <w:t>Twenty-five patients (54.3%) recorded protocol deviations.</w:t>
      </w:r>
    </w:p>
    <w:p w:rsidR="00245131" w:rsidRPr="001E4344" w:rsidRDefault="00245131" w:rsidP="00245131">
      <w:r w:rsidRPr="001E4344">
        <w:t xml:space="preserve">The mean number of days in study was 321 (range: 15-379). The mean volume of IGIV3I </w:t>
      </w:r>
      <w:proofErr w:type="spellStart"/>
      <w:r w:rsidRPr="00566D5C">
        <w:t>Grifols</w:t>
      </w:r>
      <w:proofErr w:type="spellEnd"/>
      <w:r w:rsidRPr="001E4344">
        <w:t xml:space="preserve"> 10% infused per patient per infusion was 351 </w:t>
      </w:r>
      <w:proofErr w:type="spellStart"/>
      <w:r w:rsidRPr="001E4344">
        <w:t>mL</w:t>
      </w:r>
      <w:proofErr w:type="spellEnd"/>
      <w:r w:rsidRPr="001E4344">
        <w:t xml:space="preserve"> (range: 100-650 </w:t>
      </w:r>
      <w:proofErr w:type="spellStart"/>
      <w:r w:rsidRPr="001E4344">
        <w:t>mL</w:t>
      </w:r>
      <w:proofErr w:type="spellEnd"/>
      <w:r w:rsidRPr="001E4344">
        <w:t xml:space="preserve">), and the mean dose of IGIV3I </w:t>
      </w:r>
      <w:proofErr w:type="spellStart"/>
      <w:r w:rsidRPr="00566D5C">
        <w:t>Grifols</w:t>
      </w:r>
      <w:proofErr w:type="spellEnd"/>
      <w:r w:rsidRPr="001E4344">
        <w:t xml:space="preserve"> 10% infused per unit of baseline body weight per infusion was 461 mg/kg (range: 307-597 mg/kg).</w:t>
      </w:r>
    </w:p>
    <w:p w:rsidR="00245131" w:rsidRPr="00245131" w:rsidRDefault="00245131" w:rsidP="00245131">
      <w:pPr>
        <w:pStyle w:val="Heading5"/>
      </w:pPr>
      <w:r w:rsidRPr="00245131">
        <w:t>Primary efficacy outcome</w:t>
      </w:r>
    </w:p>
    <w:p w:rsidR="00245131" w:rsidRPr="001E4344" w:rsidRDefault="00245131" w:rsidP="00245131">
      <w:r w:rsidRPr="001E4344">
        <w:t>One serious bacterial infection (pneumonia) was reported giving a rate of 0.025 infections</w:t>
      </w:r>
      <w:r>
        <w:t>/patient/year (98% CI [Confidence Interval] = 0.001-</w:t>
      </w:r>
      <w:r w:rsidRPr="001E4344">
        <w:t>0.133), which satisfied the FDA efficacy criterion of ≤ 1 serious bacterial infection/patient/year.</w:t>
      </w:r>
    </w:p>
    <w:p w:rsidR="00245131" w:rsidRPr="00245131" w:rsidRDefault="00245131" w:rsidP="00245131">
      <w:pPr>
        <w:pStyle w:val="Heading5"/>
      </w:pPr>
      <w:r w:rsidRPr="00245131">
        <w:t>Secondary outcomes</w:t>
      </w:r>
    </w:p>
    <w:p w:rsidR="00245131" w:rsidRPr="001E4344" w:rsidRDefault="00245131" w:rsidP="00245131">
      <w:r w:rsidRPr="001E4344">
        <w:t>Infections documented by positive radiograph or fever occurred in 15% of patients. The median number of all infectious episodes per patient year was 1.0 and the mean number was 2.4</w:t>
      </w:r>
      <w:r>
        <w:t>.</w:t>
      </w:r>
    </w:p>
    <w:p w:rsidR="00245131" w:rsidRPr="001E4344" w:rsidRDefault="00245131" w:rsidP="00245131">
      <w:r w:rsidRPr="001E4344">
        <w:t>Twenty p</w:t>
      </w:r>
      <w:r>
        <w:t xml:space="preserve">atients (43%) missed at least one </w:t>
      </w:r>
      <w:r w:rsidRPr="001E4344">
        <w:t xml:space="preserve">day of work/school. The mean number of </w:t>
      </w:r>
      <w:r>
        <w:t>days of work/school missed was three</w:t>
      </w:r>
      <w:r w:rsidRPr="001E4344">
        <w:t xml:space="preserve"> (median = 0 days; range: 0-29 days). This compares favourably with statistics reported by the Work Loss Data Institute, which show tha</w:t>
      </w:r>
      <w:r>
        <w:t xml:space="preserve">t on average, the typical, non </w:t>
      </w:r>
      <w:r w:rsidRPr="001E4344">
        <w:t>immune compromised U.S. worker</w:t>
      </w:r>
      <w:r>
        <w:t xml:space="preserve"> missed 8.5 days of work in </w:t>
      </w:r>
      <w:r w:rsidRPr="001E4344">
        <w:t>2000.</w:t>
      </w:r>
      <w:r w:rsidRPr="001E4344">
        <w:rPr>
          <w:rStyle w:val="FootnoteReference"/>
          <w:rFonts w:ascii="Arial" w:hAnsi="Arial" w:cs="Arial"/>
          <w:sz w:val="20"/>
          <w:szCs w:val="20"/>
        </w:rPr>
        <w:footnoteReference w:id="4"/>
      </w:r>
    </w:p>
    <w:p w:rsidR="00245131" w:rsidRPr="001E4344" w:rsidRDefault="00245131" w:rsidP="00245131">
      <w:r w:rsidRPr="001E4344">
        <w:t>Five patients (11%) were hospitali</w:t>
      </w:r>
      <w:r>
        <w:t>s</w:t>
      </w:r>
      <w:r w:rsidRPr="001E4344">
        <w:t>ed at least once. The mean number of days of hospitali</w:t>
      </w:r>
      <w:r>
        <w:t>s</w:t>
      </w:r>
      <w:r w:rsidRPr="001E4344">
        <w:t>ation was 0.6 (median</w:t>
      </w:r>
      <w:r>
        <w:t xml:space="preserve"> = 0.0 days; range: 0-13 days).</w:t>
      </w:r>
    </w:p>
    <w:p w:rsidR="00245131" w:rsidRPr="001E4344" w:rsidRDefault="00245131" w:rsidP="00245131">
      <w:r w:rsidRPr="001E4344">
        <w:t>The proportion of patients with any epis</w:t>
      </w:r>
      <w:r>
        <w:t xml:space="preserve">ode of infection during this 12 </w:t>
      </w:r>
      <w:r w:rsidRPr="001E4344">
        <w:t>month study was 61%, compared with 48% of patients who reported an infection in the</w:t>
      </w:r>
      <w:r>
        <w:t xml:space="preserve"> 6 months prior to study entry.</w:t>
      </w:r>
    </w:p>
    <w:p w:rsidR="00245131" w:rsidRPr="001E4344" w:rsidRDefault="00245131" w:rsidP="00245131">
      <w:r w:rsidRPr="001E4344">
        <w:t xml:space="preserve">During the study, a total of </w:t>
      </w:r>
      <w:r>
        <w:t>37 patients (80%) used at least one</w:t>
      </w:r>
      <w:r w:rsidRPr="001E4344">
        <w:t xml:space="preserve"> therapeutic antibiotic, whether oral, </w:t>
      </w:r>
      <w:proofErr w:type="spellStart"/>
      <w:r w:rsidRPr="001E4344">
        <w:t>parenteral</w:t>
      </w:r>
      <w:proofErr w:type="spellEnd"/>
      <w:r w:rsidRPr="001E4344">
        <w:t>, other, or multiple types. Eleven patients had therapeutic antibiotic use but did n</w:t>
      </w:r>
      <w:r>
        <w:t>ot have an infectious episode; two patients had at least one</w:t>
      </w:r>
      <w:r w:rsidRPr="001E4344">
        <w:t xml:space="preserve"> infectious episode but no therapeutic antibiotic use (leaving the 2</w:t>
      </w:r>
      <w:r>
        <w:t>8 patients [61%] with at least one</w:t>
      </w:r>
      <w:r w:rsidRPr="001E4344">
        <w:t xml:space="preserve"> infectious episode). Among the 11 patients who had therapeutic antibiotic use without a reported infectious episode, the reported indication for the treatment was not re</w:t>
      </w:r>
      <w:r>
        <w:t>corded as an AE for four</w:t>
      </w:r>
      <w:r w:rsidRPr="001E4344">
        <w:t xml:space="preserve"> patients. Most of the </w:t>
      </w:r>
      <w:r>
        <w:t>AEs</w:t>
      </w:r>
      <w:r w:rsidRPr="001E4344">
        <w:t xml:space="preserve"> and indications associa</w:t>
      </w:r>
      <w:r>
        <w:t>ted with antibiotic use were</w:t>
      </w:r>
      <w:r w:rsidRPr="001E4344">
        <w:t xml:space="preserve"> characteri</w:t>
      </w:r>
      <w:r>
        <w:t xml:space="preserve">sed as cold and flu </w:t>
      </w:r>
      <w:r w:rsidRPr="001E4344">
        <w:t>like symptoms and none were considered serious</w:t>
      </w:r>
      <w:r>
        <w:t>.</w:t>
      </w:r>
    </w:p>
    <w:p w:rsidR="00245131" w:rsidRPr="001E4344" w:rsidRDefault="00245131" w:rsidP="00245131">
      <w:r>
        <w:t>A total of 25</w:t>
      </w:r>
      <w:r w:rsidRPr="001E4344">
        <w:t xml:space="preserve"> patients (54%) visited a phys</w:t>
      </w:r>
      <w:r>
        <w:t>ician or the emergency room</w:t>
      </w:r>
      <w:r w:rsidRPr="001E4344">
        <w:t xml:space="preserve"> at least once. The mean number of visits was 2.1 (median = 1.0 visits; range: 0-22 visits). This value is similar to those reported by the National </w:t>
      </w:r>
      <w:proofErr w:type="spellStart"/>
      <w:r w:rsidRPr="001E4344">
        <w:t>Center</w:t>
      </w:r>
      <w:proofErr w:type="spellEnd"/>
      <w:r w:rsidRPr="001E4344">
        <w:t xml:space="preserve"> for Health Statistics, which show that 3.0 physician visits per </w:t>
      </w:r>
      <w:r>
        <w:t xml:space="preserve">patient and approximately 0.4 emergency room </w:t>
      </w:r>
      <w:r w:rsidRPr="001E4344">
        <w:t>visi</w:t>
      </w:r>
      <w:r>
        <w:t>ts per patient were made by US</w:t>
      </w:r>
      <w:r w:rsidRPr="001E4344">
        <w:t xml:space="preserve"> residents in 2000.</w:t>
      </w:r>
      <w:r w:rsidRPr="001E4344">
        <w:rPr>
          <w:rStyle w:val="FootnoteReference"/>
          <w:rFonts w:ascii="Arial" w:hAnsi="Arial" w:cs="Arial"/>
          <w:sz w:val="20"/>
          <w:szCs w:val="20"/>
        </w:rPr>
        <w:footnoteReference w:id="5"/>
      </w:r>
    </w:p>
    <w:p w:rsidR="00245131" w:rsidRPr="00692437" w:rsidRDefault="00245131" w:rsidP="00245131">
      <w:pPr>
        <w:pStyle w:val="Heading4"/>
      </w:pPr>
      <w:r w:rsidRPr="00721C79">
        <w:t xml:space="preserve">Efficacy in </w:t>
      </w:r>
      <w:r>
        <w:t>i</w:t>
      </w:r>
      <w:r w:rsidRPr="00721C79">
        <w:t xml:space="preserve">diopathic thrombocytopenic </w:t>
      </w:r>
      <w:r>
        <w:t xml:space="preserve">purpure (ITP): </w:t>
      </w:r>
      <w:r w:rsidRPr="00D32E32">
        <w:t>Studies IG202 and IG0601</w:t>
      </w:r>
    </w:p>
    <w:p w:rsidR="00245131" w:rsidRDefault="00245131" w:rsidP="00245131">
      <w:pPr>
        <w:pStyle w:val="Heading5"/>
      </w:pPr>
      <w:r>
        <w:t>Design</w:t>
      </w:r>
    </w:p>
    <w:p w:rsidR="00245131" w:rsidRPr="00CF0AF1" w:rsidRDefault="00245131" w:rsidP="00245131">
      <w:r>
        <w:t>Two o</w:t>
      </w:r>
      <w:r w:rsidRPr="003119B5">
        <w:t>ngoing, multicentre, prospective, open-label studies of treatment of patients with</w:t>
      </w:r>
      <w:r>
        <w:t xml:space="preserve"> chronic</w:t>
      </w:r>
      <w:r w:rsidRPr="003119B5">
        <w:t xml:space="preserve"> </w:t>
      </w:r>
      <w:r>
        <w:t>ITP</w:t>
      </w:r>
      <w:r w:rsidRPr="003119B5">
        <w:t xml:space="preserve"> with IGIV3I </w:t>
      </w:r>
      <w:proofErr w:type="spellStart"/>
      <w:r w:rsidRPr="003119B5">
        <w:t>Grifols</w:t>
      </w:r>
      <w:proofErr w:type="spellEnd"/>
      <w:r w:rsidRPr="003119B5">
        <w:t xml:space="preserve"> 10%</w:t>
      </w:r>
      <w:r>
        <w:t xml:space="preserve"> were collated</w:t>
      </w:r>
      <w:r w:rsidRPr="003119B5">
        <w:t xml:space="preserve">. ITP was diagnosed according to the American Society of </w:t>
      </w:r>
      <w:proofErr w:type="spellStart"/>
      <w:r w:rsidRPr="003119B5">
        <w:t>Hemato</w:t>
      </w:r>
      <w:r>
        <w:t>logy</w:t>
      </w:r>
      <w:proofErr w:type="spellEnd"/>
      <w:r>
        <w:t xml:space="preserve"> (ASH) Guidelines on ITP. </w:t>
      </w:r>
      <w:r w:rsidRPr="00760E3B">
        <w:t>Chronic disease was defined as</w:t>
      </w:r>
      <w:r>
        <w:t xml:space="preserve"> </w:t>
      </w:r>
      <w:r w:rsidRPr="00760E3B">
        <w:lastRenderedPageBreak/>
        <w:t>the lack of a complete remission (platelet count ≥ 150 x 109/L) after 3 months (IG202) or 6</w:t>
      </w:r>
      <w:r>
        <w:t xml:space="preserve"> </w:t>
      </w:r>
      <w:r w:rsidRPr="00760E3B">
        <w:t>months (IG0601) from diagnosis of ITP.</w:t>
      </w:r>
    </w:p>
    <w:p w:rsidR="00245131" w:rsidRPr="003119B5" w:rsidRDefault="00245131" w:rsidP="00245131">
      <w:r w:rsidRPr="003119B5">
        <w:t xml:space="preserve">The primary objective of the two studies IG202 and IG0601 was to demonstrate that IGIV3I </w:t>
      </w:r>
      <w:proofErr w:type="spellStart"/>
      <w:r w:rsidRPr="003119B5">
        <w:t>Grifols</w:t>
      </w:r>
      <w:proofErr w:type="spellEnd"/>
      <w:r w:rsidRPr="003119B5">
        <w:t xml:space="preserve"> 10% is safe and effective in raising platelet counts in patients with ITP. There were no secondary objectives</w:t>
      </w:r>
      <w:r>
        <w:t xml:space="preserve"> described</w:t>
      </w:r>
      <w:r w:rsidRPr="003119B5">
        <w:t xml:space="preserve"> (t</w:t>
      </w:r>
      <w:r>
        <w:t>here were secondary endpoints).</w:t>
      </w:r>
    </w:p>
    <w:p w:rsidR="00245131" w:rsidRPr="003119B5" w:rsidRDefault="00245131" w:rsidP="00245131">
      <w:r w:rsidRPr="003119B5">
        <w:t>Primary efficacy endpoint was response to therapy defined as a platelet count ≥ 50 x 10</w:t>
      </w:r>
      <w:r w:rsidRPr="003119B5">
        <w:rPr>
          <w:vertAlign w:val="superscript"/>
        </w:rPr>
        <w:t>9</w:t>
      </w:r>
      <w:r w:rsidRPr="003119B5">
        <w:t>/L at any time during the study period (IG202) or by Day 8 ± 1 (IG0601). The primary efficacy criterion was the proportion of responder patients. Analyses were performed on the modified intent to treat population</w:t>
      </w:r>
      <w:r>
        <w:t xml:space="preserve"> (MITT)</w:t>
      </w:r>
      <w:r w:rsidRPr="003119B5">
        <w:t>, those participants who received at least one infusion at any dose.</w:t>
      </w:r>
      <w:r w:rsidRPr="00004F41">
        <w:t xml:space="preserve"> </w:t>
      </w:r>
      <w:r>
        <w:t>For patients who initiated medication which could affect the response rate during the study, only the efficacy measurements taken prior to use of prohibited medication were included in the analysis.</w:t>
      </w:r>
    </w:p>
    <w:p w:rsidR="00245131" w:rsidRDefault="00245131" w:rsidP="00245131">
      <w:r w:rsidRPr="003119B5">
        <w:t>With respect to results, it was</w:t>
      </w:r>
      <w:r>
        <w:t xml:space="preserve"> generally</w:t>
      </w:r>
      <w:r w:rsidRPr="003119B5">
        <w:t xml:space="preserve"> not possible to discern to which study the patients belonged, except for the paediatric patients </w:t>
      </w:r>
      <w:r>
        <w:t>who</w:t>
      </w:r>
      <w:r w:rsidRPr="003119B5">
        <w:t xml:space="preserve"> must have been included in IG0601.</w:t>
      </w:r>
    </w:p>
    <w:p w:rsidR="00245131" w:rsidRDefault="00245131" w:rsidP="00245131">
      <w:pPr>
        <w:pStyle w:val="Heading5"/>
      </w:pPr>
      <w:r>
        <w:t>Results</w:t>
      </w:r>
    </w:p>
    <w:p w:rsidR="00245131" w:rsidRPr="00566D5C" w:rsidRDefault="00245131" w:rsidP="00245131">
      <w:r w:rsidRPr="00566D5C">
        <w:t>A total of 27 patients were screened and enrolled</w:t>
      </w:r>
      <w:r>
        <w:t>;</w:t>
      </w:r>
      <w:r w:rsidRPr="00566D5C">
        <w:t xml:space="preserve"> 18 adults and 9 paediatric patients. All patients received at least one dose of study drug. Four patients, </w:t>
      </w:r>
      <w:r>
        <w:t xml:space="preserve">one child and three adults, </w:t>
      </w:r>
      <w:r w:rsidRPr="00566D5C">
        <w:t xml:space="preserve">all from Study IG0601, prematurely withdrew due to progression </w:t>
      </w:r>
      <w:r>
        <w:t>of disease</w:t>
      </w:r>
      <w:r w:rsidRPr="00566D5C">
        <w:t xml:space="preserve">. There were no withdrawals for </w:t>
      </w:r>
      <w:r>
        <w:t>AEs.</w:t>
      </w:r>
    </w:p>
    <w:p w:rsidR="00245131" w:rsidRDefault="00245131" w:rsidP="00245131">
      <w:r>
        <w:t>All 27 patients in the two</w:t>
      </w:r>
      <w:r w:rsidRPr="00566D5C">
        <w:t xml:space="preserve"> studies completed treatment with IGIV3I </w:t>
      </w:r>
      <w:proofErr w:type="spellStart"/>
      <w:r w:rsidRPr="00566D5C">
        <w:t>Grifols</w:t>
      </w:r>
      <w:proofErr w:type="spellEnd"/>
      <w:r w:rsidRPr="00566D5C">
        <w:t xml:space="preserve"> 10%. Twenty-two patients (4 in IG202 and 18 in IG0601) received study drug as 2 infusions of 1 </w:t>
      </w:r>
      <w:r>
        <w:t>g/kg/day over Day 1 and 2, and five</w:t>
      </w:r>
      <w:r w:rsidRPr="00566D5C">
        <w:t xml:space="preserve"> patients i</w:t>
      </w:r>
      <w:r>
        <w:t>n IG202 received study drug as five</w:t>
      </w:r>
      <w:r w:rsidRPr="00566D5C">
        <w:t xml:space="preserve"> infusions of 0.4 g/kg/day over Days 1-5, for a</w:t>
      </w:r>
      <w:r>
        <w:t>n overall</w:t>
      </w:r>
      <w:r w:rsidRPr="00566D5C">
        <w:t xml:space="preserve"> total of 69 infusions.</w:t>
      </w:r>
    </w:p>
    <w:p w:rsidR="00245131" w:rsidRDefault="00245131" w:rsidP="00245131">
      <w:r w:rsidRPr="00566D5C">
        <w:t xml:space="preserve">All patients who received at least one infusion (at any dose) of IGIV3I </w:t>
      </w:r>
      <w:proofErr w:type="spellStart"/>
      <w:r w:rsidRPr="00566D5C">
        <w:t>Grifols</w:t>
      </w:r>
      <w:proofErr w:type="spellEnd"/>
      <w:r w:rsidRPr="00566D5C">
        <w:t xml:space="preserve"> 10% were included in the MITT</w:t>
      </w:r>
      <w:r>
        <w:t xml:space="preserve"> </w:t>
      </w:r>
      <w:r w:rsidRPr="00566D5C">
        <w:t>analysis population. The MITT population was used for efficacy and s</w:t>
      </w:r>
      <w:r>
        <w:t>afety analyses and for summarisation</w:t>
      </w:r>
      <w:r w:rsidRPr="00566D5C">
        <w:t xml:space="preserve"> of demographic dat</w:t>
      </w:r>
      <w:r>
        <w:t>a and baseline characteristics.</w:t>
      </w:r>
    </w:p>
    <w:p w:rsidR="00245131" w:rsidRDefault="00245131" w:rsidP="00245131">
      <w:r w:rsidRPr="00566D5C">
        <w:t>One patient positive for HCV at study entry met exclusion criteria. Six patients had platelet count above the scheduled limit as per protocols before the first in</w:t>
      </w:r>
      <w:r>
        <w:t>fusion. These patients were</w:t>
      </w:r>
      <w:r w:rsidRPr="00566D5C">
        <w:t xml:space="preserve"> included in the MITT population.</w:t>
      </w:r>
    </w:p>
    <w:p w:rsidR="00245131" w:rsidRPr="00566D5C" w:rsidRDefault="00245131" w:rsidP="00245131">
      <w:r>
        <w:t xml:space="preserve">None of the </w:t>
      </w:r>
      <w:r w:rsidRPr="00566D5C">
        <w:t>protocol deviations was considered</w:t>
      </w:r>
      <w:r>
        <w:t xml:space="preserve"> by the investigators</w:t>
      </w:r>
      <w:r w:rsidRPr="00566D5C">
        <w:t xml:space="preserve"> to have a relevant effect on the global results of the studies.</w:t>
      </w:r>
    </w:p>
    <w:p w:rsidR="00245131" w:rsidRPr="00363AA9" w:rsidRDefault="00245131" w:rsidP="00245131">
      <w:r w:rsidRPr="00566D5C">
        <w:t xml:space="preserve">Adult patients were predominately female (61%) and </w:t>
      </w:r>
      <w:r>
        <w:t>W</w:t>
      </w:r>
      <w:r w:rsidRPr="00566D5C">
        <w:t xml:space="preserve">hite/Caucasian (89%), with a mean age of 49 years. Paediatric patients were predominately female (56%) and </w:t>
      </w:r>
      <w:r>
        <w:t>W</w:t>
      </w:r>
      <w:r w:rsidRPr="00566D5C">
        <w:t>hite/Caucasian (78%), with a mean age of 11 years.</w:t>
      </w:r>
    </w:p>
    <w:p w:rsidR="00245131" w:rsidRPr="003233B0" w:rsidRDefault="00245131" w:rsidP="00245131">
      <w:r>
        <w:t>All except four</w:t>
      </w:r>
      <w:r w:rsidRPr="003233B0">
        <w:t xml:space="preserve"> patients presented with some bleeding/haemorrhagic sign at the onset of </w:t>
      </w:r>
      <w:proofErr w:type="gramStart"/>
      <w:r w:rsidRPr="003233B0">
        <w:t>the</w:t>
      </w:r>
      <w:proofErr w:type="gramEnd"/>
      <w:r w:rsidRPr="003233B0">
        <w:t xml:space="preserve"> baseline episode of I</w:t>
      </w:r>
      <w:r>
        <w:t>TT</w:t>
      </w:r>
      <w:r w:rsidRPr="003233B0">
        <w:t xml:space="preserve">. One patient tested positive for </w:t>
      </w:r>
      <w:r>
        <w:t>anti nuclear antibodies (</w:t>
      </w:r>
      <w:r w:rsidRPr="003233B0">
        <w:t>ANA</w:t>
      </w:r>
      <w:r>
        <w:t>)</w:t>
      </w:r>
      <w:r w:rsidRPr="003233B0">
        <w:t>. Anti</w:t>
      </w:r>
      <w:r>
        <w:t xml:space="preserve"> </w:t>
      </w:r>
      <w:r w:rsidRPr="003233B0">
        <w:t>platelet antibodies were positive for three of eig</w:t>
      </w:r>
      <w:r>
        <w:t>ht patients tested at baseline.</w:t>
      </w:r>
    </w:p>
    <w:p w:rsidR="00245131" w:rsidRDefault="00245131" w:rsidP="00245131">
      <w:r>
        <w:t>A total of 24</w:t>
      </w:r>
      <w:r w:rsidRPr="003233B0">
        <w:t xml:space="preserve"> patients (89%) were responders with platelet count increase to ≥ 50 x 10</w:t>
      </w:r>
      <w:r w:rsidRPr="003233B0">
        <w:rPr>
          <w:vertAlign w:val="superscript"/>
        </w:rPr>
        <w:t>9</w:t>
      </w:r>
      <w:r>
        <w:t xml:space="preserve">/L. </w:t>
      </w:r>
      <w:r w:rsidRPr="003233B0">
        <w:t>The proportion of adult responders was 83% (15/18); the proportion of paedia</w:t>
      </w:r>
      <w:r>
        <w:t>tric responders was 100% (9/9).</w:t>
      </w:r>
    </w:p>
    <w:p w:rsidR="00245131" w:rsidRDefault="00245131" w:rsidP="00245131">
      <w:r w:rsidRPr="00663F6E">
        <w:t>The mean time to response was ≤1.6 days among all patients. In adult responders it was ≤1.7 days and in paediatrics</w:t>
      </w:r>
      <w:r>
        <w:t xml:space="preserve"> </w:t>
      </w:r>
      <w:r w:rsidRPr="00663F6E">
        <w:t>≤1.4 days. Median time to response was ≤2 days for the all subjects set and adults, and ≤1 day for paediatrics. The</w:t>
      </w:r>
      <w:r>
        <w:t xml:space="preserve"> </w:t>
      </w:r>
      <w:r w:rsidRPr="00663F6E">
        <w:t>mean duration of response was ≥14.0 days among all subjects, ≥13.1 days in adult responders and ≥ 15.6 days in</w:t>
      </w:r>
      <w:r>
        <w:t xml:space="preserve"> </w:t>
      </w:r>
      <w:r w:rsidRPr="00663F6E">
        <w:t>paediatrics. The median duration of response was ≥13 days in the all subjects set, ≥9 days in adults and ≥15 days in</w:t>
      </w:r>
      <w:r>
        <w:t xml:space="preserve"> </w:t>
      </w:r>
      <w:r w:rsidRPr="00663F6E">
        <w:t>paediatrics.</w:t>
      </w:r>
    </w:p>
    <w:p w:rsidR="00245131" w:rsidRDefault="00245131" w:rsidP="00245131">
      <w:r>
        <w:t>R</w:t>
      </w:r>
      <w:r w:rsidRPr="00663F6E">
        <w:t>e</w:t>
      </w:r>
      <w:r>
        <w:t>sponders</w:t>
      </w:r>
      <w:r w:rsidRPr="00663F6E">
        <w:t xml:space="preserve"> showed a mean maxim</w:t>
      </w:r>
      <w:r>
        <w:t>um platelet count of 290.0 x 10</w:t>
      </w:r>
      <w:r>
        <w:rPr>
          <w:vertAlign w:val="superscript"/>
        </w:rPr>
        <w:t>9</w:t>
      </w:r>
      <w:r w:rsidRPr="00663F6E">
        <w:t>/L. The median</w:t>
      </w:r>
      <w:r>
        <w:t xml:space="preserve"> </w:t>
      </w:r>
      <w:r w:rsidRPr="00663F6E">
        <w:t xml:space="preserve">maximum platelet count was 202 x </w:t>
      </w:r>
      <w:r>
        <w:t>10</w:t>
      </w:r>
      <w:r>
        <w:rPr>
          <w:vertAlign w:val="superscript"/>
        </w:rPr>
        <w:t>9</w:t>
      </w:r>
      <w:r w:rsidRPr="00663F6E">
        <w:t>/L in adult responders,</w:t>
      </w:r>
      <w:r>
        <w:t xml:space="preserve"> 402 x 10</w:t>
      </w:r>
      <w:r>
        <w:rPr>
          <w:vertAlign w:val="superscript"/>
        </w:rPr>
        <w:t>9</w:t>
      </w:r>
      <w:r w:rsidRPr="00663F6E">
        <w:t>/L</w:t>
      </w:r>
      <w:r>
        <w:t xml:space="preserve"> in children</w:t>
      </w:r>
      <w:r w:rsidRPr="00663F6E">
        <w:t xml:space="preserve"> and </w:t>
      </w:r>
      <w:r w:rsidRPr="00663F6E">
        <w:lastRenderedPageBreak/>
        <w:t xml:space="preserve">237 x </w:t>
      </w:r>
      <w:r>
        <w:t>10</w:t>
      </w:r>
      <w:r>
        <w:rPr>
          <w:vertAlign w:val="superscript"/>
        </w:rPr>
        <w:t>9</w:t>
      </w:r>
      <w:r w:rsidRPr="00663F6E">
        <w:t>/L in all</w:t>
      </w:r>
      <w:r>
        <w:t xml:space="preserve"> </w:t>
      </w:r>
      <w:r w:rsidRPr="00663F6E">
        <w:t>responders. Mean time to maximum platelet count was 6.6 days in adult responders and 5.1 days in paediatric</w:t>
      </w:r>
      <w:r>
        <w:t xml:space="preserve"> </w:t>
      </w:r>
      <w:r w:rsidRPr="00663F6E">
        <w:t>responders. All re</w:t>
      </w:r>
      <w:r>
        <w:t>sponders</w:t>
      </w:r>
      <w:r w:rsidRPr="00663F6E">
        <w:t xml:space="preserve"> had a mean time to maximum platelet count of 6.</w:t>
      </w:r>
      <w:r>
        <w:t xml:space="preserve">0 days and </w:t>
      </w:r>
      <w:r w:rsidRPr="00663F6E">
        <w:t>median time to maximum platel</w:t>
      </w:r>
      <w:r>
        <w:t>et count was five days.</w:t>
      </w:r>
    </w:p>
    <w:p w:rsidR="00245131" w:rsidRDefault="00245131" w:rsidP="00245131">
      <w:r w:rsidRPr="00663F6E">
        <w:t>The</w:t>
      </w:r>
      <w:r>
        <w:t xml:space="preserve"> </w:t>
      </w:r>
      <w:r w:rsidRPr="00663F6E">
        <w:t xml:space="preserve">mean maximum increase in platelet count among all responders was 274.4 x </w:t>
      </w:r>
      <w:r>
        <w:t>10</w:t>
      </w:r>
      <w:r>
        <w:rPr>
          <w:vertAlign w:val="superscript"/>
        </w:rPr>
        <w:t>9</w:t>
      </w:r>
      <w:r>
        <w:t>/L</w:t>
      </w:r>
      <w:r w:rsidRPr="00663F6E">
        <w:t xml:space="preserve">, 229.7 x </w:t>
      </w:r>
      <w:r>
        <w:t>10</w:t>
      </w:r>
      <w:r>
        <w:rPr>
          <w:vertAlign w:val="superscript"/>
        </w:rPr>
        <w:t>9</w:t>
      </w:r>
      <w:r>
        <w:t xml:space="preserve">/L </w:t>
      </w:r>
      <w:r w:rsidRPr="00663F6E">
        <w:t>in adult</w:t>
      </w:r>
      <w:r>
        <w:t xml:space="preserve"> </w:t>
      </w:r>
      <w:r w:rsidRPr="00663F6E">
        <w:t xml:space="preserve">responders, and 348.9 x </w:t>
      </w:r>
      <w:r>
        <w:t>10</w:t>
      </w:r>
      <w:r>
        <w:rPr>
          <w:vertAlign w:val="superscript"/>
        </w:rPr>
        <w:t>9</w:t>
      </w:r>
      <w:r>
        <w:t>/L</w:t>
      </w:r>
      <w:r w:rsidRPr="00663F6E">
        <w:t xml:space="preserve"> in paediatric responders. All responders had a median maximum increase in platelet</w:t>
      </w:r>
      <w:r>
        <w:t xml:space="preserve"> </w:t>
      </w:r>
      <w:r w:rsidRPr="00663F6E">
        <w:t xml:space="preserve">count of 225 x </w:t>
      </w:r>
      <w:r>
        <w:t>10</w:t>
      </w:r>
      <w:r>
        <w:rPr>
          <w:vertAlign w:val="superscript"/>
        </w:rPr>
        <w:t>9</w:t>
      </w:r>
      <w:r>
        <w:t xml:space="preserve">/L. All non </w:t>
      </w:r>
      <w:r w:rsidRPr="00663F6E">
        <w:t>responders were in the adult population, for which mean and median maximum</w:t>
      </w:r>
      <w:r>
        <w:t xml:space="preserve"> </w:t>
      </w:r>
      <w:r w:rsidRPr="00663F6E">
        <w:t xml:space="preserve">platelet count were 45.3 x </w:t>
      </w:r>
      <w:r>
        <w:t>10</w:t>
      </w:r>
      <w:r>
        <w:rPr>
          <w:vertAlign w:val="superscript"/>
        </w:rPr>
        <w:t>9</w:t>
      </w:r>
      <w:r>
        <w:t>/L</w:t>
      </w:r>
      <w:r w:rsidRPr="00663F6E">
        <w:t xml:space="preserve"> and 45 x </w:t>
      </w:r>
      <w:r>
        <w:t>10</w:t>
      </w:r>
      <w:r>
        <w:rPr>
          <w:vertAlign w:val="superscript"/>
        </w:rPr>
        <w:t>9</w:t>
      </w:r>
      <w:r>
        <w:t>/L,</w:t>
      </w:r>
      <w:r w:rsidRPr="00663F6E">
        <w:t xml:space="preserve"> respectively.</w:t>
      </w:r>
    </w:p>
    <w:p w:rsidR="00245131" w:rsidRPr="00A92A1E" w:rsidRDefault="00245131" w:rsidP="00245131">
      <w:r w:rsidRPr="00A92A1E">
        <w:t xml:space="preserve">Most adults </w:t>
      </w:r>
      <w:r>
        <w:t>(14/18, 78%) and all paediatric patients</w:t>
      </w:r>
      <w:r w:rsidRPr="00A92A1E">
        <w:t xml:space="preserve"> (9/9, 100%) presented with some </w:t>
      </w:r>
      <w:proofErr w:type="gramStart"/>
      <w:r w:rsidRPr="00A92A1E">
        <w:t>sign</w:t>
      </w:r>
      <w:proofErr w:type="gramEnd"/>
      <w:r w:rsidRPr="00A92A1E">
        <w:t xml:space="preserve"> of bleeding/haemorrhage at Day 1 before first infusion of the </w:t>
      </w:r>
      <w:r w:rsidRPr="003A5A49">
        <w:t>investigational medicinal product</w:t>
      </w:r>
      <w:r w:rsidRPr="00A92A1E">
        <w:t>. All these patients, whether or not they were responders in terms of platelet counts,</w:t>
      </w:r>
      <w:r>
        <w:t xml:space="preserve"> were considered to experience</w:t>
      </w:r>
      <w:r w:rsidRPr="00A92A1E">
        <w:t xml:space="preserve"> improvement in diathesis during the follow</w:t>
      </w:r>
      <w:r>
        <w:t xml:space="preserve"> </w:t>
      </w:r>
      <w:r w:rsidRPr="00A92A1E">
        <w:t>up period.</w:t>
      </w:r>
    </w:p>
    <w:p w:rsidR="008E7846" w:rsidRPr="002E238E" w:rsidRDefault="008E7846" w:rsidP="008E7846">
      <w:pPr>
        <w:pStyle w:val="Heading3"/>
      </w:pPr>
      <w:bookmarkStart w:id="59" w:name="_Toc163441378"/>
      <w:bookmarkStart w:id="60" w:name="_Toc196046495"/>
      <w:bookmarkStart w:id="61" w:name="_Toc247691522"/>
      <w:bookmarkStart w:id="62" w:name="_Toc314842505"/>
      <w:bookmarkStart w:id="63" w:name="_Toc369706044"/>
      <w:bookmarkEnd w:id="55"/>
      <w:bookmarkEnd w:id="56"/>
      <w:bookmarkEnd w:id="57"/>
      <w:bookmarkEnd w:id="58"/>
      <w:r w:rsidRPr="002E238E">
        <w:t>Safety</w:t>
      </w:r>
      <w:bookmarkEnd w:id="59"/>
      <w:bookmarkEnd w:id="60"/>
      <w:bookmarkEnd w:id="61"/>
      <w:bookmarkEnd w:id="62"/>
      <w:bookmarkEnd w:id="63"/>
    </w:p>
    <w:p w:rsidR="00245131" w:rsidRPr="00692437" w:rsidRDefault="00245131" w:rsidP="00245131">
      <w:pPr>
        <w:pStyle w:val="Heading4"/>
      </w:pPr>
      <w:r>
        <w:t>Safety</w:t>
      </w:r>
      <w:r w:rsidRPr="00721C79">
        <w:t xml:space="preserve"> in </w:t>
      </w:r>
      <w:r>
        <w:t>p</w:t>
      </w:r>
      <w:r w:rsidRPr="00721C79">
        <w:t xml:space="preserve">rimary </w:t>
      </w:r>
      <w:r>
        <w:t>i</w:t>
      </w:r>
      <w:r w:rsidRPr="00721C79">
        <w:t xml:space="preserve">mmunodeficiency </w:t>
      </w:r>
      <w:r>
        <w:t>d</w:t>
      </w:r>
      <w:r w:rsidRPr="00721C79">
        <w:t>isease</w:t>
      </w:r>
      <w:r>
        <w:t xml:space="preserve"> (PID): </w:t>
      </w:r>
      <w:r w:rsidRPr="00692437">
        <w:t>Study IG304</w:t>
      </w:r>
    </w:p>
    <w:p w:rsidR="00245131" w:rsidRDefault="00245131" w:rsidP="00245131">
      <w:r>
        <w:t>Study IG304 was a Phase III, multi centre, open label, historically controlled study of use of IVIG31 10%</w:t>
      </w:r>
      <w:fldSimple w:instr=" NOTEREF _Ref322347263 \h  \* MERGEFORMAT ">
        <w:r>
          <w:rPr>
            <w:sz w:val="18"/>
            <w:szCs w:val="18"/>
            <w:vertAlign w:val="superscript"/>
          </w:rPr>
          <w:t>2</w:t>
        </w:r>
      </w:fldSimple>
      <w:r>
        <w:t xml:space="preserve"> in replacement therapy of primary immunodeficiency disease. Patients with PID who were at least 3 years of age, with minimum weight 27.5 kg were eligible for the study. A total of 46 patients were enrolled and received at least one infusion.</w:t>
      </w:r>
    </w:p>
    <w:p w:rsidR="00245131" w:rsidRDefault="00245131" w:rsidP="00245131">
      <w:r>
        <w:t>A total of 38</w:t>
      </w:r>
      <w:r w:rsidRPr="0015129E">
        <w:t xml:space="preserve"> patients </w:t>
      </w:r>
      <w:r>
        <w:t xml:space="preserve">(83%) experienced 309 treatment </w:t>
      </w:r>
      <w:r w:rsidRPr="0015129E">
        <w:t>related AEs. The most commonly reported were headache (58.7%) and hypotension (19.6%)</w:t>
      </w:r>
      <w:r>
        <w:t xml:space="preserve"> </w:t>
      </w:r>
      <w:proofErr w:type="gramStart"/>
      <w:r>
        <w:t>(Tables 2-3).</w:t>
      </w:r>
      <w:proofErr w:type="gramEnd"/>
    </w:p>
    <w:p w:rsidR="00245131" w:rsidRPr="00434F18" w:rsidRDefault="00245131" w:rsidP="00245131">
      <w:pPr>
        <w:pStyle w:val="TableTitle"/>
      </w:pPr>
      <w:r w:rsidRPr="004C5C28">
        <w:t xml:space="preserve">Table </w:t>
      </w:r>
      <w:r>
        <w:t>2:</w:t>
      </w:r>
      <w:r w:rsidRPr="004C5C28">
        <w:t xml:space="preserve"> </w:t>
      </w:r>
      <w:r w:rsidRPr="00654F5A">
        <w:t xml:space="preserve">Summary of </w:t>
      </w:r>
      <w:r>
        <w:t xml:space="preserve">treatment </w:t>
      </w:r>
      <w:r w:rsidRPr="00654F5A">
        <w:t>rela</w:t>
      </w:r>
      <w:r>
        <w:t>ted AEs (ITT</w:t>
      </w:r>
      <w:r w:rsidRPr="00654F5A">
        <w:t xml:space="preserve"> </w:t>
      </w:r>
      <w:r>
        <w:t>p</w:t>
      </w:r>
      <w:r w:rsidRPr="00654F5A">
        <w:t>opulation</w:t>
      </w:r>
      <w:r>
        <w:t>) (</w:t>
      </w:r>
      <w:r w:rsidRPr="00654F5A">
        <w:t>Study IG304</w:t>
      </w:r>
      <w:r>
        <w:t>).</w:t>
      </w:r>
    </w:p>
    <w:p w:rsidR="00245131" w:rsidRPr="0015129E" w:rsidRDefault="00245131" w:rsidP="00245131">
      <w:r>
        <w:rPr>
          <w:noProof/>
          <w:lang w:eastAsia="en-AU"/>
        </w:rPr>
        <w:drawing>
          <wp:inline distT="0" distB="0" distL="0" distR="0">
            <wp:extent cx="5695950" cy="3305175"/>
            <wp:effectExtent l="19050" t="0" r="0" b="0"/>
            <wp:docPr id="7" name="Picture 7" descr="Table 2: Summary of treatment related AEs (ITT population) (Study IG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 2: Summary of treatment related AEs (ITT population) (Study IG304)."/>
                    <pic:cNvPicPr>
                      <a:picLocks noChangeAspect="1" noChangeArrowheads="1"/>
                    </pic:cNvPicPr>
                  </pic:nvPicPr>
                  <pic:blipFill>
                    <a:blip r:embed="rId15" cstate="print"/>
                    <a:srcRect/>
                    <a:stretch>
                      <a:fillRect/>
                    </a:stretch>
                  </pic:blipFill>
                  <pic:spPr bwMode="auto">
                    <a:xfrm>
                      <a:off x="0" y="0"/>
                      <a:ext cx="5695950" cy="3305175"/>
                    </a:xfrm>
                    <a:prstGeom prst="rect">
                      <a:avLst/>
                    </a:prstGeom>
                    <a:noFill/>
                    <a:ln w="9525">
                      <a:noFill/>
                      <a:miter lim="800000"/>
                      <a:headEnd/>
                      <a:tailEnd/>
                    </a:ln>
                  </pic:spPr>
                </pic:pic>
              </a:graphicData>
            </a:graphic>
          </wp:inline>
        </w:drawing>
      </w:r>
    </w:p>
    <w:p w:rsidR="00245131" w:rsidRPr="00434F18" w:rsidRDefault="00245131" w:rsidP="00245131">
      <w:pPr>
        <w:pStyle w:val="TableTitle"/>
      </w:pPr>
      <w:r w:rsidRPr="004C5C28">
        <w:lastRenderedPageBreak/>
        <w:t xml:space="preserve">Table </w:t>
      </w:r>
      <w:r>
        <w:t>3:</w:t>
      </w:r>
      <w:r w:rsidRPr="004C5C28">
        <w:t xml:space="preserve"> </w:t>
      </w:r>
      <w:r>
        <w:t>S</w:t>
      </w:r>
      <w:r w:rsidRPr="00637788">
        <w:t xml:space="preserve">ummary of </w:t>
      </w:r>
      <w:r>
        <w:t>AE</w:t>
      </w:r>
      <w:r w:rsidRPr="00637788">
        <w:t xml:space="preserve">s </w:t>
      </w:r>
      <w:r>
        <w:t>r</w:t>
      </w:r>
      <w:r w:rsidRPr="00637788">
        <w:t xml:space="preserve">eported by at </w:t>
      </w:r>
      <w:r>
        <w:t>l</w:t>
      </w:r>
      <w:r w:rsidRPr="00637788">
        <w:t xml:space="preserve">east 15% of </w:t>
      </w:r>
      <w:r>
        <w:t>p</w:t>
      </w:r>
      <w:r w:rsidRPr="00637788">
        <w:t xml:space="preserve">atients (ITT </w:t>
      </w:r>
      <w:r>
        <w:t>p</w:t>
      </w:r>
      <w:r w:rsidRPr="00637788">
        <w:t>opulation</w:t>
      </w:r>
      <w:r>
        <w:t>) (</w:t>
      </w:r>
      <w:r w:rsidRPr="00654F5A">
        <w:t>Study IG304</w:t>
      </w:r>
      <w:r>
        <w:t>).</w:t>
      </w:r>
    </w:p>
    <w:p w:rsidR="00245131" w:rsidRDefault="00245131" w:rsidP="00245131">
      <w:r>
        <w:rPr>
          <w:noProof/>
          <w:lang w:eastAsia="en-AU"/>
        </w:rPr>
        <w:drawing>
          <wp:inline distT="0" distB="0" distL="0" distR="0">
            <wp:extent cx="5038725" cy="2376805"/>
            <wp:effectExtent l="19050" t="0" r="9525" b="0"/>
            <wp:docPr id="8" name="Picture 8" descr="Table 3: Summary of AEs reported by at least 15% of patients (ITT population) (Study IG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e 3: Summary of AEs reported by at least 15% of patients (ITT population) (Study IG304)."/>
                    <pic:cNvPicPr>
                      <a:picLocks noChangeAspect="1" noChangeArrowheads="1"/>
                    </pic:cNvPicPr>
                  </pic:nvPicPr>
                  <pic:blipFill>
                    <a:blip r:embed="rId16" cstate="print"/>
                    <a:srcRect/>
                    <a:stretch>
                      <a:fillRect/>
                    </a:stretch>
                  </pic:blipFill>
                  <pic:spPr bwMode="auto">
                    <a:xfrm>
                      <a:off x="0" y="0"/>
                      <a:ext cx="5038725" cy="2376805"/>
                    </a:xfrm>
                    <a:prstGeom prst="rect">
                      <a:avLst/>
                    </a:prstGeom>
                    <a:noFill/>
                    <a:ln w="9525">
                      <a:noFill/>
                      <a:miter lim="800000"/>
                      <a:headEnd/>
                      <a:tailEnd/>
                    </a:ln>
                  </pic:spPr>
                </pic:pic>
              </a:graphicData>
            </a:graphic>
          </wp:inline>
        </w:drawing>
      </w:r>
    </w:p>
    <w:p w:rsidR="00245131" w:rsidRPr="0015129E" w:rsidRDefault="00245131" w:rsidP="00245131">
      <w:r w:rsidRPr="0015129E">
        <w:t xml:space="preserve">There were no deaths. Four patients experienced 8 serious </w:t>
      </w:r>
      <w:r>
        <w:t>AEs</w:t>
      </w:r>
      <w:r w:rsidRPr="0015129E">
        <w:t xml:space="preserve">. Three patients experienced </w:t>
      </w:r>
      <w:r>
        <w:t>four</w:t>
      </w:r>
      <w:r w:rsidRPr="0015129E">
        <w:t xml:space="preserve"> serious </w:t>
      </w:r>
      <w:r>
        <w:t>AEs</w:t>
      </w:r>
      <w:r w:rsidRPr="0015129E">
        <w:t xml:space="preserve"> that were considered</w:t>
      </w:r>
      <w:r>
        <w:t xml:space="preserve"> unrelated to the study drug, and one patient experienced four</w:t>
      </w:r>
      <w:r w:rsidRPr="0015129E">
        <w:t xml:space="preserve"> events that were repo</w:t>
      </w:r>
      <w:r>
        <w:t>rted by the investigator as un</w:t>
      </w:r>
      <w:r w:rsidRPr="0015129E">
        <w:t xml:space="preserve">related to the study drug but are being considered as possibly related to study drug for regulatory purposes. These serious </w:t>
      </w:r>
      <w:r>
        <w:t>AEs</w:t>
      </w:r>
      <w:r w:rsidRPr="0015129E">
        <w:t xml:space="preserve"> were bacterial pneumonia, subcutaneous abscess </w:t>
      </w:r>
      <w:r>
        <w:t xml:space="preserve">and two episodes of </w:t>
      </w:r>
      <w:proofErr w:type="spellStart"/>
      <w:r>
        <w:t>cellulitis</w:t>
      </w:r>
      <w:proofErr w:type="spellEnd"/>
      <w:r>
        <w:t xml:space="preserve">. </w:t>
      </w:r>
      <w:r w:rsidRPr="0015129E">
        <w:t xml:space="preserve">Three patients discontinued the study because of </w:t>
      </w:r>
      <w:r>
        <w:t>AE</w:t>
      </w:r>
      <w:r w:rsidRPr="0015129E">
        <w:t>s</w:t>
      </w:r>
      <w:r>
        <w:t xml:space="preserve"> one of whom developed multiple areas of </w:t>
      </w:r>
      <w:proofErr w:type="spellStart"/>
      <w:r>
        <w:t>cellulitis</w:t>
      </w:r>
      <w:proofErr w:type="spellEnd"/>
      <w:r w:rsidRPr="0015129E">
        <w:t>. Most of these events were considered to be related to study drug</w:t>
      </w:r>
      <w:r>
        <w:t>.</w:t>
      </w:r>
    </w:p>
    <w:p w:rsidR="00245131" w:rsidRDefault="00245131" w:rsidP="00245131">
      <w:r>
        <w:t>AEs reported by &gt;</w:t>
      </w:r>
      <w:r w:rsidRPr="0015129E">
        <w:t>20% of patients were headache, pyrexia, rigors, back pain, sinusitis, cough, nausea, hypotension, and tachycardia. Trea</w:t>
      </w:r>
      <w:r>
        <w:t>tment related AEs reported by &gt;</w:t>
      </w:r>
      <w:r w:rsidRPr="0015129E">
        <w:t xml:space="preserve">10% were headache, rigors, pyrexia, tachycardia, hypotension, back pain, and </w:t>
      </w:r>
      <w:proofErr w:type="spellStart"/>
      <w:r w:rsidRPr="0015129E">
        <w:t>myalgia</w:t>
      </w:r>
      <w:proofErr w:type="spellEnd"/>
      <w:r w:rsidRPr="0015129E">
        <w:t>.</w:t>
      </w:r>
    </w:p>
    <w:p w:rsidR="00245131" w:rsidRPr="002D5422" w:rsidRDefault="00245131" w:rsidP="00245131">
      <w:r w:rsidRPr="002D5422">
        <w:t xml:space="preserve">Of the 601 infusions administered, </w:t>
      </w:r>
      <w:r>
        <w:t>AE</w:t>
      </w:r>
      <w:r w:rsidRPr="002D5422">
        <w:t>s o</w:t>
      </w:r>
      <w:r>
        <w:t xml:space="preserve">ccurred during 29% (one </w:t>
      </w:r>
      <w:r w:rsidRPr="002D5422">
        <w:t>sided 95% CI uppe</w:t>
      </w:r>
      <w:r>
        <w:t xml:space="preserve">r bound = 35.7%), and treatment </w:t>
      </w:r>
      <w:r w:rsidRPr="002D5422">
        <w:t>relate</w:t>
      </w:r>
      <w:r>
        <w:t xml:space="preserve">d events occurred during 20% (one </w:t>
      </w:r>
      <w:r w:rsidRPr="002D5422">
        <w:t>sided 95% CI upper bound = 27.0</w:t>
      </w:r>
      <w:r>
        <w:t>%). The total number of AEs</w:t>
      </w:r>
      <w:r w:rsidRPr="002D5422">
        <w:t xml:space="preserve"> that occurred during an infusion was 292 (0.49 per infusion), and the total number of </w:t>
      </w:r>
      <w:r>
        <w:t>AEs</w:t>
      </w:r>
      <w:r w:rsidRPr="002D5422">
        <w:t xml:space="preserve"> that occurred during an infusion or within 72 hours of an infusion was 408 (0.68 per infusion). The total number of treatment</w:t>
      </w:r>
      <w:r>
        <w:t xml:space="preserve"> </w:t>
      </w:r>
      <w:r w:rsidRPr="002D5422">
        <w:t>related AEs that occurred during an infusion was 206 (0.34 per infusion), and the total number of treatmen</w:t>
      </w:r>
      <w:r>
        <w:t xml:space="preserve">t related AEs </w:t>
      </w:r>
      <w:r w:rsidRPr="002D5422">
        <w:t>that occurred during an infusion or within 72 hours of an infusion was 291 (</w:t>
      </w:r>
      <w:r>
        <w:t xml:space="preserve">0.48 per infusion). The upper one </w:t>
      </w:r>
      <w:r w:rsidRPr="002D5422">
        <w:t xml:space="preserve">sided 95% confidence limit of infusions with one or more associated </w:t>
      </w:r>
      <w:r>
        <w:t>AE</w:t>
      </w:r>
      <w:r w:rsidRPr="002D5422">
        <w:t>, regardless of attribution, occurred at a rate below the FDA threshold during infusion</w:t>
      </w:r>
      <w:r>
        <w:t xml:space="preserve"> or up to one</w:t>
      </w:r>
      <w:r w:rsidRPr="002D5422">
        <w:t xml:space="preserve"> hour after completion of the infusion (39.7%) and</w:t>
      </w:r>
      <w:r w:rsidRPr="002D5422">
        <w:rPr>
          <w:i/>
        </w:rPr>
        <w:t xml:space="preserve"> over</w:t>
      </w:r>
      <w:r w:rsidRPr="002D5422">
        <w:t xml:space="preserve"> the FDA’s suggested threshold during infusion or up to 72 hours after completion of the infusion (47.0%).</w:t>
      </w:r>
    </w:p>
    <w:p w:rsidR="00245131" w:rsidRPr="00245131" w:rsidRDefault="00245131" w:rsidP="00245131">
      <w:pPr>
        <w:pStyle w:val="Heading5"/>
      </w:pPr>
      <w:r w:rsidRPr="002D5422">
        <w:t>Laboratory abnormalities</w:t>
      </w:r>
    </w:p>
    <w:p w:rsidR="00245131" w:rsidRPr="00637788" w:rsidRDefault="00245131" w:rsidP="00245131">
      <w:pPr>
        <w:rPr>
          <w:i/>
        </w:rPr>
      </w:pPr>
      <w:r w:rsidRPr="002D5422">
        <w:t xml:space="preserve">Clinically significant abnormalities of </w:t>
      </w:r>
      <w:proofErr w:type="spellStart"/>
      <w:r w:rsidRPr="00C7059F">
        <w:t>aspartate</w:t>
      </w:r>
      <w:proofErr w:type="spellEnd"/>
      <w:r w:rsidRPr="00C7059F">
        <w:t xml:space="preserve"> </w:t>
      </w:r>
      <w:proofErr w:type="spellStart"/>
      <w:r w:rsidRPr="00C7059F">
        <w:t>aminotransferase</w:t>
      </w:r>
      <w:proofErr w:type="spellEnd"/>
      <w:r w:rsidRPr="00C7059F">
        <w:t xml:space="preserve"> </w:t>
      </w:r>
      <w:r>
        <w:t>(</w:t>
      </w:r>
      <w:r w:rsidRPr="002D5422">
        <w:t>AST</w:t>
      </w:r>
      <w:r>
        <w:t>)</w:t>
      </w:r>
      <w:r w:rsidRPr="002D5422">
        <w:t xml:space="preserve"> were reported</w:t>
      </w:r>
      <w:r>
        <w:t xml:space="preserve"> by four participants (9%) on 12 occasions, five</w:t>
      </w:r>
      <w:r w:rsidRPr="002D5422">
        <w:t xml:space="preserve"> patients (11%) experi</w:t>
      </w:r>
      <w:r>
        <w:t xml:space="preserve">enced 20 abnormalities of </w:t>
      </w:r>
      <w:proofErr w:type="spellStart"/>
      <w:r w:rsidRPr="00C7059F">
        <w:t>alanine</w:t>
      </w:r>
      <w:proofErr w:type="spellEnd"/>
      <w:r w:rsidRPr="00C7059F">
        <w:t xml:space="preserve"> </w:t>
      </w:r>
      <w:proofErr w:type="spellStart"/>
      <w:r w:rsidRPr="00C7059F">
        <w:t>aminotransferase</w:t>
      </w:r>
      <w:proofErr w:type="spellEnd"/>
      <w:r w:rsidRPr="00C7059F">
        <w:t xml:space="preserve"> </w:t>
      </w:r>
      <w:r>
        <w:t>(ALT), five</w:t>
      </w:r>
      <w:r w:rsidRPr="002D5422">
        <w:t xml:space="preserve"> patients (11%) experienced 20 </w:t>
      </w:r>
      <w:r w:rsidRPr="00C7059F">
        <w:t xml:space="preserve">lactate </w:t>
      </w:r>
      <w:proofErr w:type="spellStart"/>
      <w:r w:rsidRPr="00C7059F">
        <w:t>dehydrogenase</w:t>
      </w:r>
      <w:proofErr w:type="spellEnd"/>
      <w:r w:rsidRPr="00C7059F">
        <w:t xml:space="preserve"> </w:t>
      </w:r>
      <w:r>
        <w:t>(</w:t>
      </w:r>
      <w:r w:rsidRPr="002D5422">
        <w:t>LDH</w:t>
      </w:r>
      <w:r>
        <w:t>) abnormalities, and three patients (7%) experienced nine</w:t>
      </w:r>
      <w:r w:rsidRPr="002D5422">
        <w:t xml:space="preserve"> instances of </w:t>
      </w:r>
      <w:proofErr w:type="spellStart"/>
      <w:r w:rsidRPr="002D5422">
        <w:t>bilirubin</w:t>
      </w:r>
      <w:proofErr w:type="spellEnd"/>
      <w:r w:rsidRPr="002D5422">
        <w:t xml:space="preserve"> abnormalities. No patient tested positive for Hepatitis B, Hepatitis C or HIV. No patients tested positive for Parvovirus B19 at baseline; </w:t>
      </w:r>
      <w:r>
        <w:t xml:space="preserve">two patients tested positive post </w:t>
      </w:r>
      <w:proofErr w:type="spellStart"/>
      <w:r w:rsidRPr="002D5422">
        <w:t>baselinebut</w:t>
      </w:r>
      <w:proofErr w:type="spellEnd"/>
      <w:r w:rsidRPr="002D5422">
        <w:t xml:space="preserve"> each of these results was determined by the laboratory to be a false positive. No patients experienced clinically significant abnormalities of serum </w:t>
      </w:r>
      <w:proofErr w:type="spellStart"/>
      <w:r w:rsidRPr="002D5422">
        <w:t>creatinine</w:t>
      </w:r>
      <w:proofErr w:type="spellEnd"/>
      <w:r w:rsidRPr="002D5422">
        <w:t>. Thirteen patients had pos</w:t>
      </w:r>
      <w:r>
        <w:t>itive Coombs’ tests.</w:t>
      </w:r>
    </w:p>
    <w:p w:rsidR="00245131" w:rsidRPr="00245131" w:rsidRDefault="00245131" w:rsidP="00245131">
      <w:pPr>
        <w:pStyle w:val="Heading5"/>
      </w:pPr>
      <w:r w:rsidRPr="00245131">
        <w:lastRenderedPageBreak/>
        <w:t>Vital signs</w:t>
      </w:r>
    </w:p>
    <w:p w:rsidR="00245131" w:rsidRPr="00637788" w:rsidRDefault="00245131" w:rsidP="00245131">
      <w:pPr>
        <w:rPr>
          <w:i/>
        </w:rPr>
      </w:pPr>
      <w:r>
        <w:t>A total of 33</w:t>
      </w:r>
      <w:r w:rsidRPr="002D5422">
        <w:t xml:space="preserve"> patients (72%) experienced 302 clinically significant vital signs abnormalities. Eighteen patients (39%) experienced 85 systolic blood pressure (</w:t>
      </w:r>
      <w:r>
        <w:t>SBP) abnormalities: five SBP values were ≤70 mmHg, one SBP value was &gt;</w:t>
      </w:r>
      <w:r w:rsidRPr="002D5422">
        <w:t>180 mm</w:t>
      </w:r>
      <w:r>
        <w:t xml:space="preserve"> </w:t>
      </w:r>
      <w:r w:rsidRPr="002D5422">
        <w:t>Hg, and 79 SBP values represented increases that were ≥ 30 mm</w:t>
      </w:r>
      <w:r>
        <w:t xml:space="preserve"> </w:t>
      </w:r>
      <w:r w:rsidRPr="002D5422">
        <w:t>Hg. Seventeen patients (37%) experienced 171 diastolic blood pressure (DBP) abnor</w:t>
      </w:r>
      <w:r>
        <w:t>malities: 144 DBP values were &lt;</w:t>
      </w:r>
      <w:r w:rsidRPr="002D5422">
        <w:t>50 mmHg,</w:t>
      </w:r>
      <w:r>
        <w:t xml:space="preserve"> one DBP value was &gt;150 mm Hg, </w:t>
      </w:r>
      <w:r w:rsidRPr="002D5422">
        <w:t>and 28 DBP values rep</w:t>
      </w:r>
      <w:r>
        <w:t>resented an increase that was ≥</w:t>
      </w:r>
      <w:r w:rsidRPr="002D5422">
        <w:t>30 mmHg.</w:t>
      </w:r>
    </w:p>
    <w:p w:rsidR="00245131" w:rsidRPr="002D5422" w:rsidRDefault="00245131" w:rsidP="00245131">
      <w:r w:rsidRPr="002D5422">
        <w:t>Nineteen patients (41%) exper</w:t>
      </w:r>
      <w:r>
        <w:t>ienced 60 pulse abnormalities: six pulse values were &gt;</w:t>
      </w:r>
      <w:r w:rsidRPr="002D5422">
        <w:t xml:space="preserve">120 </w:t>
      </w:r>
      <w:r>
        <w:t>beats per minute (</w:t>
      </w:r>
      <w:proofErr w:type="spellStart"/>
      <w:r w:rsidRPr="002D5422">
        <w:t>bpm</w:t>
      </w:r>
      <w:proofErr w:type="spellEnd"/>
      <w:r>
        <w:t>), 34 pulse values were &lt;</w:t>
      </w:r>
      <w:r w:rsidRPr="002D5422">
        <w:t xml:space="preserve">50 </w:t>
      </w:r>
      <w:proofErr w:type="spellStart"/>
      <w:r w:rsidRPr="002D5422">
        <w:t>bpm</w:t>
      </w:r>
      <w:proofErr w:type="spellEnd"/>
      <w:r w:rsidRPr="002D5422">
        <w:t>, 12 pulse values represented inc</w:t>
      </w:r>
      <w:r>
        <w:t xml:space="preserve">reases that were ≥ 30 </w:t>
      </w:r>
      <w:proofErr w:type="spellStart"/>
      <w:r>
        <w:t>bpm</w:t>
      </w:r>
      <w:proofErr w:type="spellEnd"/>
      <w:r>
        <w:t xml:space="preserve"> and eight</w:t>
      </w:r>
      <w:r w:rsidRPr="002D5422">
        <w:t xml:space="preserve"> pulse values represente</w:t>
      </w:r>
      <w:r>
        <w:t xml:space="preserve">d decreases that were ≥30 </w:t>
      </w:r>
      <w:proofErr w:type="spellStart"/>
      <w:r>
        <w:t>bpm</w:t>
      </w:r>
      <w:proofErr w:type="spellEnd"/>
      <w:r>
        <w:t>.</w:t>
      </w:r>
    </w:p>
    <w:p w:rsidR="00245131" w:rsidRPr="002D5422" w:rsidRDefault="00245131" w:rsidP="00245131">
      <w:r w:rsidRPr="002D5422">
        <w:t>Three patients (7%) experience</w:t>
      </w:r>
      <w:r>
        <w:t>d five temperature abnormalities: four</w:t>
      </w:r>
      <w:r w:rsidRPr="002D5422">
        <w:t xml:space="preserve"> values w</w:t>
      </w:r>
      <w:r>
        <w:t>ere temperatures &gt; 38.3°C, and one</w:t>
      </w:r>
      <w:r w:rsidRPr="002D5422">
        <w:t xml:space="preserve"> value represented an increase ≥ 1.1°C.</w:t>
      </w:r>
    </w:p>
    <w:p w:rsidR="00245131" w:rsidRPr="00245131" w:rsidRDefault="00245131" w:rsidP="00245131">
      <w:pPr>
        <w:keepNext/>
        <w:rPr>
          <w:rStyle w:val="Heading5Char"/>
          <w:rFonts w:eastAsia="Cambria"/>
        </w:rPr>
      </w:pPr>
      <w:r w:rsidRPr="00D447D7">
        <w:rPr>
          <w:rStyle w:val="Heading5Char"/>
          <w:rFonts w:eastAsia="Cambria"/>
        </w:rPr>
        <w:t>Co</w:t>
      </w:r>
      <w:r w:rsidRPr="00245131">
        <w:rPr>
          <w:rStyle w:val="Heading5Char"/>
          <w:rFonts w:eastAsia="Cambria"/>
        </w:rPr>
        <w:t>ncomitant medications</w:t>
      </w:r>
    </w:p>
    <w:p w:rsidR="00245131" w:rsidRPr="002D5422" w:rsidRDefault="00245131" w:rsidP="00245131">
      <w:pPr>
        <w:rPr>
          <w:i/>
        </w:rPr>
      </w:pPr>
      <w:r w:rsidRPr="002D5422">
        <w:t>The most frequently used concomitant medications (those reported by ≥ 10% of patients) were paracetamol (52%), amoxicillin/</w:t>
      </w:r>
      <w:proofErr w:type="spellStart"/>
      <w:r w:rsidRPr="002D5422">
        <w:t>clavulanate</w:t>
      </w:r>
      <w:proofErr w:type="spellEnd"/>
      <w:r w:rsidRPr="002D5422">
        <w:t xml:space="preserve"> (33%), </w:t>
      </w:r>
      <w:proofErr w:type="spellStart"/>
      <w:r w:rsidRPr="002D5422">
        <w:t>azithromycin</w:t>
      </w:r>
      <w:proofErr w:type="spellEnd"/>
      <w:r w:rsidRPr="002D5422">
        <w:t xml:space="preserve"> (28%), ibuprofen (26%), </w:t>
      </w:r>
      <w:proofErr w:type="spellStart"/>
      <w:r w:rsidRPr="002D5422">
        <w:t>levofloxacin</w:t>
      </w:r>
      <w:proofErr w:type="spellEnd"/>
      <w:r w:rsidRPr="002D5422">
        <w:t xml:space="preserve"> (26%), prednisone (20%), </w:t>
      </w:r>
      <w:proofErr w:type="spellStart"/>
      <w:r w:rsidRPr="002D5422">
        <w:t>fluticasone</w:t>
      </w:r>
      <w:proofErr w:type="spellEnd"/>
      <w:r w:rsidRPr="002D5422">
        <w:t>/</w:t>
      </w:r>
      <w:proofErr w:type="spellStart"/>
      <w:r w:rsidRPr="002D5422">
        <w:t>salmeterol</w:t>
      </w:r>
      <w:proofErr w:type="spellEnd"/>
      <w:r w:rsidRPr="002D5422">
        <w:t xml:space="preserve"> (17%), amoxicillin (17%), </w:t>
      </w:r>
      <w:proofErr w:type="spellStart"/>
      <w:r w:rsidRPr="002D5422">
        <w:t>diphenhydramine</w:t>
      </w:r>
      <w:proofErr w:type="spellEnd"/>
      <w:r w:rsidRPr="002D5422">
        <w:t xml:space="preserve"> (15%), ibuprofen (Motrin) (15%), </w:t>
      </w:r>
      <w:proofErr w:type="spellStart"/>
      <w:r w:rsidRPr="002D5422">
        <w:t>levosalbutamol</w:t>
      </w:r>
      <w:proofErr w:type="spellEnd"/>
      <w:r w:rsidRPr="002D5422">
        <w:t xml:space="preserve"> (15%), </w:t>
      </w:r>
      <w:r>
        <w:t>i</w:t>
      </w:r>
      <w:r w:rsidRPr="002D5422">
        <w:t>buprofen (Advi</w:t>
      </w:r>
      <w:r>
        <w:t>l)</w:t>
      </w:r>
      <w:r w:rsidRPr="002D5422">
        <w:t xml:space="preserve"> (13%), </w:t>
      </w:r>
      <w:proofErr w:type="spellStart"/>
      <w:r w:rsidRPr="002D5422">
        <w:t>albuterol</w:t>
      </w:r>
      <w:proofErr w:type="spellEnd"/>
      <w:r w:rsidRPr="002D5422">
        <w:t xml:space="preserve"> (13%), </w:t>
      </w:r>
      <w:proofErr w:type="spellStart"/>
      <w:r w:rsidRPr="002D5422">
        <w:t>fenoxfenadine</w:t>
      </w:r>
      <w:proofErr w:type="spellEnd"/>
      <w:r w:rsidRPr="002D5422">
        <w:t xml:space="preserve"> (13%), cough and cold preparations (13%), pseudoephedrine (Sudafed</w:t>
      </w:r>
      <w:r>
        <w:t xml:space="preserve">) (11%), </w:t>
      </w:r>
      <w:proofErr w:type="spellStart"/>
      <w:r>
        <w:t>gatifloxacin</w:t>
      </w:r>
      <w:proofErr w:type="spellEnd"/>
      <w:r>
        <w:t xml:space="preserve"> </w:t>
      </w:r>
      <w:r w:rsidRPr="002D5422">
        <w:t xml:space="preserve">(11%), and </w:t>
      </w:r>
      <w:proofErr w:type="spellStart"/>
      <w:r w:rsidRPr="002D5422">
        <w:t>hydrocodone</w:t>
      </w:r>
      <w:proofErr w:type="spellEnd"/>
      <w:r w:rsidRPr="002D5422">
        <w:t>/paracetamol (11%).</w:t>
      </w:r>
    </w:p>
    <w:p w:rsidR="00245131" w:rsidRPr="00692437" w:rsidRDefault="00245131" w:rsidP="00245131">
      <w:pPr>
        <w:pStyle w:val="Heading4"/>
      </w:pPr>
      <w:r>
        <w:t>Safety</w:t>
      </w:r>
      <w:r w:rsidRPr="00721C79">
        <w:t xml:space="preserve"> in </w:t>
      </w:r>
      <w:r>
        <w:t>i</w:t>
      </w:r>
      <w:r w:rsidRPr="00721C79">
        <w:t xml:space="preserve">diopathic thrombocytopenic </w:t>
      </w:r>
      <w:r>
        <w:t xml:space="preserve">purpure (ITP): </w:t>
      </w:r>
      <w:r w:rsidRPr="00D32E32">
        <w:t>Studies IG202 and IG0601</w:t>
      </w:r>
    </w:p>
    <w:p w:rsidR="00245131" w:rsidRPr="00865505" w:rsidRDefault="00245131" w:rsidP="00245131">
      <w:r>
        <w:t xml:space="preserve">All 27 patients in the two </w:t>
      </w:r>
      <w:r w:rsidRPr="00865505">
        <w:t>studies</w:t>
      </w:r>
      <w:r>
        <w:t xml:space="preserve"> of efficacy and safety of treatment of chronic ITP</w:t>
      </w:r>
      <w:r w:rsidRPr="00865505">
        <w:t xml:space="preserve"> completed treatment with IGIV3I </w:t>
      </w:r>
      <w:proofErr w:type="spellStart"/>
      <w:r w:rsidRPr="00865505">
        <w:t>Grifols</w:t>
      </w:r>
      <w:proofErr w:type="spellEnd"/>
      <w:r w:rsidRPr="00865505">
        <w:t xml:space="preserve"> 10%. Twenty-six of the 27 (96.3%) patients in both studies reported at least </w:t>
      </w:r>
      <w:r>
        <w:t>one AE. A total of 133 AEs</w:t>
      </w:r>
      <w:r w:rsidRPr="00865505">
        <w:t xml:space="preserve"> were reported, with 64 reported for paediatric patients and 69 reported for adult patients. Of these, the most common was headache (28 events), followed by </w:t>
      </w:r>
      <w:r>
        <w:t xml:space="preserve">nausea, pyrexia, and </w:t>
      </w:r>
      <w:proofErr w:type="spellStart"/>
      <w:r>
        <w:t>petechia</w:t>
      </w:r>
      <w:proofErr w:type="spellEnd"/>
      <w:r>
        <w:t xml:space="preserve"> (eight</w:t>
      </w:r>
      <w:r w:rsidRPr="00865505">
        <w:t xml:space="preserve"> events each); chills (</w:t>
      </w:r>
      <w:r>
        <w:t xml:space="preserve">six events); vomiting (five </w:t>
      </w:r>
      <w:r w:rsidRPr="00865505">
        <w:t xml:space="preserve">events), hypertension and </w:t>
      </w:r>
      <w:proofErr w:type="spellStart"/>
      <w:r w:rsidRPr="00865505">
        <w:t>ecchymoses</w:t>
      </w:r>
      <w:proofErr w:type="spellEnd"/>
      <w:r w:rsidRPr="00865505">
        <w:t xml:space="preserve"> (</w:t>
      </w:r>
      <w:r>
        <w:t>four</w:t>
      </w:r>
      <w:r w:rsidRPr="00865505">
        <w:t xml:space="preserve"> events each).</w:t>
      </w:r>
    </w:p>
    <w:p w:rsidR="00245131" w:rsidRPr="00865505" w:rsidRDefault="00245131" w:rsidP="00245131">
      <w:r w:rsidRPr="00865505">
        <w:t xml:space="preserve">The majority of patients with at least </w:t>
      </w:r>
      <w:r>
        <w:t>one AE (51.8%) reported the event to be</w:t>
      </w:r>
      <w:r w:rsidRPr="00865505">
        <w:t xml:space="preserve"> mild in severity, with 33.3% of patients with at least </w:t>
      </w:r>
      <w:r>
        <w:t>one AE</w:t>
      </w:r>
      <w:r w:rsidRPr="00865505">
        <w:t xml:space="preserve"> r</w:t>
      </w:r>
      <w:r>
        <w:t>eporting them a moderate. Three</w:t>
      </w:r>
      <w:r w:rsidRPr="00865505">
        <w:t xml:space="preserve"> patient</w:t>
      </w:r>
      <w:r>
        <w:t xml:space="preserve">s (11.1%) reported at least one </w:t>
      </w:r>
      <w:r w:rsidRPr="00865505">
        <w:t>event as severe;</w:t>
      </w:r>
      <w:r>
        <w:t xml:space="preserve"> these were chills, an infusion </w:t>
      </w:r>
      <w:r w:rsidRPr="00865505">
        <w:t>related reaction, and thrombosis.</w:t>
      </w:r>
    </w:p>
    <w:p w:rsidR="00245131" w:rsidRPr="00865505" w:rsidRDefault="00245131" w:rsidP="00245131">
      <w:r w:rsidRPr="00865505">
        <w:t xml:space="preserve">One </w:t>
      </w:r>
      <w:r>
        <w:t>AE</w:t>
      </w:r>
      <w:r w:rsidRPr="00865505">
        <w:t xml:space="preserve"> was reported as definitely related to study drug while</w:t>
      </w:r>
      <w:r>
        <w:t xml:space="preserve"> </w:t>
      </w:r>
      <w:r w:rsidRPr="00865505">
        <w:t>16 (59.3%) were classified as probably related to study drug. The most common of these were headache (11 events), chills and pyrexia (</w:t>
      </w:r>
      <w:r>
        <w:t>six</w:t>
      </w:r>
      <w:r w:rsidRPr="00865505">
        <w:t xml:space="preserve"> events each), and nausea (</w:t>
      </w:r>
      <w:r>
        <w:t>five</w:t>
      </w:r>
      <w:r w:rsidRPr="00865505">
        <w:t xml:space="preserve"> events).</w:t>
      </w:r>
    </w:p>
    <w:p w:rsidR="00245131" w:rsidRPr="00865505" w:rsidRDefault="00245131" w:rsidP="00245131">
      <w:r w:rsidRPr="00865505">
        <w:t xml:space="preserve">There were no deaths in either study. Two patients reported a serious </w:t>
      </w:r>
      <w:r>
        <w:t>AE</w:t>
      </w:r>
      <w:r w:rsidRPr="00865505">
        <w:t>. These were leucopoenia and decreased haemoglobin considered probably related to study drug, and thrombos</w:t>
      </w:r>
      <w:r>
        <w:t>is considered possibly related.</w:t>
      </w:r>
    </w:p>
    <w:p w:rsidR="00245131" w:rsidRPr="00865505" w:rsidRDefault="00245131" w:rsidP="00245131">
      <w:r w:rsidRPr="00865505">
        <w:t xml:space="preserve">Fourteen bleeding/hemorrhagic AEs were reported. These included </w:t>
      </w:r>
      <w:proofErr w:type="spellStart"/>
      <w:r w:rsidRPr="00865505">
        <w:t>petechia</w:t>
      </w:r>
      <w:r>
        <w:t>e</w:t>
      </w:r>
      <w:proofErr w:type="spellEnd"/>
      <w:r w:rsidRPr="00865505">
        <w:t xml:space="preserve"> (8 events), </w:t>
      </w:r>
      <w:proofErr w:type="spellStart"/>
      <w:r w:rsidRPr="00865505">
        <w:t>ecchymoses</w:t>
      </w:r>
      <w:proofErr w:type="spellEnd"/>
      <w:r w:rsidRPr="00865505">
        <w:t xml:space="preserve"> (4 events), and </w:t>
      </w:r>
      <w:proofErr w:type="spellStart"/>
      <w:r w:rsidRPr="00865505">
        <w:t>epistaxis</w:t>
      </w:r>
      <w:proofErr w:type="spellEnd"/>
      <w:r w:rsidRPr="00865505">
        <w:t xml:space="preserve"> (2 events).</w:t>
      </w:r>
    </w:p>
    <w:p w:rsidR="00245131" w:rsidRDefault="00245131" w:rsidP="00245131">
      <w:r w:rsidRPr="00865505">
        <w:t>Apart from t</w:t>
      </w:r>
      <w:r>
        <w:t xml:space="preserve">he patient with anaemia and </w:t>
      </w:r>
      <w:proofErr w:type="spellStart"/>
      <w:r>
        <w:t>leukop</w:t>
      </w:r>
      <w:r w:rsidRPr="00865505">
        <w:t>enia</w:t>
      </w:r>
      <w:proofErr w:type="spellEnd"/>
      <w:r w:rsidRPr="00865505">
        <w:t xml:space="preserve"> laboratory parameters considered clinically relevant included decreased erythrocytes on Day 2 (in the same patient), increased haemoglobin, decreased </w:t>
      </w:r>
      <w:proofErr w:type="spellStart"/>
      <w:r w:rsidRPr="00865505">
        <w:t>haptoglobin</w:t>
      </w:r>
      <w:proofErr w:type="spellEnd"/>
      <w:r w:rsidRPr="00865505">
        <w:t xml:space="preserve">, a positive direct </w:t>
      </w:r>
      <w:proofErr w:type="spellStart"/>
      <w:r w:rsidRPr="00865505">
        <w:t>antiglobulin</w:t>
      </w:r>
      <w:proofErr w:type="spellEnd"/>
      <w:r w:rsidRPr="00865505">
        <w:t xml:space="preserve"> test on Day 1 and abnormal platelets count (&lt; 20 x 10</w:t>
      </w:r>
      <w:r w:rsidRPr="00865505">
        <w:rPr>
          <w:vertAlign w:val="superscript"/>
        </w:rPr>
        <w:t>9</w:t>
      </w:r>
      <w:r w:rsidRPr="00865505">
        <w:t xml:space="preserve">/L) on Day 24. These results were reported as </w:t>
      </w:r>
      <w:r>
        <w:t xml:space="preserve">AEs for these patients. </w:t>
      </w:r>
      <w:r w:rsidRPr="00865505">
        <w:t>Clinically relevant findings for blood chemistries include</w:t>
      </w:r>
      <w:r>
        <w:t>d a slight elevation in ALT in one</w:t>
      </w:r>
      <w:r w:rsidRPr="00865505">
        <w:t xml:space="preserve"> patient and an increase in LDH in another patient. These abnormal findings were reported as </w:t>
      </w:r>
      <w:r>
        <w:t>AEs</w:t>
      </w:r>
      <w:r w:rsidRPr="00865505">
        <w:t xml:space="preserve">, as per protocol. No clinically relevant findings were </w:t>
      </w:r>
      <w:r w:rsidRPr="00865505">
        <w:lastRenderedPageBreak/>
        <w:t>present in the urinalysis results. No evidence of clinical haemolysis was seen in all patients from both studies. No change occurred in viral serology results.</w:t>
      </w:r>
      <w:r>
        <w:t xml:space="preserve"> There was one report of decreased diastolic blood pressure and one report of blood pressure systolic increased. There were four reports of hypertension and two of hypotension.</w:t>
      </w:r>
    </w:p>
    <w:p w:rsidR="008E7846" w:rsidRDefault="008E7846" w:rsidP="008E7846">
      <w:pPr>
        <w:pStyle w:val="Heading3"/>
      </w:pPr>
      <w:bookmarkStart w:id="64" w:name="_Toc163441387"/>
      <w:bookmarkStart w:id="65" w:name="_Toc255919423"/>
      <w:bookmarkStart w:id="66" w:name="_Toc241374329"/>
      <w:bookmarkStart w:id="67" w:name="_Toc270320087"/>
      <w:bookmarkStart w:id="68" w:name="_Toc314842506"/>
      <w:bookmarkStart w:id="69" w:name="_Toc369706045"/>
      <w:r>
        <w:t>List of questions</w:t>
      </w:r>
      <w:bookmarkEnd w:id="65"/>
      <w:bookmarkEnd w:id="66"/>
      <w:bookmarkEnd w:id="67"/>
      <w:bookmarkEnd w:id="68"/>
      <w:bookmarkEnd w:id="69"/>
    </w:p>
    <w:p w:rsidR="00245131" w:rsidRDefault="00245131" w:rsidP="00245131">
      <w:r>
        <w:t>During 2010, the TGA began to change the way applications were evaluated. As part of this change, after an initial evaluation, a List of Questions to the sponsor is generated.</w:t>
      </w:r>
    </w:p>
    <w:p w:rsidR="00245131" w:rsidRPr="00245131" w:rsidRDefault="00245131" w:rsidP="00245131">
      <w:pPr>
        <w:pStyle w:val="Heading4"/>
      </w:pPr>
      <w:r w:rsidRPr="00245131">
        <w:t>Question 1</w:t>
      </w:r>
    </w:p>
    <w:p w:rsidR="00245131" w:rsidRDefault="00245131" w:rsidP="00245131">
      <w:r>
        <w:t xml:space="preserve">The investigator could not determine whether the investigational product used in the studies, IGIV31 </w:t>
      </w:r>
      <w:proofErr w:type="spellStart"/>
      <w:r>
        <w:t>Grifols</w:t>
      </w:r>
      <w:proofErr w:type="spellEnd"/>
      <w:r>
        <w:t xml:space="preserve"> 10%, and </w:t>
      </w:r>
      <w:proofErr w:type="spellStart"/>
      <w:r>
        <w:t>Flebogamma</w:t>
      </w:r>
      <w:proofErr w:type="spellEnd"/>
      <w:r>
        <w:t xml:space="preserve"> 10% DIF, are identical. The clinical expert states that the production process of </w:t>
      </w:r>
      <w:proofErr w:type="spellStart"/>
      <w:r>
        <w:t>Flebogamma</w:t>
      </w:r>
      <w:proofErr w:type="spellEnd"/>
      <w:r>
        <w:t xml:space="preserve"> 10% DIF is the same than for </w:t>
      </w:r>
      <w:proofErr w:type="spellStart"/>
      <w:r>
        <w:t>Flebogamma</w:t>
      </w:r>
      <w:proofErr w:type="spellEnd"/>
      <w:r>
        <w:t xml:space="preserve"> 5% DIF. The only difference being the final concentration step in which the yield is adjusted to the desired 5% or 10% product strength. In the sponsor clinical data submission, the following is stated:</w:t>
      </w:r>
    </w:p>
    <w:p w:rsidR="00245131" w:rsidRPr="005A4239" w:rsidRDefault="00245131" w:rsidP="00245131">
      <w:pPr>
        <w:ind w:left="720"/>
        <w:rPr>
          <w:i/>
        </w:rPr>
      </w:pPr>
      <w:r w:rsidRPr="005A4239">
        <w:rPr>
          <w:i/>
        </w:rPr>
        <w:t xml:space="preserve">“Many components used for the production of </w:t>
      </w:r>
      <w:proofErr w:type="spellStart"/>
      <w:r w:rsidRPr="005A4239">
        <w:rPr>
          <w:i/>
        </w:rPr>
        <w:t>Flebogamma</w:t>
      </w:r>
      <w:proofErr w:type="spellEnd"/>
      <w:r w:rsidRPr="005A4239">
        <w:rPr>
          <w:i/>
        </w:rPr>
        <w:t xml:space="preserve"> and IGIV3I </w:t>
      </w:r>
      <w:proofErr w:type="spellStart"/>
      <w:r w:rsidRPr="005A4239">
        <w:rPr>
          <w:i/>
        </w:rPr>
        <w:t>Grifols</w:t>
      </w:r>
      <w:proofErr w:type="spellEnd"/>
      <w:r w:rsidRPr="005A4239">
        <w:rPr>
          <w:i/>
        </w:rPr>
        <w:t xml:space="preserve"> 10% are similar, although the manufacturing process for IGIV3I </w:t>
      </w:r>
      <w:proofErr w:type="spellStart"/>
      <w:r w:rsidRPr="005A4239">
        <w:rPr>
          <w:i/>
        </w:rPr>
        <w:t>Grifols</w:t>
      </w:r>
      <w:proofErr w:type="spellEnd"/>
      <w:r w:rsidRPr="005A4239">
        <w:rPr>
          <w:i/>
        </w:rPr>
        <w:t xml:space="preserve"> 10% incorporates new components that are associated to the additional viral elimination steps.”</w:t>
      </w:r>
    </w:p>
    <w:p w:rsidR="00245131" w:rsidRPr="00245131" w:rsidRDefault="00245131" w:rsidP="00245131">
      <w:pPr>
        <w:pStyle w:val="Heading5"/>
      </w:pPr>
      <w:r w:rsidRPr="00245131">
        <w:t>Sponsor’s response:</w:t>
      </w:r>
    </w:p>
    <w:p w:rsidR="00245131" w:rsidRDefault="00245131" w:rsidP="00245131">
      <w:r>
        <w:t xml:space="preserve">IGIV3I </w:t>
      </w:r>
      <w:proofErr w:type="spellStart"/>
      <w:r>
        <w:t>Grifols</w:t>
      </w:r>
      <w:proofErr w:type="spellEnd"/>
      <w:r>
        <w:t xml:space="preserve"> 10% and </w:t>
      </w:r>
      <w:proofErr w:type="spellStart"/>
      <w:r>
        <w:t>Flebogamma</w:t>
      </w:r>
      <w:proofErr w:type="spellEnd"/>
      <w:r>
        <w:t xml:space="preserve"> 10% DIF are the same products. The only difference is the name of the product used during the investigational phase (IGIV3I </w:t>
      </w:r>
      <w:proofErr w:type="spellStart"/>
      <w:r>
        <w:t>Grifols</w:t>
      </w:r>
      <w:proofErr w:type="spellEnd"/>
      <w:r>
        <w:t xml:space="preserve"> 10%) and the commercial name (</w:t>
      </w:r>
      <w:proofErr w:type="spellStart"/>
      <w:r>
        <w:t>Flebogamma</w:t>
      </w:r>
      <w:proofErr w:type="spellEnd"/>
      <w:r>
        <w:t xml:space="preserve"> 10% DIF). In addition, there is another concentration for the same product (IGIV3I </w:t>
      </w:r>
      <w:proofErr w:type="spellStart"/>
      <w:r>
        <w:t>Grifols</w:t>
      </w:r>
      <w:proofErr w:type="spellEnd"/>
      <w:r>
        <w:t xml:space="preserve"> 5% or </w:t>
      </w:r>
      <w:proofErr w:type="spellStart"/>
      <w:r>
        <w:t>Flebogamma</w:t>
      </w:r>
      <w:proofErr w:type="spellEnd"/>
      <w:r>
        <w:t xml:space="preserve"> 5% DIF, again considering the investigational phase) that has the same manufacturing process and same concentration of </w:t>
      </w:r>
      <w:proofErr w:type="spellStart"/>
      <w:r>
        <w:t>excipients</w:t>
      </w:r>
      <w:proofErr w:type="spellEnd"/>
      <w:r>
        <w:t xml:space="preserve"> (for example, </w:t>
      </w:r>
      <w:proofErr w:type="spellStart"/>
      <w:r>
        <w:t>sorbital</w:t>
      </w:r>
      <w:proofErr w:type="spellEnd"/>
      <w:r>
        <w:t xml:space="preserve"> which is at 5%) but half concentration of the active ingredient (</w:t>
      </w:r>
      <w:proofErr w:type="spellStart"/>
      <w:r>
        <w:t>IgG</w:t>
      </w:r>
      <w:proofErr w:type="spellEnd"/>
      <w:r>
        <w:t xml:space="preserve"> molecule). Finally, the former product of </w:t>
      </w:r>
      <w:proofErr w:type="spellStart"/>
      <w:r>
        <w:t>Flebogamma</w:t>
      </w:r>
      <w:proofErr w:type="spellEnd"/>
      <w:r>
        <w:t xml:space="preserve"> DIF was </w:t>
      </w:r>
      <w:proofErr w:type="spellStart"/>
      <w:r>
        <w:t>Flebogamma</w:t>
      </w:r>
      <w:proofErr w:type="spellEnd"/>
      <w:r>
        <w:t xml:space="preserve"> which was launched in Germany in November 1992 and still marketed in some countries (for example Spain, Italy and Mexico). The manufacturing process of </w:t>
      </w:r>
      <w:proofErr w:type="spellStart"/>
      <w:r>
        <w:t>Flebogamma</w:t>
      </w:r>
      <w:proofErr w:type="spellEnd"/>
      <w:r>
        <w:t xml:space="preserve"> is similar but not identical as </w:t>
      </w:r>
      <w:proofErr w:type="spellStart"/>
      <w:r>
        <w:t>Flebogamma</w:t>
      </w:r>
      <w:proofErr w:type="spellEnd"/>
      <w:r>
        <w:t xml:space="preserve"> only includes one step for virus inactivation which is a pasteurisation for 10 hours at 60°C and </w:t>
      </w:r>
      <w:proofErr w:type="spellStart"/>
      <w:r>
        <w:t>Flebogamma</w:t>
      </w:r>
      <w:proofErr w:type="spellEnd"/>
      <w:r>
        <w:t xml:space="preserve"> DIF (at both concentrations) has two more steps: a solvent detergent treatment, and a </w:t>
      </w:r>
      <w:proofErr w:type="spellStart"/>
      <w:r>
        <w:t>nanofiltration</w:t>
      </w:r>
      <w:proofErr w:type="spellEnd"/>
      <w:r>
        <w:t xml:space="preserve"> through 35 and 20 nm filters.</w:t>
      </w:r>
    </w:p>
    <w:p w:rsidR="00245131" w:rsidRDefault="00245131" w:rsidP="00245131">
      <w:pPr>
        <w:pStyle w:val="Heading4"/>
      </w:pPr>
      <w:r>
        <w:t>Question 2</w:t>
      </w:r>
    </w:p>
    <w:p w:rsidR="00245131" w:rsidRDefault="00245131" w:rsidP="00245131">
      <w:r>
        <w:t>The sponsor is requested to clarify the numbers presenting with bleeding and the numbers with regression of bleeding. The number of patients with bleeding manifestations at commencement of treatment was variously reported to be:</w:t>
      </w:r>
    </w:p>
    <w:p w:rsidR="00245131" w:rsidRPr="00245131" w:rsidRDefault="00245131" w:rsidP="00245131">
      <w:pPr>
        <w:pStyle w:val="ListBullet"/>
      </w:pPr>
      <w:r w:rsidRPr="00245131">
        <w:t>All but one</w:t>
      </w:r>
    </w:p>
    <w:p w:rsidR="00245131" w:rsidRPr="00245131" w:rsidRDefault="00245131" w:rsidP="00245131">
      <w:pPr>
        <w:pStyle w:val="ListBullet"/>
      </w:pPr>
      <w:r w:rsidRPr="00245131">
        <w:t xml:space="preserve">All </w:t>
      </w:r>
      <w:proofErr w:type="gramStart"/>
      <w:r w:rsidRPr="00245131">
        <w:t>children,</w:t>
      </w:r>
      <w:proofErr w:type="gramEnd"/>
      <w:r w:rsidRPr="00245131">
        <w:t xml:space="preserve"> and all except four of the adults.</w:t>
      </w:r>
    </w:p>
    <w:p w:rsidR="00245131" w:rsidRDefault="00245131" w:rsidP="00245131">
      <w:r>
        <w:t>The number experiencing improvement in bleeding is stated in the text to be all patients responding, whereas the data table shows three patients not responding, and this table is considered possibly incomplete as the number of adults in the table doesn’t equal the number of adult responders.</w:t>
      </w:r>
    </w:p>
    <w:p w:rsidR="00245131" w:rsidRPr="00245131" w:rsidRDefault="00245131" w:rsidP="00245131">
      <w:pPr>
        <w:pStyle w:val="Heading5"/>
      </w:pPr>
      <w:r w:rsidRPr="00245131">
        <w:t>Sponsor’s response:</w:t>
      </w:r>
    </w:p>
    <w:p w:rsidR="00245131" w:rsidRDefault="00245131" w:rsidP="00245131">
      <w:r>
        <w:t xml:space="preserve">The apparent discrepancies in the number of subjects presenting with bleeding/haemorrhage and the number of subjects with regression of </w:t>
      </w:r>
      <w:r>
        <w:lastRenderedPageBreak/>
        <w:t>bleeding/haemorrhage seems to be due to the data being presented globally (data from the two Studies IG202 and IG0601 together) or separate (data from individual studies) in different sections of the clinical study report.</w:t>
      </w:r>
    </w:p>
    <w:p w:rsidR="00245131" w:rsidRDefault="00245131" w:rsidP="00245131">
      <w:r>
        <w:t>Three adult subjects are presented as being non responders according to the secondary efficacy endpoint “regression of haemorrhage/bleedings”. These three subjects actually did not have any bleeding/haemorrhage at Day 1; therefore they have not been counted in calculation of percentage of subjects with improvement of bleeding diathesis (response) during follow up period.</w:t>
      </w:r>
    </w:p>
    <w:p w:rsidR="00245131" w:rsidRDefault="00245131" w:rsidP="00245131">
      <w:pPr>
        <w:pStyle w:val="Heading4"/>
      </w:pPr>
      <w:r>
        <w:t>Question 3</w:t>
      </w:r>
    </w:p>
    <w:p w:rsidR="00245131" w:rsidRDefault="00245131" w:rsidP="00245131">
      <w:r>
        <w:t>The reason for manufacturing the 10% formulation has not been made clear by the sponsor in this submission, nor explained to the patients included in the studies as judged by the submitted consent forms. The sponsor is requested to supply the reason for manufacturing and requesting to register, a 10% product.</w:t>
      </w:r>
    </w:p>
    <w:p w:rsidR="00245131" w:rsidRPr="00245131" w:rsidRDefault="00245131" w:rsidP="00245131">
      <w:pPr>
        <w:pStyle w:val="Heading5"/>
      </w:pPr>
      <w:r w:rsidRPr="00245131">
        <w:t>Sponsor’s response:</w:t>
      </w:r>
    </w:p>
    <w:p w:rsidR="00245131" w:rsidRDefault="00245131" w:rsidP="00245131">
      <w:r>
        <w:t>With the availability of a new concentration (10%) a low volume of infusion is used and this may be an advantage for some patients. There are other advantages as a small reduction in infusion time may improve patients' quality of life, optimises health resources and even reduces complications associated to the hospital stay.</w:t>
      </w:r>
    </w:p>
    <w:p w:rsidR="008E7846" w:rsidRPr="006E137C" w:rsidRDefault="008E7846" w:rsidP="008E7846">
      <w:pPr>
        <w:pStyle w:val="Heading3"/>
      </w:pPr>
      <w:bookmarkStart w:id="70" w:name="_Toc247691523"/>
      <w:bookmarkStart w:id="71" w:name="_Toc314842507"/>
      <w:bookmarkStart w:id="72" w:name="_Toc184440295"/>
      <w:bookmarkStart w:id="73" w:name="_Toc184444673"/>
      <w:bookmarkStart w:id="74" w:name="_Toc196046503"/>
      <w:bookmarkStart w:id="75" w:name="_Toc369706046"/>
      <w:bookmarkEnd w:id="64"/>
      <w:r>
        <w:t>Clinical summary and conclusions</w:t>
      </w:r>
      <w:bookmarkEnd w:id="70"/>
      <w:bookmarkEnd w:id="71"/>
      <w:bookmarkEnd w:id="75"/>
    </w:p>
    <w:p w:rsidR="005E7AEA" w:rsidRDefault="005E7AEA" w:rsidP="005E7AEA">
      <w:bookmarkStart w:id="76" w:name="_Toc196046504"/>
      <w:bookmarkStart w:id="77" w:name="_Toc163441390"/>
      <w:bookmarkEnd w:id="72"/>
      <w:bookmarkEnd w:id="73"/>
      <w:bookmarkEnd w:id="74"/>
      <w:r>
        <w:t xml:space="preserve">In support of the application, summary of Study IG304 of efficacy, safety and pharmacokinetic results of treatment of primary immunodeficiency, and an integrated interim summary of Studies IG202 and IG0601 assessing treatment of ITP were submitted in accordance with guidance on the clinical investigation of human normal </w:t>
      </w:r>
      <w:proofErr w:type="spellStart"/>
      <w:r>
        <w:t>IVIg</w:t>
      </w:r>
      <w:proofErr w:type="spellEnd"/>
      <w:r>
        <w:t>. Each study was observational, prospective and open label.</w:t>
      </w:r>
      <w:bookmarkStart w:id="78" w:name="_Toc300919766"/>
    </w:p>
    <w:p w:rsidR="005E7AEA" w:rsidRDefault="005E7AEA" w:rsidP="005E7AEA">
      <w:pPr>
        <w:pStyle w:val="Heading4"/>
      </w:pPr>
      <w:r>
        <w:t>Study IG304</w:t>
      </w:r>
      <w:bookmarkEnd w:id="78"/>
    </w:p>
    <w:p w:rsidR="005E7AEA" w:rsidRPr="00DA6925" w:rsidRDefault="005E7AEA" w:rsidP="005E7AEA">
      <w:r w:rsidRPr="00865505">
        <w:t xml:space="preserve">Study IG304 examined 12 month use of IGIV31 </w:t>
      </w:r>
      <w:proofErr w:type="spellStart"/>
      <w:r w:rsidRPr="00865505">
        <w:t>Grifols</w:t>
      </w:r>
      <w:proofErr w:type="spellEnd"/>
      <w:r w:rsidRPr="00865505">
        <w:t xml:space="preserve"> 10% in treatment of primary immunodeficiency disease. A total of 46 patients were enrolled, three of whom were less than 16 years of age. Thirty-seven (80.4%) of those</w:t>
      </w:r>
      <w:r>
        <w:t xml:space="preserve"> enrolled completed the study. </w:t>
      </w:r>
      <w:r w:rsidRPr="00865505">
        <w:t xml:space="preserve">The primary objective was to determine efficacy with respect to the </w:t>
      </w:r>
      <w:r>
        <w:t>FDA</w:t>
      </w:r>
      <w:r w:rsidRPr="00865505">
        <w:t xml:space="preserve"> minima</w:t>
      </w:r>
      <w:r>
        <w:t>l requirements of no more than one</w:t>
      </w:r>
      <w:r w:rsidRPr="00865505">
        <w:t xml:space="preserve"> serious bacterial infection per patient per year according to FDA criteria. The primary objective was met; one serious bacterial infection, pneumonia, was documented</w:t>
      </w:r>
      <w:r>
        <w:t>.</w:t>
      </w:r>
    </w:p>
    <w:p w:rsidR="005E7AEA" w:rsidRPr="00865505" w:rsidRDefault="005E7AEA" w:rsidP="005E7AEA">
      <w:r w:rsidRPr="00865505">
        <w:t xml:space="preserve">The total number of </w:t>
      </w:r>
      <w:r>
        <w:t>AEs</w:t>
      </w:r>
      <w:r w:rsidRPr="00865505">
        <w:t xml:space="preserve"> that occurred during an infusion in Study IG304 was 292 (0.49 per infusion), and the total number of </w:t>
      </w:r>
      <w:r>
        <w:t>AE</w:t>
      </w:r>
      <w:r w:rsidRPr="00865505">
        <w:t>s that occurred during an infusion or within 72 hours of an infusion was 408 (0.68 per infusion)</w:t>
      </w:r>
      <w:r>
        <w:t xml:space="preserve">. The total number of treatment </w:t>
      </w:r>
      <w:r w:rsidRPr="00865505">
        <w:t xml:space="preserve">related </w:t>
      </w:r>
      <w:r>
        <w:t>AE</w:t>
      </w:r>
      <w:r w:rsidRPr="00865505">
        <w:t xml:space="preserve">s that occurred during an infusion was 206 (0.34 per infusion), and during an infusion or within 72 hours of an infusion was 291 </w:t>
      </w:r>
      <w:r>
        <w:t>(0.48 per infusion). The upper one s</w:t>
      </w:r>
      <w:r w:rsidRPr="00865505">
        <w:t xml:space="preserve">ided 95% confidence limit of infusions with one or more associated </w:t>
      </w:r>
      <w:r>
        <w:t>AEs</w:t>
      </w:r>
      <w:r w:rsidRPr="00865505">
        <w:t xml:space="preserve"> occurred at a rate below the</w:t>
      </w:r>
      <w:r>
        <w:t xml:space="preserve"> FDA threshold during or up to one</w:t>
      </w:r>
      <w:r w:rsidRPr="00865505">
        <w:t xml:space="preserve"> hour after completion of an infusion (39.7%), and over</w:t>
      </w:r>
      <w:r>
        <w:t xml:space="preserve"> and above</w:t>
      </w:r>
      <w:r w:rsidRPr="00865505">
        <w:t xml:space="preserve"> the FDA’s suggested threshold during infusion or up to 72 hours after completion of the infusion (47.0%).</w:t>
      </w:r>
    </w:p>
    <w:p w:rsidR="005E7AEA" w:rsidRPr="00865505" w:rsidRDefault="005E7AEA" w:rsidP="005E7AEA">
      <w:r w:rsidRPr="00865505">
        <w:t xml:space="preserve">Most frequently reported events were headache, pyrexia, rigors, back pain, sinusitis, cough, nausea, hypotension, and tachycardia and </w:t>
      </w:r>
      <w:proofErr w:type="spellStart"/>
      <w:r w:rsidRPr="00865505">
        <w:t>myalgia</w:t>
      </w:r>
      <w:proofErr w:type="spellEnd"/>
      <w:r w:rsidRPr="00865505">
        <w:t>. No deaths were rep</w:t>
      </w:r>
      <w:r>
        <w:t xml:space="preserve">orted. One patient experienced serious </w:t>
      </w:r>
      <w:r w:rsidRPr="00865505">
        <w:t xml:space="preserve">AEs of bacterial pneumonia, subcutaneous </w:t>
      </w:r>
      <w:r w:rsidRPr="00724F94">
        <w:t>abscess</w:t>
      </w:r>
      <w:r w:rsidRPr="00865505">
        <w:t xml:space="preserve"> and </w:t>
      </w:r>
      <w:r>
        <w:t>two</w:t>
      </w:r>
      <w:r w:rsidRPr="00865505">
        <w:t xml:space="preserve"> </w:t>
      </w:r>
      <w:r w:rsidRPr="00865505">
        <w:lastRenderedPageBreak/>
        <w:t xml:space="preserve">episodes of </w:t>
      </w:r>
      <w:proofErr w:type="spellStart"/>
      <w:r w:rsidRPr="00865505">
        <w:t>cellulitis</w:t>
      </w:r>
      <w:proofErr w:type="spellEnd"/>
      <w:r w:rsidRPr="00865505">
        <w:t xml:space="preserve"> that were reported by the investigator as not related to the study drug but are being considered as possibly related to study drug for regulatory purposes.</w:t>
      </w:r>
      <w:r w:rsidRPr="00865505">
        <w:rPr>
          <w:rStyle w:val="FootnoteReference"/>
          <w:rFonts w:ascii="Arial" w:hAnsi="Arial" w:cs="Arial"/>
          <w:sz w:val="20"/>
          <w:szCs w:val="20"/>
        </w:rPr>
        <w:footnoteReference w:id="6"/>
      </w:r>
      <w:r w:rsidRPr="00865505">
        <w:t xml:space="preserve"> Three patients including this one discontinued the study because of </w:t>
      </w:r>
      <w:r>
        <w:t>AE</w:t>
      </w:r>
      <w:r w:rsidRPr="00865505">
        <w:t>s; most of which were considered to be related to study drug.</w:t>
      </w:r>
    </w:p>
    <w:p w:rsidR="005E7AEA" w:rsidRDefault="005E7AEA" w:rsidP="005E7AEA">
      <w:r w:rsidRPr="00865505">
        <w:t xml:space="preserve">In comparing the incidence of </w:t>
      </w:r>
      <w:r>
        <w:t>AE</w:t>
      </w:r>
      <w:r w:rsidRPr="00865505">
        <w:t xml:space="preserve">s reported in Study IG304 to those reported in the Australian </w:t>
      </w:r>
      <w:r>
        <w:t>Product Information</w:t>
      </w:r>
      <w:r w:rsidRPr="00865505">
        <w:t xml:space="preserve"> for </w:t>
      </w:r>
      <w:proofErr w:type="spellStart"/>
      <w:r w:rsidRPr="00865505">
        <w:t>Flebogamma</w:t>
      </w:r>
      <w:proofErr w:type="spellEnd"/>
      <w:r w:rsidRPr="00865505">
        <w:t xml:space="preserve"> 5% DIF, it appears that the incidence of </w:t>
      </w:r>
      <w:r>
        <w:t>AE</w:t>
      </w:r>
      <w:r w:rsidRPr="00865505">
        <w:t xml:space="preserve">s considered related to treatment is higher in relation to the 10% formulation than the registered formulation. The incidence of </w:t>
      </w:r>
      <w:r>
        <w:t>AEs occurring within 72 h</w:t>
      </w:r>
      <w:r w:rsidRPr="00865505">
        <w:t xml:space="preserve"> of commencement of infusion was high</w:t>
      </w:r>
      <w:r>
        <w:t>er than the FDA recommendation.</w:t>
      </w:r>
    </w:p>
    <w:p w:rsidR="005E7AEA" w:rsidRPr="00865505" w:rsidRDefault="005E7AEA" w:rsidP="005E7AEA">
      <w:r>
        <w:t>The study design by its nature, and despite the best will, is subject to the possibility of bias, in particular in determining the number of bacterial infections and also the relatedness or otherwise of AEs as highlighted in the FDA questions relating to infections and to antibiotic use.</w:t>
      </w:r>
    </w:p>
    <w:p w:rsidR="005E7AEA" w:rsidRPr="005E7AEA" w:rsidRDefault="005E7AEA" w:rsidP="005E7AEA">
      <w:pPr>
        <w:pStyle w:val="Heading5"/>
      </w:pPr>
      <w:r w:rsidRPr="005E7AEA">
        <w:t>Sponsor’s comment regarding safety</w:t>
      </w:r>
    </w:p>
    <w:p w:rsidR="005E7AEA" w:rsidRPr="00825713" w:rsidRDefault="005E7AEA" w:rsidP="005E7AEA">
      <w:r>
        <w:t>With respect to the AE profile, t</w:t>
      </w:r>
      <w:r w:rsidRPr="00825713">
        <w:t>he sp</w:t>
      </w:r>
      <w:r>
        <w:t xml:space="preserve">onsor considers that a protocol </w:t>
      </w:r>
      <w:r w:rsidRPr="00825713">
        <w:t xml:space="preserve">required forced upward titration of the infusion rate may be associated with an apparent greater incidence of </w:t>
      </w:r>
      <w:r>
        <w:t>AE</w:t>
      </w:r>
      <w:r w:rsidRPr="00825713">
        <w:t xml:space="preserve">s. The sponsor states that there was clear evidence that patients more frequently reported </w:t>
      </w:r>
      <w:r>
        <w:t>AE</w:t>
      </w:r>
      <w:r w:rsidRPr="00825713">
        <w:t>s as the infusion rate increased. The current study utili</w:t>
      </w:r>
      <w:r>
        <w:t>s</w:t>
      </w:r>
      <w:r w:rsidRPr="00825713">
        <w:t xml:space="preserve">ed a 10% formulation of the drug product, thereby requiring a smaller volume of </w:t>
      </w:r>
      <w:proofErr w:type="spellStart"/>
      <w:r w:rsidRPr="00825713">
        <w:t>infusate</w:t>
      </w:r>
      <w:proofErr w:type="spellEnd"/>
      <w:r w:rsidRPr="00825713">
        <w:t>; thus, it stands to reason that infusion times would intrinsically be decreased compared with administration of the same amount of active drug product in a 5% formulation.</w:t>
      </w:r>
    </w:p>
    <w:p w:rsidR="005E7AEA" w:rsidRPr="00825713" w:rsidRDefault="005E7AEA" w:rsidP="005E7AEA">
      <w:r w:rsidRPr="00825713">
        <w:t xml:space="preserve">The sponsor also states that although safety data on 10% </w:t>
      </w:r>
      <w:proofErr w:type="spellStart"/>
      <w:r>
        <w:t>IVIg</w:t>
      </w:r>
      <w:proofErr w:type="spellEnd"/>
      <w:r>
        <w:t xml:space="preserve"> </w:t>
      </w:r>
      <w:r w:rsidRPr="00825713">
        <w:t xml:space="preserve">products have not been published extensively in the literature, anecdotal evidence from investigators who have administered both 5% and 10% formulations suggests that higher </w:t>
      </w:r>
      <w:r>
        <w:t>AE</w:t>
      </w:r>
      <w:r w:rsidRPr="00825713">
        <w:t xml:space="preserve"> incidences may be expected with 10% </w:t>
      </w:r>
      <w:proofErr w:type="spellStart"/>
      <w:r>
        <w:t>IVIg</w:t>
      </w:r>
      <w:proofErr w:type="spellEnd"/>
      <w:r w:rsidRPr="00825713">
        <w:t xml:space="preserve"> products, particularly at higher infusion rates. To date, only a few 10% </w:t>
      </w:r>
      <w:proofErr w:type="spellStart"/>
      <w:r>
        <w:t>IVIg</w:t>
      </w:r>
      <w:proofErr w:type="spellEnd"/>
      <w:r w:rsidRPr="00825713">
        <w:t xml:space="preserve"> products have been approved for marketing, and the number of publications associated with these products is small. Comparisons between products are not clinically meaningful, since the types of safety information available for each product do no</w:t>
      </w:r>
      <w:r>
        <w:t>t follow any global convention.</w:t>
      </w:r>
    </w:p>
    <w:p w:rsidR="005E7AEA" w:rsidRDefault="005E7AEA" w:rsidP="005E7AEA">
      <w:pPr>
        <w:pStyle w:val="Heading4"/>
      </w:pPr>
      <w:bookmarkStart w:id="79" w:name="_Toc300919767"/>
      <w:r>
        <w:t>Studies IG202 and 0601</w:t>
      </w:r>
      <w:bookmarkEnd w:id="79"/>
    </w:p>
    <w:p w:rsidR="005E7AEA" w:rsidRPr="00BA2982" w:rsidRDefault="005E7AEA" w:rsidP="005E7AEA">
      <w:r w:rsidRPr="00614E17">
        <w:t xml:space="preserve">An integrated, interim report of these two studies of the efficacy and safety of use of IGIV31 </w:t>
      </w:r>
      <w:proofErr w:type="spellStart"/>
      <w:r w:rsidRPr="00614E17">
        <w:t>Grifols</w:t>
      </w:r>
      <w:proofErr w:type="spellEnd"/>
      <w:r w:rsidRPr="00614E17">
        <w:t xml:space="preserve"> 10% in treatment of</w:t>
      </w:r>
      <w:r>
        <w:t xml:space="preserve"> chronic</w:t>
      </w:r>
      <w:r w:rsidRPr="00614E17">
        <w:t xml:space="preserve"> </w:t>
      </w:r>
      <w:r>
        <w:t>ITP was presented</w:t>
      </w:r>
      <w:r w:rsidRPr="00614E17">
        <w:t>. The two observational studies were conducted under separate protocols. The decision to</w:t>
      </w:r>
      <w:r>
        <w:t xml:space="preserve"> combine them for interim analyse </w:t>
      </w:r>
      <w:r w:rsidRPr="00614E17">
        <w:t>constituted a change in the planned analysis</w:t>
      </w:r>
      <w:r>
        <w:t>, that is, the results provided were based on post hoc analysis. There were multiple</w:t>
      </w:r>
      <w:r w:rsidRPr="00614E17">
        <w:t xml:space="preserve"> design differences</w:t>
      </w:r>
      <w:r>
        <w:t xml:space="preserve"> resulting in an amalgamated report that lacked clarity and was difficult to interpret</w:t>
      </w:r>
      <w:r w:rsidRPr="00614E17">
        <w:t xml:space="preserve">. </w:t>
      </w:r>
      <w:r>
        <w:t>In addition, the inclusion in Study IG202, of particip</w:t>
      </w:r>
      <w:r w:rsidRPr="00BA2982">
        <w:t xml:space="preserve">ants </w:t>
      </w:r>
      <w:r>
        <w:t xml:space="preserve">known to be </w:t>
      </w:r>
      <w:r w:rsidRPr="00BA2982">
        <w:t xml:space="preserve">responsive to previous </w:t>
      </w:r>
      <w:proofErr w:type="spellStart"/>
      <w:r>
        <w:t>IVIg</w:t>
      </w:r>
      <w:proofErr w:type="spellEnd"/>
      <w:r>
        <w:t>, is considered contentious.</w:t>
      </w:r>
    </w:p>
    <w:p w:rsidR="005E7AEA" w:rsidRPr="00825713" w:rsidRDefault="005E7AEA" w:rsidP="005E7AEA">
      <w:r w:rsidRPr="00825713">
        <w:t xml:space="preserve">The primary objective of both studies was to demonstrate that IGIV3I </w:t>
      </w:r>
      <w:proofErr w:type="spellStart"/>
      <w:r w:rsidRPr="00825713">
        <w:t>Grifols</w:t>
      </w:r>
      <w:proofErr w:type="spellEnd"/>
      <w:r w:rsidRPr="00825713">
        <w:t xml:space="preserve"> 10% is safe and effective in raising platelet counts in patients with</w:t>
      </w:r>
      <w:r>
        <w:t xml:space="preserve"> chronic</w:t>
      </w:r>
      <w:r w:rsidRPr="00825713">
        <w:t xml:space="preserve"> ITP. The primary efficacy endpoint was response to therapy</w:t>
      </w:r>
      <w:r>
        <w:t>, defined as a platelet count ≥</w:t>
      </w:r>
      <w:r w:rsidRPr="00825713">
        <w:t>50 x 10</w:t>
      </w:r>
      <w:r w:rsidRPr="00825713">
        <w:rPr>
          <w:vertAlign w:val="superscript"/>
        </w:rPr>
        <w:t>9</w:t>
      </w:r>
      <w:r w:rsidRPr="00825713">
        <w:t>/L at any time during the study period (IG202) or by Day 8 ± 1 (IG0601). The primary efficacy criterion was the</w:t>
      </w:r>
      <w:r>
        <w:t xml:space="preserve"> proportion of responder</w:t>
      </w:r>
      <w:r w:rsidRPr="00825713">
        <w:t>s.</w:t>
      </w:r>
      <w:r>
        <w:t xml:space="preserve"> It was generally difficult to discriminated results of one </w:t>
      </w:r>
      <w:r>
        <w:lastRenderedPageBreak/>
        <w:t>study from the other with the exception of results for children who were included only Study IG0602.</w:t>
      </w:r>
    </w:p>
    <w:p w:rsidR="005E7AEA" w:rsidRPr="009561D9" w:rsidRDefault="005E7AEA" w:rsidP="005E7AEA">
      <w:r w:rsidRPr="009561D9">
        <w:t>A total of 27 patients were enrolled and treated, 18 adults and 9 paediatric patients</w:t>
      </w:r>
      <w:r>
        <w:t xml:space="preserve"> with age range 3-15 years</w:t>
      </w:r>
      <w:r w:rsidRPr="009561D9">
        <w:t xml:space="preserve">. One child and three adults were withdrawn prematurely from Study IG0601 due to progression of disease. </w:t>
      </w:r>
      <w:r>
        <w:t xml:space="preserve">Six patients were said to have platelet counts at baseline above those specified in the protocols. No patients were excluded from the MITT analysis. </w:t>
      </w:r>
      <w:r w:rsidRPr="009561D9">
        <w:t xml:space="preserve">There were no withdrawals for </w:t>
      </w:r>
      <w:r>
        <w:t>AE</w:t>
      </w:r>
      <w:r w:rsidRPr="009561D9">
        <w:t xml:space="preserve">s. All 27 patients in the </w:t>
      </w:r>
      <w:r>
        <w:t>two</w:t>
      </w:r>
      <w:r w:rsidRPr="009561D9">
        <w:t xml:space="preserve"> studies</w:t>
      </w:r>
      <w:r>
        <w:t xml:space="preserve"> were stated to have completed treatment.</w:t>
      </w:r>
    </w:p>
    <w:p w:rsidR="005E7AEA" w:rsidRPr="009561D9" w:rsidRDefault="005E7AEA" w:rsidP="005E7AEA">
      <w:r w:rsidRPr="009561D9">
        <w:t>Twenty-four of the 27 patients (89%) were responders wi</w:t>
      </w:r>
      <w:r>
        <w:t>th platelet count increase to ≥</w:t>
      </w:r>
      <w:r w:rsidRPr="009561D9">
        <w:t>50 x 10</w:t>
      </w:r>
      <w:r w:rsidRPr="009561D9">
        <w:rPr>
          <w:vertAlign w:val="superscript"/>
        </w:rPr>
        <w:t>9</w:t>
      </w:r>
      <w:r>
        <w:t>/</w:t>
      </w:r>
      <w:r w:rsidRPr="009561D9">
        <w:t>L: The proportion of adult responders was 83% (15/18)</w:t>
      </w:r>
      <w:r>
        <w:t>. T</w:t>
      </w:r>
      <w:r w:rsidRPr="009561D9">
        <w:t>he proportion of paediatric responders was</w:t>
      </w:r>
      <w:r>
        <w:t xml:space="preserve"> stated to be</w:t>
      </w:r>
      <w:r w:rsidRPr="009561D9">
        <w:t xml:space="preserve"> 100% (9/9)</w:t>
      </w:r>
      <w:r>
        <w:t>; however, one child was withdrawn from the study because of disease progression.</w:t>
      </w:r>
    </w:p>
    <w:p w:rsidR="005E7AEA" w:rsidRDefault="005E7AEA" w:rsidP="005E7AEA">
      <w:r>
        <w:t>Regression of haemorrhages was reported. The criteria for regression in Study IG202 appeared to allow subjective evaluation and the criteria for regression in Study IG0601 could not be located.</w:t>
      </w:r>
      <w:r>
        <w:rPr>
          <w:rStyle w:val="FootnoteReference"/>
          <w:rFonts w:ascii="Arial" w:hAnsi="Arial" w:cs="Arial"/>
          <w:sz w:val="20"/>
          <w:szCs w:val="20"/>
        </w:rPr>
        <w:footnoteReference w:id="7"/>
      </w:r>
    </w:p>
    <w:p w:rsidR="005E7AEA" w:rsidRDefault="005E7AEA" w:rsidP="005E7AEA">
      <w:r w:rsidRPr="009561D9">
        <w:t xml:space="preserve">Twenty-six of the 27 (96.3%) </w:t>
      </w:r>
      <w:r>
        <w:t>ITP patients</w:t>
      </w:r>
      <w:r w:rsidRPr="009561D9">
        <w:t xml:space="preserve"> reported at least </w:t>
      </w:r>
      <w:r>
        <w:t>one AE</w:t>
      </w:r>
      <w:r w:rsidRPr="009561D9">
        <w:t xml:space="preserve">. A total of </w:t>
      </w:r>
      <w:r>
        <w:t xml:space="preserve">AEs </w:t>
      </w:r>
      <w:r w:rsidRPr="009561D9">
        <w:t>were reported, with 64 reported for paediatric patients and 69 reported for adult patients. On a per capita basis it appears that paediatric patients experienced a higher incidence</w:t>
      </w:r>
      <w:r>
        <w:t xml:space="preserve"> of AEs than adults.</w:t>
      </w:r>
    </w:p>
    <w:p w:rsidR="005E7AEA" w:rsidRPr="009561D9" w:rsidRDefault="005E7AEA" w:rsidP="005E7AEA">
      <w:r w:rsidRPr="009561D9">
        <w:t xml:space="preserve">The most commonly reported </w:t>
      </w:r>
      <w:r>
        <w:t>AEs</w:t>
      </w:r>
      <w:r w:rsidRPr="009561D9">
        <w:t xml:space="preserve"> were headache, nausea, pyrexia, and </w:t>
      </w:r>
      <w:proofErr w:type="spellStart"/>
      <w:r>
        <w:t>petechiae</w:t>
      </w:r>
      <w:proofErr w:type="spellEnd"/>
      <w:r w:rsidRPr="009561D9">
        <w:t xml:space="preserve">; chills; vomiting; hypertension and </w:t>
      </w:r>
      <w:proofErr w:type="spellStart"/>
      <w:r w:rsidRPr="009561D9">
        <w:t>ecchymoses</w:t>
      </w:r>
      <w:proofErr w:type="spellEnd"/>
      <w:r w:rsidRPr="009561D9">
        <w:t>. The majority were reported as mild, 33.3% were moderate</w:t>
      </w:r>
      <w:r>
        <w:t>, and 11.1% were</w:t>
      </w:r>
      <w:r w:rsidRPr="009561D9">
        <w:t xml:space="preserve"> severe. One event was reported as definitely related while 59.3% were classified as probably related to study drug.</w:t>
      </w:r>
    </w:p>
    <w:p w:rsidR="005E7AEA" w:rsidRDefault="005E7AEA" w:rsidP="005E7AEA">
      <w:r w:rsidRPr="009561D9">
        <w:t xml:space="preserve">There were no deaths in either study. Two patients reported a serious </w:t>
      </w:r>
      <w:r>
        <w:t xml:space="preserve">AE: </w:t>
      </w:r>
      <w:proofErr w:type="spellStart"/>
      <w:r>
        <w:t>leukop</w:t>
      </w:r>
      <w:r w:rsidRPr="009561D9">
        <w:t>enia</w:t>
      </w:r>
      <w:proofErr w:type="spellEnd"/>
      <w:r w:rsidRPr="009561D9">
        <w:t xml:space="preserve"> and decreased haemoglobin considered probably related to study drug, and thrombos</w:t>
      </w:r>
      <w:r>
        <w:t>is considered possibly related.</w:t>
      </w:r>
    </w:p>
    <w:p w:rsidR="005E7AEA" w:rsidRPr="001E3236" w:rsidRDefault="005E7AEA" w:rsidP="005E7AEA">
      <w:r>
        <w:t xml:space="preserve">The </w:t>
      </w:r>
      <w:r w:rsidRPr="009A25CB">
        <w:t>Note for Guidance on the Clinical Investigation of Human Normal Immunoglobulin for Intravenous Administration</w:t>
      </w:r>
      <w:bookmarkStart w:id="80" w:name="_Ref322354336"/>
      <w:r>
        <w:rPr>
          <w:rStyle w:val="FootnoteReference"/>
        </w:rPr>
        <w:footnoteReference w:id="8"/>
      </w:r>
      <w:bookmarkEnd w:id="80"/>
      <w:r>
        <w:t xml:space="preserve"> specifies a low level of evidence for efficacy in the treatment of ITP. The decision regarding the indications of </w:t>
      </w:r>
      <w:proofErr w:type="spellStart"/>
      <w:r>
        <w:t>Guillain</w:t>
      </w:r>
      <w:proofErr w:type="spellEnd"/>
      <w:r>
        <w:t xml:space="preserve"> </w:t>
      </w:r>
      <w:proofErr w:type="spellStart"/>
      <w:r>
        <w:t>Barré</w:t>
      </w:r>
      <w:proofErr w:type="spellEnd"/>
      <w:r>
        <w:t xml:space="preserve"> Syndrome, Kawasaki disease and </w:t>
      </w:r>
      <w:proofErr w:type="spellStart"/>
      <w:r>
        <w:t>allogeneic</w:t>
      </w:r>
      <w:proofErr w:type="spellEnd"/>
      <w:r>
        <w:t xml:space="preserve"> bone marrow transplantation are contingent on establishment of efficacy in ITP according to the guideline. The level of evidence supplied is considered in keeping with the spirit of the guideline. It is concerning that low level of evidence is required for a product with inherently high rates of associated AEs.</w:t>
      </w:r>
    </w:p>
    <w:p w:rsidR="005E7AEA" w:rsidRPr="005E7AEA" w:rsidRDefault="005E7AEA" w:rsidP="005E7AEA">
      <w:pPr>
        <w:pStyle w:val="Heading4"/>
      </w:pPr>
      <w:bookmarkStart w:id="81" w:name="_Toc300919768"/>
      <w:r w:rsidRPr="005E7AEA">
        <w:lastRenderedPageBreak/>
        <w:t>Benefit risk assessment</w:t>
      </w:r>
      <w:bookmarkEnd w:id="81"/>
    </w:p>
    <w:p w:rsidR="005E7AEA" w:rsidRDefault="005E7AEA" w:rsidP="005E7AEA">
      <w:pPr>
        <w:pStyle w:val="Heading5"/>
      </w:pPr>
      <w:bookmarkStart w:id="82" w:name="_Toc241374333"/>
      <w:bookmarkStart w:id="83" w:name="_Toc236802595"/>
      <w:bookmarkStart w:id="84" w:name="_Toc300919769"/>
      <w:r>
        <w:t>Benefits</w:t>
      </w:r>
      <w:bookmarkEnd w:id="82"/>
      <w:bookmarkEnd w:id="83"/>
      <w:bookmarkEnd w:id="84"/>
    </w:p>
    <w:p w:rsidR="005E7AEA" w:rsidRPr="001003FE" w:rsidRDefault="005E7AEA" w:rsidP="001A2A79">
      <w:r>
        <w:t xml:space="preserve">PID and ITP are conditions with potential to cause significant morbidity or mortality. </w:t>
      </w:r>
      <w:r w:rsidRPr="001003FE">
        <w:t>The</w:t>
      </w:r>
      <w:r>
        <w:t xml:space="preserve"> submitted studies </w:t>
      </w:r>
      <w:r w:rsidRPr="001003FE">
        <w:t>demonstrated efficacy with respect to prevention of serious bacterial infection and platelet response in</w:t>
      </w:r>
      <w:r>
        <w:t xml:space="preserve"> patients with chronic</w:t>
      </w:r>
      <w:r w:rsidRPr="001003FE">
        <w:t xml:space="preserve"> </w:t>
      </w:r>
      <w:r>
        <w:t>ITP.</w:t>
      </w:r>
    </w:p>
    <w:p w:rsidR="005E7AEA" w:rsidRPr="001A2A79" w:rsidRDefault="005E7AEA" w:rsidP="001A2A79">
      <w:pPr>
        <w:pStyle w:val="Heading5"/>
      </w:pPr>
      <w:bookmarkStart w:id="85" w:name="_Toc241374334"/>
      <w:bookmarkStart w:id="86" w:name="_Toc236802596"/>
      <w:bookmarkStart w:id="87" w:name="_Toc300919770"/>
      <w:r w:rsidRPr="001A2A79">
        <w:t>Risks</w:t>
      </w:r>
      <w:bookmarkEnd w:id="85"/>
      <w:bookmarkEnd w:id="86"/>
      <w:bookmarkEnd w:id="87"/>
    </w:p>
    <w:p w:rsidR="005E7AEA" w:rsidRDefault="005E7AEA" w:rsidP="001A2A79">
      <w:r>
        <w:t>A</w:t>
      </w:r>
      <w:r w:rsidRPr="001003FE">
        <w:t xml:space="preserve">n apparent increase in the incidence of drug related </w:t>
      </w:r>
      <w:r>
        <w:t>AE</w:t>
      </w:r>
      <w:r w:rsidRPr="001003FE">
        <w:t xml:space="preserve">s compared with the registered 5% product </w:t>
      </w:r>
      <w:proofErr w:type="spellStart"/>
      <w:r w:rsidRPr="001003FE">
        <w:t>Flebogamma</w:t>
      </w:r>
      <w:proofErr w:type="spellEnd"/>
      <w:r w:rsidRPr="001003FE">
        <w:t xml:space="preserve"> 5% DIF</w:t>
      </w:r>
      <w:r>
        <w:t xml:space="preserve"> has been reported in treatment of primary immunodeficiency disease and chronic ITP</w:t>
      </w:r>
      <w:r w:rsidRPr="001003FE">
        <w:t>.</w:t>
      </w:r>
      <w:r>
        <w:t xml:space="preserve"> In the ITP study, the paediatric patients appeared to be disproportionately affected. While it is plausible that the reduction in infusion time may play a part, it cannot be ruled out that the new formulation is inherently more likely to cause AE</w:t>
      </w:r>
      <w:r w:rsidR="001A2A79">
        <w:t>s.</w:t>
      </w:r>
    </w:p>
    <w:p w:rsidR="005E7AEA" w:rsidRPr="001003FE" w:rsidRDefault="005E7AEA" w:rsidP="001A2A79">
      <w:r>
        <w:t>There exists a potential risk of transmission of infection associated with the large number of donors contributing p</w:t>
      </w:r>
      <w:r w:rsidR="001A2A79">
        <w:t>roduct.</w:t>
      </w:r>
    </w:p>
    <w:p w:rsidR="005E7AEA" w:rsidRDefault="005E7AEA" w:rsidP="005E7AEA">
      <w:pPr>
        <w:pStyle w:val="Heading5"/>
      </w:pPr>
      <w:bookmarkStart w:id="88" w:name="_Toc241374335"/>
      <w:bookmarkStart w:id="89" w:name="_Toc236802597"/>
      <w:bookmarkStart w:id="90" w:name="_Toc300919771"/>
      <w:r>
        <w:t>Balance</w:t>
      </w:r>
      <w:bookmarkEnd w:id="88"/>
      <w:bookmarkEnd w:id="89"/>
      <w:bookmarkEnd w:id="90"/>
    </w:p>
    <w:p w:rsidR="005E7AEA" w:rsidRPr="001003FE" w:rsidRDefault="005E7AEA" w:rsidP="001A2A79">
      <w:r w:rsidRPr="001003FE">
        <w:t>The balance is felt to lie on the side of benefit.</w:t>
      </w:r>
      <w:r>
        <w:t xml:space="preserve"> The benefit is considered to be specific for patients in whom fluid restriction is a medical imperative. The benefit of slight reduction in time of delivery as a convenience is not considered sufficient to sway the balance in favour of the 10% product.</w:t>
      </w:r>
    </w:p>
    <w:p w:rsidR="005E7AEA" w:rsidRDefault="005E7AEA" w:rsidP="005E7AEA">
      <w:pPr>
        <w:pStyle w:val="Heading4"/>
      </w:pPr>
      <w:bookmarkStart w:id="91" w:name="_Toc300919772"/>
      <w:r>
        <w:t>Recommendation</w:t>
      </w:r>
      <w:bookmarkEnd w:id="91"/>
    </w:p>
    <w:p w:rsidR="005E7AEA" w:rsidRDefault="005E7AEA" w:rsidP="001A2A79">
      <w:r w:rsidRPr="001003FE">
        <w:t xml:space="preserve">Registration of </w:t>
      </w:r>
      <w:proofErr w:type="spellStart"/>
      <w:r w:rsidRPr="001003FE">
        <w:t>Flebogamma</w:t>
      </w:r>
      <w:proofErr w:type="spellEnd"/>
      <w:r w:rsidRPr="001003FE">
        <w:t xml:space="preserve"> 10% DIF is recommended</w:t>
      </w:r>
      <w:r>
        <w:t xml:space="preserve"> based on the results of the submitted studies and with reference to the Note for Guidance.</w:t>
      </w:r>
      <w:fldSimple w:instr=" NOTEREF _Ref322354336 \h  \* MERGEFORMAT ">
        <w:r>
          <w:rPr>
            <w:vertAlign w:val="superscript"/>
          </w:rPr>
          <w:t>8</w:t>
        </w:r>
      </w:fldSimple>
    </w:p>
    <w:p w:rsidR="005E7AEA" w:rsidRPr="0032038D" w:rsidRDefault="005E7AEA" w:rsidP="001A2A79">
      <w:r w:rsidRPr="0032038D">
        <w:t>With respect to the treatment of ITP, it is recommended that the Dosage and Administration section includes a statement that studies of efficacy were performed on patients with chronic ITP and that the product has not been studied in treatmen</w:t>
      </w:r>
      <w:r w:rsidR="001A2A79">
        <w:t>t of acute ITP.</w:t>
      </w:r>
    </w:p>
    <w:p w:rsidR="005E7AEA" w:rsidRPr="0032038D" w:rsidRDefault="005E7AEA" w:rsidP="001A2A79">
      <w:r w:rsidRPr="0032038D">
        <w:t xml:space="preserve">It is recommended that the Precautions section includes a statement with regard to the apparent increase in rate of AEs. The statement should be separate from the existing precaution that rate of </w:t>
      </w:r>
      <w:r>
        <w:t>AE</w:t>
      </w:r>
      <w:r w:rsidRPr="0032038D">
        <w:t xml:space="preserve">s may </w:t>
      </w:r>
      <w:r w:rsidR="001A2A79">
        <w:t>be related to rate of infusion.</w:t>
      </w:r>
    </w:p>
    <w:p w:rsidR="005E7AEA" w:rsidRDefault="005E7AEA" w:rsidP="001A2A79">
      <w:r w:rsidRPr="0032038D">
        <w:t xml:space="preserve">A number of changes to the proposed </w:t>
      </w:r>
      <w:r>
        <w:t>Product Information</w:t>
      </w:r>
      <w:r w:rsidRPr="0032038D">
        <w:t xml:space="preserve"> have been recommended. In particular, it is recommended that there is no change to the TGA approved wording of the Indication and Dosage and Administration sections.</w:t>
      </w:r>
    </w:p>
    <w:p w:rsidR="008E7846" w:rsidRPr="00E41208" w:rsidRDefault="008E7846" w:rsidP="008E7846">
      <w:pPr>
        <w:pStyle w:val="Heading2"/>
      </w:pPr>
      <w:bookmarkStart w:id="92" w:name="_Toc247691524"/>
      <w:bookmarkStart w:id="93" w:name="_Toc314842508"/>
      <w:bookmarkStart w:id="94" w:name="_Toc369706047"/>
      <w:r w:rsidRPr="00E41208">
        <w:t xml:space="preserve">V. </w:t>
      </w:r>
      <w:proofErr w:type="spellStart"/>
      <w:r w:rsidRPr="00E41208">
        <w:t>Pharmacovigilance</w:t>
      </w:r>
      <w:proofErr w:type="spellEnd"/>
      <w:r w:rsidRPr="00E41208">
        <w:t xml:space="preserve"> </w:t>
      </w:r>
      <w:r>
        <w:t>f</w:t>
      </w:r>
      <w:r w:rsidRPr="00E41208">
        <w:t>indings</w:t>
      </w:r>
      <w:bookmarkEnd w:id="92"/>
      <w:bookmarkEnd w:id="93"/>
      <w:bookmarkEnd w:id="94"/>
    </w:p>
    <w:p w:rsidR="008E7846" w:rsidRDefault="00386150" w:rsidP="008E7846">
      <w:pPr>
        <w:pStyle w:val="Heading3"/>
        <w:rPr>
          <w:lang w:eastAsia="en-AU"/>
        </w:rPr>
      </w:pPr>
      <w:bookmarkStart w:id="95" w:name="_Toc247691526"/>
      <w:bookmarkStart w:id="96" w:name="_Toc314842509"/>
      <w:bookmarkStart w:id="97" w:name="_Toc369706048"/>
      <w:r>
        <w:rPr>
          <w:lang w:eastAsia="en-AU"/>
        </w:rPr>
        <w:t>Risk m</w:t>
      </w:r>
      <w:r w:rsidR="008E7846">
        <w:rPr>
          <w:lang w:eastAsia="en-AU"/>
        </w:rPr>
        <w:t xml:space="preserve">anagement </w:t>
      </w:r>
      <w:r>
        <w:rPr>
          <w:lang w:eastAsia="en-AU"/>
        </w:rPr>
        <w:t>p</w:t>
      </w:r>
      <w:r w:rsidR="008E7846">
        <w:rPr>
          <w:lang w:eastAsia="en-AU"/>
        </w:rPr>
        <w:t>lan</w:t>
      </w:r>
      <w:bookmarkEnd w:id="95"/>
      <w:bookmarkEnd w:id="96"/>
      <w:bookmarkEnd w:id="97"/>
    </w:p>
    <w:p w:rsidR="008E7846" w:rsidRDefault="008E7846" w:rsidP="008E7846">
      <w:pPr>
        <w:rPr>
          <w:lang w:eastAsia="en-AU"/>
        </w:rPr>
      </w:pPr>
      <w:r>
        <w:rPr>
          <w:lang w:eastAsia="en-AU"/>
        </w:rPr>
        <w:t>The sponsor submitted a Risk Management Plan which was reviewed by the TGA’s Office of Product Review (OPR).</w:t>
      </w:r>
    </w:p>
    <w:p w:rsidR="008E7846" w:rsidRDefault="003A7F6C" w:rsidP="008E7846">
      <w:pPr>
        <w:pStyle w:val="Heading4"/>
        <w:rPr>
          <w:lang w:eastAsia="en-AU"/>
        </w:rPr>
      </w:pPr>
      <w:r>
        <w:rPr>
          <w:lang w:eastAsia="en-AU"/>
        </w:rPr>
        <w:t>Safety s</w:t>
      </w:r>
      <w:r w:rsidR="008E7846">
        <w:rPr>
          <w:lang w:eastAsia="en-AU"/>
        </w:rPr>
        <w:t>pecification</w:t>
      </w:r>
    </w:p>
    <w:p w:rsidR="00F6594E" w:rsidRDefault="00F6594E" w:rsidP="00F6594E">
      <w:pPr>
        <w:rPr>
          <w:lang w:eastAsia="en-AU"/>
        </w:rPr>
      </w:pPr>
      <w:r>
        <w:rPr>
          <w:lang w:eastAsia="en-AU"/>
        </w:rPr>
        <w:t>The sponsor provided a summary of Ongoing Safety Concerns (Table 4).</w:t>
      </w:r>
    </w:p>
    <w:p w:rsidR="00F6594E" w:rsidRPr="00434F18" w:rsidRDefault="00F6594E" w:rsidP="00F6594E">
      <w:pPr>
        <w:pStyle w:val="TableTitle"/>
      </w:pPr>
      <w:r w:rsidRPr="004C5C28">
        <w:lastRenderedPageBreak/>
        <w:t xml:space="preserve">Table </w:t>
      </w:r>
      <w:r>
        <w:t xml:space="preserve">4: Ongoing Safety Concerns for </w:t>
      </w:r>
      <w:proofErr w:type="spellStart"/>
      <w:r>
        <w:t>Flebogamma</w:t>
      </w:r>
      <w:proofErr w:type="spellEnd"/>
      <w:r>
        <w:t xml:space="preserve"> 10% DIF.</w:t>
      </w:r>
    </w:p>
    <w:p w:rsidR="00F6594E" w:rsidRDefault="00F6594E" w:rsidP="00F6594E">
      <w:r>
        <w:rPr>
          <w:noProof/>
          <w:lang w:eastAsia="en-AU"/>
        </w:rPr>
        <w:drawing>
          <wp:inline distT="0" distB="0" distL="0" distR="0">
            <wp:extent cx="5396230" cy="3152775"/>
            <wp:effectExtent l="19050" t="0" r="0" b="0"/>
            <wp:docPr id="11" name="Picture 11" descr="Table 4: Ongoing Safety Concerns for Flebogamma 10% D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le 4: Ongoing Safety Concerns for Flebogamma 10% DIF."/>
                    <pic:cNvPicPr>
                      <a:picLocks noChangeAspect="1" noChangeArrowheads="1"/>
                    </pic:cNvPicPr>
                  </pic:nvPicPr>
                  <pic:blipFill>
                    <a:blip r:embed="rId17" cstate="print"/>
                    <a:srcRect/>
                    <a:stretch>
                      <a:fillRect/>
                    </a:stretch>
                  </pic:blipFill>
                  <pic:spPr bwMode="auto">
                    <a:xfrm>
                      <a:off x="0" y="0"/>
                      <a:ext cx="5396230" cy="3152775"/>
                    </a:xfrm>
                    <a:prstGeom prst="rect">
                      <a:avLst/>
                    </a:prstGeom>
                    <a:noFill/>
                    <a:ln w="9525">
                      <a:noFill/>
                      <a:miter lim="800000"/>
                      <a:headEnd/>
                      <a:tailEnd/>
                    </a:ln>
                  </pic:spPr>
                </pic:pic>
              </a:graphicData>
            </a:graphic>
          </wp:inline>
        </w:drawing>
      </w:r>
    </w:p>
    <w:p w:rsidR="00F6594E" w:rsidRPr="00F6594E" w:rsidRDefault="00F6594E" w:rsidP="00F6594E">
      <w:pPr>
        <w:pStyle w:val="Heading5"/>
      </w:pPr>
      <w:r w:rsidRPr="00F6594E">
        <w:t>OPR reviewer comment:</w:t>
      </w:r>
    </w:p>
    <w:p w:rsidR="00F6594E" w:rsidRDefault="00F6594E" w:rsidP="00F6594E">
      <w:r>
        <w:t>The sponsor has provided clarification regarding the inclusion of ‘Use in children’ as important missing information despite the product having a paediatric indication.</w:t>
      </w:r>
    </w:p>
    <w:p w:rsidR="00F6594E" w:rsidRPr="00F6594E" w:rsidRDefault="00F6594E" w:rsidP="00F6594E">
      <w:pPr>
        <w:pStyle w:val="Heading5"/>
      </w:pPr>
      <w:r w:rsidRPr="00F6594E">
        <w:t>Recommendations:</w:t>
      </w:r>
    </w:p>
    <w:p w:rsidR="00F6594E" w:rsidRDefault="00F6594E" w:rsidP="00F6594E">
      <w:r w:rsidRPr="00A83A8F">
        <w:t>Transfusion Related Acute Lung Injury</w:t>
      </w:r>
      <w:r>
        <w:t xml:space="preserve"> (TRALI)</w:t>
      </w:r>
      <w:r w:rsidRPr="00A83A8F">
        <w:t xml:space="preserve"> is an uncommon </w:t>
      </w:r>
      <w:r>
        <w:t>AE</w:t>
      </w:r>
      <w:r w:rsidRPr="00A83A8F">
        <w:t xml:space="preserve"> following</w:t>
      </w:r>
      <w:r w:rsidRPr="00B02F46">
        <w:t xml:space="preserve"> </w:t>
      </w:r>
      <w:proofErr w:type="spellStart"/>
      <w:r>
        <w:t>IVIg</w:t>
      </w:r>
      <w:proofErr w:type="spellEnd"/>
      <w:r>
        <w:t xml:space="preserve"> </w:t>
      </w:r>
      <w:r w:rsidRPr="00B02F46">
        <w:t xml:space="preserve">treatment and is included as a potential safety concern in the US </w:t>
      </w:r>
      <w:r>
        <w:t>Product Information</w:t>
      </w:r>
      <w:r w:rsidRPr="00B02F46">
        <w:t xml:space="preserve"> in the precautions section. The sponsor response argues that it is not necessary to mention that concern in the Australian </w:t>
      </w:r>
      <w:r>
        <w:t>Product Information</w:t>
      </w:r>
      <w:r w:rsidRPr="00B02F46">
        <w:t xml:space="preserve"> as it has not been reported in the pre</w:t>
      </w:r>
      <w:r>
        <w:t xml:space="preserve"> </w:t>
      </w:r>
      <w:r w:rsidRPr="00B02F46">
        <w:t xml:space="preserve">authorisation phase or in past cases. The evaluator disagrees with the sponsor’s response. The number of patients in the studies is small, and an uncommon or </w:t>
      </w:r>
      <w:r>
        <w:t>rare event may not be captured. Prescribers should be aware of the possibility, and it should be mentioned in the Product Information as a class effect.</w:t>
      </w:r>
    </w:p>
    <w:p w:rsidR="00F6594E" w:rsidRDefault="00F6594E" w:rsidP="00F6594E">
      <w:r w:rsidRPr="00A83A8F">
        <w:t>‘</w:t>
      </w:r>
      <w:r w:rsidRPr="007855F7">
        <w:t>Use in the elderly’ should be included as ‘Important missing Information’. The sponsor</w:t>
      </w:r>
      <w:r w:rsidRPr="007F4054">
        <w:rPr>
          <w:color w:val="00B050"/>
        </w:rPr>
        <w:t xml:space="preserve"> </w:t>
      </w:r>
      <w:r w:rsidRPr="00C65309">
        <w:t>notes ‘only a limited number of subjects over the age of 65 enrolled and therefore, the information available on them is limited’. The</w:t>
      </w:r>
      <w:r w:rsidRPr="00AD446B">
        <w:t xml:space="preserve"> sponsor has provided </w:t>
      </w:r>
      <w:r>
        <w:t xml:space="preserve">additional information </w:t>
      </w:r>
      <w:r w:rsidRPr="00AD446B">
        <w:t xml:space="preserve">that in the last </w:t>
      </w:r>
      <w:r w:rsidRPr="00C65309">
        <w:t>Periodic Safety Update Report</w:t>
      </w:r>
      <w:r>
        <w:t xml:space="preserve"> (PSUR)</w:t>
      </w:r>
      <w:r w:rsidRPr="00AD446B">
        <w:t xml:space="preserve"> of </w:t>
      </w:r>
      <w:proofErr w:type="spellStart"/>
      <w:r w:rsidRPr="00AD446B">
        <w:t>Flebogamma</w:t>
      </w:r>
      <w:proofErr w:type="spellEnd"/>
      <w:r w:rsidRPr="00AD446B">
        <w:t xml:space="preserve"> 10% DIF with the data lock point of 31 May 2011 the </w:t>
      </w:r>
      <w:r>
        <w:t>AEs</w:t>
      </w:r>
      <w:r w:rsidRPr="00AD446B">
        <w:t xml:space="preserve"> reported in patients over the age of 65 would not suggest there is a specific safety concern in this group. It is recommended the sponsor undertake routine </w:t>
      </w:r>
      <w:proofErr w:type="spellStart"/>
      <w:r w:rsidRPr="00AD446B">
        <w:t>pharmacovigilance</w:t>
      </w:r>
      <w:proofErr w:type="spellEnd"/>
      <w:r w:rsidRPr="00AD446B">
        <w:t xml:space="preserve"> act</w:t>
      </w:r>
      <w:r>
        <w:t>ivities for this group but give</w:t>
      </w:r>
      <w:r w:rsidRPr="00AD446B">
        <w:t xml:space="preserve"> specific consideration to </w:t>
      </w:r>
      <w:r>
        <w:t>AE</w:t>
      </w:r>
      <w:r w:rsidRPr="00AD446B">
        <w:t xml:space="preserve">s in the elderly in future PSURs, and undertake routine risk minimisation in the form of labelling. A short statement in the </w:t>
      </w:r>
      <w:r>
        <w:t>Product Information</w:t>
      </w:r>
      <w:r w:rsidRPr="00AD446B">
        <w:t xml:space="preserve"> indicating there is limited experience in the elderly in clinical trials but no</w:t>
      </w:r>
      <w:r>
        <w:rPr>
          <w:color w:val="00B050"/>
        </w:rPr>
        <w:t xml:space="preserve"> </w:t>
      </w:r>
      <w:r w:rsidRPr="00AD446B">
        <w:t>specific safety concerns have been identified in post marketing experience to date, or words</w:t>
      </w:r>
      <w:r>
        <w:t xml:space="preserve"> to that effect, would suffice.</w:t>
      </w:r>
    </w:p>
    <w:p w:rsidR="008E7846" w:rsidRDefault="008E7846" w:rsidP="008E7846">
      <w:pPr>
        <w:pStyle w:val="Heading4"/>
        <w:rPr>
          <w:lang w:eastAsia="en-AU"/>
        </w:rPr>
      </w:pPr>
      <w:proofErr w:type="spellStart"/>
      <w:r>
        <w:rPr>
          <w:lang w:eastAsia="en-AU"/>
        </w:rPr>
        <w:t>Pharmacovigilance</w:t>
      </w:r>
      <w:proofErr w:type="spellEnd"/>
      <w:r>
        <w:rPr>
          <w:lang w:eastAsia="en-AU"/>
        </w:rPr>
        <w:t xml:space="preserve"> </w:t>
      </w:r>
      <w:r w:rsidR="003A7F6C">
        <w:rPr>
          <w:lang w:eastAsia="en-AU"/>
        </w:rPr>
        <w:t>p</w:t>
      </w:r>
      <w:r>
        <w:rPr>
          <w:lang w:eastAsia="en-AU"/>
        </w:rPr>
        <w:t>lan</w:t>
      </w:r>
    </w:p>
    <w:p w:rsidR="003E1DF2" w:rsidRPr="003E1DF2" w:rsidRDefault="003E1DF2" w:rsidP="003E1DF2">
      <w:pPr>
        <w:pStyle w:val="Heading5"/>
      </w:pPr>
      <w:bookmarkStart w:id="98" w:name="_Toc302457633"/>
      <w:r w:rsidRPr="003E1DF2">
        <w:t xml:space="preserve">Proposed </w:t>
      </w:r>
      <w:proofErr w:type="spellStart"/>
      <w:r w:rsidRPr="003E1DF2">
        <w:t>pharmacovigilance</w:t>
      </w:r>
      <w:proofErr w:type="spellEnd"/>
      <w:r w:rsidRPr="003E1DF2">
        <w:t xml:space="preserve"> activities</w:t>
      </w:r>
      <w:bookmarkEnd w:id="98"/>
    </w:p>
    <w:p w:rsidR="003E1DF2" w:rsidRDefault="003E1DF2" w:rsidP="003E1DF2">
      <w:r>
        <w:t xml:space="preserve">A summary of safety concerns and planned </w:t>
      </w:r>
      <w:proofErr w:type="spellStart"/>
      <w:r>
        <w:t>pharmacovigilance</w:t>
      </w:r>
      <w:proofErr w:type="spellEnd"/>
      <w:r>
        <w:t xml:space="preserve"> activities is shown in Table 5.</w:t>
      </w:r>
    </w:p>
    <w:p w:rsidR="003E1DF2" w:rsidRPr="00434F18" w:rsidRDefault="003E1DF2" w:rsidP="003E1DF2">
      <w:pPr>
        <w:pStyle w:val="TableTitle"/>
      </w:pPr>
      <w:proofErr w:type="gramStart"/>
      <w:r w:rsidRPr="004C5C28">
        <w:lastRenderedPageBreak/>
        <w:t xml:space="preserve">Table </w:t>
      </w:r>
      <w:r>
        <w:t xml:space="preserve">5: Summary of safety concerns and planned </w:t>
      </w:r>
      <w:proofErr w:type="spellStart"/>
      <w:r>
        <w:t>pharmacovigilance</w:t>
      </w:r>
      <w:proofErr w:type="spellEnd"/>
      <w:r>
        <w:t xml:space="preserve"> activities</w:t>
      </w:r>
      <w:r w:rsidRPr="002417F7">
        <w:t xml:space="preserve"> </w:t>
      </w:r>
      <w:r>
        <w:t xml:space="preserve">for </w:t>
      </w:r>
      <w:proofErr w:type="spellStart"/>
      <w:r>
        <w:t>Flebogamma</w:t>
      </w:r>
      <w:proofErr w:type="spellEnd"/>
      <w:r>
        <w:t xml:space="preserve"> 10% DIF.</w:t>
      </w:r>
      <w:proofErr w:type="gramEnd"/>
    </w:p>
    <w:p w:rsidR="003E1DF2" w:rsidRDefault="003E1DF2" w:rsidP="003E1DF2">
      <w:r>
        <w:rPr>
          <w:noProof/>
          <w:lang w:eastAsia="en-AU"/>
        </w:rPr>
        <w:drawing>
          <wp:inline distT="0" distB="0" distL="0" distR="0">
            <wp:extent cx="5015230" cy="4895850"/>
            <wp:effectExtent l="19050" t="0" r="0" b="0"/>
            <wp:docPr id="13" name="Picture 13" descr="Table 5: Summary of safety concerns and planned pharmacovigilance activities for Flebogamma 10% D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le 5: Summary of safety concerns and planned pharmacovigilance activities for Flebogamma 10% DIF."/>
                    <pic:cNvPicPr>
                      <a:picLocks noChangeAspect="1" noChangeArrowheads="1"/>
                    </pic:cNvPicPr>
                  </pic:nvPicPr>
                  <pic:blipFill>
                    <a:blip r:embed="rId18" cstate="print"/>
                    <a:srcRect/>
                    <a:stretch>
                      <a:fillRect/>
                    </a:stretch>
                  </pic:blipFill>
                  <pic:spPr bwMode="auto">
                    <a:xfrm>
                      <a:off x="0" y="0"/>
                      <a:ext cx="5015230" cy="4895850"/>
                    </a:xfrm>
                    <a:prstGeom prst="rect">
                      <a:avLst/>
                    </a:prstGeom>
                    <a:noFill/>
                    <a:ln w="9525">
                      <a:noFill/>
                      <a:miter lim="800000"/>
                      <a:headEnd/>
                      <a:tailEnd/>
                    </a:ln>
                  </pic:spPr>
                </pic:pic>
              </a:graphicData>
            </a:graphic>
          </wp:inline>
        </w:drawing>
      </w:r>
    </w:p>
    <w:p w:rsidR="003E1DF2" w:rsidRPr="00A83A8F" w:rsidRDefault="003E1DF2" w:rsidP="003E1DF2">
      <w:r w:rsidRPr="00A83A8F">
        <w:t xml:space="preserve">Routine </w:t>
      </w:r>
      <w:proofErr w:type="spellStart"/>
      <w:r w:rsidRPr="00A83A8F">
        <w:t>pharmacovigilance</w:t>
      </w:r>
      <w:proofErr w:type="spellEnd"/>
      <w:r w:rsidRPr="00A83A8F">
        <w:t xml:space="preserve"> activities</w:t>
      </w:r>
      <w:r>
        <w:rPr>
          <w:rStyle w:val="FootnoteReference"/>
        </w:rPr>
        <w:footnoteReference w:id="9"/>
      </w:r>
      <w:r w:rsidRPr="00A83A8F">
        <w:t>, such as recording cases a</w:t>
      </w:r>
      <w:r>
        <w:t xml:space="preserve">nd gathering information in the </w:t>
      </w:r>
      <w:r w:rsidRPr="00A83A8F">
        <w:t xml:space="preserve">PSUR, have been proposed for all important identified and potential safety risks. Specific analysis of the frequency of adverse drug reactions that may be related to the rate of infusion, and medication errors between </w:t>
      </w:r>
      <w:proofErr w:type="spellStart"/>
      <w:r w:rsidRPr="00A83A8F">
        <w:t>Flebogamma</w:t>
      </w:r>
      <w:proofErr w:type="spellEnd"/>
      <w:r w:rsidRPr="00A83A8F">
        <w:t xml:space="preserve"> 5% and 10% will be provided in the PSUR.</w:t>
      </w:r>
    </w:p>
    <w:p w:rsidR="003E1DF2" w:rsidRDefault="003E1DF2" w:rsidP="003E1DF2">
      <w:r w:rsidRPr="00A83A8F">
        <w:t xml:space="preserve">Safety results from </w:t>
      </w:r>
      <w:r>
        <w:t xml:space="preserve">Study IG0601 for </w:t>
      </w:r>
      <w:proofErr w:type="spellStart"/>
      <w:r>
        <w:t>Flebogamma</w:t>
      </w:r>
      <w:proofErr w:type="spellEnd"/>
      <w:r>
        <w:t xml:space="preserve"> </w:t>
      </w:r>
      <w:r w:rsidRPr="00A83A8F">
        <w:t xml:space="preserve">10% and </w:t>
      </w:r>
      <w:r>
        <w:t xml:space="preserve">Study </w:t>
      </w:r>
      <w:r w:rsidRPr="00A83A8F">
        <w:t xml:space="preserve">IG 0705 for </w:t>
      </w:r>
      <w:proofErr w:type="spellStart"/>
      <w:r w:rsidRPr="00A83A8F">
        <w:t>Flebogamma</w:t>
      </w:r>
      <w:proofErr w:type="spellEnd"/>
      <w:r w:rsidRPr="00A83A8F">
        <w:t xml:space="preserve"> 5% to provide data for the paediatric populatio</w:t>
      </w:r>
      <w:r>
        <w:t xml:space="preserve">n will be included in the PSURs </w:t>
      </w:r>
      <w:r w:rsidRPr="00A83A8F">
        <w:t>and clinical reports once the trials are finalised. These trials had commenced a</w:t>
      </w:r>
      <w:r>
        <w:t>t the time of issue of the RMP.</w:t>
      </w:r>
    </w:p>
    <w:p w:rsidR="003E1DF2" w:rsidRDefault="003E1DF2" w:rsidP="003E1DF2">
      <w:r w:rsidRPr="0078488D">
        <w:t xml:space="preserve">The </w:t>
      </w:r>
      <w:r>
        <w:t xml:space="preserve">sponsor proposes a </w:t>
      </w:r>
      <w:r w:rsidRPr="0078488D">
        <w:t>post</w:t>
      </w:r>
      <w:r>
        <w:t xml:space="preserve"> </w:t>
      </w:r>
      <w:r w:rsidRPr="0078488D">
        <w:t>authorisation safety study</w:t>
      </w:r>
      <w:r>
        <w:t xml:space="preserve"> as an additional </w:t>
      </w:r>
      <w:proofErr w:type="spellStart"/>
      <w:r>
        <w:t>pharmacovigilance</w:t>
      </w:r>
      <w:proofErr w:type="spellEnd"/>
      <w:r>
        <w:t xml:space="preserve"> activity</w:t>
      </w:r>
      <w:r w:rsidRPr="0078488D">
        <w:t xml:space="preserve"> </w:t>
      </w:r>
      <w:r>
        <w:t xml:space="preserve">to better define the safety profile of </w:t>
      </w:r>
      <w:proofErr w:type="spellStart"/>
      <w:r>
        <w:t>Flebogamma</w:t>
      </w:r>
      <w:proofErr w:type="spellEnd"/>
      <w:r>
        <w:t xml:space="preserve"> 10% DIF</w:t>
      </w:r>
      <w:r w:rsidRPr="0078488D">
        <w:t xml:space="preserve">.  </w:t>
      </w:r>
      <w:r>
        <w:lastRenderedPageBreak/>
        <w:t xml:space="preserve">This is a prospective, observational, non randomised/non stratified study, open labelled, multicentre study of the safety of </w:t>
      </w:r>
      <w:proofErr w:type="spellStart"/>
      <w:r>
        <w:t>Flebogamma</w:t>
      </w:r>
      <w:proofErr w:type="spellEnd"/>
      <w:r>
        <w:t xml:space="preserve"> DIF 50 mg/</w:t>
      </w:r>
      <w:proofErr w:type="spellStart"/>
      <w:r>
        <w:t>mL</w:t>
      </w:r>
      <w:proofErr w:type="spellEnd"/>
      <w:r>
        <w:t xml:space="preserve"> and 100 mg/</w:t>
      </w:r>
      <w:proofErr w:type="spellStart"/>
      <w:r>
        <w:t>mL.</w:t>
      </w:r>
      <w:proofErr w:type="spellEnd"/>
      <w:r>
        <w:t xml:space="preserve"> There are not restricted indications for the inclusion of patients beyond the authorised indications.</w:t>
      </w:r>
    </w:p>
    <w:p w:rsidR="003E1DF2" w:rsidRDefault="003E1DF2" w:rsidP="003E1DF2">
      <w:r>
        <w:t>Safety and efficacy data will be collected. From a safety viewpoint all AEs will be recorded. This will be a relatively small study in that it is anticipated 225 infusions will be included, however the study would seem to be sufficiently powered to detect a 20% difference between the two groups (5% and 10% solutions). Updates and a final summary of the study should be provided with PSURs.</w:t>
      </w:r>
    </w:p>
    <w:p w:rsidR="003E1DF2" w:rsidRPr="003E1DF2" w:rsidRDefault="003E1DF2" w:rsidP="003E1DF2">
      <w:pPr>
        <w:pStyle w:val="Heading6"/>
      </w:pPr>
      <w:bookmarkStart w:id="99" w:name="_Toc302457634"/>
      <w:r w:rsidRPr="003E1DF2">
        <w:t xml:space="preserve">OPR reviewer’s comments in regard to the </w:t>
      </w:r>
      <w:proofErr w:type="spellStart"/>
      <w:r w:rsidRPr="003E1DF2">
        <w:t>pharmacovigilance</w:t>
      </w:r>
      <w:proofErr w:type="spellEnd"/>
      <w:r w:rsidRPr="003E1DF2">
        <w:t xml:space="preserve"> plan and the appropriateness of milestones</w:t>
      </w:r>
      <w:bookmarkEnd w:id="99"/>
      <w:r w:rsidRPr="003E1DF2">
        <w:t>:</w:t>
      </w:r>
    </w:p>
    <w:p w:rsidR="003E1DF2" w:rsidRPr="0078488D" w:rsidRDefault="003E1DF2" w:rsidP="003E1DF2">
      <w:r w:rsidRPr="0078488D">
        <w:t xml:space="preserve">Routine </w:t>
      </w:r>
      <w:proofErr w:type="spellStart"/>
      <w:r w:rsidRPr="0078488D">
        <w:t>pharmacovigilance</w:t>
      </w:r>
      <w:proofErr w:type="spellEnd"/>
      <w:r w:rsidRPr="0078488D">
        <w:t xml:space="preserve"> activities are acceptable but unlikely to adequately quantify the important identified and potential risks. The data from spontaneous </w:t>
      </w:r>
      <w:r>
        <w:t>adverse reactions</w:t>
      </w:r>
      <w:r w:rsidRPr="0078488D">
        <w:t xml:space="preserve"> are unlikely to be sufficient to assess the ongoing safety concerns raised by the </w:t>
      </w:r>
      <w:r>
        <w:t>s</w:t>
      </w:r>
      <w:r w:rsidRPr="0078488D">
        <w:t>ponsor in the RMP due to the under</w:t>
      </w:r>
      <w:r>
        <w:t xml:space="preserve"> </w:t>
      </w:r>
      <w:r w:rsidRPr="0078488D">
        <w:t>reporting and the lack of reliable exposure (usage) data associated with spontaneous reporting systems. Also</w:t>
      </w:r>
      <w:r>
        <w:t>,</w:t>
      </w:r>
      <w:r w:rsidRPr="0078488D">
        <w:t xml:space="preserve"> the information gained from adverse reaction</w:t>
      </w:r>
      <w:r>
        <w:t xml:space="preserve"> reporting is often incomplete.</w:t>
      </w:r>
      <w:r w:rsidRPr="0078488D">
        <w:t xml:space="preserve"> </w:t>
      </w:r>
      <w:r>
        <w:t xml:space="preserve">It is anticipated the post authorisation safety study mentioned above will contribute to the understanding of the safety profile of </w:t>
      </w:r>
      <w:proofErr w:type="spellStart"/>
      <w:r>
        <w:t>Flebogamma</w:t>
      </w:r>
      <w:proofErr w:type="spellEnd"/>
      <w:r>
        <w:t xml:space="preserve"> 10% DIF.</w:t>
      </w:r>
    </w:p>
    <w:p w:rsidR="003E1DF2" w:rsidRPr="0078488D" w:rsidRDefault="003E1DF2" w:rsidP="003E1DF2">
      <w:r w:rsidRPr="0078488D">
        <w:t xml:space="preserve">The specified ongoing and initiated studies are not considered to be part of the planned clinical studies in the </w:t>
      </w:r>
      <w:proofErr w:type="spellStart"/>
      <w:r w:rsidRPr="0078488D">
        <w:t>pharmacovigilance</w:t>
      </w:r>
      <w:proofErr w:type="spellEnd"/>
      <w:r w:rsidRPr="0078488D">
        <w:t xml:space="preserve"> plan, therefore the related study protocols have </w:t>
      </w:r>
      <w:r>
        <w:t>not been requested for review. However, the sponsor is requested to include summary data from Study IG0601 and a summary report for Study IG0705 with the next PSUR.</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3E1DF2" w:rsidRDefault="003E1DF2" w:rsidP="003E1DF2">
      <w:pPr>
        <w:pStyle w:val="Heading5"/>
      </w:pPr>
      <w:bookmarkStart w:id="100" w:name="_Toc247691527"/>
      <w:bookmarkStart w:id="101" w:name="_Toc302457636"/>
      <w:r>
        <w:t>Sponsor’s conclusion in regard to the need for risk minimisation activities</w:t>
      </w:r>
      <w:bookmarkEnd w:id="101"/>
      <w:r>
        <w:t>:</w:t>
      </w:r>
    </w:p>
    <w:p w:rsidR="003E1DF2" w:rsidRDefault="003E1DF2" w:rsidP="003E1DF2">
      <w:r w:rsidRPr="003E1DF2">
        <w:t>The sponsor has concluded that routine risk minimisation a</w:t>
      </w:r>
      <w:r w:rsidRPr="0078488D">
        <w:t>ctivities</w:t>
      </w:r>
      <w:r>
        <w:rPr>
          <w:rStyle w:val="FootnoteReference"/>
        </w:rPr>
        <w:footnoteReference w:id="10"/>
      </w:r>
      <w:r w:rsidRPr="0078488D">
        <w:t xml:space="preserve"> in the form of warnings included in the </w:t>
      </w:r>
      <w:r>
        <w:t>Product Information</w:t>
      </w:r>
      <w:r w:rsidRPr="0078488D">
        <w:t xml:space="preserve"> are sufficient as no specific safety concerns have arisen with the use of the product.</w:t>
      </w:r>
    </w:p>
    <w:p w:rsidR="003E1DF2" w:rsidRDefault="003E1DF2" w:rsidP="003E1DF2">
      <w:pPr>
        <w:pStyle w:val="Heading6"/>
      </w:pPr>
      <w:r>
        <w:t>OPR reviewer comment:</w:t>
      </w:r>
    </w:p>
    <w:p w:rsidR="003E1DF2" w:rsidRPr="00B87B98" w:rsidRDefault="003E1DF2" w:rsidP="003E1DF2">
      <w:r w:rsidRPr="00B87B98">
        <w:t xml:space="preserve">If the change of age range in the indication in the proposed </w:t>
      </w:r>
      <w:r>
        <w:t>Product Information</w:t>
      </w:r>
      <w:r w:rsidRPr="00B87B98">
        <w:t xml:space="preserve"> is accepted</w:t>
      </w:r>
      <w:r>
        <w:t>,</w:t>
      </w:r>
      <w:r w:rsidRPr="00B87B98">
        <w:t xml:space="preserve"> it is recommended the sponsor provide additional educational materials which cou</w:t>
      </w:r>
      <w:r>
        <w:t>ld be in the form of a Dear Health Care Professional (DHCP) letter</w:t>
      </w:r>
      <w:r w:rsidRPr="00B87B98">
        <w:t xml:space="preserve"> provided </w:t>
      </w:r>
      <w:r>
        <w:t xml:space="preserve">to </w:t>
      </w:r>
      <w:r w:rsidRPr="00B87B98">
        <w:t xml:space="preserve">immunologists, oncologists and paediatricians </w:t>
      </w:r>
      <w:r>
        <w:t xml:space="preserve">(via the Royal Australian College of Physicians) </w:t>
      </w:r>
      <w:r w:rsidRPr="00B87B98">
        <w:t>advising them of the different age range in the indications for the 10% product compared with the 5% product. This will be considered an additional risk minimisation activity and should be noted in any update of the RMP or the Australian specific annexe mentioned earlier in this evaluation report.</w:t>
      </w:r>
    </w:p>
    <w:p w:rsidR="003E1DF2" w:rsidRDefault="003E1DF2" w:rsidP="003E1DF2">
      <w:pPr>
        <w:pStyle w:val="Heading5"/>
      </w:pPr>
      <w:bookmarkStart w:id="102" w:name="_Toc268857338"/>
      <w:bookmarkStart w:id="103" w:name="_Toc302457637"/>
      <w:r>
        <w:t>Potential for medication errors</w:t>
      </w:r>
      <w:bookmarkEnd w:id="102"/>
      <w:bookmarkEnd w:id="103"/>
    </w:p>
    <w:p w:rsidR="003E1DF2" w:rsidRPr="0078488D" w:rsidRDefault="003E1DF2" w:rsidP="003E1DF2">
      <w:r w:rsidRPr="0078488D">
        <w:t xml:space="preserve">To reduce confusion between </w:t>
      </w:r>
      <w:proofErr w:type="spellStart"/>
      <w:r w:rsidRPr="0078488D">
        <w:t>Flebogamma</w:t>
      </w:r>
      <w:proofErr w:type="spellEnd"/>
      <w:r w:rsidRPr="0078488D">
        <w:t xml:space="preserve"> 10% DIF and </w:t>
      </w:r>
      <w:proofErr w:type="spellStart"/>
      <w:r w:rsidRPr="0078488D">
        <w:t>Flebogamma</w:t>
      </w:r>
      <w:proofErr w:type="spellEnd"/>
      <w:r w:rsidRPr="0078488D">
        <w:t xml:space="preserve"> 5% the new boxes will have different coloured lines. The </w:t>
      </w:r>
      <w:r>
        <w:t>s</w:t>
      </w:r>
      <w:r w:rsidRPr="0078488D">
        <w:t>ponsor notes confusion between the tw</w:t>
      </w:r>
      <w:r>
        <w:t xml:space="preserve">o strengths may result in under </w:t>
      </w:r>
      <w:r w:rsidRPr="0078488D">
        <w:t>dosing of the patient or potential fluid overload, particularly in the elderly and those with renal impairment. Furthermore, faster infusion rates are associated with more frequent adverse reactions and may inadvertently occur if 10% solut</w:t>
      </w:r>
      <w:r>
        <w:t>ion was delivered instead of 5%.</w:t>
      </w:r>
    </w:p>
    <w:p w:rsidR="003E1DF2" w:rsidRDefault="003E1DF2" w:rsidP="003E1DF2">
      <w:r>
        <w:lastRenderedPageBreak/>
        <w:t>The s</w:t>
      </w:r>
      <w:r w:rsidRPr="0078488D">
        <w:t xml:space="preserve">ponsor notes the rate of infusion is an important correlate with adverse reactions and provides guidance in the Product Information around the infusion rates to be used to minimise such events. In the updated </w:t>
      </w:r>
      <w:r>
        <w:t>Product Information</w:t>
      </w:r>
      <w:r w:rsidRPr="0078488D">
        <w:t xml:space="preserve"> the infusion rates are provided as ml/kg/min and mg/kg/min to reduce the chance of medication error from incorrect infusion rate.</w:t>
      </w:r>
    </w:p>
    <w:p w:rsidR="003E1DF2" w:rsidRDefault="003E1DF2" w:rsidP="003E1DF2">
      <w:pPr>
        <w:pStyle w:val="Heading6"/>
      </w:pPr>
      <w:r>
        <w:t>OPR reviewer comment:</w:t>
      </w:r>
    </w:p>
    <w:p w:rsidR="003E1DF2" w:rsidRDefault="003E1DF2" w:rsidP="003E1DF2">
      <w:r w:rsidRPr="000940C5">
        <w:t>The abovementioned strategies as outlined are acceptable.</w:t>
      </w:r>
    </w:p>
    <w:p w:rsidR="003E1DF2" w:rsidRDefault="003E1DF2" w:rsidP="003E1DF2">
      <w:r>
        <w:t xml:space="preserve">If the sponsor’s suggested modification to the age range for the Product Information for is approved, </w:t>
      </w:r>
      <w:proofErr w:type="spellStart"/>
      <w:r>
        <w:t>Flebogamma</w:t>
      </w:r>
      <w:proofErr w:type="spellEnd"/>
      <w:r>
        <w:t xml:space="preserve"> 5% and </w:t>
      </w:r>
      <w:proofErr w:type="spellStart"/>
      <w:r>
        <w:t>Flebogamma</w:t>
      </w:r>
      <w:proofErr w:type="spellEnd"/>
      <w:r>
        <w:t xml:space="preserve"> 10% will have different age recommendations in the indications. This could cause confusion for the prescribers, and raises the potential for prescribing errors.</w:t>
      </w:r>
    </w:p>
    <w:p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rsidR="003E1DF2" w:rsidRPr="006E2E60" w:rsidRDefault="003E1DF2" w:rsidP="003E1DF2">
      <w:r w:rsidRPr="006E2E60">
        <w:t>The OPR provides these recommendations in the context that the submitted RMP is supportive to the application;</w:t>
      </w:r>
      <w:r>
        <w:t xml:space="preserve"> and</w:t>
      </w:r>
      <w:r w:rsidRPr="006E2E60">
        <w:t xml:space="preserve"> the implementation of a RMP </w:t>
      </w:r>
      <w:r>
        <w:t>version 4.4 dated 3 November 2010</w:t>
      </w:r>
      <w:r w:rsidRPr="006E2E60">
        <w:t xml:space="preserve"> is imposed as a condition of registration </w:t>
      </w:r>
      <w:r>
        <w:t>when so qualified.</w:t>
      </w:r>
    </w:p>
    <w:p w:rsidR="003E1DF2" w:rsidRDefault="003E1DF2" w:rsidP="003E1DF2">
      <w:r>
        <w:t>It is recommended that an</w:t>
      </w:r>
      <w:r w:rsidRPr="003E3009">
        <w:t xml:space="preserve"> Australian specific annexe to the RMP</w:t>
      </w:r>
      <w:r>
        <w:t xml:space="preserve"> be provided. This</w:t>
      </w:r>
      <w:r w:rsidRPr="003E3009">
        <w:t xml:space="preserve"> would be a suitable method to identify differences between the European and Australian indications for this product and should indicate any differences in the </w:t>
      </w:r>
      <w:proofErr w:type="spellStart"/>
      <w:r w:rsidRPr="003E3009">
        <w:t>Pharmacovigilance</w:t>
      </w:r>
      <w:proofErr w:type="spellEnd"/>
      <w:r w:rsidRPr="003E3009">
        <w:t xml:space="preserve"> and Risk Minimisation Plans specific to Australia including references to the Australian </w:t>
      </w:r>
      <w:r>
        <w:t>Product Information</w:t>
      </w:r>
      <w:r w:rsidRPr="003E3009">
        <w:t xml:space="preserve"> in relevant sections of the RMP.</w:t>
      </w:r>
    </w:p>
    <w:p w:rsidR="003E1DF2" w:rsidRDefault="003E1DF2" w:rsidP="003E1DF2">
      <w:r w:rsidRPr="007F4054">
        <w:t xml:space="preserve">It is anticipated there may be </w:t>
      </w:r>
      <w:r>
        <w:t xml:space="preserve">some concerns </w:t>
      </w:r>
      <w:r w:rsidRPr="007F4054">
        <w:t xml:space="preserve">that have implications for the safety specifications for </w:t>
      </w:r>
      <w:proofErr w:type="spellStart"/>
      <w:r w:rsidRPr="007F4054">
        <w:t>Flebogamma</w:t>
      </w:r>
      <w:proofErr w:type="spellEnd"/>
      <w:r w:rsidRPr="007F4054">
        <w:t xml:space="preserve"> 10% DIF. It is requested that information regarding any new safety concern identified in this report be forwarded to OPR for consideration of additional </w:t>
      </w:r>
      <w:proofErr w:type="spellStart"/>
      <w:r w:rsidRPr="007F4054">
        <w:t>pharmacovigilance</w:t>
      </w:r>
      <w:proofErr w:type="spellEnd"/>
      <w:r w:rsidRPr="007F4054">
        <w:t xml:space="preserve"> and risk minimisation activities that may be required.</w:t>
      </w:r>
    </w:p>
    <w:p w:rsidR="003E1DF2" w:rsidRDefault="003E1DF2" w:rsidP="003E1DF2">
      <w:r w:rsidRPr="00A83A8F">
        <w:t xml:space="preserve">Transfusion Related Acute Lung Injury is an uncommon </w:t>
      </w:r>
      <w:r>
        <w:t>AE</w:t>
      </w:r>
      <w:r w:rsidRPr="00A83A8F">
        <w:t xml:space="preserve"> following</w:t>
      </w:r>
      <w:r w:rsidRPr="00B02F46">
        <w:t xml:space="preserve"> </w:t>
      </w:r>
      <w:proofErr w:type="spellStart"/>
      <w:r>
        <w:t>IVIg</w:t>
      </w:r>
      <w:proofErr w:type="spellEnd"/>
      <w:r w:rsidRPr="00B02F46">
        <w:t xml:space="preserve"> treatment and is included as a potential safety concern in the US </w:t>
      </w:r>
      <w:r>
        <w:t>Product Information</w:t>
      </w:r>
      <w:r w:rsidRPr="00B02F46">
        <w:t xml:space="preserve"> in the precautions section. The sponsor argues that it is not necessary to mention that concern in the Australian </w:t>
      </w:r>
      <w:r>
        <w:t>Product Information</w:t>
      </w:r>
      <w:r w:rsidRPr="00B02F46">
        <w:t xml:space="preserve"> as it h</w:t>
      </w:r>
      <w:r>
        <w:t xml:space="preserve">as not been reported in the pre </w:t>
      </w:r>
      <w:r w:rsidRPr="00B02F46">
        <w:t xml:space="preserve">authorisation phase or in past cases. The evaluator disagrees with the sponsor’s response. The number of patients in the studies is small, and an uncommon or </w:t>
      </w:r>
      <w:r>
        <w:t>rare event may not be captured, prescribers should be aware of the possibility and it should be mentioned in the Product Information as a class effect.</w:t>
      </w:r>
    </w:p>
    <w:p w:rsidR="003E1DF2" w:rsidRPr="0078488D" w:rsidRDefault="003E1DF2" w:rsidP="003E1DF2">
      <w:r w:rsidRPr="00784923">
        <w:t>Timelines have not been provided for the preparation and submission of PSURs. Six monthly PSURs are recommended</w:t>
      </w:r>
      <w:r>
        <w:t>.</w:t>
      </w:r>
      <w:r w:rsidRPr="00C869E2">
        <w:t xml:space="preserve"> </w:t>
      </w:r>
      <w:r w:rsidRPr="0078488D">
        <w:t xml:space="preserve">The specified ongoing and initiated studies are not considered to be part of the planned clinical studies in the </w:t>
      </w:r>
      <w:proofErr w:type="spellStart"/>
      <w:r w:rsidRPr="0078488D">
        <w:t>pharmacovigilance</w:t>
      </w:r>
      <w:proofErr w:type="spellEnd"/>
      <w:r w:rsidRPr="0078488D">
        <w:t xml:space="preserve"> plan, therefore the related study protocols have </w:t>
      </w:r>
      <w:r>
        <w:t xml:space="preserve">not been requested for review. However, the sponsor is requested to include summary data from Study IG0601 and a summary report for Study IG0705 with the next PSUR. In addition, </w:t>
      </w:r>
      <w:r w:rsidRPr="0078488D">
        <w:t xml:space="preserve">PASS Protocol IG 1004 </w:t>
      </w:r>
      <w:r>
        <w:t>study updates and a final summary at conclusion of the study should be provided with the PSURs.</w:t>
      </w:r>
    </w:p>
    <w:p w:rsidR="003E1DF2" w:rsidRDefault="003E1DF2" w:rsidP="003E1DF2">
      <w:pPr>
        <w:rPr>
          <w:b/>
        </w:rPr>
      </w:pPr>
      <w:r>
        <w:t xml:space="preserve">If the proposed age range for use in the paediatric population, as presented in the modified Product Information is approved by the Delegate, it is recommended that a letter is forwarded to known prescribers of </w:t>
      </w:r>
      <w:proofErr w:type="spellStart"/>
      <w:r>
        <w:t>Flebogamma</w:t>
      </w:r>
      <w:proofErr w:type="spellEnd"/>
      <w:r>
        <w:t xml:space="preserve"> 5% and the Royal Australian College of Physicians for distribution to their fellows highlighting the difference to reduce the risk of medication errors.</w:t>
      </w:r>
    </w:p>
    <w:p w:rsidR="008E7846" w:rsidRPr="00792A32" w:rsidRDefault="008E7846" w:rsidP="008E7846">
      <w:pPr>
        <w:pStyle w:val="Heading2"/>
      </w:pPr>
      <w:bookmarkStart w:id="104" w:name="_Toc314842510"/>
      <w:bookmarkStart w:id="105" w:name="_Toc369706049"/>
      <w:r>
        <w:lastRenderedPageBreak/>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76"/>
      <w:bookmarkEnd w:id="100"/>
      <w:bookmarkEnd w:id="104"/>
      <w:bookmarkEnd w:id="105"/>
    </w:p>
    <w:p w:rsidR="003E1DF2" w:rsidRDefault="003E1DF2" w:rsidP="003E1DF2">
      <w:bookmarkStart w:id="106"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107" w:name="_Toc314842511"/>
      <w:bookmarkStart w:id="108" w:name="_Toc369706050"/>
      <w:r>
        <w:t>Quality</w:t>
      </w:r>
      <w:bookmarkEnd w:id="106"/>
      <w:bookmarkEnd w:id="107"/>
      <w:bookmarkEnd w:id="108"/>
    </w:p>
    <w:p w:rsidR="0065007E" w:rsidRPr="00783F08" w:rsidRDefault="0065007E" w:rsidP="0065007E">
      <w:r>
        <w:t xml:space="preserve">The manufacturing process for </w:t>
      </w:r>
      <w:proofErr w:type="spellStart"/>
      <w:r w:rsidRPr="00783F08">
        <w:t>Flebogamma</w:t>
      </w:r>
      <w:proofErr w:type="spellEnd"/>
      <w:r w:rsidRPr="00783F08">
        <w:t xml:space="preserve"> 10% DIF </w:t>
      </w:r>
      <w:r>
        <w:t xml:space="preserve">and the currently registered </w:t>
      </w:r>
      <w:proofErr w:type="spellStart"/>
      <w:r>
        <w:t>Flebogamma</w:t>
      </w:r>
      <w:proofErr w:type="spellEnd"/>
      <w:r>
        <w:t xml:space="preserve"> 5% DIF is same except the final concentration step to achieve higher concentration. However, this application includes</w:t>
      </w:r>
      <w:r w:rsidRPr="00783F08">
        <w:t xml:space="preserve"> an additional site of manufacture for the inte</w:t>
      </w:r>
      <w:r>
        <w:t>rmediate fraction which is</w:t>
      </w:r>
      <w:r w:rsidRPr="00783F08">
        <w:t xml:space="preserve"> currently </w:t>
      </w:r>
      <w:r>
        <w:t xml:space="preserve">not </w:t>
      </w:r>
      <w:r w:rsidRPr="00783F08">
        <w:t xml:space="preserve">approved for </w:t>
      </w:r>
      <w:proofErr w:type="spellStart"/>
      <w:r w:rsidRPr="00783F08">
        <w:t>Flebogamma</w:t>
      </w:r>
      <w:proofErr w:type="spellEnd"/>
      <w:r w:rsidRPr="00783F08">
        <w:t xml:space="preserve"> 5% DIF.</w:t>
      </w:r>
    </w:p>
    <w:p w:rsidR="0065007E" w:rsidRDefault="0065007E" w:rsidP="0065007E">
      <w:r>
        <w:t>The issue of pro coagulant activity in</w:t>
      </w:r>
      <w:r w:rsidRPr="00783F08">
        <w:t xml:space="preserve"> </w:t>
      </w:r>
      <w:proofErr w:type="spellStart"/>
      <w:r>
        <w:t>IVIg</w:t>
      </w:r>
      <w:proofErr w:type="spellEnd"/>
      <w:r>
        <w:t xml:space="preserve"> </w:t>
      </w:r>
      <w:r w:rsidRPr="00783F08">
        <w:t>product</w:t>
      </w:r>
      <w:r>
        <w:t xml:space="preserve">s came about </w:t>
      </w:r>
      <w:r w:rsidRPr="00783F08">
        <w:t>in late 2010</w:t>
      </w:r>
      <w:r>
        <w:t xml:space="preserve"> in relation to another registered </w:t>
      </w:r>
      <w:proofErr w:type="spellStart"/>
      <w:r>
        <w:t>IVIg</w:t>
      </w:r>
      <w:proofErr w:type="spellEnd"/>
      <w:r>
        <w:t xml:space="preserve"> product after reports of </w:t>
      </w:r>
      <w:proofErr w:type="spellStart"/>
      <w:r>
        <w:t>thromboemolytic</w:t>
      </w:r>
      <w:proofErr w:type="spellEnd"/>
      <w:r>
        <w:t xml:space="preserve"> events (TEE). Since, the regulators have established a need to </w:t>
      </w:r>
      <w:r w:rsidRPr="00783F08">
        <w:t>demonstrate that the manufacturing</w:t>
      </w:r>
      <w:r>
        <w:t xml:space="preserve"> process included</w:t>
      </w:r>
      <w:r w:rsidRPr="00783F08">
        <w:t xml:space="preserve"> steps that are effec</w:t>
      </w:r>
      <w:r>
        <w:t>tively remove pro coagulant activity</w:t>
      </w:r>
      <w:r w:rsidRPr="00783F08">
        <w:t xml:space="preserve">. </w:t>
      </w:r>
      <w:r>
        <w:t>The</w:t>
      </w:r>
      <w:r w:rsidRPr="00783F08">
        <w:t xml:space="preserve"> changes to the mono</w:t>
      </w:r>
      <w:r>
        <w:t>graph are proposed, which are going to</w:t>
      </w:r>
      <w:r w:rsidRPr="00783F08">
        <w:t xml:space="preserve"> be introduced in 2012.</w:t>
      </w:r>
    </w:p>
    <w:p w:rsidR="0065007E" w:rsidRPr="00783F08" w:rsidRDefault="0065007E" w:rsidP="0065007E">
      <w:r>
        <w:t>During evaluation of this submission, the sponsor</w:t>
      </w:r>
      <w:r w:rsidRPr="00783F08">
        <w:t xml:space="preserve"> has had a limited opportunit</w:t>
      </w:r>
      <w:r>
        <w:t>y</w:t>
      </w:r>
      <w:r w:rsidRPr="00783F08">
        <w:t xml:space="preserve"> to ad</w:t>
      </w:r>
      <w:r>
        <w:t>dress this issue</w:t>
      </w:r>
      <w:r w:rsidRPr="00783F08">
        <w:t>. The studies the compan</w:t>
      </w:r>
      <w:r>
        <w:t>y is undertaking are ongoing. The biochemistry evaluation area considers these outstanding aspects as critical</w:t>
      </w:r>
      <w:r w:rsidRPr="00783F08">
        <w:t>.</w:t>
      </w:r>
    </w:p>
    <w:p w:rsidR="0065007E" w:rsidRPr="00783F08" w:rsidRDefault="0065007E" w:rsidP="0065007E">
      <w:r>
        <w:t>The p</w:t>
      </w:r>
      <w:r w:rsidRPr="00851D69">
        <w:t xml:space="preserve">harmaceutical subcommittee </w:t>
      </w:r>
      <w:r>
        <w:t xml:space="preserve">(PSC) advice is expected to be available to the </w:t>
      </w:r>
      <w:r>
        <w:rPr>
          <w:bCs/>
        </w:rPr>
        <w:t>Advisory Committee on Prescription Medicines (</w:t>
      </w:r>
      <w:r w:rsidRPr="001C5DFC">
        <w:rPr>
          <w:bCs/>
        </w:rPr>
        <w:t>AC</w:t>
      </w:r>
      <w:r>
        <w:rPr>
          <w:bCs/>
        </w:rPr>
        <w:t>PM)</w:t>
      </w:r>
      <w:r>
        <w:t xml:space="preserve"> by the time it considers this submission. The Delegate also intends to be guided by the PSC recommendations.</w:t>
      </w:r>
    </w:p>
    <w:p w:rsidR="008E7846" w:rsidRDefault="008E7846" w:rsidP="008E7846">
      <w:pPr>
        <w:pStyle w:val="Heading3"/>
      </w:pPr>
      <w:bookmarkStart w:id="109" w:name="_Toc314842512"/>
      <w:bookmarkStart w:id="110" w:name="_Toc369706051"/>
      <w:r>
        <w:t>Nonclinical</w:t>
      </w:r>
      <w:bookmarkEnd w:id="109"/>
      <w:bookmarkEnd w:id="110"/>
    </w:p>
    <w:p w:rsidR="0065007E" w:rsidRDefault="0065007E" w:rsidP="0065007E">
      <w:r>
        <w:t>There was no requirement for a nonclinical evaluation in a submission of this type.</w:t>
      </w:r>
    </w:p>
    <w:p w:rsidR="008E7846" w:rsidRDefault="008E7846" w:rsidP="008E7846">
      <w:pPr>
        <w:pStyle w:val="Heading3"/>
      </w:pPr>
      <w:bookmarkStart w:id="111" w:name="_Toc247691530"/>
      <w:bookmarkStart w:id="112" w:name="_Toc314842513"/>
      <w:bookmarkStart w:id="113" w:name="_Toc369706052"/>
      <w:r>
        <w:t>Clinical</w:t>
      </w:r>
      <w:bookmarkEnd w:id="111"/>
      <w:bookmarkEnd w:id="112"/>
      <w:bookmarkEnd w:id="113"/>
    </w:p>
    <w:p w:rsidR="0065007E" w:rsidRDefault="0065007E" w:rsidP="0065007E">
      <w:r>
        <w:t xml:space="preserve">Two standard single arm studies – one in PID in patients currently on </w:t>
      </w:r>
      <w:proofErr w:type="spellStart"/>
      <w:r>
        <w:t>IVIg</w:t>
      </w:r>
      <w:proofErr w:type="spellEnd"/>
      <w:r>
        <w:t xml:space="preserve"> therapy and one combined analysis of two separate studies in ITP - were included as supporting clinical data. A total of 46 patients participated in the PID study (3 patients &lt; 16 years of age) and 27 patients in the ITP studies (9 paediatric patients).</w:t>
      </w:r>
    </w:p>
    <w:p w:rsidR="0065007E" w:rsidRPr="00783F08" w:rsidRDefault="0065007E" w:rsidP="0065007E">
      <w:pPr>
        <w:pStyle w:val="Heading4"/>
      </w:pPr>
      <w:r>
        <w:t>Pharmacokinetics</w:t>
      </w:r>
    </w:p>
    <w:p w:rsidR="0065007E" w:rsidRPr="008961DC" w:rsidRDefault="0065007E" w:rsidP="0065007E">
      <w:pPr>
        <w:pStyle w:val="Heading5"/>
      </w:pPr>
      <w:r w:rsidRPr="008961DC">
        <w:t>PID study</w:t>
      </w:r>
    </w:p>
    <w:p w:rsidR="0065007E" w:rsidRDefault="0065007E" w:rsidP="0065007E">
      <w:r>
        <w:t xml:space="preserve">The PID study consisted of 12 months (observed mean 321 days) of treatment (300-600 mg/kg every 3 or 4 weeks; observed mean dose 461mg/kg/infusion) with </w:t>
      </w:r>
      <w:proofErr w:type="spellStart"/>
      <w:r>
        <w:t>Flebogamma</w:t>
      </w:r>
      <w:proofErr w:type="spellEnd"/>
      <w:r w:rsidRPr="00783F08">
        <w:t xml:space="preserve"> 10% </w:t>
      </w:r>
      <w:r>
        <w:t xml:space="preserve">DIF. </w:t>
      </w:r>
      <w:r w:rsidRPr="00783F08">
        <w:t>The pri</w:t>
      </w:r>
      <w:r>
        <w:t>mary efficacy outcome was incidence of serious bacterial infection in the treated patients. O</w:t>
      </w:r>
      <w:r w:rsidRPr="00783F08">
        <w:t>ne serious bacterial infect</w:t>
      </w:r>
      <w:r>
        <w:t>ion (pneumonia) was documented giving a rate of 0.025 infections/patient/year (98% CI 0.001, 0.133) which fulfilled the predefined minimal requirement of no more than one</w:t>
      </w:r>
      <w:r w:rsidRPr="00783F08">
        <w:t xml:space="preserve"> </w:t>
      </w:r>
      <w:r>
        <w:t>serious bacterial infection/patient/year.</w:t>
      </w:r>
    </w:p>
    <w:p w:rsidR="0065007E" w:rsidRDefault="0065007E" w:rsidP="0065007E">
      <w:r>
        <w:t>Notably the proportion of patients with any infection during the 12 months treatment in the study was 61% compared with 48% of patients who reported any infection in the 6 months prior to the study.</w:t>
      </w:r>
    </w:p>
    <w:p w:rsidR="0065007E" w:rsidRDefault="0065007E" w:rsidP="0065007E">
      <w:r>
        <w:t xml:space="preserve">Pharmacokinetic data were also collected in a subset of 19 patients in the PID study. The samples were collected during the sixth month of the study following seven infusions in patients on 28 day schedule and nine infusions in patients on 21 day schedule. The trough levels of total </w:t>
      </w:r>
      <w:proofErr w:type="spellStart"/>
      <w:r>
        <w:t>IgG</w:t>
      </w:r>
      <w:proofErr w:type="spellEnd"/>
      <w:r>
        <w:t xml:space="preserve"> were maintained at or near pre study levels, and above the generally quoted therapeutic level of 5-6g/L (see Figure 1).</w:t>
      </w:r>
    </w:p>
    <w:p w:rsidR="0065007E" w:rsidRDefault="0065007E" w:rsidP="0065007E">
      <w:r>
        <w:lastRenderedPageBreak/>
        <w:t>The observed mean PK parameters are shown in Table 6.</w:t>
      </w:r>
    </w:p>
    <w:p w:rsidR="0065007E" w:rsidRDefault="0065007E" w:rsidP="0065007E">
      <w:pPr>
        <w:pStyle w:val="TableTitle"/>
      </w:pPr>
      <w:r w:rsidRPr="004C5C28">
        <w:t xml:space="preserve">Table </w:t>
      </w:r>
      <w:r>
        <w:t>6: Mean pharmacokinetic parameters</w:t>
      </w:r>
      <w:r w:rsidRPr="002417F7">
        <w:t xml:space="preserve"> </w:t>
      </w:r>
      <w:r>
        <w:t xml:space="preserve">for </w:t>
      </w:r>
      <w:proofErr w:type="spellStart"/>
      <w:r>
        <w:t>Flebogamma</w:t>
      </w:r>
      <w:proofErr w:type="spellEnd"/>
      <w:r>
        <w:t xml:space="preserve"> 10% DIF.</w:t>
      </w:r>
    </w:p>
    <w:p w:rsidR="0065007E" w:rsidRPr="00122FC1" w:rsidRDefault="0065007E" w:rsidP="0065007E">
      <w:r>
        <w:rPr>
          <w:noProof/>
          <w:lang w:eastAsia="en-AU"/>
        </w:rPr>
        <w:drawing>
          <wp:inline distT="0" distB="0" distL="0" distR="0">
            <wp:extent cx="5391150" cy="1586230"/>
            <wp:effectExtent l="19050" t="0" r="0" b="0"/>
            <wp:docPr id="15" name="Picture 15" descr="Table 6: Mean pharmacokinetic parameters for Flebogamma 10% D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ble 6: Mean pharmacokinetic parameters for Flebogamma 10% DIF."/>
                    <pic:cNvPicPr>
                      <a:picLocks noChangeAspect="1" noChangeArrowheads="1"/>
                    </pic:cNvPicPr>
                  </pic:nvPicPr>
                  <pic:blipFill>
                    <a:blip r:embed="rId19" cstate="print"/>
                    <a:srcRect/>
                    <a:stretch>
                      <a:fillRect/>
                    </a:stretch>
                  </pic:blipFill>
                  <pic:spPr bwMode="auto">
                    <a:xfrm>
                      <a:off x="0" y="0"/>
                      <a:ext cx="5391150" cy="1586230"/>
                    </a:xfrm>
                    <a:prstGeom prst="rect">
                      <a:avLst/>
                    </a:prstGeom>
                    <a:noFill/>
                    <a:ln w="9525">
                      <a:noFill/>
                      <a:miter lim="800000"/>
                      <a:headEnd/>
                      <a:tailEnd/>
                    </a:ln>
                  </pic:spPr>
                </pic:pic>
              </a:graphicData>
            </a:graphic>
          </wp:inline>
        </w:drawing>
      </w:r>
    </w:p>
    <w:p w:rsidR="0065007E" w:rsidRPr="008961DC" w:rsidRDefault="0065007E" w:rsidP="0065007E">
      <w:pPr>
        <w:pStyle w:val="Heading5"/>
      </w:pPr>
      <w:r>
        <w:t>ITP</w:t>
      </w:r>
      <w:r w:rsidRPr="008961DC">
        <w:t xml:space="preserve"> study</w:t>
      </w:r>
    </w:p>
    <w:p w:rsidR="0065007E" w:rsidRPr="00783F08" w:rsidRDefault="0065007E" w:rsidP="0065007E">
      <w:r w:rsidRPr="00783F08">
        <w:t>The pr</w:t>
      </w:r>
      <w:r>
        <w:t xml:space="preserve">imary objective </w:t>
      </w:r>
      <w:r w:rsidRPr="00783F08">
        <w:t>was to</w:t>
      </w:r>
      <w:r>
        <w:t xml:space="preserve"> demonstrate that </w:t>
      </w:r>
      <w:proofErr w:type="spellStart"/>
      <w:r>
        <w:t>Flebogamma</w:t>
      </w:r>
      <w:proofErr w:type="spellEnd"/>
      <w:r w:rsidRPr="00783F08">
        <w:t xml:space="preserve"> 10% </w:t>
      </w:r>
      <w:r>
        <w:t>DIF was</w:t>
      </w:r>
      <w:r w:rsidRPr="00783F08">
        <w:t xml:space="preserve"> effe</w:t>
      </w:r>
      <w:r>
        <w:t>ctive in raising platelet count</w:t>
      </w:r>
      <w:r w:rsidRPr="00783F08">
        <w:t xml:space="preserve"> in </w:t>
      </w:r>
      <w:r>
        <w:t>patients with chronic ITP to ≥ 50 x 10</w:t>
      </w:r>
      <w:r w:rsidRPr="00310E1E">
        <w:rPr>
          <w:vertAlign w:val="superscript"/>
        </w:rPr>
        <w:t>9</w:t>
      </w:r>
      <w:r>
        <w:t xml:space="preserve">/L with respect to proportion of responders. Notably in Study IG202 (conducted in Russia and Spain), the primary outcome of platelet count </w:t>
      </w:r>
      <w:r>
        <w:rPr>
          <w:rFonts w:ascii="Cambria Math" w:hAnsi="Cambria Math"/>
        </w:rPr>
        <w:t>≥</w:t>
      </w:r>
      <w:r>
        <w:t>50 x 10</w:t>
      </w:r>
      <w:r w:rsidRPr="008961DC">
        <w:rPr>
          <w:vertAlign w:val="superscript"/>
        </w:rPr>
        <w:t>9</w:t>
      </w:r>
      <w:r>
        <w:t xml:space="preserve">/L was assessed during 90 days compared to nine days in Study </w:t>
      </w:r>
      <w:r w:rsidRPr="00D32E32">
        <w:t>IG0</w:t>
      </w:r>
      <w:r>
        <w:t>601 (conducted in Canada and USA). The median overall (n = 18) platelet count at baseline was 15 x 10</w:t>
      </w:r>
      <w:r w:rsidRPr="004C1A9B">
        <w:rPr>
          <w:vertAlign w:val="superscript"/>
        </w:rPr>
        <w:t>9</w:t>
      </w:r>
      <w:r>
        <w:t>/L (range 6-39 x 10</w:t>
      </w:r>
      <w:r w:rsidRPr="004C1A9B">
        <w:rPr>
          <w:vertAlign w:val="superscript"/>
        </w:rPr>
        <w:t>9</w:t>
      </w:r>
      <w:r>
        <w:t>/L). All except four patients presented with some bleeding haemorrhagic sign at the onset of baseline episode of ITP.</w:t>
      </w:r>
    </w:p>
    <w:p w:rsidR="0065007E" w:rsidRDefault="0065007E" w:rsidP="0065007E">
      <w:r w:rsidRPr="00783F08">
        <w:t>A total of 27 pa</w:t>
      </w:r>
      <w:r>
        <w:t>tients participated</w:t>
      </w:r>
      <w:r w:rsidRPr="00783F08">
        <w:t>, 18 adults and 9 paedia</w:t>
      </w:r>
      <w:r>
        <w:t>tric (age range 3-</w:t>
      </w:r>
      <w:r w:rsidRPr="00783F08">
        <w:t>15 years</w:t>
      </w:r>
      <w:r>
        <w:t>) patients</w:t>
      </w:r>
      <w:r w:rsidRPr="00783F08">
        <w:t xml:space="preserve">. </w:t>
      </w:r>
      <w:r>
        <w:t>A total of 22 patients received study drug as two infusions of 1g/kg/day over two days, and five patients received drug as five infusions of 0.4g/kg/day for five days.</w:t>
      </w:r>
    </w:p>
    <w:p w:rsidR="0065007E" w:rsidRDefault="0065007E" w:rsidP="0065007E">
      <w:r>
        <w:t xml:space="preserve">A total of 24/27 </w:t>
      </w:r>
      <w:r w:rsidRPr="00783F08">
        <w:t>(89%</w:t>
      </w:r>
      <w:r>
        <w:t>; 95% CI 74%, 97%</w:t>
      </w:r>
      <w:r w:rsidRPr="00783F08">
        <w:t xml:space="preserve">) </w:t>
      </w:r>
      <w:r>
        <w:t xml:space="preserve">patients </w:t>
      </w:r>
      <w:r w:rsidRPr="00783F08">
        <w:t xml:space="preserve">were responders with platelet </w:t>
      </w:r>
      <w:r>
        <w:t>count increased to ≥50 x 10</w:t>
      </w:r>
      <w:r w:rsidRPr="004C1A9B">
        <w:rPr>
          <w:vertAlign w:val="superscript"/>
        </w:rPr>
        <w:t>9</w:t>
      </w:r>
      <w:r>
        <w:t>/L. There were</w:t>
      </w:r>
      <w:r w:rsidRPr="00783F08">
        <w:t xml:space="preserve"> </w:t>
      </w:r>
      <w:r>
        <w:t>15/18 (83%; 95% CI 62%, 95%</w:t>
      </w:r>
      <w:r w:rsidRPr="00783F08">
        <w:t>)</w:t>
      </w:r>
      <w:r>
        <w:t xml:space="preserve"> adult responders and 9/9 (100%; 95% CI 72%, 100%) paediatric responders.</w:t>
      </w:r>
    </w:p>
    <w:p w:rsidR="0065007E" w:rsidRPr="00783F08" w:rsidRDefault="0065007E" w:rsidP="0065007E">
      <w:pPr>
        <w:pStyle w:val="Heading4"/>
      </w:pPr>
      <w:r>
        <w:t>Clinical safety</w:t>
      </w:r>
    </w:p>
    <w:p w:rsidR="0065007E" w:rsidRDefault="0065007E" w:rsidP="0065007E">
      <w:r>
        <w:t xml:space="preserve">AEs reported by at least 15% patients in the PID study are given in Table 3. Three patients experienced serious AEs that were bacterial pneumonia, subcutaneous abscess, and </w:t>
      </w:r>
      <w:proofErr w:type="spellStart"/>
      <w:r>
        <w:t>cellulitis</w:t>
      </w:r>
      <w:proofErr w:type="spellEnd"/>
      <w:r>
        <w:t>. No patients tested positive for hepatitis B, hepatitis C or HIV. Thirteen patients tested positive Coombs’ test.</w:t>
      </w:r>
    </w:p>
    <w:p w:rsidR="0065007E" w:rsidRDefault="0065007E" w:rsidP="0065007E">
      <w:r>
        <w:t>The incidence of treatment related AEs</w:t>
      </w:r>
      <w:r w:rsidRPr="00783F08">
        <w:t xml:space="preserve"> con</w:t>
      </w:r>
      <w:r>
        <w:t>sidered with the</w:t>
      </w:r>
      <w:r w:rsidRPr="00783F08">
        <w:t xml:space="preserve"> 10% formulation </w:t>
      </w:r>
      <w:r>
        <w:t xml:space="preserve">was stated to be higher </w:t>
      </w:r>
      <w:r w:rsidRPr="00783F08">
        <w:t xml:space="preserve">than the registered </w:t>
      </w:r>
      <w:r>
        <w:t>5% formulation.</w:t>
      </w:r>
    </w:p>
    <w:p w:rsidR="0065007E" w:rsidRDefault="0065007E" w:rsidP="0065007E">
      <w:r>
        <w:t>A total of 26/</w:t>
      </w:r>
      <w:r w:rsidRPr="00783F08">
        <w:t>27 (96.3%) ITP patients r</w:t>
      </w:r>
      <w:r>
        <w:t xml:space="preserve">eported at least one AE. A total of 133 AEs were reported. The most commonly reported were headache, chills/pyrexia and nausea. Two patients reported serious AEs which were </w:t>
      </w:r>
      <w:proofErr w:type="spellStart"/>
      <w:r>
        <w:t>leukopenia</w:t>
      </w:r>
      <w:proofErr w:type="spellEnd"/>
      <w:r>
        <w:t xml:space="preserve">/decreased haemoglobin and thrombosis. Fourteen bleeding/haemorrhagic events were reported consisting of </w:t>
      </w:r>
      <w:proofErr w:type="spellStart"/>
      <w:r>
        <w:t>petechiae</w:t>
      </w:r>
      <w:proofErr w:type="spellEnd"/>
      <w:r>
        <w:t xml:space="preserve"> (eight events), </w:t>
      </w:r>
      <w:proofErr w:type="spellStart"/>
      <w:r>
        <w:t>ecchymoses</w:t>
      </w:r>
      <w:proofErr w:type="spellEnd"/>
      <w:r>
        <w:t xml:space="preserve"> (four events) and </w:t>
      </w:r>
      <w:proofErr w:type="spellStart"/>
      <w:r>
        <w:t>epistaxis</w:t>
      </w:r>
      <w:proofErr w:type="spellEnd"/>
      <w:r>
        <w:t xml:space="preserve"> (two events).</w:t>
      </w:r>
    </w:p>
    <w:p w:rsidR="0065007E" w:rsidRDefault="0065007E" w:rsidP="0065007E">
      <w:r>
        <w:t xml:space="preserve">No evidence of clinical haemolysis, change in viral serology or deaths </w:t>
      </w:r>
      <w:proofErr w:type="gramStart"/>
      <w:r>
        <w:t>were</w:t>
      </w:r>
      <w:proofErr w:type="gramEnd"/>
      <w:r>
        <w:t xml:space="preserve"> reported in either study.</w:t>
      </w:r>
    </w:p>
    <w:p w:rsidR="0065007E" w:rsidRDefault="0065007E" w:rsidP="0065007E">
      <w:r>
        <w:t xml:space="preserve">The TGA review included PSUR for </w:t>
      </w:r>
      <w:proofErr w:type="spellStart"/>
      <w:r>
        <w:t>Flebogamma</w:t>
      </w:r>
      <w:proofErr w:type="spellEnd"/>
      <w:r>
        <w:t xml:space="preserve"> 5% DIF from Dec 2009 to May 2010.</w:t>
      </w:r>
    </w:p>
    <w:p w:rsidR="008E7846" w:rsidRDefault="00386150" w:rsidP="008E7846">
      <w:pPr>
        <w:pStyle w:val="Heading3"/>
        <w:rPr>
          <w:lang w:eastAsia="en-AU"/>
        </w:rPr>
      </w:pPr>
      <w:bookmarkStart w:id="114" w:name="_Toc314842514"/>
      <w:bookmarkStart w:id="115" w:name="_Toc369706053"/>
      <w:r>
        <w:rPr>
          <w:lang w:eastAsia="en-AU"/>
        </w:rPr>
        <w:t>Risk m</w:t>
      </w:r>
      <w:r w:rsidR="008E7846">
        <w:rPr>
          <w:lang w:eastAsia="en-AU"/>
        </w:rPr>
        <w:t xml:space="preserve">anagement </w:t>
      </w:r>
      <w:r>
        <w:rPr>
          <w:lang w:eastAsia="en-AU"/>
        </w:rPr>
        <w:t>p</w:t>
      </w:r>
      <w:r w:rsidR="008E7846">
        <w:rPr>
          <w:lang w:eastAsia="en-AU"/>
        </w:rPr>
        <w:t>lan</w:t>
      </w:r>
      <w:bookmarkEnd w:id="114"/>
      <w:bookmarkEnd w:id="115"/>
    </w:p>
    <w:p w:rsidR="00516B9F" w:rsidRPr="00783F08" w:rsidRDefault="00516B9F" w:rsidP="00516B9F">
      <w:r>
        <w:t>The implementation of</w:t>
      </w:r>
      <w:r w:rsidRPr="00783F08">
        <w:t xml:space="preserve"> RMP version 4.4 </w:t>
      </w:r>
      <w:r>
        <w:t>dated 3 November 2010 is recommended</w:t>
      </w:r>
      <w:r w:rsidRPr="00783F08">
        <w:t xml:space="preserve"> as a conditio</w:t>
      </w:r>
      <w:r>
        <w:t xml:space="preserve">n of registration. </w:t>
      </w:r>
      <w:r w:rsidRPr="00783F08">
        <w:t xml:space="preserve">It is </w:t>
      </w:r>
      <w:r>
        <w:t xml:space="preserve">also </w:t>
      </w:r>
      <w:r w:rsidRPr="00783F08">
        <w:t>recommended that an Australian specific</w:t>
      </w:r>
      <w:r>
        <w:t xml:space="preserve"> annexe to the RMP be provided.</w:t>
      </w:r>
    </w:p>
    <w:p w:rsidR="008E7846" w:rsidRDefault="00AA0ED0" w:rsidP="008E7846">
      <w:pPr>
        <w:pStyle w:val="Heading3"/>
      </w:pPr>
      <w:bookmarkStart w:id="116" w:name="_Toc247691531"/>
      <w:bookmarkStart w:id="117" w:name="_Toc314842515"/>
      <w:bookmarkStart w:id="118" w:name="_Toc196046505"/>
      <w:bookmarkStart w:id="119" w:name="_Toc196046949"/>
      <w:bookmarkStart w:id="120" w:name="_Toc369706054"/>
      <w:r>
        <w:lastRenderedPageBreak/>
        <w:t>Risk-benefit a</w:t>
      </w:r>
      <w:r w:rsidR="008E7846">
        <w:t>nalysis</w:t>
      </w:r>
      <w:bookmarkEnd w:id="116"/>
      <w:bookmarkEnd w:id="117"/>
      <w:bookmarkEnd w:id="120"/>
    </w:p>
    <w:p w:rsidR="008E7846" w:rsidRDefault="008E7846" w:rsidP="008E7846">
      <w:pPr>
        <w:pStyle w:val="Heading4"/>
      </w:pPr>
      <w:r>
        <w:t xml:space="preserve">Delegate </w:t>
      </w:r>
      <w:r w:rsidR="00ED3CAD">
        <w:t>c</w:t>
      </w:r>
      <w:r>
        <w:t>onsiderations</w:t>
      </w:r>
    </w:p>
    <w:p w:rsidR="00A93FD8" w:rsidRDefault="00A93FD8" w:rsidP="00A93FD8">
      <w:r>
        <w:t>The critical outstanding issue in regard to this submission is monitoring of pro coagulant activity in the final product which is pending advice from the PSC and clearance from the Office of Biological Science.</w:t>
      </w:r>
    </w:p>
    <w:p w:rsidR="00A93FD8" w:rsidRDefault="00A93FD8" w:rsidP="00A93FD8">
      <w:r>
        <w:t>The clinical efficacy and safety issues which require comment from the sponsor in its pre ACPM response are as follows:</w:t>
      </w:r>
    </w:p>
    <w:p w:rsidR="00A93FD8" w:rsidRPr="00A93FD8" w:rsidRDefault="00A93FD8" w:rsidP="00A93FD8">
      <w:pPr>
        <w:pStyle w:val="Numberbullet0"/>
        <w:numPr>
          <w:ilvl w:val="0"/>
          <w:numId w:val="43"/>
        </w:numPr>
      </w:pPr>
      <w:r w:rsidRPr="00A93FD8">
        <w:t xml:space="preserve">Explanation of discordance noted between </w:t>
      </w:r>
      <w:proofErr w:type="spellStart"/>
      <w:r w:rsidRPr="00A93FD8">
        <w:t>Tmax</w:t>
      </w:r>
      <w:proofErr w:type="spellEnd"/>
      <w:r w:rsidRPr="00A93FD8">
        <w:t xml:space="preserve"> with the 21 day dosing compared to the 28-day dosing in PK subset of the PID study. Is more information available with respect to rates of infusion in the two groups?</w:t>
      </w:r>
    </w:p>
    <w:p w:rsidR="00A93FD8" w:rsidRPr="00A93FD8" w:rsidRDefault="00A93FD8" w:rsidP="00A93FD8">
      <w:pPr>
        <w:pStyle w:val="Numberbullet0"/>
        <w:numPr>
          <w:ilvl w:val="0"/>
          <w:numId w:val="43"/>
        </w:numPr>
      </w:pPr>
      <w:r w:rsidRPr="00A93FD8">
        <w:t>Comments with respect to the finding in the PID study where proportion of patients with any infection during the 12 months treatment in the study was 61% compared with 48% of patients who reported any infection in the 6 months prior to the study.</w:t>
      </w:r>
    </w:p>
    <w:p w:rsidR="00A93FD8" w:rsidRPr="00A93FD8" w:rsidRDefault="00A93FD8" w:rsidP="00A93FD8">
      <w:pPr>
        <w:pStyle w:val="Numberbullet0"/>
        <w:numPr>
          <w:ilvl w:val="0"/>
          <w:numId w:val="43"/>
        </w:numPr>
      </w:pPr>
      <w:r w:rsidRPr="00A93FD8">
        <w:t>When are the individual final clinical study reports for the two ITP studies expected to become available and likely to be provided to the TGA for review?</w:t>
      </w:r>
    </w:p>
    <w:p w:rsidR="00A93FD8" w:rsidRPr="00A93FD8" w:rsidRDefault="00A93FD8" w:rsidP="00A93FD8">
      <w:pPr>
        <w:pStyle w:val="Numberbullet0"/>
        <w:numPr>
          <w:ilvl w:val="0"/>
          <w:numId w:val="43"/>
        </w:numPr>
      </w:pPr>
      <w:r w:rsidRPr="00A93FD8">
        <w:t>Comments with respect to the clinical evaluator’s recommendation that the Precautions section should include a statement with regard to the apparent increase in rate of AEs with the 10% product separate from the existing precaution that rate of AEs may be related to rate of infusion.</w:t>
      </w:r>
    </w:p>
    <w:p w:rsidR="00A93FD8" w:rsidRPr="00A93FD8" w:rsidRDefault="00A93FD8" w:rsidP="00A93FD8">
      <w:pPr>
        <w:pStyle w:val="Numberbullet0"/>
        <w:numPr>
          <w:ilvl w:val="0"/>
          <w:numId w:val="43"/>
        </w:numPr>
      </w:pPr>
      <w:r w:rsidRPr="00A93FD8">
        <w:t>Comments with respect to the RMP evaluator’s recommendation with respect to the proposed Product Information, PSURs and the ongoing studies</w:t>
      </w:r>
    </w:p>
    <w:p w:rsidR="00A93FD8" w:rsidRPr="00783F08" w:rsidRDefault="00A93FD8" w:rsidP="00A93FD8">
      <w:r>
        <w:t>Furthermore, at its 278th meeting in</w:t>
      </w:r>
      <w:r w:rsidRPr="00783F08">
        <w:t xml:space="preserve"> 5th</w:t>
      </w:r>
      <w:r>
        <w:t xml:space="preserve"> August 2011, the ACPM</w:t>
      </w:r>
      <w:r w:rsidRPr="00783F08">
        <w:t xml:space="preserve"> made the </w:t>
      </w:r>
      <w:r>
        <w:t>following recommendations</w:t>
      </w:r>
      <w:r w:rsidRPr="00783F08">
        <w:t xml:space="preserve"> in relation to </w:t>
      </w:r>
      <w:r>
        <w:t>human normal immunoglobulin products:</w:t>
      </w:r>
    </w:p>
    <w:p w:rsidR="00A93FD8" w:rsidRPr="00A93FD8" w:rsidRDefault="00A93FD8" w:rsidP="00A93FD8">
      <w:pPr>
        <w:pStyle w:val="ListBullet"/>
      </w:pPr>
      <w:r w:rsidRPr="00A93FD8">
        <w:t>The statement of indications should be aligned with therapeutic criteria of the National Blood Authority;</w:t>
      </w:r>
    </w:p>
    <w:p w:rsidR="00A93FD8" w:rsidRPr="00A93FD8" w:rsidRDefault="00A93FD8" w:rsidP="00A93FD8">
      <w:pPr>
        <w:pStyle w:val="ListBullet"/>
      </w:pPr>
      <w:r w:rsidRPr="00A93FD8">
        <w:t>The product class should all have a similar statement of indications;</w:t>
      </w:r>
    </w:p>
    <w:p w:rsidR="00A93FD8" w:rsidRPr="00A93FD8" w:rsidRDefault="00A93FD8" w:rsidP="00A93FD8">
      <w:pPr>
        <w:pStyle w:val="ListBullet"/>
      </w:pPr>
      <w:r w:rsidRPr="00A93FD8">
        <w:t>The replacement indication “Congenital AIDS with recurrent bacterial infections” should be deleted as the condition is inaccurate and of historical interest only; and</w:t>
      </w:r>
    </w:p>
    <w:p w:rsidR="00A93FD8" w:rsidRPr="00A93FD8" w:rsidRDefault="00A93FD8" w:rsidP="00A93FD8">
      <w:pPr>
        <w:pStyle w:val="ListBullet"/>
      </w:pPr>
      <w:r w:rsidRPr="00A93FD8">
        <w:t xml:space="preserve">The </w:t>
      </w:r>
      <w:proofErr w:type="spellStart"/>
      <w:r w:rsidRPr="00A93FD8">
        <w:t>immunomodulatory</w:t>
      </w:r>
      <w:proofErr w:type="spellEnd"/>
      <w:r w:rsidRPr="00A93FD8">
        <w:t xml:space="preserve"> indication “</w:t>
      </w:r>
      <w:proofErr w:type="spellStart"/>
      <w:r w:rsidRPr="00A93FD8">
        <w:t>allogenic</w:t>
      </w:r>
      <w:proofErr w:type="spellEnd"/>
      <w:r w:rsidRPr="00A93FD8">
        <w:t xml:space="preserve"> bone marrow transplantation” should be deleted as results in randomised clinical trials are conflicting.</w:t>
      </w:r>
    </w:p>
    <w:p w:rsidR="00A93FD8" w:rsidRPr="00783F08" w:rsidRDefault="00A93FD8" w:rsidP="00A93FD8">
      <w:r>
        <w:t xml:space="preserve">In light of the ACPM recommendations, the Office of Medicines Authorisation is in the process of streamlining therapeutic indications for the </w:t>
      </w:r>
      <w:proofErr w:type="spellStart"/>
      <w:r>
        <w:t>IVIg</w:t>
      </w:r>
      <w:proofErr w:type="spellEnd"/>
      <w:r>
        <w:t xml:space="preserve"> products. The following indications are currently supported based on standard studies conducted in PID and ITP:</w:t>
      </w:r>
    </w:p>
    <w:p w:rsidR="00A93FD8" w:rsidRPr="001D7391" w:rsidRDefault="00A93FD8" w:rsidP="00A93FD8">
      <w:pPr>
        <w:pStyle w:val="Heading5"/>
      </w:pPr>
      <w:r w:rsidRPr="001D7391">
        <w:t>Replacement therapy indications</w:t>
      </w:r>
      <w:r>
        <w:t>:</w:t>
      </w:r>
    </w:p>
    <w:p w:rsidR="00A93FD8" w:rsidRPr="00A93FD8" w:rsidRDefault="00A93FD8" w:rsidP="00A93FD8">
      <w:pPr>
        <w:pStyle w:val="ListBullet"/>
      </w:pPr>
      <w:r w:rsidRPr="00A93FD8">
        <w:t>Primary Immunodeficiency Diseases (PID).</w:t>
      </w:r>
    </w:p>
    <w:p w:rsidR="00A93FD8" w:rsidRPr="00A93FD8" w:rsidRDefault="00A93FD8" w:rsidP="00A93FD8">
      <w:pPr>
        <w:pStyle w:val="ListBullet"/>
      </w:pPr>
      <w:r w:rsidRPr="00A93FD8">
        <w:t xml:space="preserve">Symptomatic </w:t>
      </w:r>
      <w:proofErr w:type="spellStart"/>
      <w:r w:rsidRPr="00A93FD8">
        <w:t>hypogammaglobulinaemia</w:t>
      </w:r>
      <w:proofErr w:type="spellEnd"/>
      <w:r w:rsidRPr="00A93FD8">
        <w:t xml:space="preserve"> secondary to underlying disease or treatment.</w:t>
      </w:r>
    </w:p>
    <w:p w:rsidR="00A93FD8" w:rsidRPr="001D7391" w:rsidRDefault="00A93FD8" w:rsidP="00A93FD8">
      <w:pPr>
        <w:pStyle w:val="Heading5"/>
      </w:pPr>
      <w:proofErr w:type="spellStart"/>
      <w:r w:rsidRPr="001D7391">
        <w:t>Immunomodulation</w:t>
      </w:r>
      <w:proofErr w:type="spellEnd"/>
      <w:r w:rsidRPr="001D7391">
        <w:t xml:space="preserve"> indications:</w:t>
      </w:r>
    </w:p>
    <w:p w:rsidR="00A93FD8" w:rsidRPr="00A93FD8" w:rsidRDefault="00A93FD8" w:rsidP="00A93FD8">
      <w:pPr>
        <w:pStyle w:val="ListBullet"/>
      </w:pPr>
      <w:r w:rsidRPr="00A93FD8">
        <w:t xml:space="preserve">Idiopathic </w:t>
      </w:r>
      <w:proofErr w:type="spellStart"/>
      <w:r w:rsidRPr="00A93FD8">
        <w:t>Thrombocytopaenic</w:t>
      </w:r>
      <w:proofErr w:type="spellEnd"/>
      <w:r w:rsidRPr="00A93FD8">
        <w:t xml:space="preserve"> </w:t>
      </w:r>
      <w:proofErr w:type="spellStart"/>
      <w:r w:rsidRPr="00A93FD8">
        <w:t>Purpura</w:t>
      </w:r>
      <w:proofErr w:type="spellEnd"/>
      <w:r w:rsidRPr="00A93FD8">
        <w:t xml:space="preserve"> (ITP), in patients at high risk of bleeding or prior to surgery to correct the platelet count.</w:t>
      </w:r>
    </w:p>
    <w:p w:rsidR="00A93FD8" w:rsidRPr="00A93FD8" w:rsidRDefault="00A93FD8" w:rsidP="00A93FD8">
      <w:pPr>
        <w:pStyle w:val="ListBullet"/>
      </w:pPr>
      <w:proofErr w:type="spellStart"/>
      <w:r w:rsidRPr="00A93FD8">
        <w:t>Guillain</w:t>
      </w:r>
      <w:proofErr w:type="spellEnd"/>
      <w:r w:rsidRPr="00A93FD8">
        <w:t xml:space="preserve"> </w:t>
      </w:r>
      <w:proofErr w:type="spellStart"/>
      <w:r w:rsidRPr="00A93FD8">
        <w:t>Barre</w:t>
      </w:r>
      <w:proofErr w:type="spellEnd"/>
      <w:r w:rsidRPr="00A93FD8">
        <w:t xml:space="preserve"> Syndrome</w:t>
      </w:r>
    </w:p>
    <w:p w:rsidR="00A93FD8" w:rsidRPr="00A93FD8" w:rsidRDefault="00A93FD8" w:rsidP="00A93FD8">
      <w:pPr>
        <w:pStyle w:val="ListBullet"/>
      </w:pPr>
      <w:r w:rsidRPr="00A93FD8">
        <w:t>Kawasaki disease</w:t>
      </w:r>
    </w:p>
    <w:p w:rsidR="00A93FD8" w:rsidRPr="00783F08" w:rsidRDefault="00A93FD8" w:rsidP="00A93FD8">
      <w:r>
        <w:lastRenderedPageBreak/>
        <w:t>The sponsor was invited to amend the ‘Indications’ section of the proposed Product Information. Consequently, the ‘Dosage and Administration’ section will require corresponding modifications.</w:t>
      </w:r>
    </w:p>
    <w:p w:rsidR="00A93FD8" w:rsidRDefault="00A93FD8" w:rsidP="00A93FD8">
      <w:pPr>
        <w:pStyle w:val="Heading4"/>
      </w:pPr>
      <w:r>
        <w:t>Delegate’s proposed action</w:t>
      </w:r>
    </w:p>
    <w:p w:rsidR="00A93FD8" w:rsidRPr="00D5181F" w:rsidRDefault="00A93FD8" w:rsidP="00A93FD8">
      <w:r>
        <w:t xml:space="preserve">The progression of this submission is contingent on further information received from the sponsor in its pre ACPM response. </w:t>
      </w:r>
      <w:r w:rsidRPr="00783F08">
        <w:t xml:space="preserve">It is </w:t>
      </w:r>
      <w:r>
        <w:t>further anticipated that finalisation of this submission will be informed by advice received from the PSC and the ACPM and clearance from the Office of Biological Science.</w:t>
      </w:r>
    </w:p>
    <w:p w:rsidR="00A93FD8" w:rsidRPr="00783F08" w:rsidRDefault="00A93FD8" w:rsidP="00A93FD8">
      <w:r w:rsidRPr="00783F08">
        <w:t xml:space="preserve">The sponsor is </w:t>
      </w:r>
      <w:r>
        <w:t>requested to provide annotated and</w:t>
      </w:r>
      <w:r w:rsidRPr="00783F08">
        <w:t xml:space="preserve"> clean copies of the proposed </w:t>
      </w:r>
      <w:r>
        <w:t>Product Information</w:t>
      </w:r>
      <w:r w:rsidRPr="00783F08">
        <w:t xml:space="preserve"> in</w:t>
      </w:r>
      <w:r>
        <w:t xml:space="preserve"> its pre </w:t>
      </w:r>
      <w:r w:rsidRPr="00783F08">
        <w:t>ACPM response incorporating recommendations from all evaluation areas</w:t>
      </w:r>
      <w:r>
        <w:t xml:space="preserve"> as well as those outlined in this Overview</w:t>
      </w:r>
      <w:r w:rsidRPr="00783F08">
        <w:t>.</w:t>
      </w:r>
    </w:p>
    <w:p w:rsidR="00A93FD8" w:rsidRPr="00BF47E6" w:rsidRDefault="00A93FD8" w:rsidP="00A93FD8">
      <w:r>
        <w:t>Advice from the ACPM was requested</w:t>
      </w:r>
      <w:r w:rsidRPr="00BF47E6">
        <w:t>.</w:t>
      </w:r>
    </w:p>
    <w:p w:rsidR="008E7846" w:rsidRDefault="008E7846" w:rsidP="008E7846">
      <w:pPr>
        <w:pStyle w:val="Heading4"/>
      </w:pPr>
      <w:r>
        <w:t xml:space="preserve">Response from </w:t>
      </w:r>
      <w:r w:rsidR="00A93FD8">
        <w:t>s</w:t>
      </w:r>
      <w:r>
        <w:t>ponsor</w:t>
      </w:r>
    </w:p>
    <w:p w:rsidR="00A93FD8" w:rsidRDefault="00A93FD8" w:rsidP="00A93FD8">
      <w:r>
        <w:t>The Delegate’s considerations are noted in quoted italics, with sponsor’s response below.</w:t>
      </w:r>
    </w:p>
    <w:p w:rsidR="00A93FD8" w:rsidRDefault="00A93FD8" w:rsidP="00A93FD8">
      <w:pPr>
        <w:rPr>
          <w:i/>
        </w:rPr>
      </w:pPr>
      <w:r>
        <w:rPr>
          <w:i/>
        </w:rPr>
        <w:t>“</w:t>
      </w:r>
      <w:r w:rsidRPr="0027089B">
        <w:rPr>
          <w:i/>
        </w:rPr>
        <w:t>The critical outstanding issue in regard to this submission is monitoring of pro coagulant activity in the final product which is pending advice from the PSC and clearance from the Office of Biological Science.</w:t>
      </w:r>
      <w:r>
        <w:rPr>
          <w:i/>
        </w:rPr>
        <w:t>”</w:t>
      </w:r>
    </w:p>
    <w:p w:rsidR="00A93FD8" w:rsidRDefault="00A93FD8" w:rsidP="00A93FD8">
      <w:r w:rsidRPr="00F44954">
        <w:t xml:space="preserve">During the </w:t>
      </w:r>
      <w:proofErr w:type="spellStart"/>
      <w:r w:rsidRPr="00F44954">
        <w:t>Flebogamma</w:t>
      </w:r>
      <w:proofErr w:type="spellEnd"/>
      <w:r w:rsidRPr="00F44954">
        <w:t xml:space="preserve"> DIF manufacturing process, the Pasteurisation step has an important role in order to eliminate the </w:t>
      </w:r>
      <w:proofErr w:type="spellStart"/>
      <w:r w:rsidRPr="00F44954">
        <w:t>procoagulant</w:t>
      </w:r>
      <w:proofErr w:type="spellEnd"/>
      <w:r w:rsidRPr="00F44954">
        <w:t xml:space="preserve"> activity of the product. However, this is not the only step that is involved in this process, other previous steps also participate</w:t>
      </w:r>
      <w:r>
        <w:t>.</w:t>
      </w:r>
    </w:p>
    <w:p w:rsidR="00A93FD8" w:rsidRDefault="00A93FD8" w:rsidP="00A93FD8">
      <w:r w:rsidRPr="00F44954">
        <w:t xml:space="preserve">As it is shown in our report, the </w:t>
      </w:r>
      <w:proofErr w:type="spellStart"/>
      <w:r w:rsidRPr="00F44954">
        <w:t>Flebogamma</w:t>
      </w:r>
      <w:proofErr w:type="spellEnd"/>
      <w:r w:rsidRPr="00F44954">
        <w:t xml:space="preserve"> DIF process eliminates completely markers of activated coagulation factors in the final product</w:t>
      </w:r>
      <w:r>
        <w:t>.</w:t>
      </w:r>
    </w:p>
    <w:p w:rsidR="00A93FD8" w:rsidRDefault="00A93FD8" w:rsidP="00A93FD8">
      <w:r w:rsidRPr="00F44954">
        <w:t xml:space="preserve">Table </w:t>
      </w:r>
      <w:r>
        <w:t>7</w:t>
      </w:r>
      <w:r w:rsidRPr="00F44954">
        <w:t xml:space="preserve"> shows the reduction of FXI</w:t>
      </w:r>
      <w:proofErr w:type="gramStart"/>
      <w:r w:rsidRPr="00F44954">
        <w:t>:C</w:t>
      </w:r>
      <w:proofErr w:type="gramEnd"/>
      <w:r w:rsidRPr="00F44954">
        <w:t xml:space="preserve"> and </w:t>
      </w:r>
      <w:proofErr w:type="spellStart"/>
      <w:r w:rsidRPr="00F44954">
        <w:t>FXI:Ag</w:t>
      </w:r>
      <w:proofErr w:type="spellEnd"/>
      <w:r w:rsidRPr="00F44954">
        <w:t xml:space="preserve"> in different steps of the process compared to the content in Fraction II+III suspension (starting point of the process)</w:t>
      </w:r>
      <w:r>
        <w:t>.</w:t>
      </w:r>
    </w:p>
    <w:p w:rsidR="00A93FD8" w:rsidRDefault="00A93FD8" w:rsidP="00A93FD8">
      <w:pPr>
        <w:pStyle w:val="TableTitle"/>
      </w:pPr>
      <w:r w:rsidRPr="004C5C28">
        <w:t xml:space="preserve">Table </w:t>
      </w:r>
      <w:r>
        <w:t>7: R</w:t>
      </w:r>
      <w:r w:rsidRPr="0017003F">
        <w:t>eduction of FXI</w:t>
      </w:r>
      <w:proofErr w:type="gramStart"/>
      <w:r w:rsidRPr="0017003F">
        <w:t>:C</w:t>
      </w:r>
      <w:proofErr w:type="gramEnd"/>
      <w:r w:rsidRPr="0017003F">
        <w:t xml:space="preserve"> and </w:t>
      </w:r>
      <w:proofErr w:type="spellStart"/>
      <w:r w:rsidRPr="0017003F">
        <w:t>FXI:Ag</w:t>
      </w:r>
      <w:proofErr w:type="spellEnd"/>
      <w:r w:rsidRPr="0017003F">
        <w:t xml:space="preserve"> in different steps of the process compared to the content in Fraction II+III suspension</w:t>
      </w:r>
      <w:r>
        <w:t>.</w:t>
      </w:r>
    </w:p>
    <w:p w:rsidR="00A93FD8" w:rsidRDefault="00A93FD8" w:rsidP="00A93FD8">
      <w:r>
        <w:rPr>
          <w:noProof/>
          <w:lang w:eastAsia="en-AU"/>
        </w:rPr>
        <w:drawing>
          <wp:inline distT="0" distB="0" distL="0" distR="0">
            <wp:extent cx="4667250" cy="2676525"/>
            <wp:effectExtent l="19050" t="0" r="0" b="0"/>
            <wp:docPr id="17" name="Picture 17" descr="Table 7: Reduction of FXI:C and FXI:Ag in different steps of the process compared to the content in Fraction II+III susp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e 7: Reduction of FXI:C and FXI:Ag in different steps of the process compared to the content in Fraction II+III suspension."/>
                    <pic:cNvPicPr>
                      <a:picLocks noChangeAspect="1" noChangeArrowheads="1"/>
                    </pic:cNvPicPr>
                  </pic:nvPicPr>
                  <pic:blipFill>
                    <a:blip r:embed="rId20" cstate="print"/>
                    <a:srcRect/>
                    <a:stretch>
                      <a:fillRect/>
                    </a:stretch>
                  </pic:blipFill>
                  <pic:spPr bwMode="auto">
                    <a:xfrm>
                      <a:off x="0" y="0"/>
                      <a:ext cx="4667250" cy="2676525"/>
                    </a:xfrm>
                    <a:prstGeom prst="rect">
                      <a:avLst/>
                    </a:prstGeom>
                    <a:noFill/>
                    <a:ln w="9525">
                      <a:noFill/>
                      <a:miter lim="800000"/>
                      <a:headEnd/>
                      <a:tailEnd/>
                    </a:ln>
                  </pic:spPr>
                </pic:pic>
              </a:graphicData>
            </a:graphic>
          </wp:inline>
        </w:drawing>
      </w:r>
    </w:p>
    <w:p w:rsidR="00A93FD8" w:rsidRPr="00A93FD8" w:rsidRDefault="00A93FD8" w:rsidP="00A93FD8">
      <w:pPr>
        <w:pStyle w:val="Notes"/>
      </w:pPr>
      <w:r w:rsidRPr="00A93FD8">
        <w:t>* The differences between both bulks are related to the different protein content.</w:t>
      </w:r>
    </w:p>
    <w:p w:rsidR="00A93FD8" w:rsidRPr="00342AFE" w:rsidRDefault="00A93FD8" w:rsidP="00A93FD8">
      <w:r w:rsidRPr="00342AFE">
        <w:lastRenderedPageBreak/>
        <w:t>For the calculations, mean values of FXI</w:t>
      </w:r>
      <w:proofErr w:type="gramStart"/>
      <w:r w:rsidRPr="00342AFE">
        <w:t>:C</w:t>
      </w:r>
      <w:proofErr w:type="gramEnd"/>
      <w:r w:rsidRPr="00342AFE">
        <w:t xml:space="preserve"> (IU/g </w:t>
      </w:r>
      <w:proofErr w:type="spellStart"/>
      <w:r w:rsidRPr="00342AFE">
        <w:t>prot</w:t>
      </w:r>
      <w:proofErr w:type="spellEnd"/>
      <w:r w:rsidRPr="00342AFE">
        <w:t xml:space="preserve">) and </w:t>
      </w:r>
      <w:proofErr w:type="spellStart"/>
      <w:r w:rsidRPr="00342AFE">
        <w:t>FXI:Ag</w:t>
      </w:r>
      <w:proofErr w:type="spellEnd"/>
      <w:r w:rsidRPr="00342AFE">
        <w:t xml:space="preserve"> (PEU/g </w:t>
      </w:r>
      <w:proofErr w:type="spellStart"/>
      <w:r w:rsidRPr="00342AFE">
        <w:t>prot</w:t>
      </w:r>
      <w:proofErr w:type="spellEnd"/>
      <w:r w:rsidRPr="00342AFE">
        <w:t xml:space="preserve">) in Fr II+III suspension are taken. For the </w:t>
      </w:r>
      <w:proofErr w:type="spellStart"/>
      <w:r w:rsidRPr="00342AFE">
        <w:t>FXI</w:t>
      </w:r>
      <w:proofErr w:type="gramStart"/>
      <w:r w:rsidRPr="00342AFE">
        <w:t>:Ag</w:t>
      </w:r>
      <w:proofErr w:type="spellEnd"/>
      <w:proofErr w:type="gramEnd"/>
      <w:r w:rsidRPr="00342AFE">
        <w:t xml:space="preserve">, a calculation has been done previously to convert the PEU/ml of </w:t>
      </w:r>
      <w:proofErr w:type="spellStart"/>
      <w:r w:rsidRPr="00342AFE">
        <w:t>FXI:Ag</w:t>
      </w:r>
      <w:proofErr w:type="spellEnd"/>
      <w:r w:rsidRPr="00342AFE">
        <w:t xml:space="preserve"> to PEU/g protein, considering the protein concentration at these steps.</w:t>
      </w:r>
    </w:p>
    <w:p w:rsidR="00A93FD8" w:rsidRPr="00342AFE" w:rsidRDefault="00A93FD8" w:rsidP="00A93FD8">
      <w:r w:rsidRPr="00342AFE">
        <w:t>For the rest of process steps, the higher value (as worst case condition) of the three lots analysed for each step has been taken for the calculations</w:t>
      </w:r>
      <w:r>
        <w:t>. I</w:t>
      </w:r>
      <w:r w:rsidRPr="00342AFE">
        <w:t xml:space="preserve">n those cases where the values are below the limit of </w:t>
      </w:r>
      <w:proofErr w:type="spellStart"/>
      <w:r w:rsidRPr="00342AFE">
        <w:t>quantitation</w:t>
      </w:r>
      <w:proofErr w:type="spellEnd"/>
      <w:r>
        <w:t>,</w:t>
      </w:r>
      <w:r w:rsidRPr="00342AFE">
        <w:t xml:space="preserve"> the limit has been taken for calculations.</w:t>
      </w:r>
    </w:p>
    <w:p w:rsidR="00A93FD8" w:rsidRPr="00121728" w:rsidRDefault="00A93FD8" w:rsidP="00A93FD8">
      <w:r w:rsidRPr="00121728">
        <w:t xml:space="preserve">As it is mentioned before, pasteurisation is not the only step involved in the </w:t>
      </w:r>
      <w:proofErr w:type="spellStart"/>
      <w:r w:rsidRPr="00121728">
        <w:t>procoagulant</w:t>
      </w:r>
      <w:proofErr w:type="spellEnd"/>
      <w:r w:rsidRPr="00121728">
        <w:t xml:space="preserve"> activity</w:t>
      </w:r>
      <w:r>
        <w:t xml:space="preserve"> </w:t>
      </w:r>
      <w:r w:rsidRPr="00121728">
        <w:t>removal, and there is an important elimination in previous steps in</w:t>
      </w:r>
      <w:r>
        <w:t xml:space="preserve"> the process. Both tests (FXI</w:t>
      </w:r>
      <w:proofErr w:type="gramStart"/>
      <w:r>
        <w:t>:C</w:t>
      </w:r>
      <w:proofErr w:type="gramEnd"/>
      <w:r>
        <w:t xml:space="preserve"> </w:t>
      </w:r>
      <w:r w:rsidRPr="00121728">
        <w:t xml:space="preserve">and </w:t>
      </w:r>
      <w:proofErr w:type="spellStart"/>
      <w:r w:rsidRPr="00121728">
        <w:t>FXI:Ag</w:t>
      </w:r>
      <w:proofErr w:type="spellEnd"/>
      <w:r w:rsidRPr="00121728">
        <w:t>) results are in very good agreement for every</w:t>
      </w:r>
      <w:r>
        <w:t xml:space="preserve"> studied step, showing the high </w:t>
      </w:r>
      <w:r w:rsidRPr="00121728">
        <w:t>capacity to remove FXI during the purification process.</w:t>
      </w:r>
    </w:p>
    <w:p w:rsidR="00A93FD8" w:rsidRPr="00914CA7" w:rsidRDefault="00A93FD8" w:rsidP="00A93FD8">
      <w:r>
        <w:t xml:space="preserve">All 28 lots of </w:t>
      </w:r>
      <w:proofErr w:type="spellStart"/>
      <w:r>
        <w:t>Flebogamma</w:t>
      </w:r>
      <w:proofErr w:type="spellEnd"/>
      <w:r w:rsidRPr="00914CA7">
        <w:t xml:space="preserve"> DIF final product a</w:t>
      </w:r>
      <w:r>
        <w:t xml:space="preserve">nalysed (15 lots of </w:t>
      </w:r>
      <w:proofErr w:type="spellStart"/>
      <w:r>
        <w:t>Flebogamma</w:t>
      </w:r>
      <w:proofErr w:type="spellEnd"/>
      <w:r w:rsidRPr="00914CA7">
        <w:t xml:space="preserve"> 5% DIF and</w:t>
      </w:r>
      <w:r>
        <w:t xml:space="preserve"> 13 lots of </w:t>
      </w:r>
      <w:proofErr w:type="spellStart"/>
      <w:r>
        <w:t>Flebogamma</w:t>
      </w:r>
      <w:proofErr w:type="spellEnd"/>
      <w:r w:rsidRPr="00914CA7">
        <w:t xml:space="preserve"> 10% DIF) covering the different produ</w:t>
      </w:r>
      <w:r>
        <w:t xml:space="preserve">ction options (with and without </w:t>
      </w:r>
      <w:r w:rsidRPr="00914CA7">
        <w:t>previous PTC extraction) showed no presence of thrombin genera</w:t>
      </w:r>
      <w:r>
        <w:t>tion peak (using TGT-FXI)</w:t>
      </w:r>
      <w:r w:rsidRPr="00914CA7">
        <w:t>.</w:t>
      </w:r>
    </w:p>
    <w:p w:rsidR="00A93FD8" w:rsidRDefault="00A93FD8" w:rsidP="00A93FD8">
      <w:r w:rsidRPr="002A3648">
        <w:t>Regarding the forced spiking experiments conducted for the pasteurisation step, three different</w:t>
      </w:r>
      <w:r>
        <w:t xml:space="preserve"> </w:t>
      </w:r>
      <w:r w:rsidRPr="002A3648">
        <w:t>spike conditions have been used: Fr II+II</w:t>
      </w:r>
      <w:r>
        <w:t xml:space="preserve">I </w:t>
      </w:r>
      <w:proofErr w:type="gramStart"/>
      <w:r>
        <w:t>spike, 100pM</w:t>
      </w:r>
      <w:proofErr w:type="gramEnd"/>
      <w:r>
        <w:t xml:space="preserve"> </w:t>
      </w:r>
      <w:proofErr w:type="spellStart"/>
      <w:r>
        <w:t>FXIa</w:t>
      </w:r>
      <w:proofErr w:type="spellEnd"/>
      <w:r>
        <w:t xml:space="preserve"> spike and 10</w:t>
      </w:r>
      <w:r w:rsidRPr="002A3648">
        <w:t xml:space="preserve">pM </w:t>
      </w:r>
      <w:proofErr w:type="spellStart"/>
      <w:r w:rsidRPr="002A3648">
        <w:t>FXIa</w:t>
      </w:r>
      <w:proofErr w:type="spellEnd"/>
      <w:r w:rsidRPr="002A3648">
        <w:t xml:space="preserve"> spike.</w:t>
      </w:r>
      <w:r>
        <w:t xml:space="preserve"> </w:t>
      </w:r>
      <w:r w:rsidRPr="002A3648">
        <w:t>Among these conditions, Fr II+III (actual process intermediate starting material) is the one that</w:t>
      </w:r>
      <w:r>
        <w:t xml:space="preserve"> </w:t>
      </w:r>
      <w:r w:rsidRPr="002A3648">
        <w:t>more corresponds to the conditions of a normal</w:t>
      </w:r>
      <w:r>
        <w:t xml:space="preserve"> process. Up to a 20% volume (1/</w:t>
      </w:r>
      <w:r w:rsidRPr="002A3648">
        <w:t>5 volume</w:t>
      </w:r>
      <w:r>
        <w:t xml:space="preserve"> Fr II+III/</w:t>
      </w:r>
      <w:r w:rsidRPr="002A3648">
        <w:t>final mixture vol</w:t>
      </w:r>
      <w:r>
        <w:t>ume</w:t>
      </w:r>
      <w:r w:rsidRPr="002A3648">
        <w:t>) of extracted Fr</w:t>
      </w:r>
      <w:r>
        <w:t xml:space="preserve"> </w:t>
      </w:r>
      <w:r w:rsidRPr="002A3648">
        <w:t>II+III was spiked in the intermediate for pasteurisation</w:t>
      </w:r>
      <w:r>
        <w:t xml:space="preserve"> </w:t>
      </w:r>
      <w:r w:rsidRPr="002A3648">
        <w:t xml:space="preserve">(which is near 100% pure </w:t>
      </w:r>
      <w:proofErr w:type="spellStart"/>
      <w:r w:rsidRPr="002A3648">
        <w:t>IgG</w:t>
      </w:r>
      <w:proofErr w:type="spellEnd"/>
      <w:r w:rsidRPr="002A3648">
        <w:t>) representing a very worst case scenario, impossible in practice,</w:t>
      </w:r>
      <w:r>
        <w:t xml:space="preserve"> </w:t>
      </w:r>
      <w:r w:rsidRPr="002A3648">
        <w:t>taking into account the purification capacity of the previous steps (PEG precipitation and ion</w:t>
      </w:r>
      <w:r>
        <w:t xml:space="preserve"> </w:t>
      </w:r>
      <w:r w:rsidRPr="002A3648">
        <w:t>exchange chromatography).</w:t>
      </w:r>
    </w:p>
    <w:p w:rsidR="00A93FD8" w:rsidRDefault="00A93FD8" w:rsidP="00A93FD8">
      <w:r>
        <w:t>T</w:t>
      </w:r>
      <w:r w:rsidRPr="00432314">
        <w:t xml:space="preserve">he </w:t>
      </w:r>
      <w:proofErr w:type="spellStart"/>
      <w:r w:rsidRPr="00432314">
        <w:t>procoagulant</w:t>
      </w:r>
      <w:proofErr w:type="spellEnd"/>
      <w:r w:rsidRPr="00432314">
        <w:t xml:space="preserve"> activity of the spik</w:t>
      </w:r>
      <w:r>
        <w:t>e mixtures is around 5 (spike 1/20), 7 (spike 1/</w:t>
      </w:r>
      <w:r w:rsidRPr="00432314">
        <w:t>10) and 11</w:t>
      </w:r>
      <w:r>
        <w:t xml:space="preserve"> (spike 1/5) times higher</w:t>
      </w:r>
      <w:r w:rsidRPr="00432314">
        <w:t xml:space="preserve"> than </w:t>
      </w:r>
      <w:r>
        <w:t xml:space="preserve">the </w:t>
      </w:r>
      <w:proofErr w:type="spellStart"/>
      <w:r>
        <w:t>procoagulant</w:t>
      </w:r>
      <w:proofErr w:type="spellEnd"/>
      <w:r>
        <w:t xml:space="preserve"> activity found </w:t>
      </w:r>
      <w:r w:rsidRPr="00432314">
        <w:t>normally before pasteurisation in a conventional process. Af</w:t>
      </w:r>
      <w:r>
        <w:t xml:space="preserve">ter pasteurisation, no signs of </w:t>
      </w:r>
      <w:proofErr w:type="spellStart"/>
      <w:r w:rsidRPr="00432314">
        <w:t>procoagulant</w:t>
      </w:r>
      <w:proofErr w:type="spellEnd"/>
      <w:r w:rsidRPr="00432314">
        <w:t xml:space="preserve"> activity were detected.</w:t>
      </w:r>
    </w:p>
    <w:p w:rsidR="00A93FD8" w:rsidRDefault="00A93FD8" w:rsidP="00A93FD8">
      <w:r w:rsidRPr="00346177">
        <w:t xml:space="preserve">In the spike experiments, we demonstrated that starting with a sample with </w:t>
      </w:r>
      <w:proofErr w:type="spellStart"/>
      <w:r w:rsidRPr="00346177">
        <w:t>FXI</w:t>
      </w:r>
      <w:proofErr w:type="gramStart"/>
      <w:r w:rsidRPr="00346177">
        <w:t>:Ag</w:t>
      </w:r>
      <w:proofErr w:type="spellEnd"/>
      <w:proofErr w:type="gramEnd"/>
      <w:r w:rsidRPr="00346177">
        <w:t xml:space="preserve"> content</w:t>
      </w:r>
      <w:r>
        <w:t xml:space="preserve"> </w:t>
      </w:r>
      <w:r w:rsidRPr="00346177">
        <w:t>between 5 to 11 times higher than a conventional process, the pasteurisation eliminate the</w:t>
      </w:r>
      <w:r>
        <w:t xml:space="preserve"> </w:t>
      </w:r>
      <w:proofErr w:type="spellStart"/>
      <w:r w:rsidRPr="00346177">
        <w:t>procoagulant</w:t>
      </w:r>
      <w:proofErr w:type="spellEnd"/>
      <w:r w:rsidRPr="00346177">
        <w:t xml:space="preserve"> markers, using releva</w:t>
      </w:r>
      <w:r>
        <w:t xml:space="preserve">nt assays such as TGT and </w:t>
      </w:r>
      <w:proofErr w:type="spellStart"/>
      <w:r>
        <w:t>NaPTT</w:t>
      </w:r>
      <w:proofErr w:type="spellEnd"/>
      <w:r>
        <w:t xml:space="preserve"> </w:t>
      </w:r>
      <w:r w:rsidRPr="00346177">
        <w:t>(specially taking into</w:t>
      </w:r>
      <w:r>
        <w:t xml:space="preserve"> </w:t>
      </w:r>
      <w:r w:rsidRPr="00346177">
        <w:t>account the assays performed using FXI deficient plasma).</w:t>
      </w:r>
    </w:p>
    <w:p w:rsidR="00A93FD8" w:rsidRPr="00CF5875" w:rsidRDefault="00A93FD8" w:rsidP="00A93FD8">
      <w:r w:rsidRPr="00CF5875">
        <w:t>In addition, the pasteurisation kinetics experiments after spiking the intermediate before</w:t>
      </w:r>
      <w:r>
        <w:t xml:space="preserve"> </w:t>
      </w:r>
      <w:r w:rsidRPr="00CF5875">
        <w:t>Pasteurisati</w:t>
      </w:r>
      <w:r>
        <w:t>on sample 1/5 (v/v) with a Fr II+III</w:t>
      </w:r>
      <w:r w:rsidRPr="00CF5875">
        <w:t xml:space="preserve"> suspen</w:t>
      </w:r>
      <w:r>
        <w:t xml:space="preserve">sion, demonstrated that 5 h </w:t>
      </w:r>
      <w:r w:rsidRPr="00CF5875">
        <w:t>incubation</w:t>
      </w:r>
      <w:r>
        <w:t xml:space="preserve"> </w:t>
      </w:r>
      <w:r w:rsidRPr="00CF5875">
        <w:t>is enough to get a reduction of more than 90% (more than 15 times) in the thrombin generation</w:t>
      </w:r>
      <w:r>
        <w:t xml:space="preserve"> </w:t>
      </w:r>
      <w:r w:rsidRPr="00CF5875">
        <w:t>peak with values comparable to those of the vehicle, which were confirmed in the following</w:t>
      </w:r>
      <w:r>
        <w:t xml:space="preserve"> </w:t>
      </w:r>
      <w:proofErr w:type="spellStart"/>
      <w:r>
        <w:t>timepoint</w:t>
      </w:r>
      <w:proofErr w:type="spellEnd"/>
      <w:r>
        <w:t xml:space="preserve"> assayed (10 </w:t>
      </w:r>
      <w:r w:rsidRPr="00CF5875">
        <w:t>h</w:t>
      </w:r>
      <w:r>
        <w:t xml:space="preserve">). In a conventional </w:t>
      </w:r>
      <w:proofErr w:type="spellStart"/>
      <w:r>
        <w:t>Flebogamma</w:t>
      </w:r>
      <w:proofErr w:type="spellEnd"/>
      <w:r w:rsidRPr="00CF5875">
        <w:t xml:space="preserve"> DIF process, where the intermediate is</w:t>
      </w:r>
      <w:r>
        <w:t xml:space="preserve"> </w:t>
      </w:r>
      <w:r w:rsidRPr="00CF5875">
        <w:t xml:space="preserve">nearly 100% pure </w:t>
      </w:r>
      <w:proofErr w:type="spellStart"/>
      <w:r w:rsidRPr="00CF5875">
        <w:t>IgG</w:t>
      </w:r>
      <w:proofErr w:type="spellEnd"/>
      <w:r w:rsidRPr="00CF5875">
        <w:t>, the 10 h pasteurisation step gives 5 h of additional safety margin to</w:t>
      </w:r>
      <w:r>
        <w:t xml:space="preserve"> </w:t>
      </w:r>
      <w:r w:rsidRPr="00CF5875">
        <w:t>ensure the complete elimination of pro coagulant activit</w:t>
      </w:r>
      <w:r>
        <w:t>y</w:t>
      </w:r>
      <w:r w:rsidRPr="00CF5875">
        <w:t>.</w:t>
      </w:r>
    </w:p>
    <w:p w:rsidR="00A93FD8" w:rsidRPr="007B7760" w:rsidRDefault="00A93FD8" w:rsidP="00A93FD8">
      <w:proofErr w:type="gramStart"/>
      <w:r w:rsidRPr="007B7760">
        <w:t xml:space="preserve">The pasteurisation kinetics experiments, after spiking the sample with 100 </w:t>
      </w:r>
      <w:proofErr w:type="spellStart"/>
      <w:r w:rsidRPr="007B7760">
        <w:t>pM</w:t>
      </w:r>
      <w:proofErr w:type="spellEnd"/>
      <w:r w:rsidRPr="007B7760">
        <w:t xml:space="preserve"> of a commercial </w:t>
      </w:r>
      <w:proofErr w:type="spellStart"/>
      <w:r w:rsidRPr="007B7760">
        <w:t>FXIa</w:t>
      </w:r>
      <w:proofErr w:type="spellEnd"/>
      <w:r w:rsidRPr="007B7760">
        <w:t xml:space="preserve">, show values of </w:t>
      </w:r>
      <w:proofErr w:type="spellStart"/>
      <w:r w:rsidRPr="007B7760">
        <w:t>NaPTT</w:t>
      </w:r>
      <w:proofErr w:type="spellEnd"/>
      <w:r w:rsidRPr="007B7760">
        <w:t xml:space="preserve">-FXI of 0.87 (ratio between seconds of sample and control) and values of TGT-FXI of 101 </w:t>
      </w:r>
      <w:proofErr w:type="spellStart"/>
      <w:r w:rsidRPr="007B7760">
        <w:t>nM</w:t>
      </w:r>
      <w:proofErr w:type="spellEnd"/>
      <w:r w:rsidRPr="007B7760">
        <w:t xml:space="preserve"> of peak of thrombin.</w:t>
      </w:r>
      <w:proofErr w:type="gramEnd"/>
    </w:p>
    <w:p w:rsidR="00A93FD8" w:rsidRPr="00F037D0" w:rsidRDefault="00A93FD8" w:rsidP="00A93FD8">
      <w:r w:rsidRPr="00F037D0">
        <w:t xml:space="preserve">Using the same commercial </w:t>
      </w:r>
      <w:proofErr w:type="spellStart"/>
      <w:r w:rsidRPr="00F037D0">
        <w:t>FXIa</w:t>
      </w:r>
      <w:proofErr w:type="spellEnd"/>
      <w:r w:rsidRPr="00F037D0">
        <w:t xml:space="preserve">, in the </w:t>
      </w:r>
      <w:proofErr w:type="spellStart"/>
      <w:r w:rsidRPr="00F037D0">
        <w:t>NaPTT</w:t>
      </w:r>
      <w:proofErr w:type="spellEnd"/>
      <w:r w:rsidRPr="00F037D0">
        <w:t xml:space="preserve">-FXI assays the </w:t>
      </w:r>
      <w:proofErr w:type="spellStart"/>
      <w:r w:rsidRPr="00F037D0">
        <w:t>FXIa</w:t>
      </w:r>
      <w:proofErr w:type="spellEnd"/>
      <w:r w:rsidRPr="00F037D0">
        <w:t xml:space="preserve"> detection limit was established at 20 </w:t>
      </w:r>
      <w:proofErr w:type="spellStart"/>
      <w:r w:rsidRPr="00F037D0">
        <w:t>pM</w:t>
      </w:r>
      <w:proofErr w:type="spellEnd"/>
      <w:r w:rsidRPr="00F037D0">
        <w:t xml:space="preserve"> of </w:t>
      </w:r>
      <w:proofErr w:type="spellStart"/>
      <w:r w:rsidRPr="00F037D0">
        <w:t>FXIa</w:t>
      </w:r>
      <w:proofErr w:type="spellEnd"/>
      <w:r w:rsidRPr="00F037D0">
        <w:t xml:space="preserve">. Furthermore, with the preliminary validation results of the TGT-FXI, the detection limit could be established approximately at 0.17 </w:t>
      </w:r>
      <w:proofErr w:type="spellStart"/>
      <w:r w:rsidRPr="00F037D0">
        <w:t>pM</w:t>
      </w:r>
      <w:proofErr w:type="spellEnd"/>
      <w:r w:rsidRPr="00F037D0">
        <w:t xml:space="preserve"> of </w:t>
      </w:r>
      <w:proofErr w:type="spellStart"/>
      <w:r w:rsidRPr="00F037D0">
        <w:t>FXIa</w:t>
      </w:r>
      <w:proofErr w:type="spellEnd"/>
      <w:r w:rsidRPr="00F037D0">
        <w:t>.</w:t>
      </w:r>
    </w:p>
    <w:p w:rsidR="00A93FD8" w:rsidRPr="00F037D0" w:rsidRDefault="00A93FD8" w:rsidP="00A93FD8">
      <w:r w:rsidRPr="00F037D0">
        <w:t xml:space="preserve">A value of peak of thrombin generation around 100 </w:t>
      </w:r>
      <w:proofErr w:type="spellStart"/>
      <w:r w:rsidRPr="00F037D0">
        <w:t>nM</w:t>
      </w:r>
      <w:proofErr w:type="spellEnd"/>
      <w:r w:rsidRPr="00F037D0">
        <w:t xml:space="preserve"> corresponds approximately, according to</w:t>
      </w:r>
      <w:r>
        <w:t xml:space="preserve"> </w:t>
      </w:r>
      <w:r w:rsidRPr="00F037D0">
        <w:t xml:space="preserve">the preliminary validation of the method, to 2-5 </w:t>
      </w:r>
      <w:proofErr w:type="spellStart"/>
      <w:r w:rsidRPr="00F037D0">
        <w:t>pM</w:t>
      </w:r>
      <w:proofErr w:type="spellEnd"/>
      <w:r w:rsidRPr="00F037D0">
        <w:t xml:space="preserve"> </w:t>
      </w:r>
      <w:proofErr w:type="spellStart"/>
      <w:r w:rsidRPr="00F037D0">
        <w:t>FXIa</w:t>
      </w:r>
      <w:proofErr w:type="spellEnd"/>
      <w:r w:rsidRPr="00F037D0">
        <w:t>. Moreover, according to the results</w:t>
      </w:r>
      <w:r>
        <w:t xml:space="preserve"> </w:t>
      </w:r>
      <w:r w:rsidRPr="00F037D0">
        <w:t xml:space="preserve">presented in the FDA Workshop (Risk Mitigation Strategies to Address </w:t>
      </w:r>
      <w:proofErr w:type="spellStart"/>
      <w:r w:rsidRPr="00F037D0">
        <w:t>Procoagulant</w:t>
      </w:r>
      <w:proofErr w:type="spellEnd"/>
      <w:r w:rsidRPr="00F037D0">
        <w:t xml:space="preserve"> Activity in</w:t>
      </w:r>
      <w:r>
        <w:t xml:space="preserve"> Immune Globulin Products, May</w:t>
      </w:r>
      <w:r w:rsidRPr="00F037D0">
        <w:t xml:space="preserve"> 2011)</w:t>
      </w:r>
      <w:r>
        <w:t>,</w:t>
      </w:r>
      <w:r w:rsidRPr="00F037D0">
        <w:t xml:space="preserve"> values around 100 </w:t>
      </w:r>
      <w:proofErr w:type="spellStart"/>
      <w:r w:rsidRPr="00F037D0">
        <w:t>nM</w:t>
      </w:r>
      <w:proofErr w:type="spellEnd"/>
      <w:r w:rsidRPr="00F037D0">
        <w:t xml:space="preserve"> of peak of thrombin are clearly</w:t>
      </w:r>
      <w:r>
        <w:t xml:space="preserve"> </w:t>
      </w:r>
      <w:r w:rsidRPr="00F037D0">
        <w:t xml:space="preserve">lower than the peak of thrombin obtained with the </w:t>
      </w:r>
      <w:r w:rsidRPr="00F037D0">
        <w:lastRenderedPageBreak/>
        <w:t xml:space="preserve">IVIG lots involved in </w:t>
      </w:r>
      <w:proofErr w:type="spellStart"/>
      <w:r w:rsidRPr="00F037D0">
        <w:t>thromboembolic</w:t>
      </w:r>
      <w:proofErr w:type="spellEnd"/>
      <w:r>
        <w:t xml:space="preserve"> </w:t>
      </w:r>
      <w:r w:rsidRPr="00F037D0">
        <w:t xml:space="preserve">adverse events with values approximately between 225 </w:t>
      </w:r>
      <w:proofErr w:type="spellStart"/>
      <w:r w:rsidRPr="00F037D0">
        <w:t>nM</w:t>
      </w:r>
      <w:proofErr w:type="spellEnd"/>
      <w:r w:rsidRPr="00F037D0">
        <w:t xml:space="preserve"> and &gt;500 </w:t>
      </w:r>
      <w:proofErr w:type="spellStart"/>
      <w:r w:rsidRPr="00F037D0">
        <w:t>nM</w:t>
      </w:r>
      <w:proofErr w:type="spellEnd"/>
      <w:r>
        <w:t>.</w:t>
      </w:r>
      <w:r>
        <w:rPr>
          <w:rStyle w:val="FootnoteReference"/>
        </w:rPr>
        <w:footnoteReference w:id="11"/>
      </w:r>
      <w:r w:rsidRPr="00F037D0">
        <w:t xml:space="preserve"> (</w:t>
      </w:r>
      <w:proofErr w:type="spellStart"/>
      <w:r w:rsidRPr="00F037D0">
        <w:t>Ovanesov</w:t>
      </w:r>
      <w:proofErr w:type="spellEnd"/>
      <w:r w:rsidRPr="00F037D0">
        <w:t>, FDA</w:t>
      </w:r>
      <w:r>
        <w:t xml:space="preserve"> </w:t>
      </w:r>
      <w:r w:rsidRPr="00F037D0">
        <w:t xml:space="preserve">and J. </w:t>
      </w:r>
      <w:proofErr w:type="spellStart"/>
      <w:r w:rsidRPr="00F037D0">
        <w:t>Roemisch</w:t>
      </w:r>
      <w:proofErr w:type="spellEnd"/>
      <w:r w:rsidRPr="00F037D0">
        <w:t xml:space="preserve">, </w:t>
      </w:r>
      <w:proofErr w:type="spellStart"/>
      <w:r w:rsidRPr="00F037D0">
        <w:t>Octapharma</w:t>
      </w:r>
      <w:proofErr w:type="spellEnd"/>
      <w:r w:rsidRPr="00F037D0">
        <w:t>).</w:t>
      </w:r>
    </w:p>
    <w:p w:rsidR="00A93FD8" w:rsidRPr="00E9613D" w:rsidRDefault="00A93FD8" w:rsidP="00A93FD8">
      <w:r w:rsidRPr="00E9613D">
        <w:t>In conclusion, the different purif</w:t>
      </w:r>
      <w:r>
        <w:t xml:space="preserve">ication steps of the </w:t>
      </w:r>
      <w:proofErr w:type="spellStart"/>
      <w:r>
        <w:t>Flebogamma</w:t>
      </w:r>
      <w:proofErr w:type="spellEnd"/>
      <w:r w:rsidRPr="00E9613D">
        <w:t xml:space="preserve"> DIF production process guarantee a final product with a complete removal of </w:t>
      </w:r>
      <w:proofErr w:type="spellStart"/>
      <w:r w:rsidRPr="00E9613D">
        <w:t>procoagulant</w:t>
      </w:r>
      <w:proofErr w:type="spellEnd"/>
      <w:r w:rsidRPr="00E9613D">
        <w:t xml:space="preserve"> activity ensuring a relevant safety margin.</w:t>
      </w:r>
    </w:p>
    <w:p w:rsidR="00A93FD8" w:rsidRPr="0027089B" w:rsidRDefault="00A93FD8" w:rsidP="00A93FD8">
      <w:pPr>
        <w:rPr>
          <w:i/>
        </w:rPr>
      </w:pPr>
      <w:r>
        <w:rPr>
          <w:i/>
        </w:rPr>
        <w:t>“</w:t>
      </w:r>
      <w:r w:rsidRPr="0027089B">
        <w:rPr>
          <w:i/>
        </w:rPr>
        <w:t>The clinical efficacy and safety issues which require comment from the sponsor in its pre ACPM response are as follows:</w:t>
      </w:r>
    </w:p>
    <w:p w:rsidR="00A93FD8" w:rsidRPr="0027089B" w:rsidRDefault="00A93FD8" w:rsidP="00A93FD8">
      <w:pPr>
        <w:ind w:left="567" w:hanging="567"/>
        <w:rPr>
          <w:i/>
        </w:rPr>
      </w:pPr>
      <w:r>
        <w:rPr>
          <w:i/>
        </w:rPr>
        <w:t>1.</w:t>
      </w:r>
      <w:r w:rsidRPr="0027089B">
        <w:rPr>
          <w:i/>
        </w:rPr>
        <w:tab/>
        <w:t xml:space="preserve">Explanation of discordance noted between </w:t>
      </w:r>
      <w:proofErr w:type="spellStart"/>
      <w:r w:rsidRPr="0027089B">
        <w:rPr>
          <w:i/>
        </w:rPr>
        <w:t>T</w:t>
      </w:r>
      <w:r w:rsidRPr="0027089B">
        <w:rPr>
          <w:i/>
          <w:vertAlign w:val="subscript"/>
        </w:rPr>
        <w:t>max</w:t>
      </w:r>
      <w:proofErr w:type="spellEnd"/>
      <w:r w:rsidRPr="0027089B">
        <w:rPr>
          <w:i/>
        </w:rPr>
        <w:t xml:space="preserve"> with the 21 day dosing compared to the 28-day dosing in PK subset of the PID study. Is more information available with respect to rates of infusion in the two groups?</w:t>
      </w:r>
      <w:r>
        <w:rPr>
          <w:i/>
        </w:rPr>
        <w:t>”</w:t>
      </w:r>
    </w:p>
    <w:p w:rsidR="00A93FD8" w:rsidRPr="00A23AA4" w:rsidRDefault="00A93FD8" w:rsidP="00A93FD8">
      <w:proofErr w:type="spellStart"/>
      <w:r w:rsidRPr="00A23AA4">
        <w:t>Instituto</w:t>
      </w:r>
      <w:proofErr w:type="spellEnd"/>
      <w:r w:rsidRPr="00A23AA4">
        <w:t xml:space="preserve"> </w:t>
      </w:r>
      <w:proofErr w:type="spellStart"/>
      <w:r w:rsidRPr="00A23AA4">
        <w:t>Grifols</w:t>
      </w:r>
      <w:proofErr w:type="spellEnd"/>
      <w:r w:rsidRPr="00A23AA4">
        <w:t xml:space="preserve"> did not perform an analysis of the rate of infusions between the two groups because the infusion rate titration was the same for both groups. The definition of </w:t>
      </w:r>
      <w:proofErr w:type="spellStart"/>
      <w:r w:rsidRPr="00A23AA4">
        <w:t>Tmax</w:t>
      </w:r>
      <w:proofErr w:type="spellEnd"/>
      <w:r w:rsidRPr="00A23AA4">
        <w:t xml:space="preserve"> is the time of occurrence of </w:t>
      </w:r>
      <w:proofErr w:type="spellStart"/>
      <w:r w:rsidRPr="00A23AA4">
        <w:t>C</w:t>
      </w:r>
      <w:r w:rsidRPr="00696F34">
        <w:rPr>
          <w:vertAlign w:val="subscript"/>
        </w:rPr>
        <w:t>max</w:t>
      </w:r>
      <w:proofErr w:type="spellEnd"/>
      <w:r w:rsidRPr="00A23AA4">
        <w:t xml:space="preserve">, calculated from the infusion completion. The infusion rate of the product had to be the same in both groups as the protocol pointed out that all infusion were initiated at 0.01 ml/kg/min and a double rate was increased in 30 minutes if the patients tolerated well the infusion. If a patient had an adverse event, the rate of infusion was decreased or, if necessary, stopped until the patient recovered. Patients were assigned to their respective treatment group depending on their previous infusion schedule and trough </w:t>
      </w:r>
      <w:proofErr w:type="spellStart"/>
      <w:r w:rsidRPr="00A23AA4">
        <w:t>IgG</w:t>
      </w:r>
      <w:proofErr w:type="spellEnd"/>
      <w:r w:rsidRPr="00A23AA4">
        <w:t xml:space="preserve"> history.</w:t>
      </w:r>
    </w:p>
    <w:p w:rsidR="00A93FD8" w:rsidRDefault="00A93FD8" w:rsidP="00A93FD8">
      <w:r w:rsidRPr="00A23AA4">
        <w:t xml:space="preserve">It is true that mean (SD) </w:t>
      </w:r>
      <w:proofErr w:type="spellStart"/>
      <w:r w:rsidRPr="00A23AA4">
        <w:t>T</w:t>
      </w:r>
      <w:r w:rsidRPr="00C02931">
        <w:rPr>
          <w:vertAlign w:val="subscript"/>
        </w:rPr>
        <w:t>max</w:t>
      </w:r>
      <w:proofErr w:type="spellEnd"/>
      <w:r w:rsidRPr="00A23AA4">
        <w:t xml:space="preserve"> is different in patients in the 21</w:t>
      </w:r>
      <w:r>
        <w:t xml:space="preserve"> </w:t>
      </w:r>
      <w:r w:rsidRPr="00A23AA4">
        <w:t>day infusion schedule (0.2167</w:t>
      </w:r>
      <w:r>
        <w:t xml:space="preserve"> </w:t>
      </w:r>
      <w:r w:rsidRPr="00A23AA4">
        <w:t>(0.6415) days) than in the 28</w:t>
      </w:r>
      <w:r>
        <w:t xml:space="preserve"> </w:t>
      </w:r>
      <w:r w:rsidRPr="00A23AA4">
        <w:t>day infusion schedule (0.0137 (0.0206)) as well as for the</w:t>
      </w:r>
      <w:r>
        <w:t xml:space="preserve"> </w:t>
      </w:r>
      <w:r w:rsidRPr="00A23AA4">
        <w:t>ranges (0.000-2.042 for the first group and 0.000-0.042 for the second one). However</w:t>
      </w:r>
      <w:r>
        <w:t>,</w:t>
      </w:r>
      <w:r w:rsidRPr="00A23AA4">
        <w:t xml:space="preserve"> the median was 0.0000 for both</w:t>
      </w:r>
      <w:r>
        <w:t xml:space="preserve"> </w:t>
      </w:r>
      <w:r w:rsidRPr="00A23AA4">
        <w:t>groups indicating a highly asymmetric distribution and that most of the patients have a</w:t>
      </w:r>
      <w:r>
        <w:t xml:space="preserve"> similar </w:t>
      </w:r>
      <w:proofErr w:type="spellStart"/>
      <w:r>
        <w:t>T</w:t>
      </w:r>
      <w:r w:rsidRPr="00C02931">
        <w:rPr>
          <w:vertAlign w:val="subscript"/>
        </w:rPr>
        <w:t>max</w:t>
      </w:r>
      <w:proofErr w:type="spellEnd"/>
      <w:r w:rsidRPr="00A23AA4">
        <w:t xml:space="preserve"> independently of the sched</w:t>
      </w:r>
      <w:r>
        <w:t xml:space="preserve">ule. All of the </w:t>
      </w:r>
      <w:r w:rsidRPr="00A23AA4">
        <w:t>actual values for</w:t>
      </w:r>
      <w:r>
        <w:t xml:space="preserve"> </w:t>
      </w:r>
      <w:r w:rsidRPr="00A23AA4">
        <w:t xml:space="preserve">each patient </w:t>
      </w:r>
      <w:r>
        <w:t>b</w:t>
      </w:r>
      <w:r w:rsidRPr="00A23AA4">
        <w:t xml:space="preserve">ut one had </w:t>
      </w:r>
      <w:proofErr w:type="spellStart"/>
      <w:r w:rsidRPr="00A23AA4">
        <w:t>T</w:t>
      </w:r>
      <w:r w:rsidRPr="00C02931">
        <w:rPr>
          <w:vertAlign w:val="subscript"/>
        </w:rPr>
        <w:t>max</w:t>
      </w:r>
      <w:proofErr w:type="spellEnd"/>
      <w:r w:rsidRPr="00A23AA4">
        <w:t xml:space="preserve"> of 0.000 or 0.042 days. </w:t>
      </w:r>
      <w:r>
        <w:t>One patient</w:t>
      </w:r>
      <w:r w:rsidRPr="00A23AA4">
        <w:t xml:space="preserve"> had an</w:t>
      </w:r>
      <w:r>
        <w:t xml:space="preserve"> </w:t>
      </w:r>
      <w:r w:rsidRPr="00A23AA4">
        <w:t xml:space="preserve">anomalous </w:t>
      </w:r>
      <w:proofErr w:type="spellStart"/>
      <w:r w:rsidRPr="00A23AA4">
        <w:t>T</w:t>
      </w:r>
      <w:r w:rsidRPr="00C02931">
        <w:rPr>
          <w:vertAlign w:val="subscript"/>
        </w:rPr>
        <w:t>max</w:t>
      </w:r>
      <w:proofErr w:type="spellEnd"/>
      <w:r w:rsidRPr="00A23AA4">
        <w:t xml:space="preserve"> of 2.042 and this value has contributed to increase the mean from almost 0</w:t>
      </w:r>
      <w:r>
        <w:t xml:space="preserve"> </w:t>
      </w:r>
      <w:r w:rsidRPr="00A23AA4">
        <w:t>to 0.2.</w:t>
      </w:r>
    </w:p>
    <w:p w:rsidR="00A93FD8" w:rsidRDefault="00A93FD8" w:rsidP="00A93FD8">
      <w:r w:rsidRPr="00AA4C9D">
        <w:t>Data to estimate the pharmacokinetic profile came from very few points soon after the</w:t>
      </w:r>
      <w:r>
        <w:t xml:space="preserve"> infusion (for example, 0 and 1 h</w:t>
      </w:r>
      <w:r w:rsidRPr="00AA4C9D">
        <w:t xml:space="preserve"> and 1, 2, 4 and 7 days, then weekly </w:t>
      </w:r>
      <w:r>
        <w:t xml:space="preserve">until Day 28). As stated before </w:t>
      </w:r>
      <w:proofErr w:type="spellStart"/>
      <w:r w:rsidRPr="00AA4C9D">
        <w:t>T</w:t>
      </w:r>
      <w:r w:rsidRPr="00FC4FCC">
        <w:rPr>
          <w:vertAlign w:val="subscript"/>
        </w:rPr>
        <w:t>max</w:t>
      </w:r>
      <w:proofErr w:type="spellEnd"/>
      <w:r w:rsidRPr="00AA4C9D">
        <w:t xml:space="preserve"> was defined as the time of occurrence of </w:t>
      </w:r>
      <w:proofErr w:type="spellStart"/>
      <w:r w:rsidRPr="00AA4C9D">
        <w:t>C</w:t>
      </w:r>
      <w:r w:rsidRPr="00696F34">
        <w:rPr>
          <w:vertAlign w:val="subscript"/>
        </w:rPr>
        <w:t>max</w:t>
      </w:r>
      <w:proofErr w:type="spellEnd"/>
      <w:r w:rsidRPr="00AA4C9D">
        <w:t xml:space="preserve"> and </w:t>
      </w:r>
      <w:proofErr w:type="spellStart"/>
      <w:r w:rsidRPr="00AA4C9D">
        <w:t>C</w:t>
      </w:r>
      <w:r w:rsidRPr="00696F34">
        <w:rPr>
          <w:vertAlign w:val="subscript"/>
        </w:rPr>
        <w:t>max</w:t>
      </w:r>
      <w:proofErr w:type="spellEnd"/>
      <w:r w:rsidRPr="00AA4C9D">
        <w:t xml:space="preserve"> was </w:t>
      </w:r>
      <w:r>
        <w:t xml:space="preserve">the maximum </w:t>
      </w:r>
      <w:r w:rsidRPr="00AA4C9D">
        <w:t>observed</w:t>
      </w:r>
      <w:r>
        <w:t xml:space="preserve"> </w:t>
      </w:r>
      <w:r w:rsidRPr="00AA4C9D">
        <w:t>serum concentration. As it is an intravenous solution</w:t>
      </w:r>
      <w:r>
        <w:t>,</w:t>
      </w:r>
      <w:r w:rsidRPr="00AA4C9D">
        <w:t xml:space="preserve"> in most cases </w:t>
      </w:r>
      <w:proofErr w:type="spellStart"/>
      <w:r w:rsidRPr="00AA4C9D">
        <w:t>C</w:t>
      </w:r>
      <w:r w:rsidRPr="00FC4FCC">
        <w:rPr>
          <w:vertAlign w:val="subscript"/>
        </w:rPr>
        <w:t>max</w:t>
      </w:r>
      <w:proofErr w:type="spellEnd"/>
      <w:r w:rsidRPr="00AA4C9D">
        <w:t xml:space="preserve"> is found just at the</w:t>
      </w:r>
      <w:r>
        <w:t xml:space="preserve"> end of the infusion or 1 </w:t>
      </w:r>
      <w:r w:rsidRPr="00AA4C9D">
        <w:t>h after the infusion as it happened wi</w:t>
      </w:r>
      <w:r>
        <w:t xml:space="preserve">th all but one subject. However, </w:t>
      </w:r>
      <w:r w:rsidRPr="00AA4C9D">
        <w:t xml:space="preserve">most of the </w:t>
      </w:r>
      <w:proofErr w:type="spellStart"/>
      <w:r w:rsidRPr="00AA4C9D">
        <w:t>Ig</w:t>
      </w:r>
      <w:proofErr w:type="spellEnd"/>
      <w:r w:rsidRPr="00AA4C9D">
        <w:t xml:space="preserve"> tends to remain in the circulation for some days. So it is not completely</w:t>
      </w:r>
      <w:r>
        <w:t xml:space="preserve"> </w:t>
      </w:r>
      <w:r w:rsidRPr="00AA4C9D">
        <w:t>unexpected that in a sporadic case we may find levels around the maximum for several days.</w:t>
      </w:r>
      <w:r>
        <w:t xml:space="preserve"> </w:t>
      </w:r>
      <w:r w:rsidRPr="00AA4C9D">
        <w:t>In this case patient 1.61 had levels of 1780 mg/</w:t>
      </w:r>
      <w:r>
        <w:t xml:space="preserve">dl after the infusion, 1730 1 </w:t>
      </w:r>
      <w:r w:rsidRPr="00AA4C9D">
        <w:t>h later, 1630</w:t>
      </w:r>
      <w:r>
        <w:t xml:space="preserve"> </w:t>
      </w:r>
      <w:r w:rsidRPr="00AA4C9D">
        <w:t>24 h</w:t>
      </w:r>
      <w:r>
        <w:t xml:space="preserve"> </w:t>
      </w:r>
      <w:r w:rsidRPr="00AA4C9D">
        <w:t>later and 1880</w:t>
      </w:r>
      <w:r>
        <w:t xml:space="preserve"> 2 days later</w:t>
      </w:r>
      <w:r w:rsidRPr="00AA4C9D">
        <w:t>. Therefore</w:t>
      </w:r>
      <w:r>
        <w:t>,</w:t>
      </w:r>
      <w:r w:rsidRPr="00AA4C9D">
        <w:t xml:space="preserve"> </w:t>
      </w:r>
      <w:proofErr w:type="spellStart"/>
      <w:r w:rsidRPr="00AA4C9D">
        <w:t>C</w:t>
      </w:r>
      <w:r w:rsidRPr="00FC4FCC">
        <w:rPr>
          <w:vertAlign w:val="subscript"/>
        </w:rPr>
        <w:t>max</w:t>
      </w:r>
      <w:proofErr w:type="spellEnd"/>
      <w:r w:rsidRPr="00AA4C9D">
        <w:t xml:space="preserve"> was 1880 and </w:t>
      </w:r>
      <w:proofErr w:type="spellStart"/>
      <w:r w:rsidRPr="00AA4C9D">
        <w:t>T</w:t>
      </w:r>
      <w:r w:rsidRPr="00FC4FCC">
        <w:rPr>
          <w:vertAlign w:val="subscript"/>
        </w:rPr>
        <w:t>max</w:t>
      </w:r>
      <w:proofErr w:type="spellEnd"/>
      <w:r w:rsidRPr="00AA4C9D">
        <w:t xml:space="preserve"> 2 days.</w:t>
      </w:r>
    </w:p>
    <w:p w:rsidR="00A93FD8" w:rsidRDefault="00A93FD8" w:rsidP="00A93FD8">
      <w:r w:rsidRPr="00FC4FCC">
        <w:t xml:space="preserve">We do not believe this strange result indicates that the behaviour of the medicine is different </w:t>
      </w:r>
      <w:r>
        <w:t xml:space="preserve">in the two </w:t>
      </w:r>
      <w:r w:rsidRPr="00FC4FCC">
        <w:t>scheduled regimens. In addition</w:t>
      </w:r>
      <w:r>
        <w:t>,</w:t>
      </w:r>
      <w:r w:rsidRPr="00FC4FCC">
        <w:t xml:space="preserve"> all other pharmacokinetic parameters are quite similar </w:t>
      </w:r>
      <w:r>
        <w:t xml:space="preserve">between groups, </w:t>
      </w:r>
      <w:r w:rsidRPr="00FC4FCC">
        <w:t>as w</w:t>
      </w:r>
      <w:r>
        <w:t>ell as the overall graph</w:t>
      </w:r>
      <w:r w:rsidRPr="00FC4FCC">
        <w:t>.</w:t>
      </w:r>
    </w:p>
    <w:p w:rsidR="00A93FD8" w:rsidRDefault="00A93FD8">
      <w:pPr>
        <w:spacing w:before="0" w:after="200" w:line="0" w:lineRule="auto"/>
      </w:pPr>
      <w:r>
        <w:br w:type="page"/>
      </w:r>
    </w:p>
    <w:p w:rsidR="00A93FD8" w:rsidRDefault="00A93FD8" w:rsidP="00A93FD8">
      <w:pPr>
        <w:ind w:left="567" w:hanging="567"/>
        <w:rPr>
          <w:i/>
        </w:rPr>
      </w:pPr>
      <w:r>
        <w:rPr>
          <w:i/>
        </w:rPr>
        <w:lastRenderedPageBreak/>
        <w:t>“2.</w:t>
      </w:r>
      <w:r w:rsidRPr="00FB332C">
        <w:rPr>
          <w:i/>
        </w:rPr>
        <w:tab/>
        <w:t>Comments with respect to the finding in the PID study where proportion of patients with any infection during the 12 months treatment in the study was 61% compared with 48% of patients who reported any infection in the 6 months prior to the study.”</w:t>
      </w:r>
    </w:p>
    <w:p w:rsidR="00A93FD8" w:rsidRPr="00E44753" w:rsidRDefault="00A93FD8" w:rsidP="00A93FD8">
      <w:r w:rsidRPr="00E44753">
        <w:t>All patients were treated with study drug for a full 12 months of therapy that elapsed since</w:t>
      </w:r>
      <w:r>
        <w:t xml:space="preserve"> </w:t>
      </w:r>
      <w:r w:rsidRPr="00E44753">
        <w:t>their first infusion. This time period for the treatment and fo</w:t>
      </w:r>
      <w:r>
        <w:t xml:space="preserve">llow up of the patients is used </w:t>
      </w:r>
      <w:r w:rsidRPr="00E44753">
        <w:t>to</w:t>
      </w:r>
      <w:r>
        <w:t xml:space="preserve"> </w:t>
      </w:r>
      <w:r w:rsidRPr="00E44753">
        <w:t>eliminate any seasonal bias. It is assumed that the incident rate of infectious episodes is</w:t>
      </w:r>
      <w:r>
        <w:t xml:space="preserve"> </w:t>
      </w:r>
      <w:r w:rsidRPr="00E44753">
        <w:t>higher during the autumn months. The history of the patie</w:t>
      </w:r>
      <w:r>
        <w:t xml:space="preserve">nts recruited was recorded only </w:t>
      </w:r>
      <w:r w:rsidRPr="00E44753">
        <w:t>for</w:t>
      </w:r>
      <w:r>
        <w:t xml:space="preserve"> </w:t>
      </w:r>
      <w:r w:rsidRPr="00E44753">
        <w:t xml:space="preserve">6 months in advance, </w:t>
      </w:r>
      <w:r>
        <w:t>that is</w:t>
      </w:r>
      <w:r w:rsidRPr="00E44753">
        <w:t>, these data did not cover a full year of exposure of the patients to</w:t>
      </w:r>
      <w:r>
        <w:t xml:space="preserve"> </w:t>
      </w:r>
      <w:r w:rsidRPr="00E44753">
        <w:t>the seasonal rate of infections. Therefore, as not all patients in</w:t>
      </w:r>
      <w:r>
        <w:t xml:space="preserve">cluded had historical data from </w:t>
      </w:r>
      <w:r w:rsidRPr="00E44753">
        <w:t>the autumn months, it is possible that a difference in the proportion of the patients with an</w:t>
      </w:r>
      <w:r>
        <w:t xml:space="preserve"> </w:t>
      </w:r>
      <w:r w:rsidRPr="00E44753">
        <w:t>infectious episode is found. In addition, the fact that ne</w:t>
      </w:r>
      <w:r>
        <w:t xml:space="preserve">arly half (48%) of patients had </w:t>
      </w:r>
      <w:r w:rsidRPr="00E44753">
        <w:t xml:space="preserve">infections in the previous 6 months does not imply (nor </w:t>
      </w:r>
      <w:r>
        <w:t xml:space="preserve">should be inferred) that in a 1 </w:t>
      </w:r>
      <w:r w:rsidRPr="00E44753">
        <w:t>year</w:t>
      </w:r>
      <w:r>
        <w:t xml:space="preserve"> </w:t>
      </w:r>
      <w:r w:rsidRPr="00E44753">
        <w:t>study, you would expect twice as many patients (96%) to have ex</w:t>
      </w:r>
      <w:r>
        <w:t xml:space="preserve">perienced clinical </w:t>
      </w:r>
      <w:r w:rsidRPr="00E44753">
        <w:t>infections. It seems more reasonable to expect a figure</w:t>
      </w:r>
      <w:r>
        <w:t xml:space="preserve"> higher than 48% but much lower </w:t>
      </w:r>
      <w:r w:rsidRPr="00E44753">
        <w:t>than</w:t>
      </w:r>
      <w:r>
        <w:t xml:space="preserve"> </w:t>
      </w:r>
      <w:r w:rsidRPr="00E44753">
        <w:t>just the double (96%). So the</w:t>
      </w:r>
      <w:r>
        <w:t xml:space="preserve"> actual proportion observed (61</w:t>
      </w:r>
      <w:r w:rsidRPr="00E44753">
        <w:t>%) is not unexpected as it is in</w:t>
      </w:r>
      <w:r>
        <w:t xml:space="preserve"> </w:t>
      </w:r>
      <w:r w:rsidRPr="00E44753">
        <w:t>between those extreme values.</w:t>
      </w:r>
    </w:p>
    <w:p w:rsidR="00A93FD8" w:rsidRDefault="00A93FD8" w:rsidP="00A93FD8">
      <w:pPr>
        <w:ind w:left="567" w:hanging="567"/>
        <w:rPr>
          <w:i/>
        </w:rPr>
      </w:pPr>
      <w:r>
        <w:rPr>
          <w:i/>
        </w:rPr>
        <w:t>“3.</w:t>
      </w:r>
      <w:r w:rsidRPr="00FB332C">
        <w:rPr>
          <w:i/>
        </w:rPr>
        <w:tab/>
        <w:t>When are the individual final clinical study reports for the two ITP studies expected to become available and likely to be provided to the TGA for review?</w:t>
      </w:r>
      <w:r>
        <w:rPr>
          <w:i/>
        </w:rPr>
        <w:t>”</w:t>
      </w:r>
    </w:p>
    <w:p w:rsidR="00A93FD8" w:rsidRPr="00776404" w:rsidRDefault="00A93FD8" w:rsidP="00A93FD8">
      <w:r w:rsidRPr="00776404">
        <w:t xml:space="preserve">It is expected that the final clinical study report for the </w:t>
      </w:r>
      <w:r>
        <w:t>S</w:t>
      </w:r>
      <w:r w:rsidRPr="00776404">
        <w:t>tudy IG202 is available in the first</w:t>
      </w:r>
      <w:r>
        <w:t xml:space="preserve"> quarter of 2013 and for</w:t>
      </w:r>
      <w:r w:rsidRPr="00776404">
        <w:t xml:space="preserve"> </w:t>
      </w:r>
      <w:r>
        <w:t>S</w:t>
      </w:r>
      <w:r w:rsidRPr="00776404">
        <w:t>tudy IG0601 is expected for the last quarter of</w:t>
      </w:r>
      <w:r>
        <w:t xml:space="preserve"> </w:t>
      </w:r>
      <w:r w:rsidRPr="00776404">
        <w:t>2014</w:t>
      </w:r>
      <w:r>
        <w:t>.</w:t>
      </w:r>
    </w:p>
    <w:p w:rsidR="00A93FD8" w:rsidRDefault="00A93FD8" w:rsidP="00A93FD8">
      <w:pPr>
        <w:ind w:left="567" w:hanging="567"/>
        <w:rPr>
          <w:i/>
        </w:rPr>
      </w:pPr>
      <w:r>
        <w:rPr>
          <w:i/>
        </w:rPr>
        <w:t>“4.</w:t>
      </w:r>
      <w:r w:rsidRPr="00FB332C">
        <w:rPr>
          <w:i/>
        </w:rPr>
        <w:tab/>
        <w:t xml:space="preserve">Comments with respect to the clinical evaluator’s recommendation that the Precautions section should include a statement with regard to the apparent increase in rate of </w:t>
      </w:r>
      <w:r>
        <w:rPr>
          <w:i/>
        </w:rPr>
        <w:t>AE</w:t>
      </w:r>
      <w:r w:rsidRPr="00FB332C">
        <w:rPr>
          <w:i/>
        </w:rPr>
        <w:t xml:space="preserve">s with the 10% product separate from the existing precaution that rate of </w:t>
      </w:r>
      <w:r>
        <w:rPr>
          <w:i/>
        </w:rPr>
        <w:t>AE</w:t>
      </w:r>
      <w:r w:rsidRPr="00FB332C">
        <w:rPr>
          <w:i/>
        </w:rPr>
        <w:t>s may be related to rate of infusion.</w:t>
      </w:r>
      <w:r>
        <w:rPr>
          <w:i/>
        </w:rPr>
        <w:t>”</w:t>
      </w:r>
    </w:p>
    <w:p w:rsidR="00A93FD8" w:rsidRPr="00075A85" w:rsidRDefault="00A93FD8" w:rsidP="00A93FD8">
      <w:r w:rsidRPr="00075A85">
        <w:t>A statement about the apparent increase in the rate of adverse events observed in clinical</w:t>
      </w:r>
      <w:r>
        <w:t xml:space="preserve"> </w:t>
      </w:r>
      <w:r w:rsidRPr="00075A85">
        <w:t xml:space="preserve">trials was included in the </w:t>
      </w:r>
      <w:r>
        <w:t>‘</w:t>
      </w:r>
      <w:r w:rsidRPr="00075A85">
        <w:t>Precautions</w:t>
      </w:r>
      <w:r>
        <w:t>’</w:t>
      </w:r>
      <w:r w:rsidRPr="00075A85">
        <w:t xml:space="preserve"> section. As </w:t>
      </w:r>
      <w:proofErr w:type="spellStart"/>
      <w:r w:rsidRPr="00075A85">
        <w:t>Instituto</w:t>
      </w:r>
      <w:proofErr w:type="spellEnd"/>
      <w:r w:rsidRPr="00075A85">
        <w:t xml:space="preserve"> </w:t>
      </w:r>
      <w:proofErr w:type="spellStart"/>
      <w:r w:rsidRPr="00075A85">
        <w:t>Gr</w:t>
      </w:r>
      <w:r>
        <w:t>ifols</w:t>
      </w:r>
      <w:proofErr w:type="spellEnd"/>
      <w:r>
        <w:t xml:space="preserve"> has the opinion that this </w:t>
      </w:r>
      <w:r w:rsidRPr="00075A85">
        <w:t>apparent increase in the rate of adverse events is probab</w:t>
      </w:r>
      <w:r>
        <w:t xml:space="preserve">ly related to the infusion rate </w:t>
      </w:r>
      <w:r w:rsidRPr="00075A85">
        <w:t>(also</w:t>
      </w:r>
      <w:r>
        <w:t xml:space="preserve"> </w:t>
      </w:r>
      <w:r w:rsidRPr="00075A85">
        <w:t>described in the scientific literature), a summary of the titration of the infusion rates, at least</w:t>
      </w:r>
      <w:r>
        <w:t xml:space="preserve"> </w:t>
      </w:r>
      <w:r w:rsidRPr="00075A85">
        <w:t>during the initial infusions, was also included in the same section, following the statement. In</w:t>
      </w:r>
      <w:r>
        <w:t xml:space="preserve"> </w:t>
      </w:r>
      <w:r w:rsidRPr="00075A85">
        <w:t xml:space="preserve">the </w:t>
      </w:r>
      <w:r>
        <w:t>‘</w:t>
      </w:r>
      <w:r w:rsidRPr="00075A85">
        <w:t>Method of administration</w:t>
      </w:r>
      <w:r>
        <w:t>’</w:t>
      </w:r>
      <w:r w:rsidRPr="00075A85">
        <w:t xml:space="preserve"> section, it also included a paragraph to describe the relationship</w:t>
      </w:r>
      <w:r>
        <w:t xml:space="preserve"> </w:t>
      </w:r>
      <w:r w:rsidRPr="00075A85">
        <w:t>between the frequency of adverse reactions and the infusion rate.</w:t>
      </w:r>
    </w:p>
    <w:p w:rsidR="00A93FD8" w:rsidRPr="00075A85" w:rsidRDefault="00A93FD8" w:rsidP="00A93FD8">
      <w:r w:rsidRPr="00075A85">
        <w:t>In addition, in the adverse effects section, a statement is in</w:t>
      </w:r>
      <w:r>
        <w:t xml:space="preserve">cluded to warn that the product </w:t>
      </w:r>
      <w:r w:rsidRPr="00075A85">
        <w:t>at</w:t>
      </w:r>
      <w:r>
        <w:t xml:space="preserve"> </w:t>
      </w:r>
      <w:r w:rsidRPr="00075A85">
        <w:t>10% is likely, but not certain, to cause higher rates of adverse events than a 5% product due</w:t>
      </w:r>
      <w:r>
        <w:t xml:space="preserve"> </w:t>
      </w:r>
      <w:r w:rsidRPr="00075A85">
        <w:t>to the increased rate of infusion likely to occur with the use of more concentrated product.</w:t>
      </w:r>
      <w:r>
        <w:t xml:space="preserve"> </w:t>
      </w:r>
      <w:r w:rsidRPr="00075A85">
        <w:t xml:space="preserve">Because the 10% product contains more </w:t>
      </w:r>
      <w:proofErr w:type="spellStart"/>
      <w:r w:rsidRPr="00075A85">
        <w:t>IgG</w:t>
      </w:r>
      <w:proofErr w:type="spellEnd"/>
      <w:r w:rsidRPr="00075A85">
        <w:t xml:space="preserve"> per volume than a 5% product, the higher AE</w:t>
      </w:r>
      <w:r>
        <w:t xml:space="preserve"> </w:t>
      </w:r>
      <w:r w:rsidRPr="00075A85">
        <w:t>rat</w:t>
      </w:r>
      <w:r>
        <w:t xml:space="preserve">es are likely due not to the </w:t>
      </w:r>
      <w:proofErr w:type="spellStart"/>
      <w:r>
        <w:t>mL</w:t>
      </w:r>
      <w:proofErr w:type="spellEnd"/>
      <w:r>
        <w:t>/</w:t>
      </w:r>
      <w:r w:rsidRPr="00075A85">
        <w:t>kg infused, but rather the mg/kg.</w:t>
      </w:r>
    </w:p>
    <w:p w:rsidR="00A93FD8" w:rsidRDefault="00A93FD8" w:rsidP="00A93FD8">
      <w:pPr>
        <w:ind w:left="567" w:hanging="567"/>
        <w:rPr>
          <w:i/>
        </w:rPr>
      </w:pPr>
      <w:proofErr w:type="gramStart"/>
      <w:r>
        <w:rPr>
          <w:i/>
        </w:rPr>
        <w:t>“5.</w:t>
      </w:r>
      <w:r w:rsidRPr="0009326E">
        <w:rPr>
          <w:i/>
        </w:rPr>
        <w:tab/>
        <w:t xml:space="preserve">Comments with respect to the RMP evaluator’s recommendation with respect to the </w:t>
      </w:r>
      <w:r w:rsidRPr="0037566D">
        <w:rPr>
          <w:i/>
        </w:rPr>
        <w:t>proposed Product Information, PSURs</w:t>
      </w:r>
      <w:r w:rsidRPr="0009326E">
        <w:rPr>
          <w:i/>
        </w:rPr>
        <w:t xml:space="preserve"> and the ongoing studies.”</w:t>
      </w:r>
      <w:proofErr w:type="gramEnd"/>
    </w:p>
    <w:p w:rsidR="00A93FD8" w:rsidRPr="00075A85" w:rsidRDefault="00A93FD8" w:rsidP="00A93FD8">
      <w:proofErr w:type="spellStart"/>
      <w:r w:rsidRPr="00075A85">
        <w:t>Instituto</w:t>
      </w:r>
      <w:proofErr w:type="spellEnd"/>
      <w:r w:rsidRPr="00075A85">
        <w:t xml:space="preserve"> </w:t>
      </w:r>
      <w:proofErr w:type="spellStart"/>
      <w:r w:rsidRPr="00075A85">
        <w:t>Grifols</w:t>
      </w:r>
      <w:proofErr w:type="spellEnd"/>
      <w:r w:rsidRPr="00075A85">
        <w:t>, S.A. commi</w:t>
      </w:r>
      <w:r>
        <w:t>t</w:t>
      </w:r>
      <w:r w:rsidRPr="00075A85">
        <w:t>ted to add the requested documentation in the final version of</w:t>
      </w:r>
      <w:r>
        <w:t xml:space="preserve"> </w:t>
      </w:r>
      <w:r w:rsidRPr="00075A85">
        <w:t>the RMP which will be submitted after the approval of th</w:t>
      </w:r>
      <w:r>
        <w:t xml:space="preserve">e product and together with the </w:t>
      </w:r>
      <w:r w:rsidRPr="00075A85">
        <w:t>next</w:t>
      </w:r>
      <w:r>
        <w:t xml:space="preserve"> </w:t>
      </w:r>
      <w:r w:rsidRPr="00075A85">
        <w:t>PSUR.</w:t>
      </w:r>
    </w:p>
    <w:p w:rsidR="00A93FD8" w:rsidRPr="00075A85" w:rsidRDefault="00A93FD8" w:rsidP="00A93FD8">
      <w:r w:rsidRPr="00075A85">
        <w:t>The current version of the RMP is the version numbered as 4.4 of</w:t>
      </w:r>
      <w:r>
        <w:t xml:space="preserve"> </w:t>
      </w:r>
      <w:r w:rsidRPr="00075A85">
        <w:t>3 November of</w:t>
      </w:r>
      <w:r>
        <w:t xml:space="preserve"> </w:t>
      </w:r>
      <w:r w:rsidRPr="00075A85">
        <w:t>2010 that</w:t>
      </w:r>
      <w:r>
        <w:t xml:space="preserve"> </w:t>
      </w:r>
      <w:r w:rsidRPr="00075A85">
        <w:t xml:space="preserve">was submitted with the dossier in September 2010. </w:t>
      </w:r>
      <w:proofErr w:type="spellStart"/>
      <w:r w:rsidRPr="00075A85">
        <w:t>In</w:t>
      </w:r>
      <w:r>
        <w:t>stituto</w:t>
      </w:r>
      <w:proofErr w:type="spellEnd"/>
      <w:r>
        <w:t xml:space="preserve"> </w:t>
      </w:r>
      <w:proofErr w:type="spellStart"/>
      <w:r>
        <w:t>Grifols</w:t>
      </w:r>
      <w:proofErr w:type="spellEnd"/>
      <w:r>
        <w:t xml:space="preserve"> will include an </w:t>
      </w:r>
      <w:r w:rsidRPr="00075A85">
        <w:t>Australian specific annexe to the current RMP with spe</w:t>
      </w:r>
      <w:r>
        <w:t xml:space="preserve">cific data in some parts of the </w:t>
      </w:r>
      <w:r w:rsidRPr="00075A85">
        <w:t>document, considering the PI of the drug in Australi</w:t>
      </w:r>
      <w:r>
        <w:t>a. The version will be named as “</w:t>
      </w:r>
      <w:r w:rsidRPr="00075A85">
        <w:t>version</w:t>
      </w:r>
      <w:r>
        <w:t xml:space="preserve"> 4.4_AU”</w:t>
      </w:r>
      <w:r w:rsidRPr="00075A85">
        <w:t>. Regarding the PSUR and the ongoing studies, the current version of</w:t>
      </w:r>
      <w:r>
        <w:t xml:space="preserve"> </w:t>
      </w:r>
      <w:r w:rsidRPr="00075A85">
        <w:t>RMP already</w:t>
      </w:r>
      <w:r>
        <w:t xml:space="preserve"> </w:t>
      </w:r>
      <w:r w:rsidRPr="00075A85">
        <w:t>includes revision and the analysis of the trials until they are finali</w:t>
      </w:r>
      <w:r>
        <w:t>s</w:t>
      </w:r>
      <w:r w:rsidRPr="00075A85">
        <w:t>ed as a proposed</w:t>
      </w:r>
      <w:r>
        <w:t xml:space="preserve"> </w:t>
      </w:r>
      <w:proofErr w:type="spellStart"/>
      <w:r w:rsidRPr="00075A85">
        <w:t>pharmacovigilance</w:t>
      </w:r>
      <w:proofErr w:type="spellEnd"/>
      <w:r w:rsidRPr="00075A85">
        <w:t xml:space="preserve"> activity.</w:t>
      </w:r>
    </w:p>
    <w:p w:rsidR="00A93FD8" w:rsidRPr="0009326E" w:rsidRDefault="00A93FD8" w:rsidP="00A93FD8">
      <w:pPr>
        <w:rPr>
          <w:i/>
        </w:rPr>
      </w:pPr>
      <w:r w:rsidRPr="0009326E">
        <w:rPr>
          <w:i/>
        </w:rPr>
        <w:lastRenderedPageBreak/>
        <w:t>“Furthermore, at its 278th meeting in 5th August 2011, the ACPM made the following recommendations in relation to human normal immunoglobulin products:</w:t>
      </w:r>
    </w:p>
    <w:p w:rsidR="00A93FD8" w:rsidRPr="00A93FD8" w:rsidRDefault="00A93FD8" w:rsidP="00A93FD8">
      <w:pPr>
        <w:pStyle w:val="ListBullet"/>
        <w:rPr>
          <w:i/>
        </w:rPr>
      </w:pPr>
      <w:r w:rsidRPr="00A93FD8">
        <w:rPr>
          <w:i/>
        </w:rPr>
        <w:t>The statement of indications should be aligned with therapeutic criteria of the National Blood Authority;</w:t>
      </w:r>
    </w:p>
    <w:p w:rsidR="00A93FD8" w:rsidRPr="00A93FD8" w:rsidRDefault="00A93FD8" w:rsidP="00A93FD8">
      <w:pPr>
        <w:pStyle w:val="ListBullet"/>
        <w:rPr>
          <w:i/>
        </w:rPr>
      </w:pPr>
      <w:r w:rsidRPr="00A93FD8">
        <w:rPr>
          <w:i/>
        </w:rPr>
        <w:t>The product class should all have a similar statement of indications;</w:t>
      </w:r>
    </w:p>
    <w:p w:rsidR="00A93FD8" w:rsidRPr="00A93FD8" w:rsidRDefault="00A93FD8" w:rsidP="00A93FD8">
      <w:pPr>
        <w:pStyle w:val="ListBullet"/>
        <w:rPr>
          <w:i/>
        </w:rPr>
      </w:pPr>
      <w:r w:rsidRPr="00A93FD8">
        <w:rPr>
          <w:i/>
        </w:rPr>
        <w:t>The replacement indication “Congenital AIDS with recurrent bacterial infections” should be deleted as the condition is inaccurate and of historical interest only; and</w:t>
      </w:r>
    </w:p>
    <w:p w:rsidR="00A93FD8" w:rsidRPr="00A93FD8" w:rsidRDefault="00A93FD8" w:rsidP="00A93FD8">
      <w:pPr>
        <w:pStyle w:val="ListBullet"/>
        <w:rPr>
          <w:i/>
        </w:rPr>
      </w:pPr>
      <w:r w:rsidRPr="00A93FD8">
        <w:rPr>
          <w:i/>
        </w:rPr>
        <w:t xml:space="preserve">The </w:t>
      </w:r>
      <w:proofErr w:type="spellStart"/>
      <w:r w:rsidRPr="00A93FD8">
        <w:rPr>
          <w:i/>
        </w:rPr>
        <w:t>immunomodulatory</w:t>
      </w:r>
      <w:proofErr w:type="spellEnd"/>
      <w:r w:rsidRPr="00A93FD8">
        <w:rPr>
          <w:i/>
        </w:rPr>
        <w:t xml:space="preserve"> indication “</w:t>
      </w:r>
      <w:proofErr w:type="spellStart"/>
      <w:r w:rsidRPr="00A93FD8">
        <w:rPr>
          <w:i/>
        </w:rPr>
        <w:t>allogenic</w:t>
      </w:r>
      <w:proofErr w:type="spellEnd"/>
      <w:r w:rsidRPr="00A93FD8">
        <w:rPr>
          <w:i/>
        </w:rPr>
        <w:t xml:space="preserve"> bone marrow transplantation” should be deleted as results in randomised clinical trials are conflicting.</w:t>
      </w:r>
    </w:p>
    <w:p w:rsidR="00A93FD8" w:rsidRPr="0009326E" w:rsidRDefault="00A93FD8" w:rsidP="00A93FD8">
      <w:pPr>
        <w:rPr>
          <w:i/>
        </w:rPr>
      </w:pPr>
      <w:r w:rsidRPr="0009326E">
        <w:rPr>
          <w:i/>
        </w:rPr>
        <w:t xml:space="preserve">In light of the ACPM recommendations, the Office of Medicines Authorisation is in the process of streamlining therapeutic indications for the </w:t>
      </w:r>
      <w:proofErr w:type="spellStart"/>
      <w:r w:rsidRPr="0009326E">
        <w:rPr>
          <w:i/>
        </w:rPr>
        <w:t>IVIg</w:t>
      </w:r>
      <w:proofErr w:type="spellEnd"/>
      <w:r w:rsidRPr="0009326E">
        <w:rPr>
          <w:i/>
        </w:rPr>
        <w:t xml:space="preserve"> products. The following indications are currently supported based on standard studies conducted in PID &amp; ITP:</w:t>
      </w:r>
    </w:p>
    <w:p w:rsidR="00A93FD8" w:rsidRPr="0009326E" w:rsidRDefault="00A93FD8" w:rsidP="00A93FD8">
      <w:pPr>
        <w:pStyle w:val="Heading5"/>
      </w:pPr>
      <w:r w:rsidRPr="0009326E">
        <w:t>Replacement therapy indications:</w:t>
      </w:r>
    </w:p>
    <w:p w:rsidR="00A93FD8" w:rsidRPr="00A93FD8" w:rsidRDefault="00A93FD8" w:rsidP="00A93FD8">
      <w:pPr>
        <w:pStyle w:val="ListBullet"/>
        <w:rPr>
          <w:i/>
        </w:rPr>
      </w:pPr>
      <w:r w:rsidRPr="00A93FD8">
        <w:rPr>
          <w:i/>
        </w:rPr>
        <w:t>Primary Immunodeficiency Diseases (PID).</w:t>
      </w:r>
    </w:p>
    <w:p w:rsidR="00A93FD8" w:rsidRPr="00A93FD8" w:rsidRDefault="00A93FD8" w:rsidP="00A93FD8">
      <w:pPr>
        <w:pStyle w:val="ListBullet"/>
        <w:rPr>
          <w:i/>
        </w:rPr>
      </w:pPr>
      <w:r w:rsidRPr="00A93FD8">
        <w:rPr>
          <w:i/>
        </w:rPr>
        <w:t xml:space="preserve">Symptomatic </w:t>
      </w:r>
      <w:proofErr w:type="spellStart"/>
      <w:r w:rsidRPr="00A93FD8">
        <w:rPr>
          <w:i/>
        </w:rPr>
        <w:t>hypogammaglobulinaemia</w:t>
      </w:r>
      <w:proofErr w:type="spellEnd"/>
      <w:r w:rsidRPr="00A93FD8">
        <w:rPr>
          <w:i/>
        </w:rPr>
        <w:t xml:space="preserve"> secondary to underlying disease or treatment.</w:t>
      </w:r>
    </w:p>
    <w:p w:rsidR="00A93FD8" w:rsidRPr="0009326E" w:rsidRDefault="00A93FD8" w:rsidP="00A93FD8">
      <w:pPr>
        <w:pStyle w:val="Heading5"/>
      </w:pPr>
      <w:proofErr w:type="spellStart"/>
      <w:r w:rsidRPr="0009326E">
        <w:t>Immunomodulation</w:t>
      </w:r>
      <w:proofErr w:type="spellEnd"/>
      <w:r w:rsidRPr="0009326E">
        <w:t xml:space="preserve"> indications:</w:t>
      </w:r>
    </w:p>
    <w:p w:rsidR="00A93FD8" w:rsidRPr="00A93FD8" w:rsidRDefault="00A93FD8" w:rsidP="00A93FD8">
      <w:pPr>
        <w:pStyle w:val="ListBullet"/>
        <w:rPr>
          <w:i/>
        </w:rPr>
      </w:pPr>
      <w:r w:rsidRPr="00A93FD8">
        <w:rPr>
          <w:i/>
        </w:rPr>
        <w:t xml:space="preserve">Idiopathic </w:t>
      </w:r>
      <w:proofErr w:type="spellStart"/>
      <w:r w:rsidRPr="00A93FD8">
        <w:rPr>
          <w:i/>
        </w:rPr>
        <w:t>Thrombocytopaenic</w:t>
      </w:r>
      <w:proofErr w:type="spellEnd"/>
      <w:r w:rsidRPr="00A93FD8">
        <w:rPr>
          <w:i/>
        </w:rPr>
        <w:t xml:space="preserve"> </w:t>
      </w:r>
      <w:proofErr w:type="spellStart"/>
      <w:r w:rsidRPr="00A93FD8">
        <w:rPr>
          <w:i/>
        </w:rPr>
        <w:t>Purpura</w:t>
      </w:r>
      <w:proofErr w:type="spellEnd"/>
      <w:r w:rsidRPr="00A93FD8">
        <w:rPr>
          <w:i/>
        </w:rPr>
        <w:t xml:space="preserve"> (ITP), in patients at high risk of bleeding or prior to surgery to correct the platelet count.</w:t>
      </w:r>
    </w:p>
    <w:p w:rsidR="00A93FD8" w:rsidRPr="00A93FD8" w:rsidRDefault="00A93FD8" w:rsidP="00A93FD8">
      <w:pPr>
        <w:pStyle w:val="ListBullet"/>
        <w:rPr>
          <w:i/>
        </w:rPr>
      </w:pPr>
      <w:proofErr w:type="spellStart"/>
      <w:r w:rsidRPr="00A93FD8">
        <w:rPr>
          <w:i/>
        </w:rPr>
        <w:t>Guillain</w:t>
      </w:r>
      <w:proofErr w:type="spellEnd"/>
      <w:r w:rsidRPr="00A93FD8">
        <w:rPr>
          <w:i/>
        </w:rPr>
        <w:t xml:space="preserve"> </w:t>
      </w:r>
      <w:proofErr w:type="spellStart"/>
      <w:r w:rsidRPr="00A93FD8">
        <w:rPr>
          <w:i/>
        </w:rPr>
        <w:t>Barre</w:t>
      </w:r>
      <w:proofErr w:type="spellEnd"/>
      <w:r w:rsidRPr="00A93FD8">
        <w:rPr>
          <w:i/>
        </w:rPr>
        <w:t xml:space="preserve"> Syndrome</w:t>
      </w:r>
    </w:p>
    <w:p w:rsidR="00A93FD8" w:rsidRPr="00A93FD8" w:rsidRDefault="00A93FD8" w:rsidP="00A93FD8">
      <w:pPr>
        <w:pStyle w:val="ListBullet"/>
        <w:rPr>
          <w:i/>
        </w:rPr>
      </w:pPr>
      <w:r w:rsidRPr="00A93FD8">
        <w:rPr>
          <w:i/>
        </w:rPr>
        <w:t>Kawasaki disease</w:t>
      </w:r>
    </w:p>
    <w:p w:rsidR="00A93FD8" w:rsidRDefault="00A93FD8" w:rsidP="00A93FD8">
      <w:pPr>
        <w:rPr>
          <w:i/>
        </w:rPr>
      </w:pPr>
      <w:r w:rsidRPr="0009326E">
        <w:rPr>
          <w:i/>
        </w:rPr>
        <w:t>The sponsor is invited to amend the ‘Indicat</w:t>
      </w:r>
      <w:r>
        <w:rPr>
          <w:i/>
        </w:rPr>
        <w:t>ions’ section of the proposed Product Information</w:t>
      </w:r>
      <w:r w:rsidRPr="0009326E">
        <w:rPr>
          <w:i/>
        </w:rPr>
        <w:t>. Consequently, the Dosage &amp; Administration section will require corresponding modifications.”</w:t>
      </w:r>
    </w:p>
    <w:p w:rsidR="00A93FD8" w:rsidRPr="00D919FC" w:rsidRDefault="00A93FD8" w:rsidP="00A93FD8">
      <w:r w:rsidRPr="00D919FC">
        <w:t xml:space="preserve">The </w:t>
      </w:r>
      <w:r>
        <w:t>Delegate’</w:t>
      </w:r>
      <w:r w:rsidRPr="00D919FC">
        <w:t>s pr</w:t>
      </w:r>
      <w:r>
        <w:t>oposed action is noted and the ‘Indications’</w:t>
      </w:r>
      <w:r w:rsidRPr="00D919FC">
        <w:t xml:space="preserve"> section and consequently the</w:t>
      </w:r>
      <w:r>
        <w:t xml:space="preserve"> ‘D</w:t>
      </w:r>
      <w:r w:rsidRPr="00D919FC">
        <w:t xml:space="preserve">osage &amp; </w:t>
      </w:r>
      <w:r>
        <w:t>A</w:t>
      </w:r>
      <w:r w:rsidRPr="00D919FC">
        <w:t>dministration</w:t>
      </w:r>
      <w:r>
        <w:t>’</w:t>
      </w:r>
      <w:r w:rsidRPr="00D919FC">
        <w:t xml:space="preserve"> section have been amended according to the currently supported</w:t>
      </w:r>
      <w:r>
        <w:t xml:space="preserve"> </w:t>
      </w:r>
      <w:r w:rsidRPr="00D919FC">
        <w:t>indications based on standard studies conducted in PID and ITP. Therefore, updated Product</w:t>
      </w:r>
      <w:r>
        <w:t xml:space="preserve"> </w:t>
      </w:r>
      <w:r w:rsidRPr="00D919FC">
        <w:t>Information and Consumer Medicine Information files (annotated and non annotated versions)</w:t>
      </w:r>
      <w:r>
        <w:t xml:space="preserve"> </w:t>
      </w:r>
      <w:r w:rsidRPr="00D919FC">
        <w:t>are provided.</w:t>
      </w:r>
    </w:p>
    <w:p w:rsidR="008E7846" w:rsidRDefault="008E7846" w:rsidP="008E7846">
      <w:pPr>
        <w:pStyle w:val="Heading4"/>
      </w:pPr>
      <w:r>
        <w:t xml:space="preserve">Advisory </w:t>
      </w:r>
      <w:r w:rsidR="0024159B">
        <w:t>c</w:t>
      </w:r>
      <w:r>
        <w:t xml:space="preserve">ommittee </w:t>
      </w:r>
      <w:r w:rsidR="0024159B">
        <w:t>c</w:t>
      </w:r>
      <w:r>
        <w:t>onsiderations</w:t>
      </w:r>
    </w:p>
    <w:p w:rsidR="0024159B" w:rsidRDefault="0024159B" w:rsidP="0024159B">
      <w:pPr>
        <w:rPr>
          <w:bCs/>
        </w:rPr>
      </w:pPr>
      <w:r>
        <w:rPr>
          <w:bCs/>
        </w:rPr>
        <w:t xml:space="preserve">The </w:t>
      </w:r>
      <w:r w:rsidRPr="001C5DFC">
        <w:rPr>
          <w:bCs/>
        </w:rPr>
        <w:t>AC</w:t>
      </w:r>
      <w:r>
        <w:rPr>
          <w:bCs/>
        </w:rPr>
        <w:t>PM, having considered the evaluations and the Delegate’s overview,</w:t>
      </w:r>
      <w:r w:rsidRPr="001C5DFC">
        <w:rPr>
          <w:bCs/>
        </w:rPr>
        <w:t xml:space="preserve"> </w:t>
      </w:r>
      <w:r>
        <w:rPr>
          <w:bCs/>
        </w:rPr>
        <w:t>as well as the sponsor’s response to these documents, advised the following:</w:t>
      </w:r>
    </w:p>
    <w:p w:rsidR="0024159B" w:rsidRDefault="0024159B" w:rsidP="0024159B">
      <w:pPr>
        <w:pStyle w:val="Heading5"/>
      </w:pPr>
      <w:r>
        <w:t>Efficacy</w:t>
      </w:r>
    </w:p>
    <w:p w:rsidR="0024159B" w:rsidRDefault="0024159B" w:rsidP="0024159B">
      <w:r>
        <w:t>The ACPM agreed with the Delegate that the submission demonstrated clinically relevant efficacy.</w:t>
      </w:r>
    </w:p>
    <w:p w:rsidR="0024159B" w:rsidRDefault="0024159B" w:rsidP="0024159B">
      <w:pPr>
        <w:pStyle w:val="Heading5"/>
      </w:pPr>
      <w:r>
        <w:t>Safety</w:t>
      </w:r>
    </w:p>
    <w:p w:rsidR="0024159B" w:rsidRDefault="0024159B" w:rsidP="0024159B">
      <w:r>
        <w:t>The ACPM noted that one pivotal trial reported two major thrombotic events and 14 bleeding or stroke events within 27 enrolled patients. While this may have been due to the underlying ITP condition, the possible presence of pro coagulant activity in the new product with the change in manufacturing process was noted.</w:t>
      </w:r>
    </w:p>
    <w:p w:rsidR="0024159B" w:rsidRDefault="0024159B" w:rsidP="0024159B">
      <w:pPr>
        <w:pStyle w:val="Heading5"/>
      </w:pPr>
      <w:r>
        <w:t>Indication</w:t>
      </w:r>
    </w:p>
    <w:p w:rsidR="0024159B" w:rsidRDefault="0024159B" w:rsidP="0024159B">
      <w:r>
        <w:t>The ACPM considered this product to have a positive benefit-risk profile for the indication of:</w:t>
      </w:r>
    </w:p>
    <w:p w:rsidR="0024159B" w:rsidRDefault="0024159B" w:rsidP="0024159B">
      <w:r>
        <w:lastRenderedPageBreak/>
        <w:t>Replacement therapy indications:</w:t>
      </w:r>
    </w:p>
    <w:p w:rsidR="0024159B" w:rsidRPr="0024159B" w:rsidRDefault="0024159B" w:rsidP="0024159B">
      <w:pPr>
        <w:pStyle w:val="ListBullet"/>
      </w:pPr>
      <w:r w:rsidRPr="0024159B">
        <w:t>Primary Immunodeficiency Diseases (PID).</w:t>
      </w:r>
    </w:p>
    <w:p w:rsidR="0024159B" w:rsidRPr="0024159B" w:rsidRDefault="0024159B" w:rsidP="0024159B">
      <w:pPr>
        <w:pStyle w:val="ListBullet"/>
      </w:pPr>
      <w:r w:rsidRPr="0024159B">
        <w:t xml:space="preserve">Symptomatic </w:t>
      </w:r>
      <w:proofErr w:type="spellStart"/>
      <w:r w:rsidRPr="0024159B">
        <w:t>hypogammaglobulinaemia</w:t>
      </w:r>
      <w:proofErr w:type="spellEnd"/>
      <w:r w:rsidRPr="0024159B">
        <w:t xml:space="preserve"> secondary to underlying disease or treatment.</w:t>
      </w:r>
    </w:p>
    <w:p w:rsidR="0024159B" w:rsidRDefault="0024159B" w:rsidP="0024159B">
      <w:proofErr w:type="spellStart"/>
      <w:r>
        <w:t>Immunomodulation</w:t>
      </w:r>
      <w:proofErr w:type="spellEnd"/>
      <w:r>
        <w:t xml:space="preserve"> indications:</w:t>
      </w:r>
    </w:p>
    <w:p w:rsidR="0024159B" w:rsidRPr="0024159B" w:rsidRDefault="0024159B" w:rsidP="0024159B">
      <w:pPr>
        <w:pStyle w:val="ListBullet"/>
      </w:pPr>
      <w:r w:rsidRPr="0024159B">
        <w:t xml:space="preserve">Idiopathic </w:t>
      </w:r>
      <w:proofErr w:type="spellStart"/>
      <w:r w:rsidRPr="0024159B">
        <w:t>Thrombocytopaenic</w:t>
      </w:r>
      <w:proofErr w:type="spellEnd"/>
      <w:r w:rsidRPr="0024159B">
        <w:t xml:space="preserve"> </w:t>
      </w:r>
      <w:proofErr w:type="spellStart"/>
      <w:r w:rsidRPr="0024159B">
        <w:t>Purpura</w:t>
      </w:r>
      <w:proofErr w:type="spellEnd"/>
      <w:r w:rsidRPr="0024159B">
        <w:t xml:space="preserve"> (ITP), in patients at high risk of bleeding or prior to surgery to correct the platelet count.</w:t>
      </w:r>
    </w:p>
    <w:p w:rsidR="0024159B" w:rsidRPr="0024159B" w:rsidRDefault="0024159B" w:rsidP="0024159B">
      <w:pPr>
        <w:pStyle w:val="ListBullet"/>
      </w:pPr>
      <w:proofErr w:type="spellStart"/>
      <w:r>
        <w:t>Guillain</w:t>
      </w:r>
      <w:proofErr w:type="spellEnd"/>
      <w:r>
        <w:t xml:space="preserve"> </w:t>
      </w:r>
      <w:proofErr w:type="spellStart"/>
      <w:r>
        <w:t>Barré</w:t>
      </w:r>
      <w:proofErr w:type="spellEnd"/>
      <w:r>
        <w:t xml:space="preserve"> syndrome.</w:t>
      </w:r>
    </w:p>
    <w:p w:rsidR="0024159B" w:rsidRPr="0024159B" w:rsidRDefault="0024159B" w:rsidP="0024159B">
      <w:pPr>
        <w:pStyle w:val="ListBullet"/>
      </w:pPr>
      <w:r w:rsidRPr="0024159B">
        <w:t>Kawasaki disease.</w:t>
      </w:r>
    </w:p>
    <w:p w:rsidR="0024159B" w:rsidRDefault="0024159B" w:rsidP="0024159B">
      <w:pPr>
        <w:pStyle w:val="Heading5"/>
      </w:pPr>
      <w:r>
        <w:t>Product Information/Consumer Medicines Information</w:t>
      </w:r>
    </w:p>
    <w:p w:rsidR="0024159B" w:rsidRDefault="0024159B" w:rsidP="0024159B">
      <w:r>
        <w:t>The ACPM agreed with the amendments proposed by the Delegate to the Product Information and Consumer Medicines Information.</w:t>
      </w:r>
    </w:p>
    <w:p w:rsidR="0024159B" w:rsidRDefault="0024159B" w:rsidP="0024159B">
      <w:pPr>
        <w:pStyle w:val="Heading5"/>
      </w:pPr>
      <w:r>
        <w:t>Conditions of registration</w:t>
      </w:r>
    </w:p>
    <w:p w:rsidR="0024159B" w:rsidRDefault="0024159B" w:rsidP="0024159B">
      <w:r>
        <w:t>The ACPM advised that the quality issues, as advised by the PSC in regard to pro coagulant activity should be clarified, and the robustness of the manufacturing process to remove this activity from the final product should be demonstrated to the satisfaction of the TGA.</w:t>
      </w:r>
    </w:p>
    <w:p w:rsidR="008E7846" w:rsidRPr="00A322B3" w:rsidRDefault="0024159B" w:rsidP="008E7846">
      <w:r>
        <w:t xml:space="preserve">The ACPM advised that the implementation by the sponsor of the recommendations outlined above to the satisfaction of the TGA, in addition to the evidence of efficacy and safety provided for </w:t>
      </w:r>
      <w:proofErr w:type="spellStart"/>
      <w:r>
        <w:t>Flebogamma</w:t>
      </w:r>
      <w:proofErr w:type="spellEnd"/>
      <w:r>
        <w:t xml:space="preserve"> 10% DIF would support the safe and effective use of this product.</w:t>
      </w:r>
    </w:p>
    <w:p w:rsidR="008E7846" w:rsidRPr="002E238E" w:rsidRDefault="008E7846" w:rsidP="008E7846">
      <w:pPr>
        <w:pStyle w:val="Heading3"/>
      </w:pPr>
      <w:bookmarkStart w:id="121" w:name="_Toc247691532"/>
      <w:bookmarkStart w:id="122" w:name="_Toc314842516"/>
      <w:bookmarkStart w:id="123" w:name="_Toc369706055"/>
      <w:bookmarkEnd w:id="77"/>
      <w:bookmarkEnd w:id="118"/>
      <w:bookmarkEnd w:id="119"/>
      <w:r>
        <w:t>Outcome</w:t>
      </w:r>
      <w:bookmarkEnd w:id="121"/>
      <w:bookmarkEnd w:id="122"/>
      <w:bookmarkEnd w:id="123"/>
    </w:p>
    <w:p w:rsidR="00DF525E" w:rsidRDefault="00DF525E" w:rsidP="00DF525E">
      <w:r w:rsidRPr="00DF525E">
        <w:t>Ba</w:t>
      </w:r>
      <w:r>
        <w:t xml:space="preserve">sed on a review of quality, safety and efficacy, TGA approved the registration of </w:t>
      </w:r>
      <w:proofErr w:type="spellStart"/>
      <w:r>
        <w:t>Flebogamma</w:t>
      </w:r>
      <w:proofErr w:type="spellEnd"/>
      <w:r w:rsidRPr="00D860B8">
        <w:t xml:space="preserve"> 10% DIF normal immunoglobulin (Human) </w:t>
      </w:r>
      <w:r w:rsidRPr="00FB3865">
        <w:t>5</w:t>
      </w:r>
      <w:r>
        <w:t xml:space="preserve"> </w:t>
      </w:r>
      <w:r w:rsidRPr="00FB3865">
        <w:t>g/50</w:t>
      </w:r>
      <w:r>
        <w:t xml:space="preserve"> </w:t>
      </w:r>
      <w:proofErr w:type="spellStart"/>
      <w:r w:rsidRPr="00FB3865">
        <w:t>mL</w:t>
      </w:r>
      <w:proofErr w:type="spellEnd"/>
      <w:r w:rsidRPr="00FB3865">
        <w:t>, 10</w:t>
      </w:r>
      <w:r>
        <w:t xml:space="preserve"> </w:t>
      </w:r>
      <w:r w:rsidRPr="00FB3865">
        <w:t>g/100</w:t>
      </w:r>
      <w:r>
        <w:t xml:space="preserve"> </w:t>
      </w:r>
      <w:proofErr w:type="spellStart"/>
      <w:r w:rsidRPr="00FB3865">
        <w:t>mL</w:t>
      </w:r>
      <w:proofErr w:type="spellEnd"/>
      <w:r w:rsidRPr="00FB3865">
        <w:t>, 20</w:t>
      </w:r>
      <w:r>
        <w:t xml:space="preserve"> </w:t>
      </w:r>
      <w:r w:rsidRPr="00FB3865">
        <w:t>g/200</w:t>
      </w:r>
      <w:r>
        <w:t xml:space="preserve"> </w:t>
      </w:r>
      <w:proofErr w:type="spellStart"/>
      <w:r w:rsidRPr="00FB3865">
        <w:t>mL</w:t>
      </w:r>
      <w:proofErr w:type="spellEnd"/>
      <w:r>
        <w:t xml:space="preserve"> (intravenous administration). The approved indication reads as follows:</w:t>
      </w:r>
    </w:p>
    <w:p w:rsidR="00DF525E" w:rsidRPr="00564B99" w:rsidRDefault="00DF525E" w:rsidP="00DF525E">
      <w:pPr>
        <w:ind w:left="360"/>
        <w:rPr>
          <w:i/>
        </w:rPr>
      </w:pPr>
      <w:r w:rsidRPr="00564B99">
        <w:rPr>
          <w:i/>
        </w:rPr>
        <w:t>Replacement therapy indications:</w:t>
      </w:r>
    </w:p>
    <w:p w:rsidR="00DF525E" w:rsidRPr="00C45D3F" w:rsidRDefault="00DF525E" w:rsidP="00DF525E">
      <w:pPr>
        <w:pStyle w:val="ListBullet2"/>
        <w:rPr>
          <w:i/>
        </w:rPr>
      </w:pPr>
      <w:r w:rsidRPr="00C45D3F">
        <w:rPr>
          <w:i/>
        </w:rPr>
        <w:t>Primary Immunodeficiency (PI) Diseases</w:t>
      </w:r>
    </w:p>
    <w:p w:rsidR="00DF525E" w:rsidRPr="00C45D3F" w:rsidRDefault="00DF525E" w:rsidP="00DF525E">
      <w:pPr>
        <w:pStyle w:val="ListBullet2"/>
        <w:rPr>
          <w:i/>
        </w:rPr>
      </w:pPr>
      <w:r w:rsidRPr="00C45D3F">
        <w:rPr>
          <w:i/>
        </w:rPr>
        <w:t xml:space="preserve">Symptomatic </w:t>
      </w:r>
      <w:proofErr w:type="spellStart"/>
      <w:r w:rsidRPr="00C45D3F">
        <w:rPr>
          <w:i/>
        </w:rPr>
        <w:t>hypogammaglobulinaemia</w:t>
      </w:r>
      <w:proofErr w:type="spellEnd"/>
      <w:r w:rsidRPr="00C45D3F">
        <w:rPr>
          <w:i/>
        </w:rPr>
        <w:t xml:space="preserve"> secondary to underlying disease or treatment. </w:t>
      </w:r>
    </w:p>
    <w:p w:rsidR="00DF525E" w:rsidRPr="00564B99" w:rsidRDefault="00DF525E" w:rsidP="00DF525E">
      <w:pPr>
        <w:ind w:left="360"/>
        <w:rPr>
          <w:i/>
        </w:rPr>
      </w:pPr>
      <w:proofErr w:type="spellStart"/>
      <w:r w:rsidRPr="00564B99">
        <w:rPr>
          <w:i/>
        </w:rPr>
        <w:t>Immunomodulation</w:t>
      </w:r>
      <w:proofErr w:type="spellEnd"/>
      <w:r w:rsidRPr="00564B99">
        <w:rPr>
          <w:i/>
        </w:rPr>
        <w:t xml:space="preserve"> indications:</w:t>
      </w:r>
    </w:p>
    <w:p w:rsidR="00DF525E" w:rsidRPr="00C45D3F" w:rsidRDefault="00DF525E" w:rsidP="00DF525E">
      <w:pPr>
        <w:pStyle w:val="ListBullet2"/>
        <w:rPr>
          <w:i/>
        </w:rPr>
      </w:pPr>
      <w:r w:rsidRPr="00C45D3F">
        <w:rPr>
          <w:i/>
        </w:rPr>
        <w:t xml:space="preserve">Idiopathic </w:t>
      </w:r>
      <w:proofErr w:type="spellStart"/>
      <w:r w:rsidRPr="00C45D3F">
        <w:rPr>
          <w:i/>
        </w:rPr>
        <w:t>Thrombocytopaenic</w:t>
      </w:r>
      <w:proofErr w:type="spellEnd"/>
      <w:r w:rsidRPr="00C45D3F">
        <w:rPr>
          <w:i/>
        </w:rPr>
        <w:t xml:space="preserve"> </w:t>
      </w:r>
      <w:proofErr w:type="spellStart"/>
      <w:r w:rsidRPr="00C45D3F">
        <w:rPr>
          <w:i/>
        </w:rPr>
        <w:t>Purpura</w:t>
      </w:r>
      <w:proofErr w:type="spellEnd"/>
      <w:r w:rsidRPr="00C45D3F">
        <w:rPr>
          <w:i/>
        </w:rPr>
        <w:t xml:space="preserve"> (ITP), in patients at high risk of bleeding or prior to surgery to correct the platelet count. </w:t>
      </w:r>
    </w:p>
    <w:p w:rsidR="00DF525E" w:rsidRPr="00C45D3F" w:rsidRDefault="00DF525E" w:rsidP="00DF525E">
      <w:pPr>
        <w:pStyle w:val="ListBullet2"/>
        <w:rPr>
          <w:i/>
        </w:rPr>
      </w:pPr>
      <w:proofErr w:type="spellStart"/>
      <w:r w:rsidRPr="00C45D3F">
        <w:rPr>
          <w:i/>
        </w:rPr>
        <w:t>Guillain</w:t>
      </w:r>
      <w:proofErr w:type="spellEnd"/>
      <w:r w:rsidRPr="00C45D3F">
        <w:rPr>
          <w:i/>
        </w:rPr>
        <w:t xml:space="preserve"> </w:t>
      </w:r>
      <w:proofErr w:type="spellStart"/>
      <w:r w:rsidRPr="00C45D3F">
        <w:rPr>
          <w:i/>
        </w:rPr>
        <w:t>Barré</w:t>
      </w:r>
      <w:proofErr w:type="spellEnd"/>
      <w:r w:rsidRPr="00C45D3F">
        <w:rPr>
          <w:i/>
        </w:rPr>
        <w:t xml:space="preserve"> syndrome</w:t>
      </w:r>
    </w:p>
    <w:p w:rsidR="00DF525E" w:rsidRPr="00564B99" w:rsidRDefault="00DF525E" w:rsidP="00DF525E">
      <w:pPr>
        <w:pStyle w:val="ListBullet2"/>
      </w:pPr>
      <w:r w:rsidRPr="00C45D3F">
        <w:rPr>
          <w:i/>
        </w:rPr>
        <w:t>Kawasaki disease.</w:t>
      </w:r>
    </w:p>
    <w:p w:rsidR="00DF525E" w:rsidRPr="005B5947" w:rsidRDefault="00DF525E" w:rsidP="00DF525E">
      <w:pPr>
        <w:pStyle w:val="Heading4"/>
      </w:pPr>
      <w:bookmarkStart w:id="124" w:name="_Toc247691533"/>
      <w:bookmarkStart w:id="125" w:name="_Toc314842517"/>
      <w:r w:rsidRPr="005B5947">
        <w:t>Specific conditions of registration applying to these therapeutic goods:</w:t>
      </w:r>
    </w:p>
    <w:p w:rsidR="00DF525E" w:rsidRDefault="00DF525E" w:rsidP="00DF525E">
      <w:pPr>
        <w:pStyle w:val="Numberbullet0"/>
        <w:numPr>
          <w:ilvl w:val="0"/>
          <w:numId w:val="44"/>
        </w:numPr>
      </w:pPr>
      <w:r w:rsidRPr="00122FC1">
        <w:t xml:space="preserve">The implementation in Australia of </w:t>
      </w:r>
      <w:proofErr w:type="spellStart"/>
      <w:r>
        <w:t>Flebogamma</w:t>
      </w:r>
      <w:proofErr w:type="spellEnd"/>
      <w:r w:rsidRPr="00122FC1">
        <w:t xml:space="preserve"> 10% human normal immunoglobulin Risk Management Plan (RMP), dated 3 November 2010, included with submission PM-2010-03276-3-2, and any subsequent revisions, as agreed with the TGA and its </w:t>
      </w:r>
      <w:r>
        <w:t>OPR.</w:t>
      </w:r>
    </w:p>
    <w:p w:rsidR="008E7846" w:rsidRDefault="008E7846" w:rsidP="008E7846">
      <w:pPr>
        <w:pStyle w:val="Heading2"/>
      </w:pPr>
      <w:bookmarkStart w:id="126" w:name="_Toc369706056"/>
      <w:proofErr w:type="gramStart"/>
      <w:r>
        <w:lastRenderedPageBreak/>
        <w:t>Attachment 1.</w:t>
      </w:r>
      <w:proofErr w:type="gramEnd"/>
      <w:r>
        <w:tab/>
        <w:t xml:space="preserve">Product </w:t>
      </w:r>
      <w:r w:rsidR="00AA0ED0">
        <w:t>I</w:t>
      </w:r>
      <w:r>
        <w:t>nformation</w:t>
      </w:r>
      <w:bookmarkEnd w:id="124"/>
      <w:bookmarkEnd w:id="125"/>
      <w:bookmarkEnd w:id="126"/>
    </w:p>
    <w:p w:rsidR="00C80137" w:rsidRDefault="00C80137" w:rsidP="00C80137">
      <w:pPr>
        <w:rPr>
          <w:color w:val="000000"/>
          <w:lang w:eastAsia="en-AU"/>
        </w:rPr>
      </w:pPr>
      <w:r w:rsidRPr="0037352E">
        <w:t xml:space="preserve">The Product Information approved at the time this </w:t>
      </w:r>
      <w:proofErr w:type="spellStart"/>
      <w:r w:rsidRPr="0037352E">
        <w:t>AusPAR</w:t>
      </w:r>
      <w:proofErr w:type="spellEnd"/>
      <w:r w:rsidRPr="0037352E">
        <w:t xml:space="preserve">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21" w:history="1">
        <w:r w:rsidR="00722B57" w:rsidRPr="00625A6E">
          <w:rPr>
            <w:rStyle w:val="Hyperlink"/>
          </w:rPr>
          <w:t>http://www.tga.gov.au/hp/information-medicines-pi.htm</w:t>
        </w:r>
      </w:hyperlink>
      <w:hyperlink w:history="1"/>
      <w:r w:rsidR="008F6943">
        <w:rPr>
          <w:color w:val="000000"/>
          <w:lang w:eastAsia="en-AU"/>
        </w:rPr>
        <w:t>&gt;.</w:t>
      </w:r>
    </w:p>
    <w:p w:rsidR="00291957" w:rsidRDefault="008E7846" w:rsidP="00DF525E">
      <w:pPr>
        <w:autoSpaceDE w:val="0"/>
        <w:autoSpaceDN w:val="0"/>
        <w:adjustRightInd w:val="0"/>
        <w:spacing w:after="0"/>
        <w:rPr>
          <w:lang w:eastAsia="ja-JP"/>
        </w:rPr>
      </w:pPr>
      <w:r w:rsidRPr="00C80137">
        <w:rPr>
          <w:b/>
        </w:rPr>
        <w:br w:type="page"/>
      </w:r>
    </w:p>
    <w:p w:rsidR="00C80137" w:rsidRPr="001D043B" w:rsidRDefault="00C80137" w:rsidP="003A7F6C">
      <w:pPr>
        <w:pStyle w:val="TableTitle"/>
        <w:sectPr w:rsidR="00C80137" w:rsidRPr="001D043B" w:rsidSect="00B452CE">
          <w:headerReference w:type="even" r:id="rId22"/>
          <w:headerReference w:type="default" r:id="rId23"/>
          <w:footerReference w:type="default" r:id="rId24"/>
          <w:headerReference w:type="first" r:id="rId25"/>
          <w:footerReference w:type="first" r:id="rId26"/>
          <w:pgSz w:w="11906" w:h="16838" w:code="9"/>
          <w:pgMar w:top="834" w:right="1701" w:bottom="1191" w:left="1701" w:header="907" w:footer="216" w:gutter="0"/>
          <w:cols w:space="708"/>
          <w:docGrid w:linePitch="360"/>
        </w:sectPr>
      </w:pPr>
    </w:p>
    <w:p w:rsidR="00774E1D" w:rsidRPr="008A5E0B" w:rsidRDefault="00774E1D" w:rsidP="004C239D"/>
    <w:sectPr w:rsidR="00774E1D" w:rsidRPr="008A5E0B" w:rsidSect="004C239D">
      <w:headerReference w:type="even" r:id="rId27"/>
      <w:headerReference w:type="default" r:id="rId28"/>
      <w:footerReference w:type="default" r:id="rId29"/>
      <w:headerReference w:type="first" r:id="rId30"/>
      <w:footerReference w:type="first" r:id="rId31"/>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525E" w:rsidRDefault="00DF525E" w:rsidP="00C40A36">
      <w:pPr>
        <w:spacing w:after="0"/>
      </w:pPr>
      <w:r>
        <w:separator/>
      </w:r>
    </w:p>
  </w:endnote>
  <w:endnote w:type="continuationSeparator" w:id="0">
    <w:p w:rsidR="00DF525E" w:rsidRDefault="00DF525E"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DF525E" w:rsidRPr="00487162" w:rsidTr="0053625B">
      <w:trPr>
        <w:trHeight w:val="269"/>
      </w:trPr>
      <w:tc>
        <w:tcPr>
          <w:tcW w:w="7938" w:type="dxa"/>
          <w:tcMar>
            <w:top w:w="142" w:type="dxa"/>
            <w:bottom w:w="0" w:type="dxa"/>
          </w:tcMar>
        </w:tcPr>
        <w:p w:rsidR="00DF525E" w:rsidRPr="00487162" w:rsidRDefault="00DF525E" w:rsidP="00D167BB">
          <w:pPr>
            <w:pStyle w:val="Footer"/>
          </w:pPr>
          <w:proofErr w:type="spellStart"/>
          <w:r w:rsidRPr="00487162">
            <w:t>AusPAR</w:t>
          </w:r>
          <w:proofErr w:type="spellEnd"/>
          <w:r w:rsidRPr="00487162">
            <w:t xml:space="preserve"> </w:t>
          </w:r>
          <w:proofErr w:type="spellStart"/>
          <w:r w:rsidRPr="00D167BB">
            <w:t>IVIg</w:t>
          </w:r>
          <w:proofErr w:type="spellEnd"/>
          <w:r w:rsidRPr="00D167BB">
            <w:t xml:space="preserve"> (</w:t>
          </w:r>
          <w:proofErr w:type="spellStart"/>
          <w:r w:rsidRPr="00D167BB">
            <w:t>Flebogamma</w:t>
          </w:r>
          <w:proofErr w:type="spellEnd"/>
          <w:r w:rsidRPr="00D167BB">
            <w:t xml:space="preserve"> 10%) DIF </w:t>
          </w:r>
          <w:proofErr w:type="spellStart"/>
          <w:r w:rsidRPr="00D167BB">
            <w:t>Grifols</w:t>
          </w:r>
          <w:proofErr w:type="spellEnd"/>
          <w:r w:rsidRPr="00D167BB">
            <w:t xml:space="preserve"> Australia Pty Ltd PM-2010-03276-3-2</w:t>
          </w:r>
          <w:r>
            <w:br/>
            <w:t>D</w:t>
          </w:r>
          <w:r w:rsidRPr="00487162">
            <w:t>ate of Finalisation</w:t>
          </w:r>
          <w:r>
            <w:t>: 3 September 2013</w:t>
          </w:r>
        </w:p>
      </w:tc>
      <w:tc>
        <w:tcPr>
          <w:tcW w:w="923" w:type="dxa"/>
          <w:tcMar>
            <w:top w:w="142" w:type="dxa"/>
            <w:bottom w:w="0" w:type="dxa"/>
          </w:tcMar>
        </w:tcPr>
        <w:p w:rsidR="00DF525E" w:rsidRPr="00487162" w:rsidRDefault="00DF525E" w:rsidP="00D855D4">
          <w:pPr>
            <w:pStyle w:val="Footer"/>
            <w:jc w:val="right"/>
          </w:pPr>
          <w:r w:rsidRPr="00487162">
            <w:t xml:space="preserve">Page </w:t>
          </w:r>
          <w:r>
            <w:t>2</w:t>
          </w:r>
          <w:r w:rsidRPr="00487162">
            <w:t xml:space="preserve"> of </w:t>
          </w:r>
          <w:fldSimple w:instr=" NUMPAGES  \* Arabic ">
            <w:r w:rsidR="007A0708">
              <w:rPr>
                <w:noProof/>
              </w:rPr>
              <w:t>36</w:t>
            </w:r>
          </w:fldSimple>
        </w:p>
      </w:tc>
    </w:tr>
  </w:tbl>
  <w:p w:rsidR="00DF525E" w:rsidRDefault="00DF525E"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6379"/>
      <w:gridCol w:w="2482"/>
    </w:tblGrid>
    <w:tr w:rsidR="00DF525E" w:rsidRPr="00487162" w:rsidTr="00D167BB">
      <w:trPr>
        <w:trHeight w:val="269"/>
      </w:trPr>
      <w:tc>
        <w:tcPr>
          <w:tcW w:w="6379" w:type="dxa"/>
          <w:tcMar>
            <w:top w:w="142" w:type="dxa"/>
            <w:bottom w:w="0" w:type="dxa"/>
          </w:tcMar>
        </w:tcPr>
        <w:p w:rsidR="00DF525E" w:rsidRPr="00487162" w:rsidRDefault="00DF525E" w:rsidP="00D855D4">
          <w:pPr>
            <w:pStyle w:val="Footer"/>
          </w:pPr>
          <w:proofErr w:type="spellStart"/>
          <w:r w:rsidRPr="00487162">
            <w:t>AusPAR</w:t>
          </w:r>
          <w:proofErr w:type="spellEnd"/>
          <w:r w:rsidRPr="00487162">
            <w:t xml:space="preserve"> </w:t>
          </w:r>
          <w:proofErr w:type="spellStart"/>
          <w:r w:rsidRPr="00D167BB">
            <w:t>IVIg</w:t>
          </w:r>
          <w:proofErr w:type="spellEnd"/>
          <w:r w:rsidRPr="00D167BB">
            <w:t xml:space="preserve"> (</w:t>
          </w:r>
          <w:proofErr w:type="spellStart"/>
          <w:r w:rsidRPr="00D167BB">
            <w:t>Flebogamma</w:t>
          </w:r>
          <w:proofErr w:type="spellEnd"/>
          <w:r w:rsidRPr="00D167BB">
            <w:t xml:space="preserve"> 10%) DIF </w:t>
          </w:r>
          <w:proofErr w:type="spellStart"/>
          <w:r w:rsidRPr="00D167BB">
            <w:t>Grifols</w:t>
          </w:r>
          <w:proofErr w:type="spellEnd"/>
          <w:r w:rsidRPr="00D167BB">
            <w:t xml:space="preserve"> Australia Pty Ltd PM-2010-03276-3-2</w:t>
          </w:r>
          <w:r>
            <w:br/>
            <w:t>D</w:t>
          </w:r>
          <w:r w:rsidRPr="00487162">
            <w:t>ate of Finalisation</w:t>
          </w:r>
          <w:r>
            <w:t>: 3 September 2013</w:t>
          </w:r>
        </w:p>
      </w:tc>
      <w:tc>
        <w:tcPr>
          <w:tcW w:w="2482" w:type="dxa"/>
          <w:tcMar>
            <w:top w:w="142" w:type="dxa"/>
            <w:bottom w:w="0" w:type="dxa"/>
          </w:tcMar>
        </w:tcPr>
        <w:p w:rsidR="00DF525E" w:rsidRPr="00487162" w:rsidRDefault="00DF525E" w:rsidP="00E45619">
          <w:pPr>
            <w:pStyle w:val="Footer"/>
            <w:jc w:val="right"/>
          </w:pPr>
          <w:r w:rsidRPr="00487162">
            <w:t xml:space="preserve">Page </w:t>
          </w:r>
          <w:fldSimple w:instr="PAGE">
            <w:r w:rsidR="007A0708">
              <w:rPr>
                <w:noProof/>
              </w:rPr>
              <w:t>35</w:t>
            </w:r>
          </w:fldSimple>
          <w:r w:rsidRPr="00487162">
            <w:t xml:space="preserve"> of </w:t>
          </w:r>
          <w:fldSimple w:instr=" NUMPAGES  \* Arabic ">
            <w:r w:rsidR="007A0708">
              <w:rPr>
                <w:noProof/>
              </w:rPr>
              <w:t>36</w:t>
            </w:r>
          </w:fldSimple>
        </w:p>
      </w:tc>
    </w:tr>
  </w:tbl>
  <w:p w:rsidR="00DF525E" w:rsidRDefault="00DF525E"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DF525E" w:rsidRPr="00487162" w:rsidTr="00E45619">
      <w:trPr>
        <w:trHeight w:val="269"/>
      </w:trPr>
      <w:tc>
        <w:tcPr>
          <w:tcW w:w="4519" w:type="dxa"/>
          <w:tcBorders>
            <w:top w:val="single" w:sz="4" w:space="0" w:color="auto"/>
          </w:tcBorders>
          <w:tcMar>
            <w:top w:w="142" w:type="dxa"/>
            <w:bottom w:w="0" w:type="dxa"/>
          </w:tcMar>
        </w:tcPr>
        <w:p w:rsidR="00DF525E" w:rsidRPr="00487162" w:rsidRDefault="00DF525E" w:rsidP="00FE1DEE">
          <w:pPr>
            <w:pStyle w:val="Footer"/>
          </w:pPr>
          <w:r w:rsidRPr="00487162">
            <w:t>Document title, Part #, Section # - Section title</w:t>
          </w:r>
        </w:p>
        <w:p w:rsidR="00DF525E" w:rsidRPr="00487162" w:rsidRDefault="00DF525E" w:rsidP="00FE1DEE">
          <w:pPr>
            <w:pStyle w:val="Footer"/>
          </w:pPr>
          <w:r w:rsidRPr="00487162">
            <w:t>V1.0 October 2010</w:t>
          </w:r>
        </w:p>
      </w:tc>
      <w:tc>
        <w:tcPr>
          <w:tcW w:w="4342" w:type="dxa"/>
          <w:tcBorders>
            <w:top w:val="single" w:sz="4" w:space="0" w:color="auto"/>
          </w:tcBorders>
          <w:tcMar>
            <w:top w:w="142" w:type="dxa"/>
            <w:bottom w:w="0" w:type="dxa"/>
          </w:tcMar>
        </w:tcPr>
        <w:p w:rsidR="00DF525E" w:rsidRPr="00487162" w:rsidRDefault="00DF525E"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6</w:t>
            </w:r>
          </w:fldSimple>
        </w:p>
      </w:tc>
    </w:tr>
  </w:tbl>
  <w:p w:rsidR="00DF525E" w:rsidRDefault="00DF525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DF525E" w:rsidRPr="00487162" w:rsidTr="00E45619">
              <w:trPr>
                <w:trHeight w:hRule="exact" w:val="704"/>
              </w:trPr>
              <w:tc>
                <w:tcPr>
                  <w:tcW w:w="9175" w:type="dxa"/>
                </w:tcPr>
                <w:p w:rsidR="00DF525E" w:rsidRPr="00487162" w:rsidRDefault="00DF525E" w:rsidP="008E7846">
                  <w:pPr>
                    <w:pStyle w:val="TGASignoff"/>
                  </w:pPr>
                  <w:r w:rsidRPr="00487162">
                    <w:t>Therapeutic Goods Administration</w:t>
                  </w:r>
                </w:p>
              </w:tc>
            </w:tr>
            <w:tr w:rsidR="00DF525E" w:rsidRPr="00487162" w:rsidTr="00E45619">
              <w:trPr>
                <w:trHeight w:val="1221"/>
              </w:trPr>
              <w:tc>
                <w:tcPr>
                  <w:tcW w:w="9175" w:type="dxa"/>
                  <w:tcMar>
                    <w:top w:w="28" w:type="dxa"/>
                  </w:tcMar>
                </w:tcPr>
                <w:p w:rsidR="00DF525E" w:rsidRPr="00487162" w:rsidRDefault="00DF525E" w:rsidP="00E45619">
                  <w:pPr>
                    <w:pStyle w:val="Address"/>
                  </w:pPr>
                  <w:r w:rsidRPr="00487162">
                    <w:t>PO Box 100 Woden ACT 2606 Australia</w:t>
                  </w:r>
                </w:p>
                <w:p w:rsidR="00DF525E" w:rsidRPr="00487162" w:rsidRDefault="00DF525E" w:rsidP="00E45619">
                  <w:pPr>
                    <w:pStyle w:val="Address"/>
                  </w:pPr>
                  <w:r w:rsidRPr="00487162">
                    <w:t xml:space="preserve">Email: </w:t>
                  </w:r>
                  <w:hyperlink r:id="rId1" w:history="1">
                    <w:r w:rsidRPr="004C239D">
                      <w:rPr>
                        <w:rStyle w:val="Hyperlink"/>
                      </w:rPr>
                      <w:t>info@tga.gov.au</w:t>
                    </w:r>
                  </w:hyperlink>
                  <w:r w:rsidRPr="00487162">
                    <w:t xml:space="preserve">  Phone: 1800 020 653  Fax: 02 6232 8605</w:t>
                  </w:r>
                </w:p>
                <w:p w:rsidR="00DF525E" w:rsidRPr="004C239D" w:rsidRDefault="00DF525E" w:rsidP="004C239D">
                  <w:pPr>
                    <w:pStyle w:val="Address"/>
                    <w:spacing w:line="260" w:lineRule="atLeast"/>
                    <w:rPr>
                      <w:b/>
                      <w:color w:val="0000FF"/>
                      <w:u w:val="single"/>
                    </w:rPr>
                  </w:pPr>
                  <w:hyperlink r:id="rId2" w:history="1">
                    <w:r w:rsidRPr="00607888">
                      <w:rPr>
                        <w:rStyle w:val="Hyperlink"/>
                        <w:b/>
                      </w:rPr>
                      <w:t>http://www.tga.gov.au</w:t>
                    </w:r>
                  </w:hyperlink>
                </w:p>
              </w:tc>
            </w:tr>
          </w:tbl>
          <w:p w:rsidR="00DF525E" w:rsidRDefault="00DF525E" w:rsidP="008E7846">
            <w:pPr>
              <w:pStyle w:val="Notes"/>
            </w:pP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DF525E" w:rsidTr="0010601F">
      <w:trPr>
        <w:trHeight w:val="108"/>
      </w:trPr>
      <w:tc>
        <w:tcPr>
          <w:tcW w:w="8875" w:type="dxa"/>
          <w:gridSpan w:val="2"/>
          <w:tcBorders>
            <w:bottom w:val="single" w:sz="4" w:space="0" w:color="auto"/>
          </w:tcBorders>
          <w:tcMar>
            <w:right w:w="284" w:type="dxa"/>
          </w:tcMar>
        </w:tcPr>
        <w:p w:rsidR="00DF525E" w:rsidRDefault="00DF525E" w:rsidP="006E08B3">
          <w:pPr>
            <w:pStyle w:val="Heading3"/>
          </w:pPr>
          <w:r>
            <w:t>Copyright</w:t>
          </w:r>
        </w:p>
        <w:p w:rsidR="00DF525E" w:rsidRDefault="00DF525E" w:rsidP="006E08B3">
          <w:r>
            <w:rPr>
              <w:rFonts w:cs="Arial"/>
            </w:rPr>
            <w:t>©</w:t>
          </w:r>
          <w:r>
            <w:t xml:space="preserve"> Commonwealth of Australia [add year]</w:t>
          </w:r>
        </w:p>
        <w:p w:rsidR="00DF525E" w:rsidRDefault="00DF525E" w:rsidP="006E08B3"/>
        <w:p w:rsidR="00DF525E" w:rsidRDefault="00DF525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DF525E" w:rsidRDefault="00DF525E" w:rsidP="006E08B3"/>
        <w:p w:rsidR="00DF525E" w:rsidRDefault="00DF525E" w:rsidP="006E08B3">
          <w:pPr>
            <w:pStyle w:val="Heading3"/>
          </w:pPr>
          <w:r>
            <w:t>Confidentiality</w:t>
          </w:r>
        </w:p>
        <w:p w:rsidR="00DF525E" w:rsidRDefault="00DF525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DF525E" w:rsidRDefault="00DF525E" w:rsidP="006E08B3"/>
        <w:p w:rsidR="00DF525E" w:rsidRDefault="00DF525E" w:rsidP="006E08B3">
          <w:r>
            <w:t>For submission made by individuals, all personal details, other than your name, will be removed from your submission before it is published on the TGA’s Internet site.</w:t>
          </w:r>
        </w:p>
        <w:p w:rsidR="00DF525E" w:rsidRDefault="00DF525E" w:rsidP="006E08B3"/>
        <w:p w:rsidR="00DF525E" w:rsidRDefault="00DF525E"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DF525E" w:rsidTr="0010601F">
      <w:trPr>
        <w:trHeight w:val="417"/>
      </w:trPr>
      <w:tc>
        <w:tcPr>
          <w:tcW w:w="4519" w:type="dxa"/>
          <w:tcBorders>
            <w:top w:val="single" w:sz="4" w:space="0" w:color="auto"/>
          </w:tcBorders>
          <w:tcMar>
            <w:top w:w="142" w:type="dxa"/>
            <w:bottom w:w="0" w:type="dxa"/>
          </w:tcMar>
        </w:tcPr>
        <w:p w:rsidR="00DF525E" w:rsidRDefault="00DF525E" w:rsidP="006E08B3">
          <w:r>
            <w:t>Document title, Part #, Section # - Section title</w:t>
          </w:r>
        </w:p>
        <w:p w:rsidR="00DF525E" w:rsidRDefault="00DF525E" w:rsidP="006E08B3">
          <w:r>
            <w:t>V1.0 October 2010</w:t>
          </w:r>
        </w:p>
      </w:tc>
      <w:tc>
        <w:tcPr>
          <w:tcW w:w="4356" w:type="dxa"/>
          <w:tcBorders>
            <w:top w:val="single" w:sz="4" w:space="0" w:color="auto"/>
          </w:tcBorders>
          <w:tcMar>
            <w:top w:w="142" w:type="dxa"/>
            <w:bottom w:w="0" w:type="dxa"/>
          </w:tcMar>
        </w:tcPr>
        <w:p w:rsidR="00DF525E" w:rsidRDefault="00DF525E" w:rsidP="006E08B3">
          <w:pPr>
            <w:jc w:val="right"/>
          </w:pPr>
          <w:r>
            <w:t xml:space="preserve">Page </w:t>
          </w:r>
          <w:fldSimple w:instr=" PAGE   \* MERGEFORMAT ">
            <w:r>
              <w:rPr>
                <w:noProof/>
              </w:rPr>
              <w:t>1</w:t>
            </w:r>
          </w:fldSimple>
          <w:r>
            <w:t xml:space="preserve"> of </w:t>
          </w:r>
          <w:fldSimple w:instr=" NUMPAGES  \* Arabic ">
            <w:r>
              <w:rPr>
                <w:noProof/>
              </w:rPr>
              <w:t>6</w:t>
            </w:r>
          </w:fldSimple>
          <w:r>
            <w:t xml:space="preserve">  </w:t>
          </w:r>
        </w:p>
      </w:tc>
    </w:tr>
  </w:tbl>
  <w:p w:rsidR="00DF525E" w:rsidRDefault="00DF525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525E" w:rsidRDefault="00DF525E" w:rsidP="00C40A36">
      <w:pPr>
        <w:spacing w:after="0"/>
      </w:pPr>
      <w:r>
        <w:separator/>
      </w:r>
    </w:p>
  </w:footnote>
  <w:footnote w:type="continuationSeparator" w:id="0">
    <w:p w:rsidR="00DF525E" w:rsidRDefault="00DF525E" w:rsidP="00C40A36">
      <w:pPr>
        <w:spacing w:after="0"/>
      </w:pPr>
      <w:r>
        <w:continuationSeparator/>
      </w:r>
    </w:p>
  </w:footnote>
  <w:footnote w:id="1">
    <w:p w:rsidR="00DF525E" w:rsidRDefault="00DF525E" w:rsidP="00445B79">
      <w:pPr>
        <w:pStyle w:val="FootnoteText"/>
      </w:pPr>
      <w:r>
        <w:rPr>
          <w:rStyle w:val="FootnoteReference"/>
        </w:rPr>
        <w:footnoteRef/>
      </w:r>
      <w:r>
        <w:t xml:space="preserve"> </w:t>
      </w:r>
      <w:r w:rsidRPr="004F33EE">
        <w:rPr>
          <w:szCs w:val="18"/>
        </w:rPr>
        <w:t xml:space="preserve">The </w:t>
      </w:r>
      <w:proofErr w:type="spellStart"/>
      <w:r w:rsidRPr="004F33EE">
        <w:rPr>
          <w:szCs w:val="18"/>
        </w:rPr>
        <w:t>Instituto</w:t>
      </w:r>
      <w:proofErr w:type="spellEnd"/>
      <w:r w:rsidRPr="004F33EE">
        <w:rPr>
          <w:szCs w:val="18"/>
        </w:rPr>
        <w:t xml:space="preserve"> </w:t>
      </w:r>
      <w:proofErr w:type="spellStart"/>
      <w:r w:rsidRPr="004F33EE">
        <w:rPr>
          <w:szCs w:val="18"/>
        </w:rPr>
        <w:t>Grifols</w:t>
      </w:r>
      <w:proofErr w:type="spellEnd"/>
      <w:r w:rsidRPr="004F33EE">
        <w:rPr>
          <w:szCs w:val="18"/>
        </w:rPr>
        <w:t xml:space="preserve"> global corporate headquarters is located in </w:t>
      </w:r>
      <w:proofErr w:type="spellStart"/>
      <w:r w:rsidRPr="004F33EE">
        <w:rPr>
          <w:szCs w:val="18"/>
        </w:rPr>
        <w:t>Sant</w:t>
      </w:r>
      <w:proofErr w:type="spellEnd"/>
      <w:r w:rsidRPr="004F33EE">
        <w:rPr>
          <w:szCs w:val="18"/>
        </w:rPr>
        <w:t xml:space="preserve"> </w:t>
      </w:r>
      <w:proofErr w:type="spellStart"/>
      <w:r w:rsidRPr="004F33EE">
        <w:rPr>
          <w:szCs w:val="18"/>
        </w:rPr>
        <w:t>Cugat</w:t>
      </w:r>
      <w:proofErr w:type="spellEnd"/>
      <w:r w:rsidRPr="004F33EE">
        <w:rPr>
          <w:szCs w:val="18"/>
        </w:rPr>
        <w:t xml:space="preserve"> del </w:t>
      </w:r>
      <w:proofErr w:type="spellStart"/>
      <w:r w:rsidRPr="004F33EE">
        <w:rPr>
          <w:szCs w:val="18"/>
        </w:rPr>
        <w:t>Valles</w:t>
      </w:r>
      <w:proofErr w:type="spellEnd"/>
      <w:r w:rsidRPr="004F33EE">
        <w:rPr>
          <w:szCs w:val="18"/>
        </w:rPr>
        <w:t>, Barcelona.</w:t>
      </w:r>
    </w:p>
  </w:footnote>
  <w:footnote w:id="2">
    <w:p w:rsidR="00DF525E" w:rsidRPr="00F76090" w:rsidRDefault="00DF525E" w:rsidP="0084141F">
      <w:pPr>
        <w:pStyle w:val="FootnoteText"/>
        <w:rPr>
          <w:szCs w:val="18"/>
        </w:rPr>
      </w:pPr>
      <w:r w:rsidRPr="00F76090">
        <w:rPr>
          <w:rStyle w:val="FootnoteReference"/>
          <w:szCs w:val="18"/>
        </w:rPr>
        <w:footnoteRef/>
      </w:r>
      <w:r w:rsidRPr="00F76090">
        <w:rPr>
          <w:szCs w:val="18"/>
        </w:rPr>
        <w:t xml:space="preserve"> </w:t>
      </w:r>
      <w:proofErr w:type="gramStart"/>
      <w:r w:rsidRPr="004F33EE">
        <w:rPr>
          <w:szCs w:val="18"/>
        </w:rPr>
        <w:t xml:space="preserve">IGIV3I </w:t>
      </w:r>
      <w:proofErr w:type="spellStart"/>
      <w:r w:rsidRPr="004F33EE">
        <w:rPr>
          <w:szCs w:val="18"/>
        </w:rPr>
        <w:t>Grifols</w:t>
      </w:r>
      <w:proofErr w:type="spellEnd"/>
      <w:r w:rsidRPr="004F33EE">
        <w:rPr>
          <w:szCs w:val="18"/>
        </w:rPr>
        <w:t xml:space="preserve"> 10%; 300-600 mg</w:t>
      </w:r>
      <w:r>
        <w:rPr>
          <w:szCs w:val="18"/>
        </w:rPr>
        <w:t xml:space="preserve">/kg/infusion; Lot # IBGM3XP001, </w:t>
      </w:r>
      <w:r w:rsidRPr="004F33EE">
        <w:rPr>
          <w:szCs w:val="18"/>
        </w:rPr>
        <w:t>IBGM4A6001, IBGM4GJ001</w:t>
      </w:r>
      <w:r>
        <w:rPr>
          <w:szCs w:val="18"/>
        </w:rPr>
        <w:t>.</w:t>
      </w:r>
      <w:proofErr w:type="gramEnd"/>
    </w:p>
  </w:footnote>
  <w:footnote w:id="3">
    <w:p w:rsidR="00DF525E" w:rsidRPr="00DB0543" w:rsidRDefault="00DF525E" w:rsidP="0084141F">
      <w:pPr>
        <w:pStyle w:val="FootnoteText"/>
        <w:rPr>
          <w:szCs w:val="18"/>
        </w:rPr>
      </w:pPr>
      <w:r w:rsidRPr="00DB0543">
        <w:rPr>
          <w:rStyle w:val="FootnoteReference"/>
          <w:szCs w:val="18"/>
        </w:rPr>
        <w:footnoteRef/>
      </w:r>
      <w:r w:rsidRPr="00DB0543">
        <w:rPr>
          <w:szCs w:val="18"/>
        </w:rPr>
        <w:t xml:space="preserve"> </w:t>
      </w:r>
      <w:r w:rsidRPr="004F33EE">
        <w:rPr>
          <w:szCs w:val="18"/>
        </w:rPr>
        <w:t>The June 2008 FDA Guidance for Industry recommends use of the one sided 99% confidence interval (CI), and it appears that two sided 98% CI was actually calculated.</w:t>
      </w:r>
    </w:p>
  </w:footnote>
  <w:footnote w:id="4">
    <w:p w:rsidR="00DF525E" w:rsidRPr="00E67756" w:rsidRDefault="00DF525E" w:rsidP="00245131">
      <w:pPr>
        <w:pStyle w:val="FootnoteText"/>
        <w:rPr>
          <w:szCs w:val="18"/>
        </w:rPr>
      </w:pPr>
      <w:r w:rsidRPr="00E67756">
        <w:rPr>
          <w:rStyle w:val="FootnoteReference"/>
          <w:szCs w:val="18"/>
        </w:rPr>
        <w:footnoteRef/>
      </w:r>
      <w:r w:rsidRPr="00E67756">
        <w:rPr>
          <w:szCs w:val="18"/>
        </w:rPr>
        <w:t xml:space="preserve"> </w:t>
      </w:r>
      <w:r>
        <w:rPr>
          <w:szCs w:val="18"/>
        </w:rPr>
        <w:t>&lt;</w:t>
      </w:r>
      <w:r w:rsidRPr="004F33EE">
        <w:rPr>
          <w:szCs w:val="18"/>
        </w:rPr>
        <w:t>www.disabilitydurations.com/pr_repmdc.htm</w:t>
      </w:r>
      <w:r>
        <w:rPr>
          <w:szCs w:val="18"/>
        </w:rPr>
        <w:t>&gt;</w:t>
      </w:r>
    </w:p>
  </w:footnote>
  <w:footnote w:id="5">
    <w:p w:rsidR="00DF525E" w:rsidRPr="00E67756" w:rsidRDefault="00DF525E" w:rsidP="00245131">
      <w:pPr>
        <w:pStyle w:val="FootnoteText"/>
        <w:rPr>
          <w:szCs w:val="18"/>
        </w:rPr>
      </w:pPr>
      <w:r w:rsidRPr="00E67756">
        <w:rPr>
          <w:rStyle w:val="FootnoteReference"/>
          <w:szCs w:val="18"/>
        </w:rPr>
        <w:footnoteRef/>
      </w:r>
      <w:r w:rsidRPr="00E67756">
        <w:rPr>
          <w:szCs w:val="18"/>
        </w:rPr>
        <w:t xml:space="preserve"> </w:t>
      </w:r>
      <w:r>
        <w:rPr>
          <w:szCs w:val="18"/>
        </w:rPr>
        <w:t>&lt;</w:t>
      </w:r>
      <w:r w:rsidRPr="004F33EE">
        <w:rPr>
          <w:kern w:val="0"/>
          <w:szCs w:val="18"/>
        </w:rPr>
        <w:t>www.cdc.gov/nchs/fastats</w:t>
      </w:r>
      <w:r>
        <w:rPr>
          <w:kern w:val="0"/>
          <w:szCs w:val="18"/>
        </w:rPr>
        <w:t>&gt;</w:t>
      </w:r>
    </w:p>
  </w:footnote>
  <w:footnote w:id="6">
    <w:p w:rsidR="00DF525E" w:rsidRPr="005E7AEA" w:rsidRDefault="00DF525E" w:rsidP="005E7AEA">
      <w:pPr>
        <w:rPr>
          <w:rStyle w:val="FootnoteTextChar"/>
          <w:rFonts w:eastAsia="Cambria"/>
        </w:rPr>
      </w:pPr>
      <w:r w:rsidRPr="00DA6925">
        <w:rPr>
          <w:rStyle w:val="FootnoteReference"/>
          <w:sz w:val="18"/>
          <w:szCs w:val="18"/>
        </w:rPr>
        <w:footnoteRef/>
      </w:r>
      <w:r w:rsidRPr="00DA6925">
        <w:rPr>
          <w:sz w:val="18"/>
          <w:szCs w:val="18"/>
        </w:rPr>
        <w:t xml:space="preserve"> </w:t>
      </w:r>
      <w:r w:rsidRPr="005E7AEA">
        <w:rPr>
          <w:rStyle w:val="FootnoteTextChar"/>
          <w:rFonts w:eastAsia="Cambria"/>
        </w:rPr>
        <w:t>The FDA took issue with the sponsor’s choice to list as not related, three infections occurring in one patient, leading to change from investigational product to commercial product for one patient. The FDA requested that the infections be “possibly related”. The FDA had questions regarding the reporting of safety data with regard to the number of infections based on discrepancy between the number treated with antibiotics and the number reported to have infection.</w:t>
      </w:r>
    </w:p>
  </w:footnote>
  <w:footnote w:id="7">
    <w:p w:rsidR="00DF525E" w:rsidRPr="004F33EE" w:rsidRDefault="00DF525E" w:rsidP="005E7AEA">
      <w:pPr>
        <w:pStyle w:val="FootnoteText"/>
      </w:pPr>
      <w:r w:rsidRPr="00DA6925">
        <w:rPr>
          <w:rStyle w:val="FootnoteReference"/>
          <w:szCs w:val="18"/>
        </w:rPr>
        <w:footnoteRef/>
      </w:r>
      <w:r w:rsidRPr="00DA6925">
        <w:t xml:space="preserve"> </w:t>
      </w:r>
      <w:r w:rsidRPr="004F33EE">
        <w:t>In Study IG202, regression of haemorrhages during the first 10 or 14 days was by definition:</w:t>
      </w:r>
    </w:p>
    <w:p w:rsidR="00DF525E" w:rsidRPr="004F33EE" w:rsidRDefault="00DF525E" w:rsidP="005E7AEA">
      <w:pPr>
        <w:pStyle w:val="FootnoteText"/>
      </w:pPr>
      <w:r w:rsidRPr="004F33EE">
        <w:t>No occurrence of any important spontaneous bleeding and in patients with bleeding symptoms at the moment of the first infusion at least one of the following conditions will take place:</w:t>
      </w:r>
    </w:p>
    <w:p w:rsidR="00DF525E" w:rsidRPr="005E7AEA" w:rsidRDefault="00DF525E" w:rsidP="005E7AEA">
      <w:pPr>
        <w:pStyle w:val="ListBullet"/>
        <w:spacing w:before="0" w:after="0"/>
        <w:rPr>
          <w:sz w:val="18"/>
          <w:szCs w:val="18"/>
        </w:rPr>
      </w:pPr>
      <w:r w:rsidRPr="005E7AEA">
        <w:rPr>
          <w:sz w:val="18"/>
          <w:szCs w:val="18"/>
        </w:rPr>
        <w:t xml:space="preserve">Reduction of the size of large </w:t>
      </w:r>
      <w:proofErr w:type="spellStart"/>
      <w:r w:rsidRPr="005E7AEA">
        <w:rPr>
          <w:sz w:val="18"/>
          <w:szCs w:val="18"/>
        </w:rPr>
        <w:t>ecchymoses</w:t>
      </w:r>
      <w:proofErr w:type="spellEnd"/>
      <w:r w:rsidRPr="005E7AEA">
        <w:rPr>
          <w:sz w:val="18"/>
          <w:szCs w:val="18"/>
        </w:rPr>
        <w:t xml:space="preserve">, and no spontaneous appearance of new </w:t>
      </w:r>
      <w:proofErr w:type="spellStart"/>
      <w:r w:rsidRPr="005E7AEA">
        <w:rPr>
          <w:sz w:val="18"/>
          <w:szCs w:val="18"/>
        </w:rPr>
        <w:t>ecchymoses</w:t>
      </w:r>
      <w:proofErr w:type="spellEnd"/>
      <w:r w:rsidRPr="005E7AEA">
        <w:rPr>
          <w:sz w:val="18"/>
          <w:szCs w:val="18"/>
        </w:rPr>
        <w:t>;</w:t>
      </w:r>
    </w:p>
    <w:p w:rsidR="00DF525E" w:rsidRPr="005E7AEA" w:rsidRDefault="00DF525E" w:rsidP="005E7AEA">
      <w:pPr>
        <w:pStyle w:val="ListBullet"/>
        <w:spacing w:before="0" w:after="0"/>
        <w:rPr>
          <w:sz w:val="18"/>
          <w:szCs w:val="18"/>
        </w:rPr>
      </w:pPr>
      <w:r w:rsidRPr="005E7AEA">
        <w:rPr>
          <w:sz w:val="18"/>
          <w:szCs w:val="18"/>
        </w:rPr>
        <w:t xml:space="preserve">The number of </w:t>
      </w:r>
      <w:proofErr w:type="spellStart"/>
      <w:r w:rsidRPr="005E7AEA">
        <w:rPr>
          <w:sz w:val="18"/>
          <w:szCs w:val="18"/>
        </w:rPr>
        <w:t>cutaneous</w:t>
      </w:r>
      <w:proofErr w:type="spellEnd"/>
      <w:r w:rsidRPr="005E7AEA">
        <w:rPr>
          <w:sz w:val="18"/>
          <w:szCs w:val="18"/>
        </w:rPr>
        <w:t xml:space="preserve"> </w:t>
      </w:r>
      <w:proofErr w:type="spellStart"/>
      <w:r w:rsidRPr="005E7AEA">
        <w:rPr>
          <w:sz w:val="18"/>
          <w:szCs w:val="18"/>
        </w:rPr>
        <w:t>petechiae</w:t>
      </w:r>
      <w:proofErr w:type="spellEnd"/>
      <w:r w:rsidRPr="005E7AEA">
        <w:rPr>
          <w:sz w:val="18"/>
          <w:szCs w:val="18"/>
        </w:rPr>
        <w:t xml:space="preserve"> or the extension of the affected parts of the body decrease; or</w:t>
      </w:r>
    </w:p>
    <w:p w:rsidR="00DF525E" w:rsidRPr="005E7AEA" w:rsidRDefault="00DF525E" w:rsidP="005E7AEA">
      <w:pPr>
        <w:pStyle w:val="ListBullet"/>
        <w:spacing w:before="0" w:after="0"/>
        <w:rPr>
          <w:sz w:val="18"/>
          <w:szCs w:val="18"/>
        </w:rPr>
      </w:pPr>
      <w:r w:rsidRPr="005E7AEA">
        <w:rPr>
          <w:sz w:val="18"/>
          <w:szCs w:val="18"/>
        </w:rPr>
        <w:t xml:space="preserve">Active mucosal bleedings presented at the moment of the infusion stop without </w:t>
      </w:r>
      <w:proofErr w:type="spellStart"/>
      <w:r w:rsidRPr="005E7AEA">
        <w:rPr>
          <w:sz w:val="18"/>
          <w:szCs w:val="18"/>
        </w:rPr>
        <w:t>rebleeding</w:t>
      </w:r>
      <w:proofErr w:type="spellEnd"/>
      <w:r w:rsidRPr="005E7AEA">
        <w:rPr>
          <w:sz w:val="18"/>
          <w:szCs w:val="18"/>
        </w:rPr>
        <w:t xml:space="preserve"> and no occurrence of new spontaneous mucosal haemorrhages (for example, gingival bleeding, </w:t>
      </w:r>
      <w:proofErr w:type="spellStart"/>
      <w:proofErr w:type="gramStart"/>
      <w:r w:rsidRPr="005E7AEA">
        <w:rPr>
          <w:sz w:val="18"/>
          <w:szCs w:val="18"/>
        </w:rPr>
        <w:t>epistaxis</w:t>
      </w:r>
      <w:proofErr w:type="spellEnd"/>
      <w:proofErr w:type="gramEnd"/>
      <w:r w:rsidRPr="005E7AEA">
        <w:rPr>
          <w:sz w:val="18"/>
          <w:szCs w:val="18"/>
        </w:rPr>
        <w:t>).</w:t>
      </w:r>
    </w:p>
    <w:p w:rsidR="00DF525E" w:rsidRPr="00F971EC" w:rsidRDefault="00DF525E" w:rsidP="005E7AEA">
      <w:pPr>
        <w:pStyle w:val="FootnoteText"/>
      </w:pPr>
      <w:r w:rsidRPr="004F33EE">
        <w:t>Regression of haemorrhages in Study IG0601 was defined by the proportion of treated patients with haemorrhage/bleedings at Day 1 (that is, the day of the first infusion, pre infusion) who improve their diathesis during the clinical follow-up period ending on Day 15 ± 1. Assessment of regression is made according to a categorised rating scale defined in advance.</w:t>
      </w:r>
    </w:p>
  </w:footnote>
  <w:footnote w:id="8">
    <w:p w:rsidR="00DF525E" w:rsidRPr="00F971EC" w:rsidRDefault="00DF525E" w:rsidP="005E7AEA">
      <w:pPr>
        <w:pStyle w:val="FootnoteText"/>
      </w:pPr>
      <w:r w:rsidRPr="00F971EC">
        <w:rPr>
          <w:rStyle w:val="FootnoteReference"/>
          <w:szCs w:val="18"/>
        </w:rPr>
        <w:footnoteRef/>
      </w:r>
      <w:r w:rsidRPr="00F971EC">
        <w:t xml:space="preserve"> </w:t>
      </w:r>
      <w:r w:rsidRPr="004F33EE">
        <w:t>European Medicines Agency, “Note for Guidance on the Clinical Investigation of Human Normal Immunoglobulin for Intravenous Administration (</w:t>
      </w:r>
      <w:proofErr w:type="spellStart"/>
      <w:r w:rsidRPr="004F33EE">
        <w:t>IVIg</w:t>
      </w:r>
      <w:proofErr w:type="spellEnd"/>
      <w:r w:rsidRPr="004F33EE">
        <w:t>)”, June 2000, Web, accessed 16 April 2012 &lt;http://www.tga.gov.au/pdf/</w:t>
      </w:r>
      <w:r>
        <w:t xml:space="preserve"> </w:t>
      </w:r>
      <w:proofErr w:type="spellStart"/>
      <w:r w:rsidRPr="004F33EE">
        <w:t>euguide</w:t>
      </w:r>
      <w:proofErr w:type="spellEnd"/>
      <w:r w:rsidRPr="004F33EE">
        <w:t>/bwp038895en.pdf&gt;</w:t>
      </w:r>
      <w:r>
        <w:t>.</w:t>
      </w:r>
    </w:p>
  </w:footnote>
  <w:footnote w:id="9">
    <w:p w:rsidR="00DF525E" w:rsidRPr="003E1DF2" w:rsidRDefault="00DF525E" w:rsidP="003E1DF2">
      <w:pPr>
        <w:keepNext/>
        <w:autoSpaceDE w:val="0"/>
        <w:autoSpaceDN w:val="0"/>
        <w:adjustRightInd w:val="0"/>
        <w:spacing w:after="0"/>
        <w:rPr>
          <w:rStyle w:val="FootnoteTextChar"/>
          <w:rFonts w:eastAsia="Cambria"/>
        </w:rPr>
      </w:pPr>
      <w:r>
        <w:rPr>
          <w:rStyle w:val="FootnoteReference"/>
        </w:rPr>
        <w:footnoteRef/>
      </w:r>
      <w:r>
        <w:t xml:space="preserve"> </w:t>
      </w:r>
      <w:r w:rsidRPr="003E1DF2">
        <w:rPr>
          <w:rStyle w:val="FootnoteTextChar"/>
          <w:rFonts w:eastAsia="Cambria"/>
        </w:rPr>
        <w:t xml:space="preserve">Routine </w:t>
      </w:r>
      <w:proofErr w:type="spellStart"/>
      <w:r w:rsidRPr="003E1DF2">
        <w:rPr>
          <w:rStyle w:val="FootnoteTextChar"/>
          <w:rFonts w:eastAsia="Cambria"/>
        </w:rPr>
        <w:t>pharmacovigilance</w:t>
      </w:r>
      <w:proofErr w:type="spellEnd"/>
      <w:r w:rsidRPr="003E1DF2">
        <w:rPr>
          <w:rStyle w:val="FootnoteTextChar"/>
          <w:rFonts w:eastAsia="Cambria"/>
        </w:rPr>
        <w:t xml:space="preserve"> practices involve the following activities:</w:t>
      </w:r>
    </w:p>
    <w:p w:rsidR="00DF525E" w:rsidRPr="003E1DF2" w:rsidRDefault="00DF525E" w:rsidP="003E1DF2">
      <w:pPr>
        <w:pStyle w:val="ListBullet"/>
        <w:spacing w:before="0" w:after="0"/>
        <w:rPr>
          <w:sz w:val="18"/>
          <w:szCs w:val="18"/>
        </w:rPr>
      </w:pPr>
      <w:r w:rsidRPr="003E1DF2">
        <w:rPr>
          <w:sz w:val="18"/>
          <w:szCs w:val="18"/>
          <w:lang w:val="en-US"/>
        </w:rPr>
        <w:t>All suspected adverse reactions that are reported to the personnel of the company are collected and collated in an accessible manner;</w:t>
      </w:r>
    </w:p>
    <w:p w:rsidR="00DF525E" w:rsidRPr="003E1DF2" w:rsidRDefault="00DF525E" w:rsidP="003E1DF2">
      <w:pPr>
        <w:pStyle w:val="ListBullet"/>
        <w:spacing w:before="0" w:after="0"/>
        <w:rPr>
          <w:sz w:val="18"/>
          <w:szCs w:val="18"/>
        </w:rPr>
      </w:pPr>
      <w:r w:rsidRPr="003E1DF2">
        <w:rPr>
          <w:sz w:val="18"/>
          <w:szCs w:val="18"/>
          <w:lang w:val="en-US"/>
        </w:rPr>
        <w:t>Reporting to regulatory authorities;</w:t>
      </w:r>
    </w:p>
    <w:p w:rsidR="00DF525E" w:rsidRPr="003E1DF2" w:rsidRDefault="00DF525E" w:rsidP="003E1DF2">
      <w:pPr>
        <w:pStyle w:val="ListBullet"/>
        <w:spacing w:before="0" w:after="0"/>
        <w:rPr>
          <w:sz w:val="18"/>
          <w:szCs w:val="18"/>
        </w:rPr>
      </w:pPr>
      <w:r w:rsidRPr="003E1DF2">
        <w:rPr>
          <w:sz w:val="18"/>
          <w:szCs w:val="18"/>
          <w:lang w:val="en-US"/>
        </w:rPr>
        <w:t>Continuous monitoring of the safety profiles of approved products including signal detection and updating of labeling;</w:t>
      </w:r>
    </w:p>
    <w:p w:rsidR="00DF525E" w:rsidRPr="003E1DF2" w:rsidRDefault="00DF525E" w:rsidP="003E1DF2">
      <w:pPr>
        <w:pStyle w:val="ListBullet"/>
        <w:spacing w:before="0" w:after="0"/>
        <w:rPr>
          <w:sz w:val="18"/>
          <w:szCs w:val="18"/>
        </w:rPr>
      </w:pPr>
      <w:r w:rsidRPr="003E1DF2">
        <w:rPr>
          <w:sz w:val="18"/>
          <w:szCs w:val="18"/>
          <w:lang w:val="en-US"/>
        </w:rPr>
        <w:t>Submission of PSURs;</w:t>
      </w:r>
    </w:p>
    <w:p w:rsidR="00DF525E" w:rsidRPr="003E1DF2" w:rsidRDefault="00DF525E" w:rsidP="003E1DF2">
      <w:pPr>
        <w:pStyle w:val="ListBullet"/>
        <w:spacing w:before="0" w:after="0"/>
        <w:rPr>
          <w:sz w:val="18"/>
          <w:szCs w:val="18"/>
        </w:rPr>
      </w:pPr>
      <w:r w:rsidRPr="003E1DF2">
        <w:rPr>
          <w:sz w:val="18"/>
          <w:szCs w:val="18"/>
          <w:lang w:val="en-US"/>
        </w:rPr>
        <w:t>Meeting other local regulatory agency requirements.</w:t>
      </w:r>
    </w:p>
  </w:footnote>
  <w:footnote w:id="10">
    <w:p w:rsidR="00DF525E" w:rsidRDefault="00DF525E" w:rsidP="003E1DF2">
      <w:pPr>
        <w:keepNext/>
        <w:autoSpaceDE w:val="0"/>
        <w:autoSpaceDN w:val="0"/>
        <w:adjustRightInd w:val="0"/>
      </w:pPr>
      <w:r>
        <w:rPr>
          <w:rStyle w:val="FootnoteReference"/>
        </w:rPr>
        <w:footnoteRef/>
      </w:r>
      <w:r>
        <w:t xml:space="preserve"> </w:t>
      </w:r>
      <w:r w:rsidRPr="003E1DF2">
        <w:rPr>
          <w:rStyle w:val="FootnoteTextChar"/>
          <w:rFonts w:eastAsia="Cambria"/>
        </w:rPr>
        <w:t>Routine risk minimisation activities may be limited to ensuring that suitable warnings are included in the product information or by careful use of labelling and packaging.</w:t>
      </w:r>
    </w:p>
  </w:footnote>
  <w:footnote w:id="11">
    <w:p w:rsidR="00DF525E" w:rsidRPr="00A93FD8" w:rsidRDefault="00DF525E" w:rsidP="00A93FD8">
      <w:pPr>
        <w:autoSpaceDE w:val="0"/>
        <w:autoSpaceDN w:val="0"/>
        <w:adjustRightInd w:val="0"/>
        <w:spacing w:after="0" w:line="240" w:lineRule="auto"/>
        <w:rPr>
          <w:rStyle w:val="FootnoteTextChar"/>
          <w:rFonts w:eastAsia="Cambria"/>
        </w:rPr>
      </w:pPr>
      <w:r>
        <w:rPr>
          <w:rStyle w:val="FootnoteReference"/>
        </w:rPr>
        <w:footnoteRef/>
      </w:r>
      <w:r>
        <w:t xml:space="preserve"> </w:t>
      </w:r>
      <w:r w:rsidRPr="00A93FD8">
        <w:rPr>
          <w:rStyle w:val="FootnoteTextChar"/>
          <w:rFonts w:eastAsia="Cambria"/>
        </w:rPr>
        <w:t xml:space="preserve">MV </w:t>
      </w:r>
      <w:proofErr w:type="spellStart"/>
      <w:r w:rsidRPr="00A93FD8">
        <w:rPr>
          <w:rStyle w:val="FootnoteTextChar"/>
          <w:rFonts w:eastAsia="Cambria"/>
        </w:rPr>
        <w:t>Ovanesov</w:t>
      </w:r>
      <w:proofErr w:type="spellEnd"/>
      <w:r w:rsidRPr="00A93FD8">
        <w:rPr>
          <w:rStyle w:val="FootnoteTextChar"/>
          <w:rFonts w:eastAsia="Cambria"/>
        </w:rPr>
        <w:t xml:space="preserve">. Laboratory of </w:t>
      </w:r>
      <w:proofErr w:type="spellStart"/>
      <w:r w:rsidRPr="00A93FD8">
        <w:rPr>
          <w:rStyle w:val="FootnoteTextChar"/>
          <w:rFonts w:eastAsia="Cambria"/>
        </w:rPr>
        <w:t>Hemostasis</w:t>
      </w:r>
      <w:proofErr w:type="spellEnd"/>
      <w:r w:rsidRPr="00A93FD8">
        <w:rPr>
          <w:rStyle w:val="FootnoteTextChar"/>
          <w:rFonts w:eastAsia="Cambria"/>
        </w:rPr>
        <w:t xml:space="preserve">, Division of </w:t>
      </w:r>
      <w:proofErr w:type="spellStart"/>
      <w:r w:rsidRPr="00A93FD8">
        <w:rPr>
          <w:rStyle w:val="FootnoteTextChar"/>
          <w:rFonts w:eastAsia="Cambria"/>
        </w:rPr>
        <w:t>Hematology</w:t>
      </w:r>
      <w:proofErr w:type="spellEnd"/>
      <w:r w:rsidRPr="00A93FD8">
        <w:rPr>
          <w:rStyle w:val="FootnoteTextChar"/>
          <w:rFonts w:eastAsia="Cambria"/>
        </w:rPr>
        <w:t xml:space="preserve">, Office of Blood Research and Review, CBER, US Food and Drug Administration, FDA Workshop: Risk Mitigation Strategies to Address </w:t>
      </w:r>
      <w:proofErr w:type="spellStart"/>
      <w:r w:rsidRPr="00A93FD8">
        <w:rPr>
          <w:rStyle w:val="FootnoteTextChar"/>
          <w:rFonts w:eastAsia="Cambria"/>
        </w:rPr>
        <w:t>Procoagulant</w:t>
      </w:r>
      <w:proofErr w:type="spellEnd"/>
      <w:r w:rsidRPr="00A93FD8">
        <w:rPr>
          <w:rStyle w:val="FootnoteTextChar"/>
          <w:rFonts w:eastAsia="Cambria"/>
        </w:rPr>
        <w:t xml:space="preserve"> Activity in Immune Globulin Products, 17 May 2011, Bethesda, MD; J </w:t>
      </w:r>
      <w:proofErr w:type="spellStart"/>
      <w:r w:rsidRPr="00A93FD8">
        <w:rPr>
          <w:rStyle w:val="FootnoteTextChar"/>
          <w:rFonts w:eastAsia="Cambria"/>
        </w:rPr>
        <w:t>Roemisch</w:t>
      </w:r>
      <w:proofErr w:type="spellEnd"/>
      <w:r w:rsidRPr="00A93FD8">
        <w:rPr>
          <w:rStyle w:val="FootnoteTextChar"/>
          <w:rFonts w:eastAsia="Cambria"/>
        </w:rPr>
        <w:t xml:space="preserve">, Senior Vice President R&amp;D Plasma, </w:t>
      </w:r>
      <w:proofErr w:type="spellStart"/>
      <w:r w:rsidRPr="00A93FD8">
        <w:rPr>
          <w:rStyle w:val="FootnoteTextChar"/>
          <w:rFonts w:eastAsia="Cambria"/>
        </w:rPr>
        <w:t>Octapharma</w:t>
      </w:r>
      <w:proofErr w:type="spellEnd"/>
      <w:r w:rsidRPr="00A93FD8">
        <w:rPr>
          <w:rStyle w:val="FootnoteTextChar"/>
          <w:rFonts w:eastAsia="Cambria"/>
        </w:rPr>
        <w:t xml:space="preserve"> </w:t>
      </w:r>
      <w:proofErr w:type="spellStart"/>
      <w:r w:rsidRPr="00A93FD8">
        <w:rPr>
          <w:rStyle w:val="FootnoteTextChar"/>
          <w:rFonts w:eastAsia="Cambria"/>
        </w:rPr>
        <w:t>PPGmbH</w:t>
      </w:r>
      <w:proofErr w:type="spellEnd"/>
      <w:r w:rsidRPr="00A93FD8">
        <w:rPr>
          <w:rStyle w:val="FootnoteTextChar"/>
          <w:rFonts w:eastAsia="Cambria"/>
        </w:rPr>
        <w:t xml:space="preserve"> Vienna, Austria, Workshop: Risk Mitigation Strategies to Address Pro coagulant Activity in Immune Globulin Products, 17 May 2011, Bethesda, MD.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25E" w:rsidRDefault="00DF525E"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25E" w:rsidRDefault="00DF525E">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58752" wrapcoords="-38 0 -38 21573 21600 21573 21600 0 -38 0">
          <v:imagedata r:id="rId1" o:title="AUSPAR-BG-HQ03"/>
        </v:shape>
      </w:pict>
    </w:r>
  </w:p>
  <w:p w:rsidR="00DF525E" w:rsidRDefault="00DF525E" w:rsidP="00593AD1">
    <w:pPr>
      <w:pStyle w:val="HeaderNoLine"/>
    </w:pPr>
    <w:r>
      <w:rPr>
        <w:noProof/>
        <w:lang w:eastAsia="en-AU"/>
      </w:rPr>
      <w:pict>
        <v:shape id="_x0000_i1025" type="#_x0000_t75" alt="Lightblue.jpg" style="width:424.9pt;height:601.1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25E" w:rsidRDefault="00DF525E">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25E" w:rsidRDefault="00DF525E">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25E" w:rsidRDefault="00DF525E">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25E" w:rsidRDefault="00DF525E">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25E" w:rsidRDefault="00DF525E" w:rsidP="004C239D">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25E" w:rsidRDefault="00DF525E" w:rsidP="006E08B3">
    <w:r>
      <w:t>Therapeutic Goods Administration</w:t>
    </w:r>
  </w:p>
  <w:p w:rsidR="00DF525E" w:rsidRDefault="00DF525E"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5103806"/>
    <w:lvl w:ilvl="0">
      <w:start w:val="1"/>
      <w:numFmt w:val="decimal"/>
      <w:lvlText w:val="%1."/>
      <w:lvlJc w:val="left"/>
      <w:pPr>
        <w:tabs>
          <w:tab w:val="num" w:pos="1492"/>
        </w:tabs>
        <w:ind w:left="1492" w:hanging="360"/>
      </w:pPr>
    </w:lvl>
  </w:abstractNum>
  <w:abstractNum w:abstractNumId="1">
    <w:nsid w:val="FFFFFF7D"/>
    <w:multiLevelType w:val="singleLevel"/>
    <w:tmpl w:val="FB708E7E"/>
    <w:lvl w:ilvl="0">
      <w:start w:val="1"/>
      <w:numFmt w:val="decimal"/>
      <w:lvlText w:val="%1."/>
      <w:lvlJc w:val="left"/>
      <w:pPr>
        <w:tabs>
          <w:tab w:val="num" w:pos="1209"/>
        </w:tabs>
        <w:ind w:left="1209" w:hanging="360"/>
      </w:pPr>
    </w:lvl>
  </w:abstractNum>
  <w:abstractNum w:abstractNumId="2">
    <w:nsid w:val="FFFFFF7E"/>
    <w:multiLevelType w:val="singleLevel"/>
    <w:tmpl w:val="B0BEE30C"/>
    <w:lvl w:ilvl="0">
      <w:start w:val="1"/>
      <w:numFmt w:val="decimal"/>
      <w:lvlText w:val="%1."/>
      <w:lvlJc w:val="left"/>
      <w:pPr>
        <w:tabs>
          <w:tab w:val="num" w:pos="926"/>
        </w:tabs>
        <w:ind w:left="926" w:hanging="360"/>
      </w:pPr>
    </w:lvl>
  </w:abstractNum>
  <w:abstractNum w:abstractNumId="3">
    <w:nsid w:val="FFFFFF7F"/>
    <w:multiLevelType w:val="singleLevel"/>
    <w:tmpl w:val="8272BC9E"/>
    <w:lvl w:ilvl="0">
      <w:start w:val="1"/>
      <w:numFmt w:val="decimal"/>
      <w:lvlText w:val="%1."/>
      <w:lvlJc w:val="left"/>
      <w:pPr>
        <w:tabs>
          <w:tab w:val="num" w:pos="643"/>
        </w:tabs>
        <w:ind w:left="643" w:hanging="360"/>
      </w:pPr>
    </w:lvl>
  </w:abstractNum>
  <w:abstractNum w:abstractNumId="4">
    <w:nsid w:val="FFFFFF80"/>
    <w:multiLevelType w:val="singleLevel"/>
    <w:tmpl w:val="BD0C2D6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5D2937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nsid w:val="FFFFFF88"/>
    <w:multiLevelType w:val="singleLevel"/>
    <w:tmpl w:val="FB84ADE4"/>
    <w:lvl w:ilvl="0">
      <w:start w:val="1"/>
      <w:numFmt w:val="decimal"/>
      <w:lvlText w:val="%1."/>
      <w:lvlJc w:val="left"/>
      <w:pPr>
        <w:tabs>
          <w:tab w:val="num" w:pos="360"/>
        </w:tabs>
        <w:ind w:left="360" w:hanging="360"/>
      </w:pPr>
    </w:lvl>
  </w:abstractNum>
  <w:abstractNum w:abstractNumId="9">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8320B0A"/>
    <w:lvl w:ilvl="0">
      <w:numFmt w:val="bullet"/>
      <w:lvlText w:val="*"/>
      <w:lvlJc w:val="left"/>
    </w:lvl>
  </w:abstractNum>
  <w:abstractNum w:abstractNumId="11">
    <w:nsid w:val="08166E2D"/>
    <w:multiLevelType w:val="hybridMultilevel"/>
    <w:tmpl w:val="161A5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3">
    <w:nsid w:val="13537FD9"/>
    <w:multiLevelType w:val="hybridMultilevel"/>
    <w:tmpl w:val="FA86832A"/>
    <w:lvl w:ilvl="0" w:tplc="050ABC4C">
      <w:start w:val="1"/>
      <w:numFmt w:val="decimal"/>
      <w:lvlText w:val="%1."/>
      <w:lvlJc w:val="left"/>
      <w:pPr>
        <w:ind w:left="78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5">
    <w:nsid w:val="20AF1F68"/>
    <w:multiLevelType w:val="hybridMultilevel"/>
    <w:tmpl w:val="4B568C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4ADF244B"/>
    <w:multiLevelType w:val="hybridMultilevel"/>
    <w:tmpl w:val="2A209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C1F32C8"/>
    <w:multiLevelType w:val="hybridMultilevel"/>
    <w:tmpl w:val="D7824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37B74BF"/>
    <w:multiLevelType w:val="hybridMultilevel"/>
    <w:tmpl w:val="2B0CC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4BB7BB9"/>
    <w:multiLevelType w:val="hybridMultilevel"/>
    <w:tmpl w:val="7F2C23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7"/>
  </w:num>
  <w:num w:numId="3">
    <w:abstractNumId w:val="14"/>
  </w:num>
  <w:num w:numId="4">
    <w:abstractNumId w:val="14"/>
  </w:num>
  <w:num w:numId="5">
    <w:abstractNumId w:val="6"/>
  </w:num>
  <w:num w:numId="6">
    <w:abstractNumId w:val="14"/>
  </w:num>
  <w:num w:numId="7">
    <w:abstractNumId w:val="14"/>
  </w:num>
  <w:num w:numId="8">
    <w:abstractNumId w:val="12"/>
  </w:num>
  <w:num w:numId="9">
    <w:abstractNumId w:val="12"/>
  </w:num>
  <w:num w:numId="10">
    <w:abstractNumId w:val="12"/>
  </w:num>
  <w:num w:numId="11">
    <w:abstractNumId w:val="12"/>
  </w:num>
  <w:num w:numId="12">
    <w:abstractNumId w:val="10"/>
    <w:lvlOverride w:ilvl="0">
      <w:lvl w:ilvl="0">
        <w:numFmt w:val="bullet"/>
        <w:lvlText w:val="•"/>
        <w:legacy w:legacy="1" w:legacySpace="0" w:legacyIndent="0"/>
        <w:lvlJc w:val="left"/>
        <w:rPr>
          <w:rFonts w:ascii="Helv" w:hAnsi="Helv" w:hint="default"/>
        </w:rPr>
      </w:lvl>
    </w:lvlOverride>
  </w:num>
  <w:num w:numId="13">
    <w:abstractNumId w:val="14"/>
  </w:num>
  <w:num w:numId="14">
    <w:abstractNumId w:val="14"/>
  </w:num>
  <w:num w:numId="15">
    <w:abstractNumId w:val="14"/>
  </w:num>
  <w:num w:numId="16">
    <w:abstractNumId w:val="12"/>
  </w:num>
  <w:num w:numId="17">
    <w:abstractNumId w:val="12"/>
  </w:num>
  <w:num w:numId="18">
    <w:abstractNumId w:val="12"/>
  </w:num>
  <w:num w:numId="19">
    <w:abstractNumId w:val="14"/>
  </w:num>
  <w:num w:numId="20">
    <w:abstractNumId w:val="14"/>
  </w:num>
  <w:num w:numId="21">
    <w:abstractNumId w:val="14"/>
  </w:num>
  <w:num w:numId="22">
    <w:abstractNumId w:val="12"/>
  </w:num>
  <w:num w:numId="23">
    <w:abstractNumId w:val="12"/>
  </w:num>
  <w:num w:numId="24">
    <w:abstractNumId w:val="12"/>
  </w:num>
  <w:num w:numId="25">
    <w:abstractNumId w:val="1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7"/>
  </w:num>
  <w:num w:numId="28">
    <w:abstractNumId w:val="11"/>
  </w:num>
  <w:num w:numId="29">
    <w:abstractNumId w:val="19"/>
  </w:num>
  <w:num w:numId="30">
    <w:abstractNumId w:val="15"/>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num>
  <w:num w:numId="42">
    <w:abstractNumId w:val="18"/>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00"/>
  <w:displayBackgroundShape/>
  <w:proofState w:spelling="clean" w:grammar="clean"/>
  <w:attachedTemplate r:id="rId1"/>
  <w:stylePaneFormatFilter w:val="1004"/>
  <w:stylePaneSortMethod w:val="0000"/>
  <w:defaultTabStop w:val="720"/>
  <w:drawingGridHorizontalSpacing w:val="110"/>
  <w:displayHorizontalDrawingGridEvery w:val="2"/>
  <w:characterSpacingControl w:val="doNotCompress"/>
  <w:hdrShapeDefaults>
    <o:shapedefaults v:ext="edit" spidmax="49154">
      <o:colormenu v:ext="edit" fillcolor="none [3206]"/>
    </o:shapedefaults>
    <o:shapelayout v:ext="edit">
      <o:idmap v:ext="edit" data="46"/>
    </o:shapelayout>
  </w:hdrShapeDefaults>
  <w:footnotePr>
    <w:footnote w:id="-1"/>
    <w:footnote w:id="0"/>
  </w:footnotePr>
  <w:endnotePr>
    <w:endnote w:id="-1"/>
    <w:endnote w:id="0"/>
  </w:endnotePr>
  <w:compat/>
  <w:rsids>
    <w:rsidRoot w:val="002E64AC"/>
    <w:rsid w:val="00002031"/>
    <w:rsid w:val="00004734"/>
    <w:rsid w:val="00006B22"/>
    <w:rsid w:val="0001276A"/>
    <w:rsid w:val="000246AE"/>
    <w:rsid w:val="00025C67"/>
    <w:rsid w:val="0005559E"/>
    <w:rsid w:val="00077775"/>
    <w:rsid w:val="00090471"/>
    <w:rsid w:val="00096AA7"/>
    <w:rsid w:val="000A3AED"/>
    <w:rsid w:val="000B3532"/>
    <w:rsid w:val="000B3A75"/>
    <w:rsid w:val="000C690F"/>
    <w:rsid w:val="000D1295"/>
    <w:rsid w:val="000D391B"/>
    <w:rsid w:val="000D3D6D"/>
    <w:rsid w:val="000D4FC7"/>
    <w:rsid w:val="000F4869"/>
    <w:rsid w:val="000F5B42"/>
    <w:rsid w:val="000F6E6F"/>
    <w:rsid w:val="0010601F"/>
    <w:rsid w:val="0010788A"/>
    <w:rsid w:val="00107A31"/>
    <w:rsid w:val="00110EA5"/>
    <w:rsid w:val="00112F56"/>
    <w:rsid w:val="00125318"/>
    <w:rsid w:val="001305A2"/>
    <w:rsid w:val="00133238"/>
    <w:rsid w:val="0014197B"/>
    <w:rsid w:val="001447CD"/>
    <w:rsid w:val="001516B1"/>
    <w:rsid w:val="00154EBB"/>
    <w:rsid w:val="00156316"/>
    <w:rsid w:val="00162D14"/>
    <w:rsid w:val="00165389"/>
    <w:rsid w:val="0017693F"/>
    <w:rsid w:val="0018110E"/>
    <w:rsid w:val="00181684"/>
    <w:rsid w:val="001843C6"/>
    <w:rsid w:val="001850E0"/>
    <w:rsid w:val="001A2158"/>
    <w:rsid w:val="001A2A79"/>
    <w:rsid w:val="001A525F"/>
    <w:rsid w:val="001B09F9"/>
    <w:rsid w:val="001B6448"/>
    <w:rsid w:val="001E07CF"/>
    <w:rsid w:val="001E59F1"/>
    <w:rsid w:val="001F49EB"/>
    <w:rsid w:val="001F6CBA"/>
    <w:rsid w:val="00201D4E"/>
    <w:rsid w:val="002076C9"/>
    <w:rsid w:val="00220B8A"/>
    <w:rsid w:val="002257F3"/>
    <w:rsid w:val="00233456"/>
    <w:rsid w:val="002339A5"/>
    <w:rsid w:val="0024159B"/>
    <w:rsid w:val="00245131"/>
    <w:rsid w:val="00257848"/>
    <w:rsid w:val="0027084A"/>
    <w:rsid w:val="00286434"/>
    <w:rsid w:val="00286C59"/>
    <w:rsid w:val="00291957"/>
    <w:rsid w:val="002942D1"/>
    <w:rsid w:val="0029501A"/>
    <w:rsid w:val="002959CF"/>
    <w:rsid w:val="002B1638"/>
    <w:rsid w:val="002E4C9A"/>
    <w:rsid w:val="002E64AC"/>
    <w:rsid w:val="002F11F8"/>
    <w:rsid w:val="002F3F56"/>
    <w:rsid w:val="002F44B5"/>
    <w:rsid w:val="00311AC0"/>
    <w:rsid w:val="0032583B"/>
    <w:rsid w:val="00327883"/>
    <w:rsid w:val="00335504"/>
    <w:rsid w:val="003521E8"/>
    <w:rsid w:val="003728F3"/>
    <w:rsid w:val="0037496E"/>
    <w:rsid w:val="00386150"/>
    <w:rsid w:val="003874CE"/>
    <w:rsid w:val="00390900"/>
    <w:rsid w:val="003A7F6C"/>
    <w:rsid w:val="003B4D60"/>
    <w:rsid w:val="003B7E39"/>
    <w:rsid w:val="003C58DC"/>
    <w:rsid w:val="003D1E62"/>
    <w:rsid w:val="003E1DF2"/>
    <w:rsid w:val="003E2486"/>
    <w:rsid w:val="003E3208"/>
    <w:rsid w:val="003F0B04"/>
    <w:rsid w:val="0040134E"/>
    <w:rsid w:val="00440A2D"/>
    <w:rsid w:val="00445B79"/>
    <w:rsid w:val="004564A7"/>
    <w:rsid w:val="004617BF"/>
    <w:rsid w:val="00463658"/>
    <w:rsid w:val="004722CC"/>
    <w:rsid w:val="004936E4"/>
    <w:rsid w:val="00494E60"/>
    <w:rsid w:val="00497487"/>
    <w:rsid w:val="004B7B76"/>
    <w:rsid w:val="004C239D"/>
    <w:rsid w:val="004C2DCA"/>
    <w:rsid w:val="004F0F38"/>
    <w:rsid w:val="00501921"/>
    <w:rsid w:val="00516B9F"/>
    <w:rsid w:val="00530354"/>
    <w:rsid w:val="0053625B"/>
    <w:rsid w:val="005434C6"/>
    <w:rsid w:val="00543B39"/>
    <w:rsid w:val="00550096"/>
    <w:rsid w:val="00557FF9"/>
    <w:rsid w:val="00576378"/>
    <w:rsid w:val="00577130"/>
    <w:rsid w:val="00577945"/>
    <w:rsid w:val="00577E38"/>
    <w:rsid w:val="00585322"/>
    <w:rsid w:val="005857C6"/>
    <w:rsid w:val="00592F6E"/>
    <w:rsid w:val="00593AD1"/>
    <w:rsid w:val="005A68B6"/>
    <w:rsid w:val="005C5570"/>
    <w:rsid w:val="005C79A4"/>
    <w:rsid w:val="005D5442"/>
    <w:rsid w:val="005E7AEA"/>
    <w:rsid w:val="00603F32"/>
    <w:rsid w:val="00625A6E"/>
    <w:rsid w:val="00632398"/>
    <w:rsid w:val="00640FC3"/>
    <w:rsid w:val="00642020"/>
    <w:rsid w:val="0065007E"/>
    <w:rsid w:val="0065337B"/>
    <w:rsid w:val="0065419D"/>
    <w:rsid w:val="006604D8"/>
    <w:rsid w:val="00664A5B"/>
    <w:rsid w:val="006763D2"/>
    <w:rsid w:val="00680C08"/>
    <w:rsid w:val="006931B1"/>
    <w:rsid w:val="006A15C0"/>
    <w:rsid w:val="006C3E2A"/>
    <w:rsid w:val="006C642F"/>
    <w:rsid w:val="006D03E5"/>
    <w:rsid w:val="006D5D3E"/>
    <w:rsid w:val="006E08B3"/>
    <w:rsid w:val="006F0076"/>
    <w:rsid w:val="006F17AC"/>
    <w:rsid w:val="006F572E"/>
    <w:rsid w:val="007046D6"/>
    <w:rsid w:val="00705DB0"/>
    <w:rsid w:val="00722B57"/>
    <w:rsid w:val="0074253D"/>
    <w:rsid w:val="0074429B"/>
    <w:rsid w:val="007615BC"/>
    <w:rsid w:val="00762F05"/>
    <w:rsid w:val="007652FF"/>
    <w:rsid w:val="00770EF1"/>
    <w:rsid w:val="00773EF7"/>
    <w:rsid w:val="00774E1D"/>
    <w:rsid w:val="0077675A"/>
    <w:rsid w:val="00780355"/>
    <w:rsid w:val="00785721"/>
    <w:rsid w:val="00793A59"/>
    <w:rsid w:val="007A0708"/>
    <w:rsid w:val="007B6E9F"/>
    <w:rsid w:val="007C1216"/>
    <w:rsid w:val="007C1AF7"/>
    <w:rsid w:val="00805D27"/>
    <w:rsid w:val="00821776"/>
    <w:rsid w:val="008321F5"/>
    <w:rsid w:val="00832369"/>
    <w:rsid w:val="00834660"/>
    <w:rsid w:val="00836BC2"/>
    <w:rsid w:val="0084141F"/>
    <w:rsid w:val="0085641B"/>
    <w:rsid w:val="00857136"/>
    <w:rsid w:val="00885B11"/>
    <w:rsid w:val="00886D15"/>
    <w:rsid w:val="00887DD8"/>
    <w:rsid w:val="00896018"/>
    <w:rsid w:val="008960DD"/>
    <w:rsid w:val="0089635C"/>
    <w:rsid w:val="008A2B9D"/>
    <w:rsid w:val="008A5E0B"/>
    <w:rsid w:val="008A6D59"/>
    <w:rsid w:val="008B4B03"/>
    <w:rsid w:val="008B596F"/>
    <w:rsid w:val="008C159F"/>
    <w:rsid w:val="008C1623"/>
    <w:rsid w:val="008C1850"/>
    <w:rsid w:val="008C51A9"/>
    <w:rsid w:val="008E7846"/>
    <w:rsid w:val="008F1CCC"/>
    <w:rsid w:val="008F2967"/>
    <w:rsid w:val="008F6943"/>
    <w:rsid w:val="00902A21"/>
    <w:rsid w:val="00920330"/>
    <w:rsid w:val="009219D7"/>
    <w:rsid w:val="00922D53"/>
    <w:rsid w:val="00923B70"/>
    <w:rsid w:val="00924482"/>
    <w:rsid w:val="00930237"/>
    <w:rsid w:val="00946EA5"/>
    <w:rsid w:val="00963C08"/>
    <w:rsid w:val="0098585A"/>
    <w:rsid w:val="009A4CED"/>
    <w:rsid w:val="009A690D"/>
    <w:rsid w:val="009B1D12"/>
    <w:rsid w:val="009B416B"/>
    <w:rsid w:val="009C4BD5"/>
    <w:rsid w:val="009D7B77"/>
    <w:rsid w:val="009E0BB0"/>
    <w:rsid w:val="009E3FBB"/>
    <w:rsid w:val="00A102E4"/>
    <w:rsid w:val="00A12C42"/>
    <w:rsid w:val="00A14DF7"/>
    <w:rsid w:val="00A3246D"/>
    <w:rsid w:val="00A36FA7"/>
    <w:rsid w:val="00A475B7"/>
    <w:rsid w:val="00A47AF7"/>
    <w:rsid w:val="00A47C3E"/>
    <w:rsid w:val="00A50226"/>
    <w:rsid w:val="00A60BAD"/>
    <w:rsid w:val="00A84E36"/>
    <w:rsid w:val="00A93FD8"/>
    <w:rsid w:val="00A964D1"/>
    <w:rsid w:val="00AA0ED0"/>
    <w:rsid w:val="00AC2B40"/>
    <w:rsid w:val="00AC2BB2"/>
    <w:rsid w:val="00AC2C3C"/>
    <w:rsid w:val="00AC512D"/>
    <w:rsid w:val="00AD0083"/>
    <w:rsid w:val="00AE65EB"/>
    <w:rsid w:val="00AE67A7"/>
    <w:rsid w:val="00AF1D94"/>
    <w:rsid w:val="00AF60C5"/>
    <w:rsid w:val="00B009C6"/>
    <w:rsid w:val="00B01548"/>
    <w:rsid w:val="00B21D29"/>
    <w:rsid w:val="00B25034"/>
    <w:rsid w:val="00B33588"/>
    <w:rsid w:val="00B33863"/>
    <w:rsid w:val="00B37D17"/>
    <w:rsid w:val="00B4175E"/>
    <w:rsid w:val="00B452CE"/>
    <w:rsid w:val="00B54C25"/>
    <w:rsid w:val="00B76B91"/>
    <w:rsid w:val="00B77EB1"/>
    <w:rsid w:val="00B811C6"/>
    <w:rsid w:val="00B855B0"/>
    <w:rsid w:val="00B92E08"/>
    <w:rsid w:val="00BC622A"/>
    <w:rsid w:val="00BD0DF1"/>
    <w:rsid w:val="00BE0A78"/>
    <w:rsid w:val="00BE5158"/>
    <w:rsid w:val="00BE79F0"/>
    <w:rsid w:val="00BF046D"/>
    <w:rsid w:val="00BF1190"/>
    <w:rsid w:val="00BF5D04"/>
    <w:rsid w:val="00C1164D"/>
    <w:rsid w:val="00C16861"/>
    <w:rsid w:val="00C404A6"/>
    <w:rsid w:val="00C40A36"/>
    <w:rsid w:val="00C44419"/>
    <w:rsid w:val="00C45E7B"/>
    <w:rsid w:val="00C471B1"/>
    <w:rsid w:val="00C6316B"/>
    <w:rsid w:val="00C634A9"/>
    <w:rsid w:val="00C64586"/>
    <w:rsid w:val="00C70D53"/>
    <w:rsid w:val="00C73D0B"/>
    <w:rsid w:val="00C772FF"/>
    <w:rsid w:val="00C80137"/>
    <w:rsid w:val="00C801AF"/>
    <w:rsid w:val="00C80256"/>
    <w:rsid w:val="00CB6BC0"/>
    <w:rsid w:val="00CC1B7C"/>
    <w:rsid w:val="00CC727F"/>
    <w:rsid w:val="00CF15C3"/>
    <w:rsid w:val="00CF2B6F"/>
    <w:rsid w:val="00CF58B6"/>
    <w:rsid w:val="00D017ED"/>
    <w:rsid w:val="00D040D3"/>
    <w:rsid w:val="00D04C65"/>
    <w:rsid w:val="00D167BB"/>
    <w:rsid w:val="00D224FE"/>
    <w:rsid w:val="00D6493E"/>
    <w:rsid w:val="00D7301E"/>
    <w:rsid w:val="00D83AE1"/>
    <w:rsid w:val="00D855D4"/>
    <w:rsid w:val="00D93466"/>
    <w:rsid w:val="00DA1124"/>
    <w:rsid w:val="00DB75B7"/>
    <w:rsid w:val="00DC6E02"/>
    <w:rsid w:val="00DE02AE"/>
    <w:rsid w:val="00DF1D7F"/>
    <w:rsid w:val="00DF4BE4"/>
    <w:rsid w:val="00DF525E"/>
    <w:rsid w:val="00E02FB4"/>
    <w:rsid w:val="00E20571"/>
    <w:rsid w:val="00E235F7"/>
    <w:rsid w:val="00E23659"/>
    <w:rsid w:val="00E239D4"/>
    <w:rsid w:val="00E26130"/>
    <w:rsid w:val="00E40B22"/>
    <w:rsid w:val="00E45619"/>
    <w:rsid w:val="00E4588F"/>
    <w:rsid w:val="00E46DA3"/>
    <w:rsid w:val="00E51BB1"/>
    <w:rsid w:val="00E624A5"/>
    <w:rsid w:val="00E7344E"/>
    <w:rsid w:val="00EB0798"/>
    <w:rsid w:val="00EB40AD"/>
    <w:rsid w:val="00EB586E"/>
    <w:rsid w:val="00EB5FC8"/>
    <w:rsid w:val="00ED3CAD"/>
    <w:rsid w:val="00ED5A41"/>
    <w:rsid w:val="00EE1DE8"/>
    <w:rsid w:val="00F033EC"/>
    <w:rsid w:val="00F04F68"/>
    <w:rsid w:val="00F12670"/>
    <w:rsid w:val="00F14B27"/>
    <w:rsid w:val="00F3148D"/>
    <w:rsid w:val="00F325C5"/>
    <w:rsid w:val="00F32FE0"/>
    <w:rsid w:val="00F35298"/>
    <w:rsid w:val="00F47333"/>
    <w:rsid w:val="00F47E37"/>
    <w:rsid w:val="00F53C07"/>
    <w:rsid w:val="00F54B65"/>
    <w:rsid w:val="00F640B6"/>
    <w:rsid w:val="00F6594E"/>
    <w:rsid w:val="00F80E40"/>
    <w:rsid w:val="00F848D9"/>
    <w:rsid w:val="00FA5B82"/>
    <w:rsid w:val="00FA639E"/>
    <w:rsid w:val="00FC25E4"/>
    <w:rsid w:val="00FC4EF7"/>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9154">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45B79"/>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uiPriority w:val="99"/>
    <w:qFormat/>
    <w:locked/>
    <w:rsid w:val="00F3148D"/>
    <w:pPr>
      <w:spacing w:after="0" w:line="240" w:lineRule="auto"/>
    </w:pPr>
    <w:rPr>
      <w:rFonts w:ascii="Arial" w:hAnsi="Arial"/>
      <w:sz w:val="16"/>
    </w:rPr>
  </w:style>
  <w:style w:type="paragraph" w:customStyle="1" w:styleId="Numberbullet0">
    <w:name w:val="Number bullet"/>
    <w:basedOn w:val="ListBullet"/>
    <w:uiPriority w:val="99"/>
    <w:qFormat/>
    <w:rsid w:val="004C2DCA"/>
    <w:pPr>
      <w:numPr>
        <w:numId w:val="24"/>
      </w:numPr>
    </w:pPr>
  </w:style>
  <w:style w:type="paragraph" w:customStyle="1" w:styleId="Numberbullet2">
    <w:name w:val="Number bullet 2"/>
    <w:basedOn w:val="ListBullet2"/>
    <w:uiPriority w:val="99"/>
    <w:qFormat/>
    <w:rsid w:val="004C2DCA"/>
    <w:pPr>
      <w:numPr>
        <w:numId w:val="24"/>
      </w:numPr>
    </w:pPr>
  </w:style>
  <w:style w:type="paragraph" w:customStyle="1" w:styleId="Numberbullet3">
    <w:name w:val="Number bullet 3"/>
    <w:basedOn w:val="ListBullet3"/>
    <w:uiPriority w:val="99"/>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semiHidden/>
    <w:rsid w:val="005E7AE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18"/>
      <w:szCs w:val="20"/>
      <w:lang w:eastAsia="en-AU"/>
    </w:rPr>
  </w:style>
  <w:style w:type="character" w:customStyle="1" w:styleId="FootnoteTextChar">
    <w:name w:val="Footnote Text Char"/>
    <w:basedOn w:val="DefaultParagraphFont"/>
    <w:link w:val="FootnoteText"/>
    <w:semiHidden/>
    <w:rsid w:val="005E7AEA"/>
    <w:rPr>
      <w:rFonts w:ascii="Cambria" w:eastAsia="Times New Roman" w:hAnsi="Cambria" w:cs="Times New Roman"/>
      <w:kern w:val="16"/>
      <w:sz w:val="18"/>
      <w:szCs w:val="20"/>
      <w:lang w:eastAsia="en-AU"/>
    </w:rPr>
  </w:style>
  <w:style w:type="character" w:styleId="FootnoteReference">
    <w:name w:val="footnote reference"/>
    <w:basedOn w:val="DefaultParagraphFont"/>
    <w:semiHidden/>
    <w:rsid w:val="00445B79"/>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tga.gov.au/hp/information-medicines-pi.htm"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header" Target="header5.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4.xml"/><Relationship Id="rId28" Type="http://schemas.openxmlformats.org/officeDocument/2006/relationships/header" Target="header7.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header" Target="header6.xml"/><Relationship Id="rId30" Type="http://schemas.openxmlformats.org/officeDocument/2006/relationships/header" Target="header8.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uspars%20-fran\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745979-04A2-41F2-8D4B-89D5CE703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AusPAR template.DOTX</Template>
  <TotalTime>43</TotalTime>
  <Pages>36</Pages>
  <Words>13407</Words>
  <Characters>76426</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TGA</Company>
  <LinksUpToDate>false</LinksUpToDate>
  <CharactersWithSpaces>89654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IVIg</dc:title>
  <dc:subject>prescription medicine regulation</dc:subject>
  <dc:creator>Therapeutic Goods Administration</dc:creator>
  <cp:keywords>auspar, prescription, medicine, assessment, regulation, australia, ivig, flebogamma 10% dif</cp:keywords>
  <cp:lastModifiedBy>Sheppard, Fran</cp:lastModifiedBy>
  <cp:revision>15</cp:revision>
  <cp:lastPrinted>2010-12-20T22:59:00Z</cp:lastPrinted>
  <dcterms:created xsi:type="dcterms:W3CDTF">2013-10-16T05:02:00Z</dcterms:created>
  <dcterms:modified xsi:type="dcterms:W3CDTF">2013-10-16T05:59:00Z</dcterms:modified>
</cp:coreProperties>
</file>