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6AD89942" w14:textId="77777777" w:rsidTr="00BF1190">
        <w:trPr>
          <w:trHeight w:val="1863"/>
        </w:trPr>
        <w:tc>
          <w:tcPr>
            <w:tcW w:w="3652" w:type="dxa"/>
            <w:tcBorders>
              <w:top w:val="nil"/>
              <w:left w:val="nil"/>
              <w:bottom w:val="nil"/>
              <w:right w:val="nil"/>
            </w:tcBorders>
          </w:tcPr>
          <w:p w14:paraId="6AD89941" w14:textId="5DF3827A" w:rsidR="008E7846" w:rsidRPr="00096AA7" w:rsidRDefault="00D154E5" w:rsidP="00096AA7">
            <w:pPr>
              <w:rPr>
                <w:rFonts w:ascii="Arial" w:hAnsi="Arial" w:cs="Arial"/>
                <w:b/>
                <w:color w:val="002C47"/>
                <w:sz w:val="36"/>
                <w:szCs w:val="36"/>
              </w:rPr>
            </w:pPr>
            <w:r>
              <w:rPr>
                <w:rFonts w:ascii="Arial" w:hAnsi="Arial" w:cs="Arial"/>
                <w:b/>
                <w:color w:val="002C47"/>
                <w:sz w:val="36"/>
                <w:szCs w:val="36"/>
              </w:rPr>
              <w:t xml:space="preserve">December </w:t>
            </w:r>
            <w:r w:rsidR="00B7247F">
              <w:rPr>
                <w:rFonts w:ascii="Arial" w:hAnsi="Arial" w:cs="Arial"/>
                <w:b/>
                <w:color w:val="002C47"/>
                <w:sz w:val="36"/>
                <w:szCs w:val="36"/>
              </w:rPr>
              <w:t>2015</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6AD89944" w14:textId="77777777" w:rsidTr="0032583B">
        <w:trPr>
          <w:trHeight w:val="868"/>
        </w:trPr>
        <w:tc>
          <w:tcPr>
            <w:tcW w:w="9079" w:type="dxa"/>
          </w:tcPr>
          <w:p w14:paraId="6AD89943" w14:textId="77777777" w:rsidR="0032583B" w:rsidRPr="00A964D1" w:rsidRDefault="0032583B" w:rsidP="00B7247F">
            <w:pPr>
              <w:pStyle w:val="Title"/>
              <w:rPr>
                <w:color w:val="FFFFFF" w:themeColor="background1"/>
              </w:rPr>
            </w:pPr>
            <w:r w:rsidRPr="00A964D1">
              <w:rPr>
                <w:color w:val="FFFFFF" w:themeColor="background1"/>
              </w:rPr>
              <w:t xml:space="preserve">Australian Public Assessment Report for </w:t>
            </w:r>
            <w:r w:rsidR="00B7247F">
              <w:rPr>
                <w:color w:val="FFFFFF" w:themeColor="background1"/>
              </w:rPr>
              <w:t>Ivermectin</w:t>
            </w:r>
          </w:p>
        </w:tc>
      </w:tr>
      <w:tr w:rsidR="0032583B" w:rsidRPr="00B64760" w14:paraId="6AD89946" w14:textId="77777777" w:rsidTr="0032583B">
        <w:tc>
          <w:tcPr>
            <w:tcW w:w="9079" w:type="dxa"/>
          </w:tcPr>
          <w:p w14:paraId="6AD89945" w14:textId="77777777" w:rsidR="0032583B" w:rsidRPr="0016777B" w:rsidRDefault="0032583B" w:rsidP="0016777B">
            <w:pPr>
              <w:pStyle w:val="Subtitle"/>
              <w:framePr w:hSpace="0" w:wrap="auto" w:vAnchor="margin" w:yAlign="inline"/>
            </w:pPr>
            <w:r w:rsidRPr="0016777B">
              <w:t xml:space="preserve">Proprietary Product Name: </w:t>
            </w:r>
            <w:proofErr w:type="spellStart"/>
            <w:r w:rsidR="00B7247F" w:rsidRPr="0016777B">
              <w:t>Soolantra</w:t>
            </w:r>
            <w:proofErr w:type="spellEnd"/>
            <w:r w:rsidR="00B7247F" w:rsidRPr="0016777B">
              <w:t xml:space="preserve"> and </w:t>
            </w:r>
            <w:proofErr w:type="spellStart"/>
            <w:r w:rsidR="00B7247F" w:rsidRPr="0016777B">
              <w:t>Vastreka</w:t>
            </w:r>
            <w:proofErr w:type="spellEnd"/>
            <w:r w:rsidRPr="0016777B">
              <w:t xml:space="preserve"> </w:t>
            </w:r>
          </w:p>
        </w:tc>
      </w:tr>
      <w:tr w:rsidR="0032583B" w:rsidRPr="00B64760" w14:paraId="6AD89948" w14:textId="77777777" w:rsidTr="0032583B">
        <w:trPr>
          <w:trHeight w:val="486"/>
        </w:trPr>
        <w:tc>
          <w:tcPr>
            <w:tcW w:w="9079" w:type="dxa"/>
          </w:tcPr>
          <w:p w14:paraId="6AD89947" w14:textId="77777777" w:rsidR="0032583B" w:rsidRPr="008E7846" w:rsidRDefault="0032583B" w:rsidP="0016777B">
            <w:pPr>
              <w:pStyle w:val="Subtitle"/>
              <w:framePr w:hSpace="0" w:wrap="auto" w:vAnchor="margin" w:yAlign="inline"/>
            </w:pPr>
            <w:r w:rsidRPr="0016777B">
              <w:t xml:space="preserve">Sponsor: </w:t>
            </w:r>
            <w:proofErr w:type="spellStart"/>
            <w:r w:rsidR="00B7247F" w:rsidRPr="0016777B">
              <w:t>Galderma</w:t>
            </w:r>
            <w:proofErr w:type="spellEnd"/>
            <w:r w:rsidR="00B7247F" w:rsidRPr="0016777B">
              <w:t xml:space="preserve"> Australia Pty Ltd</w:t>
            </w:r>
            <w:r w:rsidRPr="0016777B">
              <w:t xml:space="preserve"> </w:t>
            </w:r>
          </w:p>
        </w:tc>
      </w:tr>
    </w:tbl>
    <w:p w14:paraId="6AD89949" w14:textId="77777777" w:rsidR="008E7846" w:rsidRPr="0085156D" w:rsidRDefault="008E7846" w:rsidP="0085156D">
      <w:r w:rsidRPr="0085156D">
        <w:br w:type="page"/>
      </w:r>
    </w:p>
    <w:p w14:paraId="6AD8994A" w14:textId="77777777" w:rsidR="008E7846" w:rsidRPr="001F6CBA" w:rsidRDefault="008E7846" w:rsidP="008E7846">
      <w:pPr>
        <w:pStyle w:val="NonTOCHeading2"/>
      </w:pPr>
      <w:r w:rsidRPr="001F6CBA">
        <w:lastRenderedPageBreak/>
        <w:t>About the Therapeutic Goods Administration (TGA)</w:t>
      </w:r>
    </w:p>
    <w:p w14:paraId="6AD8994B"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6AD8994C"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6AD8994D"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6AD8994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6AD8994F"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12" w:history="1">
        <w:r w:rsidR="00441C3F">
          <w:rPr>
            <w:rStyle w:val="Hyperlink"/>
          </w:rPr>
          <w:t>https://www.tga.gov.au</w:t>
        </w:r>
      </w:hyperlink>
      <w:r w:rsidR="00441C3F">
        <w:t>&gt;.</w:t>
      </w:r>
    </w:p>
    <w:p w14:paraId="6AD89950" w14:textId="77777777" w:rsidR="008E7846" w:rsidRDefault="008E7846" w:rsidP="00441C3F">
      <w:pPr>
        <w:pStyle w:val="Heading2"/>
      </w:pPr>
      <w:bookmarkStart w:id="0" w:name="_Toc437418374"/>
      <w:r>
        <w:t xml:space="preserve">About </w:t>
      </w:r>
      <w:proofErr w:type="spellStart"/>
      <w:r>
        <w:t>AusPARs</w:t>
      </w:r>
      <w:bookmarkEnd w:id="0"/>
      <w:proofErr w:type="spellEnd"/>
    </w:p>
    <w:p w14:paraId="6AD89951"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6AD89952" w14:textId="77777777" w:rsidR="008E7846" w:rsidRDefault="008E7846" w:rsidP="008E7846">
      <w:pPr>
        <w:pStyle w:val="ListBullet"/>
        <w:numPr>
          <w:ilvl w:val="0"/>
          <w:numId w:val="3"/>
        </w:numPr>
        <w:ind w:left="357" w:hanging="357"/>
      </w:pPr>
      <w:proofErr w:type="spellStart"/>
      <w:r>
        <w:t>AusPARs</w:t>
      </w:r>
      <w:proofErr w:type="spellEnd"/>
      <w:r>
        <w:t xml:space="preserve"> are prepared and published by the TGA.</w:t>
      </w:r>
    </w:p>
    <w:p w14:paraId="6AD89953"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6AD89954"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6AD89955"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6AD89956" w14:textId="77777777" w:rsidR="00924482" w:rsidRPr="00DF1D7F" w:rsidRDefault="00924482" w:rsidP="00F54B65">
      <w:pPr>
        <w:pStyle w:val="LegalSubheading"/>
        <w:spacing w:before="3120"/>
      </w:pPr>
      <w:r w:rsidRPr="00DF1D7F">
        <w:t>Copyright</w:t>
      </w:r>
    </w:p>
    <w:p w14:paraId="6AD89957" w14:textId="4373494A" w:rsidR="00924482" w:rsidRDefault="00924482" w:rsidP="00924482">
      <w:pPr>
        <w:pStyle w:val="LegalCopy"/>
      </w:pPr>
      <w:r w:rsidRPr="00191B3B">
        <w:rPr>
          <w:rFonts w:cs="Arial"/>
          <w:lang w:val="en-GB"/>
        </w:rPr>
        <w:t>© Comm</w:t>
      </w:r>
      <w:r>
        <w:rPr>
          <w:rFonts w:cs="Arial"/>
          <w:lang w:val="en-GB"/>
        </w:rPr>
        <w:t>onwealth of Australia 201</w:t>
      </w:r>
      <w:r w:rsidR="0016777B">
        <w:rPr>
          <w:rFonts w:cs="Arial"/>
          <w:lang w:val="en-GB"/>
        </w:rPr>
        <w:t>6</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3" w:history="1">
        <w:r w:rsidRPr="00191B3B">
          <w:rPr>
            <w:rStyle w:val="Hyperlink"/>
            <w:rFonts w:cs="Arial"/>
            <w:lang w:val="en-GB"/>
          </w:rPr>
          <w:t>tga.copyright@tga.gov.au</w:t>
        </w:r>
      </w:hyperlink>
      <w:r w:rsidRPr="00191B3B">
        <w:rPr>
          <w:rFonts w:cs="Arial"/>
        </w:rPr>
        <w:t>&gt;.</w:t>
      </w:r>
    </w:p>
    <w:p w14:paraId="6AD89958" w14:textId="77777777" w:rsidR="00924482" w:rsidRDefault="00924482" w:rsidP="00924482">
      <w:pPr>
        <w:pStyle w:val="LegalCopy"/>
        <w:sectPr w:rsidR="00924482" w:rsidSect="003D1E62">
          <w:headerReference w:type="default" r:id="rId14"/>
          <w:footerReference w:type="default" r:id="rId15"/>
          <w:headerReference w:type="first" r:id="rId16"/>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6AD89959" w14:textId="77777777" w:rsidR="0089635C" w:rsidRPr="0089635C" w:rsidRDefault="0089635C" w:rsidP="0010788A">
          <w:pPr>
            <w:pStyle w:val="Contents"/>
          </w:pPr>
          <w:r w:rsidRPr="0010788A">
            <w:t>Contents</w:t>
          </w:r>
          <w:bookmarkStart w:id="3" w:name="_GoBack"/>
          <w:bookmarkEnd w:id="3"/>
        </w:p>
        <w:p w14:paraId="5857F9CE" w14:textId="77777777" w:rsidR="00192F55"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37418374" w:history="1">
            <w:r w:rsidR="00192F55" w:rsidRPr="001901F6">
              <w:rPr>
                <w:rStyle w:val="Hyperlink"/>
                <w:noProof/>
              </w:rPr>
              <w:t>About AusPARs</w:t>
            </w:r>
            <w:r w:rsidR="00192F55">
              <w:rPr>
                <w:noProof/>
                <w:webHidden/>
              </w:rPr>
              <w:tab/>
            </w:r>
            <w:r w:rsidR="00192F55">
              <w:rPr>
                <w:noProof/>
                <w:webHidden/>
              </w:rPr>
              <w:fldChar w:fldCharType="begin"/>
            </w:r>
            <w:r w:rsidR="00192F55">
              <w:rPr>
                <w:noProof/>
                <w:webHidden/>
              </w:rPr>
              <w:instrText xml:space="preserve"> PAGEREF _Toc437418374 \h </w:instrText>
            </w:r>
            <w:r w:rsidR="00192F55">
              <w:rPr>
                <w:noProof/>
                <w:webHidden/>
              </w:rPr>
            </w:r>
            <w:r w:rsidR="00192F55">
              <w:rPr>
                <w:noProof/>
                <w:webHidden/>
              </w:rPr>
              <w:fldChar w:fldCharType="separate"/>
            </w:r>
            <w:r w:rsidR="00494444">
              <w:rPr>
                <w:noProof/>
                <w:webHidden/>
              </w:rPr>
              <w:t>ii</w:t>
            </w:r>
            <w:r w:rsidR="00192F55">
              <w:rPr>
                <w:noProof/>
                <w:webHidden/>
              </w:rPr>
              <w:fldChar w:fldCharType="end"/>
            </w:r>
          </w:hyperlink>
        </w:p>
        <w:p w14:paraId="42172DE6" w14:textId="77777777" w:rsidR="00192F55" w:rsidRDefault="00494444">
          <w:pPr>
            <w:pStyle w:val="TOC2"/>
            <w:rPr>
              <w:rFonts w:asciiTheme="minorHAnsi" w:eastAsiaTheme="minorEastAsia" w:hAnsiTheme="minorHAnsi" w:cstheme="minorBidi"/>
              <w:b w:val="0"/>
              <w:noProof/>
              <w:sz w:val="22"/>
              <w:lang w:eastAsia="en-AU"/>
            </w:rPr>
          </w:pPr>
          <w:hyperlink w:anchor="_Toc437418375" w:history="1">
            <w:r w:rsidR="00192F55" w:rsidRPr="001901F6">
              <w:rPr>
                <w:rStyle w:val="Hyperlink"/>
                <w:noProof/>
              </w:rPr>
              <w:t>Common abbreviations</w:t>
            </w:r>
            <w:r w:rsidR="00192F55">
              <w:rPr>
                <w:noProof/>
                <w:webHidden/>
              </w:rPr>
              <w:tab/>
            </w:r>
            <w:r w:rsidR="00192F55">
              <w:rPr>
                <w:noProof/>
                <w:webHidden/>
              </w:rPr>
              <w:fldChar w:fldCharType="begin"/>
            </w:r>
            <w:r w:rsidR="00192F55">
              <w:rPr>
                <w:noProof/>
                <w:webHidden/>
              </w:rPr>
              <w:instrText xml:space="preserve"> PAGEREF _Toc437418375 \h </w:instrText>
            </w:r>
            <w:r w:rsidR="00192F55">
              <w:rPr>
                <w:noProof/>
                <w:webHidden/>
              </w:rPr>
            </w:r>
            <w:r w:rsidR="00192F55">
              <w:rPr>
                <w:noProof/>
                <w:webHidden/>
              </w:rPr>
              <w:fldChar w:fldCharType="separate"/>
            </w:r>
            <w:r>
              <w:rPr>
                <w:noProof/>
                <w:webHidden/>
              </w:rPr>
              <w:t>5</w:t>
            </w:r>
            <w:r w:rsidR="00192F55">
              <w:rPr>
                <w:noProof/>
                <w:webHidden/>
              </w:rPr>
              <w:fldChar w:fldCharType="end"/>
            </w:r>
          </w:hyperlink>
        </w:p>
        <w:p w14:paraId="0E48B723" w14:textId="77777777" w:rsidR="00192F55" w:rsidRDefault="00494444">
          <w:pPr>
            <w:pStyle w:val="TOC2"/>
            <w:rPr>
              <w:rFonts w:asciiTheme="minorHAnsi" w:eastAsiaTheme="minorEastAsia" w:hAnsiTheme="minorHAnsi" w:cstheme="minorBidi"/>
              <w:b w:val="0"/>
              <w:noProof/>
              <w:sz w:val="22"/>
              <w:lang w:eastAsia="en-AU"/>
            </w:rPr>
          </w:pPr>
          <w:hyperlink w:anchor="_Toc437418376" w:history="1">
            <w:r w:rsidR="00192F55" w:rsidRPr="001901F6">
              <w:rPr>
                <w:rStyle w:val="Hyperlink"/>
                <w:noProof/>
              </w:rPr>
              <w:t>I. Introduction to product submission</w:t>
            </w:r>
            <w:r w:rsidR="00192F55">
              <w:rPr>
                <w:noProof/>
                <w:webHidden/>
              </w:rPr>
              <w:tab/>
            </w:r>
            <w:r w:rsidR="00192F55">
              <w:rPr>
                <w:noProof/>
                <w:webHidden/>
              </w:rPr>
              <w:fldChar w:fldCharType="begin"/>
            </w:r>
            <w:r w:rsidR="00192F55">
              <w:rPr>
                <w:noProof/>
                <w:webHidden/>
              </w:rPr>
              <w:instrText xml:space="preserve"> PAGEREF _Toc437418376 \h </w:instrText>
            </w:r>
            <w:r w:rsidR="00192F55">
              <w:rPr>
                <w:noProof/>
                <w:webHidden/>
              </w:rPr>
            </w:r>
            <w:r w:rsidR="00192F55">
              <w:rPr>
                <w:noProof/>
                <w:webHidden/>
              </w:rPr>
              <w:fldChar w:fldCharType="separate"/>
            </w:r>
            <w:r>
              <w:rPr>
                <w:noProof/>
                <w:webHidden/>
              </w:rPr>
              <w:t>8</w:t>
            </w:r>
            <w:r w:rsidR="00192F55">
              <w:rPr>
                <w:noProof/>
                <w:webHidden/>
              </w:rPr>
              <w:fldChar w:fldCharType="end"/>
            </w:r>
          </w:hyperlink>
        </w:p>
        <w:p w14:paraId="16A66061" w14:textId="77777777" w:rsidR="00192F55" w:rsidRDefault="00494444">
          <w:pPr>
            <w:pStyle w:val="TOC3"/>
            <w:rPr>
              <w:rFonts w:asciiTheme="minorHAnsi" w:eastAsiaTheme="minorEastAsia" w:hAnsiTheme="minorHAnsi" w:cstheme="minorBidi"/>
              <w:noProof/>
              <w:lang w:eastAsia="en-AU"/>
            </w:rPr>
          </w:pPr>
          <w:hyperlink w:anchor="_Toc437418377" w:history="1">
            <w:r w:rsidR="00192F55" w:rsidRPr="001901F6">
              <w:rPr>
                <w:rStyle w:val="Hyperlink"/>
                <w:noProof/>
                <w:lang w:eastAsia="en-AU"/>
              </w:rPr>
              <w:t>Submission details</w:t>
            </w:r>
            <w:r w:rsidR="00192F55">
              <w:rPr>
                <w:noProof/>
                <w:webHidden/>
              </w:rPr>
              <w:tab/>
            </w:r>
            <w:r w:rsidR="00192F55">
              <w:rPr>
                <w:noProof/>
                <w:webHidden/>
              </w:rPr>
              <w:fldChar w:fldCharType="begin"/>
            </w:r>
            <w:r w:rsidR="00192F55">
              <w:rPr>
                <w:noProof/>
                <w:webHidden/>
              </w:rPr>
              <w:instrText xml:space="preserve"> PAGEREF _Toc437418377 \h </w:instrText>
            </w:r>
            <w:r w:rsidR="00192F55">
              <w:rPr>
                <w:noProof/>
                <w:webHidden/>
              </w:rPr>
            </w:r>
            <w:r w:rsidR="00192F55">
              <w:rPr>
                <w:noProof/>
                <w:webHidden/>
              </w:rPr>
              <w:fldChar w:fldCharType="separate"/>
            </w:r>
            <w:r>
              <w:rPr>
                <w:noProof/>
                <w:webHidden/>
              </w:rPr>
              <w:t>8</w:t>
            </w:r>
            <w:r w:rsidR="00192F55">
              <w:rPr>
                <w:noProof/>
                <w:webHidden/>
              </w:rPr>
              <w:fldChar w:fldCharType="end"/>
            </w:r>
          </w:hyperlink>
        </w:p>
        <w:p w14:paraId="07CC3897" w14:textId="77777777" w:rsidR="00192F55" w:rsidRDefault="00494444">
          <w:pPr>
            <w:pStyle w:val="TOC3"/>
            <w:rPr>
              <w:rFonts w:asciiTheme="minorHAnsi" w:eastAsiaTheme="minorEastAsia" w:hAnsiTheme="minorHAnsi" w:cstheme="minorBidi"/>
              <w:noProof/>
              <w:lang w:eastAsia="en-AU"/>
            </w:rPr>
          </w:pPr>
          <w:hyperlink w:anchor="_Toc437418378" w:history="1">
            <w:r w:rsidR="00192F55" w:rsidRPr="001901F6">
              <w:rPr>
                <w:rStyle w:val="Hyperlink"/>
                <w:noProof/>
              </w:rPr>
              <w:t>Product background</w:t>
            </w:r>
            <w:r w:rsidR="00192F55">
              <w:rPr>
                <w:noProof/>
                <w:webHidden/>
              </w:rPr>
              <w:tab/>
            </w:r>
            <w:r w:rsidR="00192F55">
              <w:rPr>
                <w:noProof/>
                <w:webHidden/>
              </w:rPr>
              <w:fldChar w:fldCharType="begin"/>
            </w:r>
            <w:r w:rsidR="00192F55">
              <w:rPr>
                <w:noProof/>
                <w:webHidden/>
              </w:rPr>
              <w:instrText xml:space="preserve"> PAGEREF _Toc437418378 \h </w:instrText>
            </w:r>
            <w:r w:rsidR="00192F55">
              <w:rPr>
                <w:noProof/>
                <w:webHidden/>
              </w:rPr>
            </w:r>
            <w:r w:rsidR="00192F55">
              <w:rPr>
                <w:noProof/>
                <w:webHidden/>
              </w:rPr>
              <w:fldChar w:fldCharType="separate"/>
            </w:r>
            <w:r>
              <w:rPr>
                <w:noProof/>
                <w:webHidden/>
              </w:rPr>
              <w:t>9</w:t>
            </w:r>
            <w:r w:rsidR="00192F55">
              <w:rPr>
                <w:noProof/>
                <w:webHidden/>
              </w:rPr>
              <w:fldChar w:fldCharType="end"/>
            </w:r>
          </w:hyperlink>
        </w:p>
        <w:p w14:paraId="40A3BA0B" w14:textId="77777777" w:rsidR="00192F55" w:rsidRDefault="00494444">
          <w:pPr>
            <w:pStyle w:val="TOC3"/>
            <w:rPr>
              <w:rFonts w:asciiTheme="minorHAnsi" w:eastAsiaTheme="minorEastAsia" w:hAnsiTheme="minorHAnsi" w:cstheme="minorBidi"/>
              <w:noProof/>
              <w:lang w:eastAsia="en-AU"/>
            </w:rPr>
          </w:pPr>
          <w:hyperlink w:anchor="_Toc437418379" w:history="1">
            <w:r w:rsidR="00192F55" w:rsidRPr="001901F6">
              <w:rPr>
                <w:rStyle w:val="Hyperlink"/>
                <w:noProof/>
              </w:rPr>
              <w:t>Regulatory status</w:t>
            </w:r>
            <w:r w:rsidR="00192F55">
              <w:rPr>
                <w:noProof/>
                <w:webHidden/>
              </w:rPr>
              <w:tab/>
            </w:r>
            <w:r w:rsidR="00192F55">
              <w:rPr>
                <w:noProof/>
                <w:webHidden/>
              </w:rPr>
              <w:fldChar w:fldCharType="begin"/>
            </w:r>
            <w:r w:rsidR="00192F55">
              <w:rPr>
                <w:noProof/>
                <w:webHidden/>
              </w:rPr>
              <w:instrText xml:space="preserve"> PAGEREF _Toc437418379 \h </w:instrText>
            </w:r>
            <w:r w:rsidR="00192F55">
              <w:rPr>
                <w:noProof/>
                <w:webHidden/>
              </w:rPr>
            </w:r>
            <w:r w:rsidR="00192F55">
              <w:rPr>
                <w:noProof/>
                <w:webHidden/>
              </w:rPr>
              <w:fldChar w:fldCharType="separate"/>
            </w:r>
            <w:r>
              <w:rPr>
                <w:noProof/>
                <w:webHidden/>
              </w:rPr>
              <w:t>9</w:t>
            </w:r>
            <w:r w:rsidR="00192F55">
              <w:rPr>
                <w:noProof/>
                <w:webHidden/>
              </w:rPr>
              <w:fldChar w:fldCharType="end"/>
            </w:r>
          </w:hyperlink>
        </w:p>
        <w:p w14:paraId="642512E2" w14:textId="77777777" w:rsidR="00192F55" w:rsidRDefault="00494444">
          <w:pPr>
            <w:pStyle w:val="TOC3"/>
            <w:rPr>
              <w:rFonts w:asciiTheme="minorHAnsi" w:eastAsiaTheme="minorEastAsia" w:hAnsiTheme="minorHAnsi" w:cstheme="minorBidi"/>
              <w:noProof/>
              <w:lang w:eastAsia="en-AU"/>
            </w:rPr>
          </w:pPr>
          <w:hyperlink w:anchor="_Toc437418380" w:history="1">
            <w:r w:rsidR="00192F55" w:rsidRPr="001901F6">
              <w:rPr>
                <w:rStyle w:val="Hyperlink"/>
                <w:noProof/>
              </w:rPr>
              <w:t>Product Information</w:t>
            </w:r>
            <w:r w:rsidR="00192F55">
              <w:rPr>
                <w:noProof/>
                <w:webHidden/>
              </w:rPr>
              <w:tab/>
            </w:r>
            <w:r w:rsidR="00192F55">
              <w:rPr>
                <w:noProof/>
                <w:webHidden/>
              </w:rPr>
              <w:fldChar w:fldCharType="begin"/>
            </w:r>
            <w:r w:rsidR="00192F55">
              <w:rPr>
                <w:noProof/>
                <w:webHidden/>
              </w:rPr>
              <w:instrText xml:space="preserve"> PAGEREF _Toc437418380 \h </w:instrText>
            </w:r>
            <w:r w:rsidR="00192F55">
              <w:rPr>
                <w:noProof/>
                <w:webHidden/>
              </w:rPr>
            </w:r>
            <w:r w:rsidR="00192F55">
              <w:rPr>
                <w:noProof/>
                <w:webHidden/>
              </w:rPr>
              <w:fldChar w:fldCharType="separate"/>
            </w:r>
            <w:r>
              <w:rPr>
                <w:noProof/>
                <w:webHidden/>
              </w:rPr>
              <w:t>11</w:t>
            </w:r>
            <w:r w:rsidR="00192F55">
              <w:rPr>
                <w:noProof/>
                <w:webHidden/>
              </w:rPr>
              <w:fldChar w:fldCharType="end"/>
            </w:r>
          </w:hyperlink>
        </w:p>
        <w:p w14:paraId="7D524E9A" w14:textId="77777777" w:rsidR="00192F55" w:rsidRDefault="00494444">
          <w:pPr>
            <w:pStyle w:val="TOC2"/>
            <w:rPr>
              <w:rFonts w:asciiTheme="minorHAnsi" w:eastAsiaTheme="minorEastAsia" w:hAnsiTheme="minorHAnsi" w:cstheme="minorBidi"/>
              <w:b w:val="0"/>
              <w:noProof/>
              <w:sz w:val="22"/>
              <w:lang w:eastAsia="en-AU"/>
            </w:rPr>
          </w:pPr>
          <w:hyperlink w:anchor="_Toc437418381" w:history="1">
            <w:r w:rsidR="00192F55" w:rsidRPr="001901F6">
              <w:rPr>
                <w:rStyle w:val="Hyperlink"/>
                <w:noProof/>
              </w:rPr>
              <w:t>II. Quality findings</w:t>
            </w:r>
            <w:r w:rsidR="00192F55">
              <w:rPr>
                <w:noProof/>
                <w:webHidden/>
              </w:rPr>
              <w:tab/>
            </w:r>
            <w:r w:rsidR="00192F55">
              <w:rPr>
                <w:noProof/>
                <w:webHidden/>
              </w:rPr>
              <w:fldChar w:fldCharType="begin"/>
            </w:r>
            <w:r w:rsidR="00192F55">
              <w:rPr>
                <w:noProof/>
                <w:webHidden/>
              </w:rPr>
              <w:instrText xml:space="preserve"> PAGEREF _Toc437418381 \h </w:instrText>
            </w:r>
            <w:r w:rsidR="00192F55">
              <w:rPr>
                <w:noProof/>
                <w:webHidden/>
              </w:rPr>
            </w:r>
            <w:r w:rsidR="00192F55">
              <w:rPr>
                <w:noProof/>
                <w:webHidden/>
              </w:rPr>
              <w:fldChar w:fldCharType="separate"/>
            </w:r>
            <w:r>
              <w:rPr>
                <w:noProof/>
                <w:webHidden/>
              </w:rPr>
              <w:t>11</w:t>
            </w:r>
            <w:r w:rsidR="00192F55">
              <w:rPr>
                <w:noProof/>
                <w:webHidden/>
              </w:rPr>
              <w:fldChar w:fldCharType="end"/>
            </w:r>
          </w:hyperlink>
        </w:p>
        <w:p w14:paraId="599E565E" w14:textId="77777777" w:rsidR="00192F55" w:rsidRDefault="00494444">
          <w:pPr>
            <w:pStyle w:val="TOC3"/>
            <w:rPr>
              <w:rFonts w:asciiTheme="minorHAnsi" w:eastAsiaTheme="minorEastAsia" w:hAnsiTheme="minorHAnsi" w:cstheme="minorBidi"/>
              <w:noProof/>
              <w:lang w:eastAsia="en-AU"/>
            </w:rPr>
          </w:pPr>
          <w:hyperlink w:anchor="_Toc437418382" w:history="1">
            <w:r w:rsidR="00192F55" w:rsidRPr="001901F6">
              <w:rPr>
                <w:rStyle w:val="Hyperlink"/>
                <w:noProof/>
              </w:rPr>
              <w:t>Drug substance (active ingredient)</w:t>
            </w:r>
            <w:r w:rsidR="00192F55">
              <w:rPr>
                <w:noProof/>
                <w:webHidden/>
              </w:rPr>
              <w:tab/>
            </w:r>
            <w:r w:rsidR="00192F55">
              <w:rPr>
                <w:noProof/>
                <w:webHidden/>
              </w:rPr>
              <w:fldChar w:fldCharType="begin"/>
            </w:r>
            <w:r w:rsidR="00192F55">
              <w:rPr>
                <w:noProof/>
                <w:webHidden/>
              </w:rPr>
              <w:instrText xml:space="preserve"> PAGEREF _Toc437418382 \h </w:instrText>
            </w:r>
            <w:r w:rsidR="00192F55">
              <w:rPr>
                <w:noProof/>
                <w:webHidden/>
              </w:rPr>
            </w:r>
            <w:r w:rsidR="00192F55">
              <w:rPr>
                <w:noProof/>
                <w:webHidden/>
              </w:rPr>
              <w:fldChar w:fldCharType="separate"/>
            </w:r>
            <w:r>
              <w:rPr>
                <w:noProof/>
                <w:webHidden/>
              </w:rPr>
              <w:t>11</w:t>
            </w:r>
            <w:r w:rsidR="00192F55">
              <w:rPr>
                <w:noProof/>
                <w:webHidden/>
              </w:rPr>
              <w:fldChar w:fldCharType="end"/>
            </w:r>
          </w:hyperlink>
        </w:p>
        <w:p w14:paraId="2A6427B2" w14:textId="77777777" w:rsidR="00192F55" w:rsidRDefault="00494444">
          <w:pPr>
            <w:pStyle w:val="TOC3"/>
            <w:rPr>
              <w:rFonts w:asciiTheme="minorHAnsi" w:eastAsiaTheme="minorEastAsia" w:hAnsiTheme="minorHAnsi" w:cstheme="minorBidi"/>
              <w:noProof/>
              <w:lang w:eastAsia="en-AU"/>
            </w:rPr>
          </w:pPr>
          <w:hyperlink w:anchor="_Toc437418383" w:history="1">
            <w:r w:rsidR="00192F55" w:rsidRPr="001901F6">
              <w:rPr>
                <w:rStyle w:val="Hyperlink"/>
                <w:noProof/>
              </w:rPr>
              <w:t>Drug product</w:t>
            </w:r>
            <w:r w:rsidR="00192F55">
              <w:rPr>
                <w:noProof/>
                <w:webHidden/>
              </w:rPr>
              <w:tab/>
            </w:r>
            <w:r w:rsidR="00192F55">
              <w:rPr>
                <w:noProof/>
                <w:webHidden/>
              </w:rPr>
              <w:fldChar w:fldCharType="begin"/>
            </w:r>
            <w:r w:rsidR="00192F55">
              <w:rPr>
                <w:noProof/>
                <w:webHidden/>
              </w:rPr>
              <w:instrText xml:space="preserve"> PAGEREF _Toc437418383 \h </w:instrText>
            </w:r>
            <w:r w:rsidR="00192F55">
              <w:rPr>
                <w:noProof/>
                <w:webHidden/>
              </w:rPr>
            </w:r>
            <w:r w:rsidR="00192F55">
              <w:rPr>
                <w:noProof/>
                <w:webHidden/>
              </w:rPr>
              <w:fldChar w:fldCharType="separate"/>
            </w:r>
            <w:r>
              <w:rPr>
                <w:noProof/>
                <w:webHidden/>
              </w:rPr>
              <w:t>12</w:t>
            </w:r>
            <w:r w:rsidR="00192F55">
              <w:rPr>
                <w:noProof/>
                <w:webHidden/>
              </w:rPr>
              <w:fldChar w:fldCharType="end"/>
            </w:r>
          </w:hyperlink>
        </w:p>
        <w:p w14:paraId="5F539F72" w14:textId="77777777" w:rsidR="00192F55" w:rsidRDefault="00494444">
          <w:pPr>
            <w:pStyle w:val="TOC3"/>
            <w:rPr>
              <w:rFonts w:asciiTheme="minorHAnsi" w:eastAsiaTheme="minorEastAsia" w:hAnsiTheme="minorHAnsi" w:cstheme="minorBidi"/>
              <w:noProof/>
              <w:lang w:eastAsia="en-AU"/>
            </w:rPr>
          </w:pPr>
          <w:hyperlink w:anchor="_Toc437418384" w:history="1">
            <w:r w:rsidR="00192F55" w:rsidRPr="001901F6">
              <w:rPr>
                <w:rStyle w:val="Hyperlink"/>
                <w:noProof/>
              </w:rPr>
              <w:t>Quality summary and conclusions</w:t>
            </w:r>
            <w:r w:rsidR="00192F55">
              <w:rPr>
                <w:noProof/>
                <w:webHidden/>
              </w:rPr>
              <w:tab/>
            </w:r>
            <w:r w:rsidR="00192F55">
              <w:rPr>
                <w:noProof/>
                <w:webHidden/>
              </w:rPr>
              <w:fldChar w:fldCharType="begin"/>
            </w:r>
            <w:r w:rsidR="00192F55">
              <w:rPr>
                <w:noProof/>
                <w:webHidden/>
              </w:rPr>
              <w:instrText xml:space="preserve"> PAGEREF _Toc437418384 \h </w:instrText>
            </w:r>
            <w:r w:rsidR="00192F55">
              <w:rPr>
                <w:noProof/>
                <w:webHidden/>
              </w:rPr>
            </w:r>
            <w:r w:rsidR="00192F55">
              <w:rPr>
                <w:noProof/>
                <w:webHidden/>
              </w:rPr>
              <w:fldChar w:fldCharType="separate"/>
            </w:r>
            <w:r>
              <w:rPr>
                <w:noProof/>
                <w:webHidden/>
              </w:rPr>
              <w:t>13</w:t>
            </w:r>
            <w:r w:rsidR="00192F55">
              <w:rPr>
                <w:noProof/>
                <w:webHidden/>
              </w:rPr>
              <w:fldChar w:fldCharType="end"/>
            </w:r>
          </w:hyperlink>
        </w:p>
        <w:p w14:paraId="2618B2B4" w14:textId="77777777" w:rsidR="00192F55" w:rsidRDefault="00494444">
          <w:pPr>
            <w:pStyle w:val="TOC2"/>
            <w:rPr>
              <w:rFonts w:asciiTheme="minorHAnsi" w:eastAsiaTheme="minorEastAsia" w:hAnsiTheme="minorHAnsi" w:cstheme="minorBidi"/>
              <w:b w:val="0"/>
              <w:noProof/>
              <w:sz w:val="22"/>
              <w:lang w:eastAsia="en-AU"/>
            </w:rPr>
          </w:pPr>
          <w:hyperlink w:anchor="_Toc437418385" w:history="1">
            <w:r w:rsidR="00192F55" w:rsidRPr="001901F6">
              <w:rPr>
                <w:rStyle w:val="Hyperlink"/>
                <w:noProof/>
              </w:rPr>
              <w:t>III. Nonclinical findings</w:t>
            </w:r>
            <w:r w:rsidR="00192F55">
              <w:rPr>
                <w:noProof/>
                <w:webHidden/>
              </w:rPr>
              <w:tab/>
            </w:r>
            <w:r w:rsidR="00192F55">
              <w:rPr>
                <w:noProof/>
                <w:webHidden/>
              </w:rPr>
              <w:fldChar w:fldCharType="begin"/>
            </w:r>
            <w:r w:rsidR="00192F55">
              <w:rPr>
                <w:noProof/>
                <w:webHidden/>
              </w:rPr>
              <w:instrText xml:space="preserve"> PAGEREF _Toc437418385 \h </w:instrText>
            </w:r>
            <w:r w:rsidR="00192F55">
              <w:rPr>
                <w:noProof/>
                <w:webHidden/>
              </w:rPr>
            </w:r>
            <w:r w:rsidR="00192F55">
              <w:rPr>
                <w:noProof/>
                <w:webHidden/>
              </w:rPr>
              <w:fldChar w:fldCharType="separate"/>
            </w:r>
            <w:r>
              <w:rPr>
                <w:noProof/>
                <w:webHidden/>
              </w:rPr>
              <w:t>13</w:t>
            </w:r>
            <w:r w:rsidR="00192F55">
              <w:rPr>
                <w:noProof/>
                <w:webHidden/>
              </w:rPr>
              <w:fldChar w:fldCharType="end"/>
            </w:r>
          </w:hyperlink>
        </w:p>
        <w:p w14:paraId="1C8C7883" w14:textId="77777777" w:rsidR="00192F55" w:rsidRDefault="00494444">
          <w:pPr>
            <w:pStyle w:val="TOC3"/>
            <w:rPr>
              <w:rFonts w:asciiTheme="minorHAnsi" w:eastAsiaTheme="minorEastAsia" w:hAnsiTheme="minorHAnsi" w:cstheme="minorBidi"/>
              <w:noProof/>
              <w:lang w:eastAsia="en-AU"/>
            </w:rPr>
          </w:pPr>
          <w:hyperlink w:anchor="_Toc437418386" w:history="1">
            <w:r w:rsidR="00192F55" w:rsidRPr="001901F6">
              <w:rPr>
                <w:rStyle w:val="Hyperlink"/>
                <w:noProof/>
              </w:rPr>
              <w:t>Introduction</w:t>
            </w:r>
            <w:r w:rsidR="00192F55">
              <w:rPr>
                <w:noProof/>
                <w:webHidden/>
              </w:rPr>
              <w:tab/>
            </w:r>
            <w:r w:rsidR="00192F55">
              <w:rPr>
                <w:noProof/>
                <w:webHidden/>
              </w:rPr>
              <w:fldChar w:fldCharType="begin"/>
            </w:r>
            <w:r w:rsidR="00192F55">
              <w:rPr>
                <w:noProof/>
                <w:webHidden/>
              </w:rPr>
              <w:instrText xml:space="preserve"> PAGEREF _Toc437418386 \h </w:instrText>
            </w:r>
            <w:r w:rsidR="00192F55">
              <w:rPr>
                <w:noProof/>
                <w:webHidden/>
              </w:rPr>
            </w:r>
            <w:r w:rsidR="00192F55">
              <w:rPr>
                <w:noProof/>
                <w:webHidden/>
              </w:rPr>
              <w:fldChar w:fldCharType="separate"/>
            </w:r>
            <w:r>
              <w:rPr>
                <w:noProof/>
                <w:webHidden/>
              </w:rPr>
              <w:t>13</w:t>
            </w:r>
            <w:r w:rsidR="00192F55">
              <w:rPr>
                <w:noProof/>
                <w:webHidden/>
              </w:rPr>
              <w:fldChar w:fldCharType="end"/>
            </w:r>
          </w:hyperlink>
        </w:p>
        <w:p w14:paraId="53F7FA41" w14:textId="77777777" w:rsidR="00192F55" w:rsidRDefault="00494444">
          <w:pPr>
            <w:pStyle w:val="TOC3"/>
            <w:rPr>
              <w:rFonts w:asciiTheme="minorHAnsi" w:eastAsiaTheme="minorEastAsia" w:hAnsiTheme="minorHAnsi" w:cstheme="minorBidi"/>
              <w:noProof/>
              <w:lang w:eastAsia="en-AU"/>
            </w:rPr>
          </w:pPr>
          <w:hyperlink w:anchor="_Toc437418387" w:history="1">
            <w:r w:rsidR="00192F55" w:rsidRPr="001901F6">
              <w:rPr>
                <w:rStyle w:val="Hyperlink"/>
                <w:noProof/>
              </w:rPr>
              <w:t>Pharmacology</w:t>
            </w:r>
            <w:r w:rsidR="00192F55">
              <w:rPr>
                <w:noProof/>
                <w:webHidden/>
              </w:rPr>
              <w:tab/>
            </w:r>
            <w:r w:rsidR="00192F55">
              <w:rPr>
                <w:noProof/>
                <w:webHidden/>
              </w:rPr>
              <w:fldChar w:fldCharType="begin"/>
            </w:r>
            <w:r w:rsidR="00192F55">
              <w:rPr>
                <w:noProof/>
                <w:webHidden/>
              </w:rPr>
              <w:instrText xml:space="preserve"> PAGEREF _Toc437418387 \h </w:instrText>
            </w:r>
            <w:r w:rsidR="00192F55">
              <w:rPr>
                <w:noProof/>
                <w:webHidden/>
              </w:rPr>
            </w:r>
            <w:r w:rsidR="00192F55">
              <w:rPr>
                <w:noProof/>
                <w:webHidden/>
              </w:rPr>
              <w:fldChar w:fldCharType="separate"/>
            </w:r>
            <w:r>
              <w:rPr>
                <w:noProof/>
                <w:webHidden/>
              </w:rPr>
              <w:t>13</w:t>
            </w:r>
            <w:r w:rsidR="00192F55">
              <w:rPr>
                <w:noProof/>
                <w:webHidden/>
              </w:rPr>
              <w:fldChar w:fldCharType="end"/>
            </w:r>
          </w:hyperlink>
        </w:p>
        <w:p w14:paraId="6B486015" w14:textId="77777777" w:rsidR="00192F55" w:rsidRDefault="00494444">
          <w:pPr>
            <w:pStyle w:val="TOC3"/>
            <w:rPr>
              <w:rFonts w:asciiTheme="minorHAnsi" w:eastAsiaTheme="minorEastAsia" w:hAnsiTheme="minorHAnsi" w:cstheme="minorBidi"/>
              <w:noProof/>
              <w:lang w:eastAsia="en-AU"/>
            </w:rPr>
          </w:pPr>
          <w:hyperlink w:anchor="_Toc437418388" w:history="1">
            <w:r w:rsidR="00192F55" w:rsidRPr="001901F6">
              <w:rPr>
                <w:rStyle w:val="Hyperlink"/>
                <w:noProof/>
              </w:rPr>
              <w:t>Pharmacokinetics</w:t>
            </w:r>
            <w:r w:rsidR="00192F55">
              <w:rPr>
                <w:noProof/>
                <w:webHidden/>
              </w:rPr>
              <w:tab/>
            </w:r>
            <w:r w:rsidR="00192F55">
              <w:rPr>
                <w:noProof/>
                <w:webHidden/>
              </w:rPr>
              <w:fldChar w:fldCharType="begin"/>
            </w:r>
            <w:r w:rsidR="00192F55">
              <w:rPr>
                <w:noProof/>
                <w:webHidden/>
              </w:rPr>
              <w:instrText xml:space="preserve"> PAGEREF _Toc437418388 \h </w:instrText>
            </w:r>
            <w:r w:rsidR="00192F55">
              <w:rPr>
                <w:noProof/>
                <w:webHidden/>
              </w:rPr>
            </w:r>
            <w:r w:rsidR="00192F55">
              <w:rPr>
                <w:noProof/>
                <w:webHidden/>
              </w:rPr>
              <w:fldChar w:fldCharType="separate"/>
            </w:r>
            <w:r>
              <w:rPr>
                <w:noProof/>
                <w:webHidden/>
              </w:rPr>
              <w:t>15</w:t>
            </w:r>
            <w:r w:rsidR="00192F55">
              <w:rPr>
                <w:noProof/>
                <w:webHidden/>
              </w:rPr>
              <w:fldChar w:fldCharType="end"/>
            </w:r>
          </w:hyperlink>
        </w:p>
        <w:p w14:paraId="529B08FA" w14:textId="77777777" w:rsidR="00192F55" w:rsidRDefault="00494444">
          <w:pPr>
            <w:pStyle w:val="TOC3"/>
            <w:rPr>
              <w:rFonts w:asciiTheme="minorHAnsi" w:eastAsiaTheme="minorEastAsia" w:hAnsiTheme="minorHAnsi" w:cstheme="minorBidi"/>
              <w:noProof/>
              <w:lang w:eastAsia="en-AU"/>
            </w:rPr>
          </w:pPr>
          <w:hyperlink w:anchor="_Toc437418389" w:history="1">
            <w:r w:rsidR="00192F55" w:rsidRPr="001901F6">
              <w:rPr>
                <w:rStyle w:val="Hyperlink"/>
                <w:noProof/>
              </w:rPr>
              <w:t>Toxicology</w:t>
            </w:r>
            <w:r w:rsidR="00192F55">
              <w:rPr>
                <w:noProof/>
                <w:webHidden/>
              </w:rPr>
              <w:tab/>
            </w:r>
            <w:r w:rsidR="00192F55">
              <w:rPr>
                <w:noProof/>
                <w:webHidden/>
              </w:rPr>
              <w:fldChar w:fldCharType="begin"/>
            </w:r>
            <w:r w:rsidR="00192F55">
              <w:rPr>
                <w:noProof/>
                <w:webHidden/>
              </w:rPr>
              <w:instrText xml:space="preserve"> PAGEREF _Toc437418389 \h </w:instrText>
            </w:r>
            <w:r w:rsidR="00192F55">
              <w:rPr>
                <w:noProof/>
                <w:webHidden/>
              </w:rPr>
            </w:r>
            <w:r w:rsidR="00192F55">
              <w:rPr>
                <w:noProof/>
                <w:webHidden/>
              </w:rPr>
              <w:fldChar w:fldCharType="separate"/>
            </w:r>
            <w:r>
              <w:rPr>
                <w:noProof/>
                <w:webHidden/>
              </w:rPr>
              <w:t>18</w:t>
            </w:r>
            <w:r w:rsidR="00192F55">
              <w:rPr>
                <w:noProof/>
                <w:webHidden/>
              </w:rPr>
              <w:fldChar w:fldCharType="end"/>
            </w:r>
          </w:hyperlink>
        </w:p>
        <w:p w14:paraId="20B448B2" w14:textId="77777777" w:rsidR="00192F55" w:rsidRDefault="00494444">
          <w:pPr>
            <w:pStyle w:val="TOC3"/>
            <w:rPr>
              <w:rFonts w:asciiTheme="minorHAnsi" w:eastAsiaTheme="minorEastAsia" w:hAnsiTheme="minorHAnsi" w:cstheme="minorBidi"/>
              <w:noProof/>
              <w:lang w:eastAsia="en-AU"/>
            </w:rPr>
          </w:pPr>
          <w:hyperlink w:anchor="_Toc437418390" w:history="1">
            <w:r w:rsidR="00192F55" w:rsidRPr="001901F6">
              <w:rPr>
                <w:rStyle w:val="Hyperlink"/>
                <w:noProof/>
              </w:rPr>
              <w:t>Nonclinical summary and conclusions</w:t>
            </w:r>
            <w:r w:rsidR="00192F55">
              <w:rPr>
                <w:noProof/>
                <w:webHidden/>
              </w:rPr>
              <w:tab/>
            </w:r>
            <w:r w:rsidR="00192F55">
              <w:rPr>
                <w:noProof/>
                <w:webHidden/>
              </w:rPr>
              <w:fldChar w:fldCharType="begin"/>
            </w:r>
            <w:r w:rsidR="00192F55">
              <w:rPr>
                <w:noProof/>
                <w:webHidden/>
              </w:rPr>
              <w:instrText xml:space="preserve"> PAGEREF _Toc437418390 \h </w:instrText>
            </w:r>
            <w:r w:rsidR="00192F55">
              <w:rPr>
                <w:noProof/>
                <w:webHidden/>
              </w:rPr>
            </w:r>
            <w:r w:rsidR="00192F55">
              <w:rPr>
                <w:noProof/>
                <w:webHidden/>
              </w:rPr>
              <w:fldChar w:fldCharType="separate"/>
            </w:r>
            <w:r>
              <w:rPr>
                <w:noProof/>
                <w:webHidden/>
              </w:rPr>
              <w:t>26</w:t>
            </w:r>
            <w:r w:rsidR="00192F55">
              <w:rPr>
                <w:noProof/>
                <w:webHidden/>
              </w:rPr>
              <w:fldChar w:fldCharType="end"/>
            </w:r>
          </w:hyperlink>
        </w:p>
        <w:p w14:paraId="3F55A164" w14:textId="77777777" w:rsidR="00192F55" w:rsidRDefault="00494444">
          <w:pPr>
            <w:pStyle w:val="TOC2"/>
            <w:rPr>
              <w:rFonts w:asciiTheme="minorHAnsi" w:eastAsiaTheme="minorEastAsia" w:hAnsiTheme="minorHAnsi" w:cstheme="minorBidi"/>
              <w:b w:val="0"/>
              <w:noProof/>
              <w:sz w:val="22"/>
              <w:lang w:eastAsia="en-AU"/>
            </w:rPr>
          </w:pPr>
          <w:hyperlink w:anchor="_Toc437418391" w:history="1">
            <w:r w:rsidR="00192F55" w:rsidRPr="001901F6">
              <w:rPr>
                <w:rStyle w:val="Hyperlink"/>
                <w:noProof/>
              </w:rPr>
              <w:t>IV. Clinical findings</w:t>
            </w:r>
            <w:r w:rsidR="00192F55">
              <w:rPr>
                <w:noProof/>
                <w:webHidden/>
              </w:rPr>
              <w:tab/>
            </w:r>
            <w:r w:rsidR="00192F55">
              <w:rPr>
                <w:noProof/>
                <w:webHidden/>
              </w:rPr>
              <w:fldChar w:fldCharType="begin"/>
            </w:r>
            <w:r w:rsidR="00192F55">
              <w:rPr>
                <w:noProof/>
                <w:webHidden/>
              </w:rPr>
              <w:instrText xml:space="preserve"> PAGEREF _Toc437418391 \h </w:instrText>
            </w:r>
            <w:r w:rsidR="00192F55">
              <w:rPr>
                <w:noProof/>
                <w:webHidden/>
              </w:rPr>
            </w:r>
            <w:r w:rsidR="00192F55">
              <w:rPr>
                <w:noProof/>
                <w:webHidden/>
              </w:rPr>
              <w:fldChar w:fldCharType="separate"/>
            </w:r>
            <w:r>
              <w:rPr>
                <w:noProof/>
                <w:webHidden/>
              </w:rPr>
              <w:t>30</w:t>
            </w:r>
            <w:r w:rsidR="00192F55">
              <w:rPr>
                <w:noProof/>
                <w:webHidden/>
              </w:rPr>
              <w:fldChar w:fldCharType="end"/>
            </w:r>
          </w:hyperlink>
        </w:p>
        <w:p w14:paraId="531D532B" w14:textId="77777777" w:rsidR="00192F55" w:rsidRDefault="00494444">
          <w:pPr>
            <w:pStyle w:val="TOC3"/>
            <w:rPr>
              <w:rFonts w:asciiTheme="minorHAnsi" w:eastAsiaTheme="minorEastAsia" w:hAnsiTheme="minorHAnsi" w:cstheme="minorBidi"/>
              <w:noProof/>
              <w:lang w:eastAsia="en-AU"/>
            </w:rPr>
          </w:pPr>
          <w:hyperlink w:anchor="_Toc437418392" w:history="1">
            <w:r w:rsidR="00192F55" w:rsidRPr="001901F6">
              <w:rPr>
                <w:rStyle w:val="Hyperlink"/>
                <w:noProof/>
              </w:rPr>
              <w:t>Introduction</w:t>
            </w:r>
            <w:r w:rsidR="00192F55">
              <w:rPr>
                <w:noProof/>
                <w:webHidden/>
              </w:rPr>
              <w:tab/>
            </w:r>
            <w:r w:rsidR="00192F55">
              <w:rPr>
                <w:noProof/>
                <w:webHidden/>
              </w:rPr>
              <w:fldChar w:fldCharType="begin"/>
            </w:r>
            <w:r w:rsidR="00192F55">
              <w:rPr>
                <w:noProof/>
                <w:webHidden/>
              </w:rPr>
              <w:instrText xml:space="preserve"> PAGEREF _Toc437418392 \h </w:instrText>
            </w:r>
            <w:r w:rsidR="00192F55">
              <w:rPr>
                <w:noProof/>
                <w:webHidden/>
              </w:rPr>
            </w:r>
            <w:r w:rsidR="00192F55">
              <w:rPr>
                <w:noProof/>
                <w:webHidden/>
              </w:rPr>
              <w:fldChar w:fldCharType="separate"/>
            </w:r>
            <w:r>
              <w:rPr>
                <w:noProof/>
                <w:webHidden/>
              </w:rPr>
              <w:t>30</w:t>
            </w:r>
            <w:r w:rsidR="00192F55">
              <w:rPr>
                <w:noProof/>
                <w:webHidden/>
              </w:rPr>
              <w:fldChar w:fldCharType="end"/>
            </w:r>
          </w:hyperlink>
        </w:p>
        <w:p w14:paraId="270C6A4B" w14:textId="77777777" w:rsidR="00192F55" w:rsidRDefault="00494444">
          <w:pPr>
            <w:pStyle w:val="TOC3"/>
            <w:rPr>
              <w:rFonts w:asciiTheme="minorHAnsi" w:eastAsiaTheme="minorEastAsia" w:hAnsiTheme="minorHAnsi" w:cstheme="minorBidi"/>
              <w:noProof/>
              <w:lang w:eastAsia="en-AU"/>
            </w:rPr>
          </w:pPr>
          <w:hyperlink w:anchor="_Toc437418393" w:history="1">
            <w:r w:rsidR="00192F55" w:rsidRPr="001901F6">
              <w:rPr>
                <w:rStyle w:val="Hyperlink"/>
                <w:noProof/>
              </w:rPr>
              <w:t>Pharmacokinetics</w:t>
            </w:r>
            <w:r w:rsidR="00192F55">
              <w:rPr>
                <w:noProof/>
                <w:webHidden/>
              </w:rPr>
              <w:tab/>
            </w:r>
            <w:r w:rsidR="00192F55">
              <w:rPr>
                <w:noProof/>
                <w:webHidden/>
              </w:rPr>
              <w:fldChar w:fldCharType="begin"/>
            </w:r>
            <w:r w:rsidR="00192F55">
              <w:rPr>
                <w:noProof/>
                <w:webHidden/>
              </w:rPr>
              <w:instrText xml:space="preserve"> PAGEREF _Toc437418393 \h </w:instrText>
            </w:r>
            <w:r w:rsidR="00192F55">
              <w:rPr>
                <w:noProof/>
                <w:webHidden/>
              </w:rPr>
            </w:r>
            <w:r w:rsidR="00192F55">
              <w:rPr>
                <w:noProof/>
                <w:webHidden/>
              </w:rPr>
              <w:fldChar w:fldCharType="separate"/>
            </w:r>
            <w:r>
              <w:rPr>
                <w:noProof/>
                <w:webHidden/>
              </w:rPr>
              <w:t>32</w:t>
            </w:r>
            <w:r w:rsidR="00192F55">
              <w:rPr>
                <w:noProof/>
                <w:webHidden/>
              </w:rPr>
              <w:fldChar w:fldCharType="end"/>
            </w:r>
          </w:hyperlink>
        </w:p>
        <w:p w14:paraId="225698A3" w14:textId="77777777" w:rsidR="00192F55" w:rsidRDefault="00494444">
          <w:pPr>
            <w:pStyle w:val="TOC3"/>
            <w:rPr>
              <w:rFonts w:asciiTheme="minorHAnsi" w:eastAsiaTheme="minorEastAsia" w:hAnsiTheme="minorHAnsi" w:cstheme="minorBidi"/>
              <w:noProof/>
              <w:lang w:eastAsia="en-AU"/>
            </w:rPr>
          </w:pPr>
          <w:hyperlink w:anchor="_Toc437418394" w:history="1">
            <w:r w:rsidR="00192F55" w:rsidRPr="001901F6">
              <w:rPr>
                <w:rStyle w:val="Hyperlink"/>
                <w:noProof/>
              </w:rPr>
              <w:t>Pharmacodynamics</w:t>
            </w:r>
            <w:r w:rsidR="00192F55">
              <w:rPr>
                <w:noProof/>
                <w:webHidden/>
              </w:rPr>
              <w:tab/>
            </w:r>
            <w:r w:rsidR="00192F55">
              <w:rPr>
                <w:noProof/>
                <w:webHidden/>
              </w:rPr>
              <w:fldChar w:fldCharType="begin"/>
            </w:r>
            <w:r w:rsidR="00192F55">
              <w:rPr>
                <w:noProof/>
                <w:webHidden/>
              </w:rPr>
              <w:instrText xml:space="preserve"> PAGEREF _Toc437418394 \h </w:instrText>
            </w:r>
            <w:r w:rsidR="00192F55">
              <w:rPr>
                <w:noProof/>
                <w:webHidden/>
              </w:rPr>
            </w:r>
            <w:r w:rsidR="00192F55">
              <w:rPr>
                <w:noProof/>
                <w:webHidden/>
              </w:rPr>
              <w:fldChar w:fldCharType="separate"/>
            </w:r>
            <w:r>
              <w:rPr>
                <w:noProof/>
                <w:webHidden/>
              </w:rPr>
              <w:t>34</w:t>
            </w:r>
            <w:r w:rsidR="00192F55">
              <w:rPr>
                <w:noProof/>
                <w:webHidden/>
              </w:rPr>
              <w:fldChar w:fldCharType="end"/>
            </w:r>
          </w:hyperlink>
        </w:p>
        <w:p w14:paraId="6F2A7370" w14:textId="77777777" w:rsidR="00192F55" w:rsidRDefault="00494444">
          <w:pPr>
            <w:pStyle w:val="TOC3"/>
            <w:rPr>
              <w:rFonts w:asciiTheme="minorHAnsi" w:eastAsiaTheme="minorEastAsia" w:hAnsiTheme="minorHAnsi" w:cstheme="minorBidi"/>
              <w:noProof/>
              <w:lang w:eastAsia="en-AU"/>
            </w:rPr>
          </w:pPr>
          <w:hyperlink w:anchor="_Toc437418395" w:history="1">
            <w:r w:rsidR="00192F55" w:rsidRPr="001901F6">
              <w:rPr>
                <w:rStyle w:val="Hyperlink"/>
                <w:noProof/>
              </w:rPr>
              <w:t>Dosage selection for the pivotal studies</w:t>
            </w:r>
            <w:r w:rsidR="00192F55">
              <w:rPr>
                <w:noProof/>
                <w:webHidden/>
              </w:rPr>
              <w:tab/>
            </w:r>
            <w:r w:rsidR="00192F55">
              <w:rPr>
                <w:noProof/>
                <w:webHidden/>
              </w:rPr>
              <w:fldChar w:fldCharType="begin"/>
            </w:r>
            <w:r w:rsidR="00192F55">
              <w:rPr>
                <w:noProof/>
                <w:webHidden/>
              </w:rPr>
              <w:instrText xml:space="preserve"> PAGEREF _Toc437418395 \h </w:instrText>
            </w:r>
            <w:r w:rsidR="00192F55">
              <w:rPr>
                <w:noProof/>
                <w:webHidden/>
              </w:rPr>
            </w:r>
            <w:r w:rsidR="00192F55">
              <w:rPr>
                <w:noProof/>
                <w:webHidden/>
              </w:rPr>
              <w:fldChar w:fldCharType="separate"/>
            </w:r>
            <w:r>
              <w:rPr>
                <w:noProof/>
                <w:webHidden/>
              </w:rPr>
              <w:t>34</w:t>
            </w:r>
            <w:r w:rsidR="00192F55">
              <w:rPr>
                <w:noProof/>
                <w:webHidden/>
              </w:rPr>
              <w:fldChar w:fldCharType="end"/>
            </w:r>
          </w:hyperlink>
        </w:p>
        <w:p w14:paraId="4A9B81CE" w14:textId="77777777" w:rsidR="00192F55" w:rsidRDefault="00494444">
          <w:pPr>
            <w:pStyle w:val="TOC3"/>
            <w:rPr>
              <w:rFonts w:asciiTheme="minorHAnsi" w:eastAsiaTheme="minorEastAsia" w:hAnsiTheme="minorHAnsi" w:cstheme="minorBidi"/>
              <w:noProof/>
              <w:lang w:eastAsia="en-AU"/>
            </w:rPr>
          </w:pPr>
          <w:hyperlink w:anchor="_Toc437418396" w:history="1">
            <w:r w:rsidR="00192F55" w:rsidRPr="001901F6">
              <w:rPr>
                <w:rStyle w:val="Hyperlink"/>
                <w:noProof/>
              </w:rPr>
              <w:t>Efficacy</w:t>
            </w:r>
            <w:r w:rsidR="00192F55">
              <w:rPr>
                <w:noProof/>
                <w:webHidden/>
              </w:rPr>
              <w:tab/>
            </w:r>
            <w:r w:rsidR="00192F55">
              <w:rPr>
                <w:noProof/>
                <w:webHidden/>
              </w:rPr>
              <w:fldChar w:fldCharType="begin"/>
            </w:r>
            <w:r w:rsidR="00192F55">
              <w:rPr>
                <w:noProof/>
                <w:webHidden/>
              </w:rPr>
              <w:instrText xml:space="preserve"> PAGEREF _Toc437418396 \h </w:instrText>
            </w:r>
            <w:r w:rsidR="00192F55">
              <w:rPr>
                <w:noProof/>
                <w:webHidden/>
              </w:rPr>
            </w:r>
            <w:r w:rsidR="00192F55">
              <w:rPr>
                <w:noProof/>
                <w:webHidden/>
              </w:rPr>
              <w:fldChar w:fldCharType="separate"/>
            </w:r>
            <w:r>
              <w:rPr>
                <w:noProof/>
                <w:webHidden/>
              </w:rPr>
              <w:t>35</w:t>
            </w:r>
            <w:r w:rsidR="00192F55">
              <w:rPr>
                <w:noProof/>
                <w:webHidden/>
              </w:rPr>
              <w:fldChar w:fldCharType="end"/>
            </w:r>
          </w:hyperlink>
        </w:p>
        <w:p w14:paraId="4ACF87E3" w14:textId="77777777" w:rsidR="00192F55" w:rsidRDefault="00494444">
          <w:pPr>
            <w:pStyle w:val="TOC3"/>
            <w:rPr>
              <w:rFonts w:asciiTheme="minorHAnsi" w:eastAsiaTheme="minorEastAsia" w:hAnsiTheme="minorHAnsi" w:cstheme="minorBidi"/>
              <w:noProof/>
              <w:lang w:eastAsia="en-AU"/>
            </w:rPr>
          </w:pPr>
          <w:hyperlink w:anchor="_Toc437418397" w:history="1">
            <w:r w:rsidR="00192F55" w:rsidRPr="001901F6">
              <w:rPr>
                <w:rStyle w:val="Hyperlink"/>
                <w:noProof/>
              </w:rPr>
              <w:t>Safety</w:t>
            </w:r>
            <w:r w:rsidR="00192F55">
              <w:rPr>
                <w:noProof/>
                <w:webHidden/>
              </w:rPr>
              <w:tab/>
            </w:r>
            <w:r w:rsidR="00192F55">
              <w:rPr>
                <w:noProof/>
                <w:webHidden/>
              </w:rPr>
              <w:fldChar w:fldCharType="begin"/>
            </w:r>
            <w:r w:rsidR="00192F55">
              <w:rPr>
                <w:noProof/>
                <w:webHidden/>
              </w:rPr>
              <w:instrText xml:space="preserve"> PAGEREF _Toc437418397 \h </w:instrText>
            </w:r>
            <w:r w:rsidR="00192F55">
              <w:rPr>
                <w:noProof/>
                <w:webHidden/>
              </w:rPr>
            </w:r>
            <w:r w:rsidR="00192F55">
              <w:rPr>
                <w:noProof/>
                <w:webHidden/>
              </w:rPr>
              <w:fldChar w:fldCharType="separate"/>
            </w:r>
            <w:r>
              <w:rPr>
                <w:noProof/>
                <w:webHidden/>
              </w:rPr>
              <w:t>36</w:t>
            </w:r>
            <w:r w:rsidR="00192F55">
              <w:rPr>
                <w:noProof/>
                <w:webHidden/>
              </w:rPr>
              <w:fldChar w:fldCharType="end"/>
            </w:r>
          </w:hyperlink>
        </w:p>
        <w:p w14:paraId="169CF751" w14:textId="77777777" w:rsidR="00192F55" w:rsidRDefault="00494444">
          <w:pPr>
            <w:pStyle w:val="TOC3"/>
            <w:rPr>
              <w:rFonts w:asciiTheme="minorHAnsi" w:eastAsiaTheme="minorEastAsia" w:hAnsiTheme="minorHAnsi" w:cstheme="minorBidi"/>
              <w:noProof/>
              <w:lang w:eastAsia="en-AU"/>
            </w:rPr>
          </w:pPr>
          <w:hyperlink w:anchor="_Toc437418398" w:history="1">
            <w:r w:rsidR="00192F55" w:rsidRPr="001901F6">
              <w:rPr>
                <w:rStyle w:val="Hyperlink"/>
                <w:noProof/>
              </w:rPr>
              <w:t>First Round Benefit-Risk Assessment</w:t>
            </w:r>
            <w:r w:rsidR="00192F55">
              <w:rPr>
                <w:noProof/>
                <w:webHidden/>
              </w:rPr>
              <w:tab/>
            </w:r>
            <w:r w:rsidR="00192F55">
              <w:rPr>
                <w:noProof/>
                <w:webHidden/>
              </w:rPr>
              <w:fldChar w:fldCharType="begin"/>
            </w:r>
            <w:r w:rsidR="00192F55">
              <w:rPr>
                <w:noProof/>
                <w:webHidden/>
              </w:rPr>
              <w:instrText xml:space="preserve"> PAGEREF _Toc437418398 \h </w:instrText>
            </w:r>
            <w:r w:rsidR="00192F55">
              <w:rPr>
                <w:noProof/>
                <w:webHidden/>
              </w:rPr>
            </w:r>
            <w:r w:rsidR="00192F55">
              <w:rPr>
                <w:noProof/>
                <w:webHidden/>
              </w:rPr>
              <w:fldChar w:fldCharType="separate"/>
            </w:r>
            <w:r>
              <w:rPr>
                <w:noProof/>
                <w:webHidden/>
              </w:rPr>
              <w:t>39</w:t>
            </w:r>
            <w:r w:rsidR="00192F55">
              <w:rPr>
                <w:noProof/>
                <w:webHidden/>
              </w:rPr>
              <w:fldChar w:fldCharType="end"/>
            </w:r>
          </w:hyperlink>
        </w:p>
        <w:p w14:paraId="1EC8AED4" w14:textId="77777777" w:rsidR="00192F55" w:rsidRDefault="00494444">
          <w:pPr>
            <w:pStyle w:val="TOC3"/>
            <w:rPr>
              <w:rFonts w:asciiTheme="minorHAnsi" w:eastAsiaTheme="minorEastAsia" w:hAnsiTheme="minorHAnsi" w:cstheme="minorBidi"/>
              <w:noProof/>
              <w:lang w:eastAsia="en-AU"/>
            </w:rPr>
          </w:pPr>
          <w:hyperlink w:anchor="_Toc437418399" w:history="1">
            <w:r w:rsidR="00192F55" w:rsidRPr="001901F6">
              <w:rPr>
                <w:rStyle w:val="Hyperlink"/>
                <w:noProof/>
              </w:rPr>
              <w:t>First Round Recommendation Regarding Authorisation</w:t>
            </w:r>
            <w:r w:rsidR="00192F55">
              <w:rPr>
                <w:noProof/>
                <w:webHidden/>
              </w:rPr>
              <w:tab/>
            </w:r>
            <w:r w:rsidR="00192F55">
              <w:rPr>
                <w:noProof/>
                <w:webHidden/>
              </w:rPr>
              <w:fldChar w:fldCharType="begin"/>
            </w:r>
            <w:r w:rsidR="00192F55">
              <w:rPr>
                <w:noProof/>
                <w:webHidden/>
              </w:rPr>
              <w:instrText xml:space="preserve"> PAGEREF _Toc437418399 \h </w:instrText>
            </w:r>
            <w:r w:rsidR="00192F55">
              <w:rPr>
                <w:noProof/>
                <w:webHidden/>
              </w:rPr>
            </w:r>
            <w:r w:rsidR="00192F55">
              <w:rPr>
                <w:noProof/>
                <w:webHidden/>
              </w:rPr>
              <w:fldChar w:fldCharType="separate"/>
            </w:r>
            <w:r>
              <w:rPr>
                <w:noProof/>
                <w:webHidden/>
              </w:rPr>
              <w:t>39</w:t>
            </w:r>
            <w:r w:rsidR="00192F55">
              <w:rPr>
                <w:noProof/>
                <w:webHidden/>
              </w:rPr>
              <w:fldChar w:fldCharType="end"/>
            </w:r>
          </w:hyperlink>
        </w:p>
        <w:p w14:paraId="13E7AAAC" w14:textId="77777777" w:rsidR="00192F55" w:rsidRDefault="00494444">
          <w:pPr>
            <w:pStyle w:val="TOC3"/>
            <w:rPr>
              <w:rFonts w:asciiTheme="minorHAnsi" w:eastAsiaTheme="minorEastAsia" w:hAnsiTheme="minorHAnsi" w:cstheme="minorBidi"/>
              <w:noProof/>
              <w:lang w:eastAsia="en-AU"/>
            </w:rPr>
          </w:pPr>
          <w:hyperlink w:anchor="_Toc437418400" w:history="1">
            <w:r w:rsidR="00192F55" w:rsidRPr="001901F6">
              <w:rPr>
                <w:rStyle w:val="Hyperlink"/>
                <w:noProof/>
              </w:rPr>
              <w:t>Clinical Questions</w:t>
            </w:r>
            <w:r w:rsidR="00192F55">
              <w:rPr>
                <w:noProof/>
                <w:webHidden/>
              </w:rPr>
              <w:tab/>
            </w:r>
            <w:r w:rsidR="00192F55">
              <w:rPr>
                <w:noProof/>
                <w:webHidden/>
              </w:rPr>
              <w:fldChar w:fldCharType="begin"/>
            </w:r>
            <w:r w:rsidR="00192F55">
              <w:rPr>
                <w:noProof/>
                <w:webHidden/>
              </w:rPr>
              <w:instrText xml:space="preserve"> PAGEREF _Toc437418400 \h </w:instrText>
            </w:r>
            <w:r w:rsidR="00192F55">
              <w:rPr>
                <w:noProof/>
                <w:webHidden/>
              </w:rPr>
            </w:r>
            <w:r w:rsidR="00192F55">
              <w:rPr>
                <w:noProof/>
                <w:webHidden/>
              </w:rPr>
              <w:fldChar w:fldCharType="separate"/>
            </w:r>
            <w:r>
              <w:rPr>
                <w:noProof/>
                <w:webHidden/>
              </w:rPr>
              <w:t>39</w:t>
            </w:r>
            <w:r w:rsidR="00192F55">
              <w:rPr>
                <w:noProof/>
                <w:webHidden/>
              </w:rPr>
              <w:fldChar w:fldCharType="end"/>
            </w:r>
          </w:hyperlink>
        </w:p>
        <w:p w14:paraId="398B500B" w14:textId="77777777" w:rsidR="00192F55" w:rsidRDefault="00494444">
          <w:pPr>
            <w:pStyle w:val="TOC2"/>
            <w:rPr>
              <w:rFonts w:asciiTheme="minorHAnsi" w:eastAsiaTheme="minorEastAsia" w:hAnsiTheme="minorHAnsi" w:cstheme="minorBidi"/>
              <w:b w:val="0"/>
              <w:noProof/>
              <w:sz w:val="22"/>
              <w:lang w:eastAsia="en-AU"/>
            </w:rPr>
          </w:pPr>
          <w:hyperlink w:anchor="_Toc437418401" w:history="1">
            <w:r w:rsidR="00192F55" w:rsidRPr="001901F6">
              <w:rPr>
                <w:rStyle w:val="Hyperlink"/>
                <w:noProof/>
              </w:rPr>
              <w:t>V. Pharmacovigilance findings</w:t>
            </w:r>
            <w:r w:rsidR="00192F55">
              <w:rPr>
                <w:noProof/>
                <w:webHidden/>
              </w:rPr>
              <w:tab/>
            </w:r>
            <w:r w:rsidR="00192F55">
              <w:rPr>
                <w:noProof/>
                <w:webHidden/>
              </w:rPr>
              <w:fldChar w:fldCharType="begin"/>
            </w:r>
            <w:r w:rsidR="00192F55">
              <w:rPr>
                <w:noProof/>
                <w:webHidden/>
              </w:rPr>
              <w:instrText xml:space="preserve"> PAGEREF _Toc437418401 \h </w:instrText>
            </w:r>
            <w:r w:rsidR="00192F55">
              <w:rPr>
                <w:noProof/>
                <w:webHidden/>
              </w:rPr>
            </w:r>
            <w:r w:rsidR="00192F55">
              <w:rPr>
                <w:noProof/>
                <w:webHidden/>
              </w:rPr>
              <w:fldChar w:fldCharType="separate"/>
            </w:r>
            <w:r>
              <w:rPr>
                <w:noProof/>
                <w:webHidden/>
              </w:rPr>
              <w:t>40</w:t>
            </w:r>
            <w:r w:rsidR="00192F55">
              <w:rPr>
                <w:noProof/>
                <w:webHidden/>
              </w:rPr>
              <w:fldChar w:fldCharType="end"/>
            </w:r>
          </w:hyperlink>
        </w:p>
        <w:p w14:paraId="308A7B62" w14:textId="77777777" w:rsidR="00192F55" w:rsidRDefault="00494444">
          <w:pPr>
            <w:pStyle w:val="TOC3"/>
            <w:rPr>
              <w:rFonts w:asciiTheme="minorHAnsi" w:eastAsiaTheme="minorEastAsia" w:hAnsiTheme="minorHAnsi" w:cstheme="minorBidi"/>
              <w:noProof/>
              <w:lang w:eastAsia="en-AU"/>
            </w:rPr>
          </w:pPr>
          <w:hyperlink w:anchor="_Toc437418402" w:history="1">
            <w:r w:rsidR="00192F55" w:rsidRPr="001901F6">
              <w:rPr>
                <w:rStyle w:val="Hyperlink"/>
                <w:noProof/>
                <w:lang w:eastAsia="en-AU"/>
              </w:rPr>
              <w:t>Risk management plan</w:t>
            </w:r>
            <w:r w:rsidR="00192F55">
              <w:rPr>
                <w:noProof/>
                <w:webHidden/>
              </w:rPr>
              <w:tab/>
            </w:r>
            <w:r w:rsidR="00192F55">
              <w:rPr>
                <w:noProof/>
                <w:webHidden/>
              </w:rPr>
              <w:fldChar w:fldCharType="begin"/>
            </w:r>
            <w:r w:rsidR="00192F55">
              <w:rPr>
                <w:noProof/>
                <w:webHidden/>
              </w:rPr>
              <w:instrText xml:space="preserve"> PAGEREF _Toc437418402 \h </w:instrText>
            </w:r>
            <w:r w:rsidR="00192F55">
              <w:rPr>
                <w:noProof/>
                <w:webHidden/>
              </w:rPr>
            </w:r>
            <w:r w:rsidR="00192F55">
              <w:rPr>
                <w:noProof/>
                <w:webHidden/>
              </w:rPr>
              <w:fldChar w:fldCharType="separate"/>
            </w:r>
            <w:r>
              <w:rPr>
                <w:noProof/>
                <w:webHidden/>
              </w:rPr>
              <w:t>40</w:t>
            </w:r>
            <w:r w:rsidR="00192F55">
              <w:rPr>
                <w:noProof/>
                <w:webHidden/>
              </w:rPr>
              <w:fldChar w:fldCharType="end"/>
            </w:r>
          </w:hyperlink>
        </w:p>
        <w:p w14:paraId="4BAC19B8" w14:textId="77777777" w:rsidR="00192F55" w:rsidRDefault="00494444">
          <w:pPr>
            <w:pStyle w:val="TOC2"/>
            <w:rPr>
              <w:rFonts w:asciiTheme="minorHAnsi" w:eastAsiaTheme="minorEastAsia" w:hAnsiTheme="minorHAnsi" w:cstheme="minorBidi"/>
              <w:b w:val="0"/>
              <w:noProof/>
              <w:sz w:val="22"/>
              <w:lang w:eastAsia="en-AU"/>
            </w:rPr>
          </w:pPr>
          <w:hyperlink w:anchor="_Toc437418403" w:history="1">
            <w:r w:rsidR="00192F55" w:rsidRPr="001901F6">
              <w:rPr>
                <w:rStyle w:val="Hyperlink"/>
                <w:noProof/>
              </w:rPr>
              <w:t>VI. Overall conclusion and risk/benefit assessment</w:t>
            </w:r>
            <w:r w:rsidR="00192F55">
              <w:rPr>
                <w:noProof/>
                <w:webHidden/>
              </w:rPr>
              <w:tab/>
            </w:r>
            <w:r w:rsidR="00192F55">
              <w:rPr>
                <w:noProof/>
                <w:webHidden/>
              </w:rPr>
              <w:fldChar w:fldCharType="begin"/>
            </w:r>
            <w:r w:rsidR="00192F55">
              <w:rPr>
                <w:noProof/>
                <w:webHidden/>
              </w:rPr>
              <w:instrText xml:space="preserve"> PAGEREF _Toc437418403 \h </w:instrText>
            </w:r>
            <w:r w:rsidR="00192F55">
              <w:rPr>
                <w:noProof/>
                <w:webHidden/>
              </w:rPr>
            </w:r>
            <w:r w:rsidR="00192F55">
              <w:rPr>
                <w:noProof/>
                <w:webHidden/>
              </w:rPr>
              <w:fldChar w:fldCharType="separate"/>
            </w:r>
            <w:r>
              <w:rPr>
                <w:noProof/>
                <w:webHidden/>
              </w:rPr>
              <w:t>48</w:t>
            </w:r>
            <w:r w:rsidR="00192F55">
              <w:rPr>
                <w:noProof/>
                <w:webHidden/>
              </w:rPr>
              <w:fldChar w:fldCharType="end"/>
            </w:r>
          </w:hyperlink>
        </w:p>
        <w:p w14:paraId="24638DC0" w14:textId="77777777" w:rsidR="00192F55" w:rsidRDefault="00494444">
          <w:pPr>
            <w:pStyle w:val="TOC3"/>
            <w:rPr>
              <w:rFonts w:asciiTheme="minorHAnsi" w:eastAsiaTheme="minorEastAsia" w:hAnsiTheme="minorHAnsi" w:cstheme="minorBidi"/>
              <w:noProof/>
              <w:lang w:eastAsia="en-AU"/>
            </w:rPr>
          </w:pPr>
          <w:hyperlink w:anchor="_Toc437418404" w:history="1">
            <w:r w:rsidR="00192F55" w:rsidRPr="001901F6">
              <w:rPr>
                <w:rStyle w:val="Hyperlink"/>
                <w:noProof/>
              </w:rPr>
              <w:t>Quality</w:t>
            </w:r>
            <w:r w:rsidR="00192F55">
              <w:rPr>
                <w:noProof/>
                <w:webHidden/>
              </w:rPr>
              <w:tab/>
            </w:r>
            <w:r w:rsidR="00192F55">
              <w:rPr>
                <w:noProof/>
                <w:webHidden/>
              </w:rPr>
              <w:fldChar w:fldCharType="begin"/>
            </w:r>
            <w:r w:rsidR="00192F55">
              <w:rPr>
                <w:noProof/>
                <w:webHidden/>
              </w:rPr>
              <w:instrText xml:space="preserve"> PAGEREF _Toc437418404 \h </w:instrText>
            </w:r>
            <w:r w:rsidR="00192F55">
              <w:rPr>
                <w:noProof/>
                <w:webHidden/>
              </w:rPr>
            </w:r>
            <w:r w:rsidR="00192F55">
              <w:rPr>
                <w:noProof/>
                <w:webHidden/>
              </w:rPr>
              <w:fldChar w:fldCharType="separate"/>
            </w:r>
            <w:r>
              <w:rPr>
                <w:noProof/>
                <w:webHidden/>
              </w:rPr>
              <w:t>48</w:t>
            </w:r>
            <w:r w:rsidR="00192F55">
              <w:rPr>
                <w:noProof/>
                <w:webHidden/>
              </w:rPr>
              <w:fldChar w:fldCharType="end"/>
            </w:r>
          </w:hyperlink>
        </w:p>
        <w:p w14:paraId="1A41B36D" w14:textId="77777777" w:rsidR="00192F55" w:rsidRDefault="00494444">
          <w:pPr>
            <w:pStyle w:val="TOC3"/>
            <w:rPr>
              <w:rFonts w:asciiTheme="minorHAnsi" w:eastAsiaTheme="minorEastAsia" w:hAnsiTheme="minorHAnsi" w:cstheme="minorBidi"/>
              <w:noProof/>
              <w:lang w:eastAsia="en-AU"/>
            </w:rPr>
          </w:pPr>
          <w:hyperlink w:anchor="_Toc437418405" w:history="1">
            <w:r w:rsidR="00192F55" w:rsidRPr="001901F6">
              <w:rPr>
                <w:rStyle w:val="Hyperlink"/>
                <w:noProof/>
              </w:rPr>
              <w:t>Nonclinical</w:t>
            </w:r>
            <w:r w:rsidR="00192F55">
              <w:rPr>
                <w:noProof/>
                <w:webHidden/>
              </w:rPr>
              <w:tab/>
            </w:r>
            <w:r w:rsidR="00192F55">
              <w:rPr>
                <w:noProof/>
                <w:webHidden/>
              </w:rPr>
              <w:fldChar w:fldCharType="begin"/>
            </w:r>
            <w:r w:rsidR="00192F55">
              <w:rPr>
                <w:noProof/>
                <w:webHidden/>
              </w:rPr>
              <w:instrText xml:space="preserve"> PAGEREF _Toc437418405 \h </w:instrText>
            </w:r>
            <w:r w:rsidR="00192F55">
              <w:rPr>
                <w:noProof/>
                <w:webHidden/>
              </w:rPr>
            </w:r>
            <w:r w:rsidR="00192F55">
              <w:rPr>
                <w:noProof/>
                <w:webHidden/>
              </w:rPr>
              <w:fldChar w:fldCharType="separate"/>
            </w:r>
            <w:r>
              <w:rPr>
                <w:noProof/>
                <w:webHidden/>
              </w:rPr>
              <w:t>48</w:t>
            </w:r>
            <w:r w:rsidR="00192F55">
              <w:rPr>
                <w:noProof/>
                <w:webHidden/>
              </w:rPr>
              <w:fldChar w:fldCharType="end"/>
            </w:r>
          </w:hyperlink>
        </w:p>
        <w:p w14:paraId="658D2AAC" w14:textId="77777777" w:rsidR="00192F55" w:rsidRDefault="00494444">
          <w:pPr>
            <w:pStyle w:val="TOC3"/>
            <w:rPr>
              <w:rFonts w:asciiTheme="minorHAnsi" w:eastAsiaTheme="minorEastAsia" w:hAnsiTheme="minorHAnsi" w:cstheme="minorBidi"/>
              <w:noProof/>
              <w:lang w:eastAsia="en-AU"/>
            </w:rPr>
          </w:pPr>
          <w:hyperlink w:anchor="_Toc437418406" w:history="1">
            <w:r w:rsidR="00192F55" w:rsidRPr="001901F6">
              <w:rPr>
                <w:rStyle w:val="Hyperlink"/>
                <w:noProof/>
              </w:rPr>
              <w:t>Clinical</w:t>
            </w:r>
            <w:r w:rsidR="00192F55">
              <w:rPr>
                <w:noProof/>
                <w:webHidden/>
              </w:rPr>
              <w:tab/>
            </w:r>
            <w:r w:rsidR="00192F55">
              <w:rPr>
                <w:noProof/>
                <w:webHidden/>
              </w:rPr>
              <w:fldChar w:fldCharType="begin"/>
            </w:r>
            <w:r w:rsidR="00192F55">
              <w:rPr>
                <w:noProof/>
                <w:webHidden/>
              </w:rPr>
              <w:instrText xml:space="preserve"> PAGEREF _Toc437418406 \h </w:instrText>
            </w:r>
            <w:r w:rsidR="00192F55">
              <w:rPr>
                <w:noProof/>
                <w:webHidden/>
              </w:rPr>
            </w:r>
            <w:r w:rsidR="00192F55">
              <w:rPr>
                <w:noProof/>
                <w:webHidden/>
              </w:rPr>
              <w:fldChar w:fldCharType="separate"/>
            </w:r>
            <w:r>
              <w:rPr>
                <w:noProof/>
                <w:webHidden/>
              </w:rPr>
              <w:t>49</w:t>
            </w:r>
            <w:r w:rsidR="00192F55">
              <w:rPr>
                <w:noProof/>
                <w:webHidden/>
              </w:rPr>
              <w:fldChar w:fldCharType="end"/>
            </w:r>
          </w:hyperlink>
        </w:p>
        <w:p w14:paraId="73AAECA9" w14:textId="77777777" w:rsidR="00192F55" w:rsidRDefault="00494444">
          <w:pPr>
            <w:pStyle w:val="TOC3"/>
            <w:rPr>
              <w:rFonts w:asciiTheme="minorHAnsi" w:eastAsiaTheme="minorEastAsia" w:hAnsiTheme="minorHAnsi" w:cstheme="minorBidi"/>
              <w:noProof/>
              <w:lang w:eastAsia="en-AU"/>
            </w:rPr>
          </w:pPr>
          <w:hyperlink w:anchor="_Toc437418407" w:history="1">
            <w:r w:rsidR="00192F55" w:rsidRPr="001901F6">
              <w:rPr>
                <w:rStyle w:val="Hyperlink"/>
                <w:noProof/>
                <w:lang w:eastAsia="en-AU"/>
              </w:rPr>
              <w:t>Risk management plan</w:t>
            </w:r>
            <w:r w:rsidR="00192F55">
              <w:rPr>
                <w:noProof/>
                <w:webHidden/>
              </w:rPr>
              <w:tab/>
            </w:r>
            <w:r w:rsidR="00192F55">
              <w:rPr>
                <w:noProof/>
                <w:webHidden/>
              </w:rPr>
              <w:fldChar w:fldCharType="begin"/>
            </w:r>
            <w:r w:rsidR="00192F55">
              <w:rPr>
                <w:noProof/>
                <w:webHidden/>
              </w:rPr>
              <w:instrText xml:space="preserve"> PAGEREF _Toc437418407 \h </w:instrText>
            </w:r>
            <w:r w:rsidR="00192F55">
              <w:rPr>
                <w:noProof/>
                <w:webHidden/>
              </w:rPr>
            </w:r>
            <w:r w:rsidR="00192F55">
              <w:rPr>
                <w:noProof/>
                <w:webHidden/>
              </w:rPr>
              <w:fldChar w:fldCharType="separate"/>
            </w:r>
            <w:r>
              <w:rPr>
                <w:noProof/>
                <w:webHidden/>
              </w:rPr>
              <w:t>57</w:t>
            </w:r>
            <w:r w:rsidR="00192F55">
              <w:rPr>
                <w:noProof/>
                <w:webHidden/>
              </w:rPr>
              <w:fldChar w:fldCharType="end"/>
            </w:r>
          </w:hyperlink>
        </w:p>
        <w:p w14:paraId="7F4609F9" w14:textId="77777777" w:rsidR="00192F55" w:rsidRDefault="00494444">
          <w:pPr>
            <w:pStyle w:val="TOC3"/>
            <w:rPr>
              <w:rFonts w:asciiTheme="minorHAnsi" w:eastAsiaTheme="minorEastAsia" w:hAnsiTheme="minorHAnsi" w:cstheme="minorBidi"/>
              <w:noProof/>
              <w:lang w:eastAsia="en-AU"/>
            </w:rPr>
          </w:pPr>
          <w:hyperlink w:anchor="_Toc437418408" w:history="1">
            <w:r w:rsidR="00192F55" w:rsidRPr="001901F6">
              <w:rPr>
                <w:rStyle w:val="Hyperlink"/>
                <w:noProof/>
              </w:rPr>
              <w:t>Risk-benefit analysis</w:t>
            </w:r>
            <w:r w:rsidR="00192F55">
              <w:rPr>
                <w:noProof/>
                <w:webHidden/>
              </w:rPr>
              <w:tab/>
            </w:r>
            <w:r w:rsidR="00192F55">
              <w:rPr>
                <w:noProof/>
                <w:webHidden/>
              </w:rPr>
              <w:fldChar w:fldCharType="begin"/>
            </w:r>
            <w:r w:rsidR="00192F55">
              <w:rPr>
                <w:noProof/>
                <w:webHidden/>
              </w:rPr>
              <w:instrText xml:space="preserve"> PAGEREF _Toc437418408 \h </w:instrText>
            </w:r>
            <w:r w:rsidR="00192F55">
              <w:rPr>
                <w:noProof/>
                <w:webHidden/>
              </w:rPr>
            </w:r>
            <w:r w:rsidR="00192F55">
              <w:rPr>
                <w:noProof/>
                <w:webHidden/>
              </w:rPr>
              <w:fldChar w:fldCharType="separate"/>
            </w:r>
            <w:r>
              <w:rPr>
                <w:noProof/>
                <w:webHidden/>
              </w:rPr>
              <w:t>58</w:t>
            </w:r>
            <w:r w:rsidR="00192F55">
              <w:rPr>
                <w:noProof/>
                <w:webHidden/>
              </w:rPr>
              <w:fldChar w:fldCharType="end"/>
            </w:r>
          </w:hyperlink>
        </w:p>
        <w:p w14:paraId="3CF99BF4" w14:textId="77777777" w:rsidR="00192F55" w:rsidRDefault="00494444">
          <w:pPr>
            <w:pStyle w:val="TOC3"/>
            <w:rPr>
              <w:rFonts w:asciiTheme="minorHAnsi" w:eastAsiaTheme="minorEastAsia" w:hAnsiTheme="minorHAnsi" w:cstheme="minorBidi"/>
              <w:noProof/>
              <w:lang w:eastAsia="en-AU"/>
            </w:rPr>
          </w:pPr>
          <w:hyperlink w:anchor="_Toc437418409" w:history="1">
            <w:r w:rsidR="00192F55" w:rsidRPr="001901F6">
              <w:rPr>
                <w:rStyle w:val="Hyperlink"/>
                <w:noProof/>
              </w:rPr>
              <w:t>Outcome</w:t>
            </w:r>
            <w:r w:rsidR="00192F55">
              <w:rPr>
                <w:noProof/>
                <w:webHidden/>
              </w:rPr>
              <w:tab/>
            </w:r>
            <w:r w:rsidR="00192F55">
              <w:rPr>
                <w:noProof/>
                <w:webHidden/>
              </w:rPr>
              <w:fldChar w:fldCharType="begin"/>
            </w:r>
            <w:r w:rsidR="00192F55">
              <w:rPr>
                <w:noProof/>
                <w:webHidden/>
              </w:rPr>
              <w:instrText xml:space="preserve"> PAGEREF _Toc437418409 \h </w:instrText>
            </w:r>
            <w:r w:rsidR="00192F55">
              <w:rPr>
                <w:noProof/>
                <w:webHidden/>
              </w:rPr>
            </w:r>
            <w:r w:rsidR="00192F55">
              <w:rPr>
                <w:noProof/>
                <w:webHidden/>
              </w:rPr>
              <w:fldChar w:fldCharType="separate"/>
            </w:r>
            <w:r>
              <w:rPr>
                <w:noProof/>
                <w:webHidden/>
              </w:rPr>
              <w:t>65</w:t>
            </w:r>
            <w:r w:rsidR="00192F55">
              <w:rPr>
                <w:noProof/>
                <w:webHidden/>
              </w:rPr>
              <w:fldChar w:fldCharType="end"/>
            </w:r>
          </w:hyperlink>
        </w:p>
        <w:p w14:paraId="4EE0BB47" w14:textId="77777777" w:rsidR="00192F55" w:rsidRDefault="00494444">
          <w:pPr>
            <w:pStyle w:val="TOC2"/>
            <w:rPr>
              <w:rFonts w:asciiTheme="minorHAnsi" w:eastAsiaTheme="minorEastAsia" w:hAnsiTheme="minorHAnsi" w:cstheme="minorBidi"/>
              <w:b w:val="0"/>
              <w:noProof/>
              <w:sz w:val="22"/>
              <w:lang w:eastAsia="en-AU"/>
            </w:rPr>
          </w:pPr>
          <w:hyperlink w:anchor="_Toc437418410" w:history="1">
            <w:r w:rsidR="00192F55" w:rsidRPr="001901F6">
              <w:rPr>
                <w:rStyle w:val="Hyperlink"/>
                <w:noProof/>
              </w:rPr>
              <w:t>Attachment 1. Product Information</w:t>
            </w:r>
            <w:r w:rsidR="00192F55">
              <w:rPr>
                <w:noProof/>
                <w:webHidden/>
              </w:rPr>
              <w:tab/>
            </w:r>
            <w:r w:rsidR="00192F55">
              <w:rPr>
                <w:noProof/>
                <w:webHidden/>
              </w:rPr>
              <w:fldChar w:fldCharType="begin"/>
            </w:r>
            <w:r w:rsidR="00192F55">
              <w:rPr>
                <w:noProof/>
                <w:webHidden/>
              </w:rPr>
              <w:instrText xml:space="preserve"> PAGEREF _Toc437418410 \h </w:instrText>
            </w:r>
            <w:r w:rsidR="00192F55">
              <w:rPr>
                <w:noProof/>
                <w:webHidden/>
              </w:rPr>
            </w:r>
            <w:r w:rsidR="00192F55">
              <w:rPr>
                <w:noProof/>
                <w:webHidden/>
              </w:rPr>
              <w:fldChar w:fldCharType="separate"/>
            </w:r>
            <w:r>
              <w:rPr>
                <w:noProof/>
                <w:webHidden/>
              </w:rPr>
              <w:t>66</w:t>
            </w:r>
            <w:r w:rsidR="00192F55">
              <w:rPr>
                <w:noProof/>
                <w:webHidden/>
              </w:rPr>
              <w:fldChar w:fldCharType="end"/>
            </w:r>
          </w:hyperlink>
        </w:p>
        <w:p w14:paraId="1E7D7241" w14:textId="77777777" w:rsidR="00192F55" w:rsidRDefault="00494444">
          <w:pPr>
            <w:pStyle w:val="TOC2"/>
            <w:rPr>
              <w:rFonts w:asciiTheme="minorHAnsi" w:eastAsiaTheme="minorEastAsia" w:hAnsiTheme="minorHAnsi" w:cstheme="minorBidi"/>
              <w:b w:val="0"/>
              <w:noProof/>
              <w:sz w:val="22"/>
              <w:lang w:eastAsia="en-AU"/>
            </w:rPr>
          </w:pPr>
          <w:hyperlink w:anchor="_Toc437418411" w:history="1">
            <w:r w:rsidR="00192F55" w:rsidRPr="001901F6">
              <w:rPr>
                <w:rStyle w:val="Hyperlink"/>
                <w:noProof/>
                <w:lang w:eastAsia="en-AU"/>
              </w:rPr>
              <w:t>Attachment 2. Extract from the Clinical Evaluation Report</w:t>
            </w:r>
            <w:r w:rsidR="00192F55">
              <w:rPr>
                <w:noProof/>
                <w:webHidden/>
              </w:rPr>
              <w:tab/>
            </w:r>
            <w:r w:rsidR="00192F55">
              <w:rPr>
                <w:noProof/>
                <w:webHidden/>
              </w:rPr>
              <w:fldChar w:fldCharType="begin"/>
            </w:r>
            <w:r w:rsidR="00192F55">
              <w:rPr>
                <w:noProof/>
                <w:webHidden/>
              </w:rPr>
              <w:instrText xml:space="preserve"> PAGEREF _Toc437418411 \h </w:instrText>
            </w:r>
            <w:r w:rsidR="00192F55">
              <w:rPr>
                <w:noProof/>
                <w:webHidden/>
              </w:rPr>
            </w:r>
            <w:r w:rsidR="00192F55">
              <w:rPr>
                <w:noProof/>
                <w:webHidden/>
              </w:rPr>
              <w:fldChar w:fldCharType="separate"/>
            </w:r>
            <w:r>
              <w:rPr>
                <w:noProof/>
                <w:webHidden/>
              </w:rPr>
              <w:t>66</w:t>
            </w:r>
            <w:r w:rsidR="00192F55">
              <w:rPr>
                <w:noProof/>
                <w:webHidden/>
              </w:rPr>
              <w:fldChar w:fldCharType="end"/>
            </w:r>
          </w:hyperlink>
        </w:p>
        <w:p w14:paraId="6AD89980" w14:textId="77777777" w:rsidR="003A7F6C" w:rsidRPr="00B811C6" w:rsidRDefault="00DB6124" w:rsidP="00B811C6">
          <w:pPr>
            <w:pStyle w:val="TOC2"/>
          </w:pPr>
          <w:r>
            <w:fldChar w:fldCharType="end"/>
          </w:r>
        </w:p>
      </w:sdtContent>
    </w:sdt>
    <w:bookmarkStart w:id="4" w:name="_Toc314842482" w:displacedByCustomXml="prev"/>
    <w:p w14:paraId="6AD89981" w14:textId="77777777" w:rsidR="00FD119B" w:rsidRDefault="00FD119B">
      <w:pPr>
        <w:spacing w:before="0" w:after="200" w:line="0" w:lineRule="auto"/>
      </w:pPr>
      <w:r>
        <w:br w:type="page"/>
      </w:r>
    </w:p>
    <w:p w14:paraId="6AD89982" w14:textId="77777777" w:rsidR="00FD119B" w:rsidRPr="00FD119B" w:rsidRDefault="00441C3F" w:rsidP="004F0C4A">
      <w:pPr>
        <w:pStyle w:val="Heading2"/>
      </w:pPr>
      <w:bookmarkStart w:id="5" w:name="_Toc351716269"/>
      <w:bookmarkStart w:id="6" w:name="_Toc351718881"/>
      <w:bookmarkStart w:id="7" w:name="_Toc355338616"/>
      <w:bookmarkStart w:id="8" w:name="_Toc356306144"/>
      <w:bookmarkStart w:id="9" w:name="_Toc437418375"/>
      <w:r>
        <w:lastRenderedPageBreak/>
        <w:t>Common</w:t>
      </w:r>
      <w:r w:rsidR="00FD119B" w:rsidRPr="00FD119B">
        <w:t xml:space="preserve"> abbreviations</w:t>
      </w:r>
      <w:bookmarkEnd w:id="5"/>
      <w:bookmarkEnd w:id="6"/>
      <w:bookmarkEnd w:id="7"/>
      <w:bookmarkEnd w:id="8"/>
      <w:bookmarkEnd w:id="9"/>
    </w:p>
    <w:tbl>
      <w:tblPr>
        <w:tblStyle w:val="TableTGAblue"/>
        <w:tblW w:w="8801" w:type="dxa"/>
        <w:tblLook w:val="04A0" w:firstRow="1" w:lastRow="0" w:firstColumn="1" w:lastColumn="0" w:noHBand="0" w:noVBand="1"/>
      </w:tblPr>
      <w:tblGrid>
        <w:gridCol w:w="1890"/>
        <w:gridCol w:w="6911"/>
      </w:tblGrid>
      <w:tr w:rsidR="001930BB" w14:paraId="6AD89985" w14:textId="77777777" w:rsidTr="001930BB">
        <w:trPr>
          <w:cnfStyle w:val="100000000000" w:firstRow="1" w:lastRow="0" w:firstColumn="0" w:lastColumn="0" w:oddVBand="0" w:evenVBand="0" w:oddHBand="0" w:evenHBand="0" w:firstRowFirstColumn="0" w:firstRowLastColumn="0" w:lastRowFirstColumn="0" w:lastRowLastColumn="0"/>
        </w:trPr>
        <w:tc>
          <w:tcPr>
            <w:tcW w:w="1890" w:type="dxa"/>
          </w:tcPr>
          <w:p w14:paraId="6AD89983" w14:textId="77777777" w:rsidR="001930BB" w:rsidRDefault="001930BB" w:rsidP="001930BB">
            <w:r>
              <w:t>Abbreviation</w:t>
            </w:r>
          </w:p>
        </w:tc>
        <w:tc>
          <w:tcPr>
            <w:tcW w:w="6911" w:type="dxa"/>
          </w:tcPr>
          <w:p w14:paraId="6AD89984" w14:textId="77777777" w:rsidR="001930BB" w:rsidRDefault="001930BB" w:rsidP="001930BB">
            <w:r>
              <w:t>Meaning</w:t>
            </w:r>
          </w:p>
        </w:tc>
      </w:tr>
      <w:tr w:rsidR="00916BD2" w14:paraId="6AD89988" w14:textId="77777777" w:rsidTr="001930BB">
        <w:tc>
          <w:tcPr>
            <w:tcW w:w="1890" w:type="dxa"/>
          </w:tcPr>
          <w:p w14:paraId="6AD89986" w14:textId="77777777" w:rsidR="00916BD2" w:rsidRPr="00B64701" w:rsidRDefault="00916BD2" w:rsidP="001930BB">
            <w:r w:rsidRPr="00916BD2">
              <w:t>ABC B1</w:t>
            </w:r>
          </w:p>
        </w:tc>
        <w:tc>
          <w:tcPr>
            <w:tcW w:w="6911" w:type="dxa"/>
          </w:tcPr>
          <w:p w14:paraId="6AD89987" w14:textId="77777777" w:rsidR="00916BD2" w:rsidRPr="00B64701" w:rsidRDefault="00916BD2" w:rsidP="00916BD2">
            <w:r>
              <w:t>ATP bin</w:t>
            </w:r>
            <w:r w:rsidR="00CA7EEF">
              <w:t>ding cassette B1 (p-glycoprotei</w:t>
            </w:r>
            <w:r>
              <w:t>n)</w:t>
            </w:r>
          </w:p>
        </w:tc>
      </w:tr>
      <w:tr w:rsidR="00603F07" w14:paraId="6AD8998B" w14:textId="77777777" w:rsidTr="001930BB">
        <w:tc>
          <w:tcPr>
            <w:tcW w:w="1890" w:type="dxa"/>
          </w:tcPr>
          <w:p w14:paraId="6AD89989" w14:textId="77777777" w:rsidR="00603F07" w:rsidRPr="00916BD2" w:rsidRDefault="00603F07" w:rsidP="001930BB">
            <w:r>
              <w:t>ACPM</w:t>
            </w:r>
          </w:p>
        </w:tc>
        <w:tc>
          <w:tcPr>
            <w:tcW w:w="6911" w:type="dxa"/>
          </w:tcPr>
          <w:p w14:paraId="6AD8998A" w14:textId="77777777" w:rsidR="00603F07" w:rsidRDefault="00603F07" w:rsidP="00916BD2">
            <w:r>
              <w:t>Advisory Committee for Prescription Medicines</w:t>
            </w:r>
          </w:p>
        </w:tc>
      </w:tr>
      <w:tr w:rsidR="001930BB" w14:paraId="6AD8998E" w14:textId="77777777" w:rsidTr="001930BB">
        <w:tc>
          <w:tcPr>
            <w:tcW w:w="1890" w:type="dxa"/>
          </w:tcPr>
          <w:p w14:paraId="6AD8998C" w14:textId="77777777" w:rsidR="001930BB" w:rsidRPr="00B64701" w:rsidRDefault="001930BB" w:rsidP="001930BB">
            <w:r w:rsidRPr="00B64701">
              <w:t>AE</w:t>
            </w:r>
          </w:p>
        </w:tc>
        <w:tc>
          <w:tcPr>
            <w:tcW w:w="6911" w:type="dxa"/>
          </w:tcPr>
          <w:p w14:paraId="6AD8998D" w14:textId="77777777" w:rsidR="001930BB" w:rsidRPr="00B64701" w:rsidRDefault="001930BB" w:rsidP="001930BB">
            <w:r w:rsidRPr="00B64701">
              <w:t>Adverse event</w:t>
            </w:r>
          </w:p>
        </w:tc>
      </w:tr>
      <w:tr w:rsidR="00A74A6A" w14:paraId="6AD89991" w14:textId="77777777" w:rsidTr="001930BB">
        <w:tc>
          <w:tcPr>
            <w:tcW w:w="1890" w:type="dxa"/>
          </w:tcPr>
          <w:p w14:paraId="6AD8998F" w14:textId="77777777" w:rsidR="00A74A6A" w:rsidRPr="00B64701" w:rsidRDefault="00A74A6A" w:rsidP="001930BB">
            <w:r>
              <w:t>ATP</w:t>
            </w:r>
          </w:p>
        </w:tc>
        <w:tc>
          <w:tcPr>
            <w:tcW w:w="6911" w:type="dxa"/>
          </w:tcPr>
          <w:p w14:paraId="6AD89990" w14:textId="77777777" w:rsidR="00A74A6A" w:rsidRPr="00B64701" w:rsidRDefault="00A74A6A" w:rsidP="001930BB">
            <w:r>
              <w:t>Adenosine triphosphate</w:t>
            </w:r>
          </w:p>
        </w:tc>
      </w:tr>
      <w:tr w:rsidR="008B1EEB" w14:paraId="6AD89994" w14:textId="77777777" w:rsidTr="001930BB">
        <w:tc>
          <w:tcPr>
            <w:tcW w:w="1890" w:type="dxa"/>
          </w:tcPr>
          <w:p w14:paraId="6AD89992" w14:textId="77777777" w:rsidR="0018587B" w:rsidRPr="0018587B" w:rsidRDefault="008B1EEB" w:rsidP="0018587B">
            <w:pPr>
              <w:rPr>
                <w:vertAlign w:val="subscript"/>
              </w:rPr>
            </w:pPr>
            <w:r w:rsidRPr="00F16B9D">
              <w:t>AUC</w:t>
            </w:r>
            <w:r w:rsidRPr="008B1EEB">
              <w:rPr>
                <w:vertAlign w:val="subscript"/>
              </w:rPr>
              <w:t>0-24</w:t>
            </w:r>
          </w:p>
        </w:tc>
        <w:tc>
          <w:tcPr>
            <w:tcW w:w="6911" w:type="dxa"/>
          </w:tcPr>
          <w:p w14:paraId="6AD89993" w14:textId="77777777" w:rsidR="008B1EEB" w:rsidRPr="00B64701" w:rsidRDefault="008B1EEB" w:rsidP="00D653C0">
            <w:r>
              <w:t xml:space="preserve">Area under the curve </w:t>
            </w:r>
            <w:r w:rsidR="00D653C0">
              <w:t>time 0 to</w:t>
            </w:r>
            <w:r>
              <w:t xml:space="preserve"> 24 hours</w:t>
            </w:r>
          </w:p>
        </w:tc>
      </w:tr>
      <w:tr w:rsidR="00463188" w14:paraId="6AD89997" w14:textId="77777777" w:rsidTr="001930BB">
        <w:tc>
          <w:tcPr>
            <w:tcW w:w="1890" w:type="dxa"/>
          </w:tcPr>
          <w:p w14:paraId="6AD89995" w14:textId="77777777" w:rsidR="00463188" w:rsidRPr="00F16B9D" w:rsidRDefault="00463188" w:rsidP="0018587B">
            <w:r w:rsidRPr="00463188">
              <w:t>AUC</w:t>
            </w:r>
            <w:r w:rsidRPr="00463188">
              <w:rPr>
                <w:vertAlign w:val="subscript"/>
              </w:rPr>
              <w:t>0-24</w:t>
            </w:r>
            <w:r w:rsidRPr="00463188">
              <w:t xml:space="preserve"> </w:t>
            </w:r>
            <w:r w:rsidRPr="00463188">
              <w:rPr>
                <w:vertAlign w:val="subscript"/>
              </w:rPr>
              <w:t>Last</w:t>
            </w:r>
          </w:p>
        </w:tc>
        <w:tc>
          <w:tcPr>
            <w:tcW w:w="6911" w:type="dxa"/>
          </w:tcPr>
          <w:p w14:paraId="6AD89996" w14:textId="77777777" w:rsidR="00463188" w:rsidRDefault="00463188" w:rsidP="008B1EEB">
            <w:r>
              <w:t>Area under the curve</w:t>
            </w:r>
            <w:r w:rsidRPr="00463188">
              <w:t xml:space="preserve"> </w:t>
            </w:r>
            <w:r>
              <w:t xml:space="preserve">during </w:t>
            </w:r>
            <w:r w:rsidRPr="00463188">
              <w:t>24 hours</w:t>
            </w:r>
            <w:r>
              <w:t xml:space="preserve"> after the last dose</w:t>
            </w:r>
          </w:p>
        </w:tc>
      </w:tr>
      <w:tr w:rsidR="0018587B" w14:paraId="6AD8999A" w14:textId="77777777" w:rsidTr="001930BB">
        <w:tc>
          <w:tcPr>
            <w:tcW w:w="1890" w:type="dxa"/>
          </w:tcPr>
          <w:p w14:paraId="6AD89998" w14:textId="77777777" w:rsidR="0018587B" w:rsidRPr="00F16B9D" w:rsidRDefault="0018587B" w:rsidP="0018587B">
            <w:r w:rsidRPr="0018587B">
              <w:t>AUC</w:t>
            </w:r>
            <w:r w:rsidRPr="0018587B">
              <w:rPr>
                <w:vertAlign w:val="subscript"/>
              </w:rPr>
              <w:t>0-τ</w:t>
            </w:r>
          </w:p>
        </w:tc>
        <w:tc>
          <w:tcPr>
            <w:tcW w:w="6911" w:type="dxa"/>
          </w:tcPr>
          <w:p w14:paraId="6AD89999" w14:textId="77777777" w:rsidR="0018587B" w:rsidRDefault="00D653C0" w:rsidP="008B1EEB">
            <w:r w:rsidRPr="00D653C0">
              <w:t>Area under the curve</w:t>
            </w:r>
            <w:r>
              <w:t xml:space="preserve"> time 0 to tau (last measurable concentration point)</w:t>
            </w:r>
          </w:p>
        </w:tc>
      </w:tr>
      <w:tr w:rsidR="002C6DB6" w14:paraId="6AD8999D" w14:textId="77777777" w:rsidTr="001930BB">
        <w:tc>
          <w:tcPr>
            <w:tcW w:w="1890" w:type="dxa"/>
          </w:tcPr>
          <w:p w14:paraId="6AD8999B" w14:textId="77777777" w:rsidR="002C6DB6" w:rsidRPr="0018587B" w:rsidRDefault="00F757B6" w:rsidP="0018587B">
            <w:r>
              <w:t>BD</w:t>
            </w:r>
          </w:p>
        </w:tc>
        <w:tc>
          <w:tcPr>
            <w:tcW w:w="6911" w:type="dxa"/>
          </w:tcPr>
          <w:p w14:paraId="6AD8999C" w14:textId="77777777" w:rsidR="002C6DB6" w:rsidRDefault="002C6DB6" w:rsidP="008B1EEB">
            <w:r>
              <w:t>Twice daily</w:t>
            </w:r>
          </w:p>
        </w:tc>
      </w:tr>
      <w:tr w:rsidR="00463188" w14:paraId="6AD899A0" w14:textId="77777777" w:rsidTr="001930BB">
        <w:tc>
          <w:tcPr>
            <w:tcW w:w="1890" w:type="dxa"/>
          </w:tcPr>
          <w:p w14:paraId="6AD8999E" w14:textId="77777777" w:rsidR="00463188" w:rsidRDefault="00463188" w:rsidP="0018587B">
            <w:r>
              <w:t>BCRP</w:t>
            </w:r>
          </w:p>
        </w:tc>
        <w:tc>
          <w:tcPr>
            <w:tcW w:w="6911" w:type="dxa"/>
          </w:tcPr>
          <w:p w14:paraId="6AD8999F" w14:textId="77777777" w:rsidR="00463188" w:rsidRDefault="00463188" w:rsidP="008B1EEB">
            <w:r w:rsidRPr="00463188">
              <w:t>breast cancer resistance protein</w:t>
            </w:r>
          </w:p>
        </w:tc>
      </w:tr>
      <w:tr w:rsidR="006613F1" w14:paraId="6AD899A3" w14:textId="77777777" w:rsidTr="001930BB">
        <w:tc>
          <w:tcPr>
            <w:tcW w:w="1890" w:type="dxa"/>
          </w:tcPr>
          <w:p w14:paraId="6AD899A1" w14:textId="77777777" w:rsidR="006613F1" w:rsidRDefault="006613F1" w:rsidP="0018587B">
            <w:r>
              <w:t>BP</w:t>
            </w:r>
          </w:p>
        </w:tc>
        <w:tc>
          <w:tcPr>
            <w:tcW w:w="6911" w:type="dxa"/>
          </w:tcPr>
          <w:p w14:paraId="6AD899A2" w14:textId="77777777" w:rsidR="006613F1" w:rsidRPr="00463188" w:rsidRDefault="006613F1" w:rsidP="008B1EEB">
            <w:r>
              <w:t>British Pharmacopeia</w:t>
            </w:r>
          </w:p>
        </w:tc>
      </w:tr>
      <w:tr w:rsidR="00463188" w14:paraId="6AD899A6" w14:textId="77777777" w:rsidTr="001930BB">
        <w:tc>
          <w:tcPr>
            <w:tcW w:w="1890" w:type="dxa"/>
          </w:tcPr>
          <w:p w14:paraId="6AD899A4" w14:textId="77777777" w:rsidR="00463188" w:rsidRDefault="00463188" w:rsidP="0018587B">
            <w:r>
              <w:t>BW</w:t>
            </w:r>
          </w:p>
        </w:tc>
        <w:tc>
          <w:tcPr>
            <w:tcW w:w="6911" w:type="dxa"/>
          </w:tcPr>
          <w:p w14:paraId="6AD899A5" w14:textId="77777777" w:rsidR="00463188" w:rsidRDefault="00463188" w:rsidP="008B1EEB">
            <w:r>
              <w:t>Body weight</w:t>
            </w:r>
          </w:p>
        </w:tc>
      </w:tr>
      <w:tr w:rsidR="001930BB" w14:paraId="6AD899A9" w14:textId="77777777" w:rsidTr="001930BB">
        <w:tc>
          <w:tcPr>
            <w:tcW w:w="1890" w:type="dxa"/>
          </w:tcPr>
          <w:p w14:paraId="6AD899A7" w14:textId="77777777" w:rsidR="001930BB" w:rsidRPr="00B64701" w:rsidRDefault="001930BB" w:rsidP="001930BB">
            <w:r w:rsidRPr="00B64701">
              <w:t>CII</w:t>
            </w:r>
          </w:p>
        </w:tc>
        <w:tc>
          <w:tcPr>
            <w:tcW w:w="6911" w:type="dxa"/>
          </w:tcPr>
          <w:p w14:paraId="6AD899A8" w14:textId="77777777" w:rsidR="001930BB" w:rsidRPr="00B64701" w:rsidRDefault="001930BB" w:rsidP="001930BB">
            <w:r w:rsidRPr="00B64701">
              <w:t>Cumulative irritancy index</w:t>
            </w:r>
          </w:p>
        </w:tc>
      </w:tr>
      <w:tr w:rsidR="001930BB" w14:paraId="6AD899AC" w14:textId="77777777" w:rsidTr="001930BB">
        <w:tc>
          <w:tcPr>
            <w:tcW w:w="1890" w:type="dxa"/>
          </w:tcPr>
          <w:p w14:paraId="6AD899AA" w14:textId="77777777" w:rsidR="001930BB" w:rsidRPr="00B64701" w:rsidRDefault="001930BB" w:rsidP="001930BB">
            <w:r w:rsidRPr="00B64701">
              <w:t>CMH</w:t>
            </w:r>
          </w:p>
        </w:tc>
        <w:tc>
          <w:tcPr>
            <w:tcW w:w="6911" w:type="dxa"/>
          </w:tcPr>
          <w:p w14:paraId="6AD899AB" w14:textId="77777777" w:rsidR="001930BB" w:rsidRPr="00B64701" w:rsidRDefault="001930BB" w:rsidP="001930BB">
            <w:r w:rsidRPr="00B64701">
              <w:t>Cochran-Mantel-</w:t>
            </w:r>
            <w:proofErr w:type="spellStart"/>
            <w:r w:rsidRPr="00B64701">
              <w:t>Haenszel</w:t>
            </w:r>
            <w:proofErr w:type="spellEnd"/>
          </w:p>
        </w:tc>
      </w:tr>
      <w:tr w:rsidR="00463EF7" w14:paraId="6AD899AF" w14:textId="77777777" w:rsidTr="001930BB">
        <w:tc>
          <w:tcPr>
            <w:tcW w:w="1890" w:type="dxa"/>
          </w:tcPr>
          <w:p w14:paraId="6AD899AD" w14:textId="77777777" w:rsidR="00463EF7" w:rsidRPr="00B64701" w:rsidRDefault="00463EF7" w:rsidP="001930BB">
            <w:proofErr w:type="spellStart"/>
            <w:r w:rsidRPr="00463EF7">
              <w:t>C</w:t>
            </w:r>
            <w:r w:rsidRPr="00463EF7">
              <w:rPr>
                <w:vertAlign w:val="subscript"/>
              </w:rPr>
              <w:t>max</w:t>
            </w:r>
            <w:proofErr w:type="spellEnd"/>
          </w:p>
        </w:tc>
        <w:tc>
          <w:tcPr>
            <w:tcW w:w="6911" w:type="dxa"/>
          </w:tcPr>
          <w:p w14:paraId="6AD899AE" w14:textId="77777777" w:rsidR="00463EF7" w:rsidRPr="00B64701" w:rsidRDefault="00463EF7" w:rsidP="001930BB">
            <w:r>
              <w:t>Maximum concentration</w:t>
            </w:r>
          </w:p>
        </w:tc>
      </w:tr>
      <w:tr w:rsidR="00463EF7" w14:paraId="6AD899B2" w14:textId="77777777" w:rsidTr="001930BB">
        <w:tc>
          <w:tcPr>
            <w:tcW w:w="1890" w:type="dxa"/>
          </w:tcPr>
          <w:p w14:paraId="6AD899B0" w14:textId="77777777" w:rsidR="00463EF7" w:rsidRPr="00B64701" w:rsidRDefault="00463EF7" w:rsidP="001930BB">
            <w:proofErr w:type="spellStart"/>
            <w:r w:rsidRPr="00463EF7">
              <w:t>C</w:t>
            </w:r>
            <w:r w:rsidRPr="00463EF7">
              <w:rPr>
                <w:vertAlign w:val="subscript"/>
              </w:rPr>
              <w:t>min</w:t>
            </w:r>
            <w:proofErr w:type="spellEnd"/>
          </w:p>
        </w:tc>
        <w:tc>
          <w:tcPr>
            <w:tcW w:w="6911" w:type="dxa"/>
          </w:tcPr>
          <w:p w14:paraId="6AD899B1" w14:textId="77777777" w:rsidR="00463EF7" w:rsidRPr="00B64701" w:rsidRDefault="00463EF7" w:rsidP="001930BB">
            <w:r>
              <w:t>Minimum concentration</w:t>
            </w:r>
          </w:p>
        </w:tc>
      </w:tr>
      <w:tr w:rsidR="004079D0" w14:paraId="6AD899B5" w14:textId="77777777" w:rsidTr="001930BB">
        <w:tc>
          <w:tcPr>
            <w:tcW w:w="1890" w:type="dxa"/>
          </w:tcPr>
          <w:p w14:paraId="6AD899B3" w14:textId="77777777" w:rsidR="004079D0" w:rsidRPr="00B64701" w:rsidRDefault="004079D0" w:rsidP="001930BB">
            <w:r>
              <w:t>CNS</w:t>
            </w:r>
          </w:p>
        </w:tc>
        <w:tc>
          <w:tcPr>
            <w:tcW w:w="6911" w:type="dxa"/>
          </w:tcPr>
          <w:p w14:paraId="6AD899B4" w14:textId="77777777" w:rsidR="004079D0" w:rsidRPr="00B64701" w:rsidRDefault="004079D0" w:rsidP="001930BB">
            <w:r>
              <w:t>Central nervous system</w:t>
            </w:r>
          </w:p>
        </w:tc>
      </w:tr>
      <w:tr w:rsidR="00877FE5" w14:paraId="6AD899B8" w14:textId="77777777" w:rsidTr="001930BB">
        <w:tc>
          <w:tcPr>
            <w:tcW w:w="1890" w:type="dxa"/>
          </w:tcPr>
          <w:p w14:paraId="6AD899B6" w14:textId="77777777" w:rsidR="00877FE5" w:rsidRDefault="00877FE5" w:rsidP="001930BB">
            <w:r>
              <w:t>CRC</w:t>
            </w:r>
          </w:p>
        </w:tc>
        <w:tc>
          <w:tcPr>
            <w:tcW w:w="6911" w:type="dxa"/>
          </w:tcPr>
          <w:p w14:paraId="6AD899B7" w14:textId="77777777" w:rsidR="00877FE5" w:rsidRDefault="00877FE5" w:rsidP="001930BB">
            <w:r>
              <w:t>Child resistant cap</w:t>
            </w:r>
          </w:p>
        </w:tc>
      </w:tr>
      <w:tr w:rsidR="00AA66CB" w14:paraId="6AD899BB" w14:textId="77777777" w:rsidTr="001930BB">
        <w:tc>
          <w:tcPr>
            <w:tcW w:w="1890" w:type="dxa"/>
          </w:tcPr>
          <w:p w14:paraId="6AD899B9" w14:textId="77777777" w:rsidR="00AA66CB" w:rsidRDefault="00AA66CB" w:rsidP="001930BB">
            <w:r w:rsidRPr="00AA66CB">
              <w:t>Crl:CD1 (ICR)</w:t>
            </w:r>
          </w:p>
        </w:tc>
        <w:tc>
          <w:tcPr>
            <w:tcW w:w="6911" w:type="dxa"/>
          </w:tcPr>
          <w:p w14:paraId="6AD899BA" w14:textId="77777777" w:rsidR="00AA66CB" w:rsidRDefault="00AA66CB" w:rsidP="001930BB">
            <w:r>
              <w:t>A mouse strain</w:t>
            </w:r>
          </w:p>
        </w:tc>
      </w:tr>
      <w:tr w:rsidR="00BD1775" w14:paraId="6AD899BE" w14:textId="77777777" w:rsidTr="001930BB">
        <w:tc>
          <w:tcPr>
            <w:tcW w:w="1890" w:type="dxa"/>
          </w:tcPr>
          <w:p w14:paraId="6AD899BC" w14:textId="77777777" w:rsidR="00BD1775" w:rsidRDefault="00BD1775" w:rsidP="001930BB">
            <w:r w:rsidRPr="00BD1775">
              <w:t>CYP</w:t>
            </w:r>
          </w:p>
        </w:tc>
        <w:tc>
          <w:tcPr>
            <w:tcW w:w="6911" w:type="dxa"/>
          </w:tcPr>
          <w:p w14:paraId="6AD899BD" w14:textId="77777777" w:rsidR="00BD1775" w:rsidRDefault="00BD1775" w:rsidP="00BD1775">
            <w:r w:rsidRPr="00BD1775">
              <w:t>c</w:t>
            </w:r>
            <w:r>
              <w:t>ytochrome</w:t>
            </w:r>
          </w:p>
        </w:tc>
      </w:tr>
      <w:tr w:rsidR="00BD1775" w14:paraId="6AD899C1" w14:textId="77777777" w:rsidTr="001930BB">
        <w:tc>
          <w:tcPr>
            <w:tcW w:w="1890" w:type="dxa"/>
          </w:tcPr>
          <w:p w14:paraId="6AD899BF" w14:textId="77777777" w:rsidR="00BD1775" w:rsidRPr="00BD1775" w:rsidRDefault="00BD1775" w:rsidP="001930BB">
            <w:r>
              <w:t>CYP 450</w:t>
            </w:r>
          </w:p>
        </w:tc>
        <w:tc>
          <w:tcPr>
            <w:tcW w:w="6911" w:type="dxa"/>
          </w:tcPr>
          <w:p w14:paraId="6AD899C0" w14:textId="77777777" w:rsidR="00BD1775" w:rsidRPr="00BD1775" w:rsidRDefault="00BD1775" w:rsidP="00BD1775">
            <w:r w:rsidRPr="00BD1775">
              <w:t>Cytochrome</w:t>
            </w:r>
            <w:r>
              <w:t xml:space="preserve"> P450</w:t>
            </w:r>
          </w:p>
        </w:tc>
      </w:tr>
      <w:tr w:rsidR="00D75195" w14:paraId="6AD899C4" w14:textId="77777777" w:rsidTr="001930BB">
        <w:tc>
          <w:tcPr>
            <w:tcW w:w="1890" w:type="dxa"/>
          </w:tcPr>
          <w:p w14:paraId="6AD899C2" w14:textId="77777777" w:rsidR="00D75195" w:rsidRDefault="00D75195" w:rsidP="001930BB">
            <w:r w:rsidRPr="00D75195">
              <w:t>ECG</w:t>
            </w:r>
          </w:p>
        </w:tc>
        <w:tc>
          <w:tcPr>
            <w:tcW w:w="6911" w:type="dxa"/>
          </w:tcPr>
          <w:p w14:paraId="6AD899C3" w14:textId="77777777" w:rsidR="00D75195" w:rsidRDefault="00D75195" w:rsidP="00BD1775">
            <w:r>
              <w:t>Electrocardiogram</w:t>
            </w:r>
          </w:p>
        </w:tc>
      </w:tr>
      <w:tr w:rsidR="006613F1" w14:paraId="6AD899C7" w14:textId="77777777" w:rsidTr="001930BB">
        <w:tc>
          <w:tcPr>
            <w:tcW w:w="1890" w:type="dxa"/>
          </w:tcPr>
          <w:p w14:paraId="6AD899C5" w14:textId="77777777" w:rsidR="006613F1" w:rsidRDefault="006613F1" w:rsidP="001930BB">
            <w:r>
              <w:t>EP</w:t>
            </w:r>
          </w:p>
        </w:tc>
        <w:tc>
          <w:tcPr>
            <w:tcW w:w="6911" w:type="dxa"/>
          </w:tcPr>
          <w:p w14:paraId="6AD899C6" w14:textId="77777777" w:rsidR="006613F1" w:rsidRPr="00BD1775" w:rsidRDefault="006613F1" w:rsidP="00BD1775">
            <w:r>
              <w:t>European Pharmacopeia</w:t>
            </w:r>
          </w:p>
        </w:tc>
      </w:tr>
      <w:tr w:rsidR="00C66A55" w14:paraId="6AD899CA" w14:textId="77777777" w:rsidTr="001930BB">
        <w:tc>
          <w:tcPr>
            <w:tcW w:w="1890" w:type="dxa"/>
          </w:tcPr>
          <w:p w14:paraId="6AD899C8" w14:textId="77777777" w:rsidR="00C66A55" w:rsidRDefault="00C66A55" w:rsidP="001930BB">
            <w:r w:rsidRPr="00C66A55">
              <w:t xml:space="preserve">EU </w:t>
            </w:r>
            <w:proofErr w:type="spellStart"/>
            <w:r w:rsidRPr="00C66A55">
              <w:t>SmPC</w:t>
            </w:r>
            <w:proofErr w:type="spellEnd"/>
          </w:p>
        </w:tc>
        <w:tc>
          <w:tcPr>
            <w:tcW w:w="6911" w:type="dxa"/>
          </w:tcPr>
          <w:p w14:paraId="6AD899C9" w14:textId="77777777" w:rsidR="00C66A55" w:rsidRPr="00BD1775" w:rsidRDefault="00C66A55" w:rsidP="00C66A55">
            <w:r w:rsidRPr="00C66A55">
              <w:t>European Summary of Pr</w:t>
            </w:r>
            <w:r>
              <w:t>oduct Characteristics</w:t>
            </w:r>
          </w:p>
        </w:tc>
      </w:tr>
      <w:tr w:rsidR="00916BD2" w14:paraId="6AD899CD" w14:textId="77777777" w:rsidTr="001930BB">
        <w:tc>
          <w:tcPr>
            <w:tcW w:w="1890" w:type="dxa"/>
          </w:tcPr>
          <w:p w14:paraId="6AD899CB" w14:textId="77777777" w:rsidR="00916BD2" w:rsidRPr="00B64701" w:rsidRDefault="00916BD2" w:rsidP="001930BB">
            <w:proofErr w:type="spellStart"/>
            <w:r>
              <w:t>F</w:t>
            </w:r>
            <w:r w:rsidRPr="00916BD2">
              <w:rPr>
                <w:vertAlign w:val="subscript"/>
              </w:rPr>
              <w:t>Relative</w:t>
            </w:r>
            <w:proofErr w:type="spellEnd"/>
          </w:p>
        </w:tc>
        <w:tc>
          <w:tcPr>
            <w:tcW w:w="6911" w:type="dxa"/>
          </w:tcPr>
          <w:p w14:paraId="6AD899CC" w14:textId="77777777" w:rsidR="00916BD2" w:rsidRPr="00B64701" w:rsidRDefault="00916BD2" w:rsidP="001930BB">
            <w:r>
              <w:t>Relative bioavailability</w:t>
            </w:r>
          </w:p>
        </w:tc>
      </w:tr>
      <w:tr w:rsidR="00916BD2" w14:paraId="6AD899D0" w14:textId="77777777" w:rsidTr="001930BB">
        <w:tc>
          <w:tcPr>
            <w:tcW w:w="1890" w:type="dxa"/>
          </w:tcPr>
          <w:p w14:paraId="6AD899CE" w14:textId="77777777" w:rsidR="00916BD2" w:rsidRDefault="00916BD2" w:rsidP="001930BB">
            <w:proofErr w:type="spellStart"/>
            <w:r>
              <w:lastRenderedPageBreak/>
              <w:t>F</w:t>
            </w:r>
            <w:r w:rsidRPr="00916BD2">
              <w:rPr>
                <w:vertAlign w:val="subscript"/>
              </w:rPr>
              <w:t>Absolute</w:t>
            </w:r>
            <w:proofErr w:type="spellEnd"/>
          </w:p>
        </w:tc>
        <w:tc>
          <w:tcPr>
            <w:tcW w:w="6911" w:type="dxa"/>
          </w:tcPr>
          <w:p w14:paraId="6AD899CF" w14:textId="77777777" w:rsidR="00916BD2" w:rsidRDefault="00916BD2" w:rsidP="001930BB">
            <w:r>
              <w:t>Absolute bioavailability</w:t>
            </w:r>
          </w:p>
        </w:tc>
      </w:tr>
      <w:tr w:rsidR="004079D0" w14:paraId="6AD899D3" w14:textId="77777777" w:rsidTr="001930BB">
        <w:tc>
          <w:tcPr>
            <w:tcW w:w="1890" w:type="dxa"/>
          </w:tcPr>
          <w:p w14:paraId="6AD899D1" w14:textId="77777777" w:rsidR="004079D0" w:rsidRDefault="004079D0" w:rsidP="001930BB">
            <w:r w:rsidRPr="004079D0">
              <w:t>GABA-A</w:t>
            </w:r>
          </w:p>
        </w:tc>
        <w:tc>
          <w:tcPr>
            <w:tcW w:w="6911" w:type="dxa"/>
          </w:tcPr>
          <w:p w14:paraId="6AD899D2" w14:textId="27FFABCB" w:rsidR="004079D0" w:rsidRDefault="004079D0" w:rsidP="001930BB">
            <w:r>
              <w:t>Gamma-</w:t>
            </w:r>
            <w:proofErr w:type="spellStart"/>
            <w:r>
              <w:t>ami</w:t>
            </w:r>
            <w:r w:rsidR="00026D9A">
              <w:t>nobutyric</w:t>
            </w:r>
            <w:proofErr w:type="spellEnd"/>
            <w:r w:rsidR="00026D9A">
              <w:t xml:space="preserve"> acid receptor class A</w:t>
            </w:r>
          </w:p>
        </w:tc>
      </w:tr>
      <w:tr w:rsidR="001930BB" w14:paraId="6AD899D6" w14:textId="77777777" w:rsidTr="001930BB">
        <w:tc>
          <w:tcPr>
            <w:tcW w:w="1890" w:type="dxa"/>
          </w:tcPr>
          <w:p w14:paraId="6AD899D4" w14:textId="77777777" w:rsidR="001930BB" w:rsidRPr="00B64701" w:rsidRDefault="001930BB" w:rsidP="001930BB">
            <w:r w:rsidRPr="00B64701">
              <w:t>GCP</w:t>
            </w:r>
          </w:p>
        </w:tc>
        <w:tc>
          <w:tcPr>
            <w:tcW w:w="6911" w:type="dxa"/>
          </w:tcPr>
          <w:p w14:paraId="6AD899D5" w14:textId="77777777" w:rsidR="001930BB" w:rsidRPr="00B64701" w:rsidRDefault="001930BB" w:rsidP="001930BB">
            <w:r w:rsidRPr="00B64701">
              <w:t>Good clinical practice</w:t>
            </w:r>
          </w:p>
        </w:tc>
      </w:tr>
      <w:tr w:rsidR="00603F07" w14:paraId="6AD899D9" w14:textId="77777777" w:rsidTr="001930BB">
        <w:tc>
          <w:tcPr>
            <w:tcW w:w="1890" w:type="dxa"/>
          </w:tcPr>
          <w:p w14:paraId="6AD899D7" w14:textId="77777777" w:rsidR="00603F07" w:rsidRPr="00B64701" w:rsidRDefault="00603F07" w:rsidP="001930BB">
            <w:r w:rsidRPr="00603F07">
              <w:t>HDPE</w:t>
            </w:r>
          </w:p>
        </w:tc>
        <w:tc>
          <w:tcPr>
            <w:tcW w:w="6911" w:type="dxa"/>
          </w:tcPr>
          <w:p w14:paraId="6AD899D8" w14:textId="77777777" w:rsidR="00603F07" w:rsidRPr="00B64701" w:rsidRDefault="00603F07" w:rsidP="001930BB">
            <w:r>
              <w:t>High-density polyethylene</w:t>
            </w:r>
          </w:p>
        </w:tc>
      </w:tr>
      <w:tr w:rsidR="001930BB" w14:paraId="6AD899DC" w14:textId="77777777" w:rsidTr="001930BB">
        <w:tc>
          <w:tcPr>
            <w:tcW w:w="1890" w:type="dxa"/>
          </w:tcPr>
          <w:p w14:paraId="6AD899DA" w14:textId="77777777" w:rsidR="001930BB" w:rsidRPr="00B64701" w:rsidRDefault="001930BB" w:rsidP="001930BB">
            <w:r w:rsidRPr="00B64701">
              <w:t>HPLC</w:t>
            </w:r>
          </w:p>
        </w:tc>
        <w:tc>
          <w:tcPr>
            <w:tcW w:w="6911" w:type="dxa"/>
          </w:tcPr>
          <w:p w14:paraId="6AD899DB" w14:textId="77777777" w:rsidR="001930BB" w:rsidRPr="00B64701" w:rsidRDefault="001930BB" w:rsidP="001930BB">
            <w:r w:rsidRPr="00B64701">
              <w:t>High performance liquid chromatography</w:t>
            </w:r>
          </w:p>
        </w:tc>
      </w:tr>
      <w:tr w:rsidR="009D17DE" w14:paraId="6AD899DF" w14:textId="77777777" w:rsidTr="001930BB">
        <w:tc>
          <w:tcPr>
            <w:tcW w:w="1890" w:type="dxa"/>
          </w:tcPr>
          <w:p w14:paraId="6AD899DD" w14:textId="77777777" w:rsidR="009D17DE" w:rsidRPr="00B64701" w:rsidRDefault="009D17DE" w:rsidP="001930BB">
            <w:r>
              <w:t>ICH</w:t>
            </w:r>
          </w:p>
        </w:tc>
        <w:tc>
          <w:tcPr>
            <w:tcW w:w="6911" w:type="dxa"/>
          </w:tcPr>
          <w:p w14:paraId="6AD899DE" w14:textId="77777777" w:rsidR="009D17DE" w:rsidRPr="00B64701" w:rsidRDefault="00A44476" w:rsidP="001930BB">
            <w:r>
              <w:t>International conference on Harmonisation of Technical Requirements for the Registration of Pharmaceuticals for Human Use</w:t>
            </w:r>
          </w:p>
        </w:tc>
      </w:tr>
      <w:tr w:rsidR="001930BB" w14:paraId="6AD899E2" w14:textId="77777777" w:rsidTr="001930BB">
        <w:tc>
          <w:tcPr>
            <w:tcW w:w="1890" w:type="dxa"/>
          </w:tcPr>
          <w:p w14:paraId="6AD899E0" w14:textId="77777777" w:rsidR="001930BB" w:rsidRPr="00B64701" w:rsidRDefault="001930BB" w:rsidP="001930BB">
            <w:r w:rsidRPr="00B64701">
              <w:t>IDMC</w:t>
            </w:r>
          </w:p>
        </w:tc>
        <w:tc>
          <w:tcPr>
            <w:tcW w:w="6911" w:type="dxa"/>
          </w:tcPr>
          <w:p w14:paraId="6AD899E1" w14:textId="77777777" w:rsidR="001930BB" w:rsidRPr="00B64701" w:rsidRDefault="001930BB" w:rsidP="001930BB">
            <w:r w:rsidRPr="00B64701">
              <w:t>Independent data monitoring committee</w:t>
            </w:r>
          </w:p>
        </w:tc>
      </w:tr>
      <w:tr w:rsidR="001930BB" w14:paraId="6AD899E5" w14:textId="77777777" w:rsidTr="001930BB">
        <w:tc>
          <w:tcPr>
            <w:tcW w:w="1890" w:type="dxa"/>
          </w:tcPr>
          <w:p w14:paraId="6AD899E3" w14:textId="77777777" w:rsidR="001930BB" w:rsidRPr="00B64701" w:rsidRDefault="001930BB" w:rsidP="001930BB">
            <w:r w:rsidRPr="00B64701">
              <w:t>IGA</w:t>
            </w:r>
          </w:p>
        </w:tc>
        <w:tc>
          <w:tcPr>
            <w:tcW w:w="6911" w:type="dxa"/>
          </w:tcPr>
          <w:p w14:paraId="6AD899E4" w14:textId="77777777" w:rsidR="001930BB" w:rsidRPr="00B64701" w:rsidRDefault="001930BB" w:rsidP="001930BB">
            <w:r w:rsidRPr="00B64701">
              <w:t>Investigator global assessment</w:t>
            </w:r>
          </w:p>
        </w:tc>
      </w:tr>
      <w:tr w:rsidR="001930BB" w14:paraId="6AD899E8" w14:textId="77777777" w:rsidTr="001930BB">
        <w:tc>
          <w:tcPr>
            <w:tcW w:w="1890" w:type="dxa"/>
          </w:tcPr>
          <w:p w14:paraId="6AD899E6" w14:textId="77777777" w:rsidR="001930BB" w:rsidRPr="00B64701" w:rsidRDefault="001930BB" w:rsidP="001930BB">
            <w:r w:rsidRPr="00B64701">
              <w:t>ITT</w:t>
            </w:r>
          </w:p>
        </w:tc>
        <w:tc>
          <w:tcPr>
            <w:tcW w:w="6911" w:type="dxa"/>
          </w:tcPr>
          <w:p w14:paraId="6AD899E7" w14:textId="77777777" w:rsidR="001930BB" w:rsidRPr="00B64701" w:rsidRDefault="001930BB" w:rsidP="001930BB">
            <w:r w:rsidRPr="00B64701">
              <w:t>Intention to treat</w:t>
            </w:r>
          </w:p>
        </w:tc>
      </w:tr>
      <w:tr w:rsidR="009D17DE" w14:paraId="6AD899EB" w14:textId="77777777" w:rsidTr="001930BB">
        <w:tc>
          <w:tcPr>
            <w:tcW w:w="1890" w:type="dxa"/>
          </w:tcPr>
          <w:p w14:paraId="6AD899E9" w14:textId="77777777" w:rsidR="009D17DE" w:rsidRPr="00B64701" w:rsidRDefault="009D17DE" w:rsidP="001930BB">
            <w:r>
              <w:t>IV</w:t>
            </w:r>
          </w:p>
        </w:tc>
        <w:tc>
          <w:tcPr>
            <w:tcW w:w="6911" w:type="dxa"/>
          </w:tcPr>
          <w:p w14:paraId="6AD899EA" w14:textId="77777777" w:rsidR="009D17DE" w:rsidRPr="00B64701" w:rsidRDefault="009D17DE" w:rsidP="001930BB">
            <w:r>
              <w:t>intravenous</w:t>
            </w:r>
          </w:p>
        </w:tc>
      </w:tr>
      <w:tr w:rsidR="00BD1775" w14:paraId="6AD899EE" w14:textId="77777777" w:rsidTr="001930BB">
        <w:tc>
          <w:tcPr>
            <w:tcW w:w="1890" w:type="dxa"/>
          </w:tcPr>
          <w:p w14:paraId="6AD899EC" w14:textId="77777777" w:rsidR="00BD1775" w:rsidRPr="00B64701" w:rsidRDefault="00BD1775" w:rsidP="001930BB">
            <w:r w:rsidRPr="00BD1775">
              <w:t>LD</w:t>
            </w:r>
            <w:r w:rsidRPr="00BD1775">
              <w:rPr>
                <w:vertAlign w:val="subscript"/>
              </w:rPr>
              <w:t>50</w:t>
            </w:r>
          </w:p>
        </w:tc>
        <w:tc>
          <w:tcPr>
            <w:tcW w:w="6911" w:type="dxa"/>
          </w:tcPr>
          <w:p w14:paraId="6AD899ED" w14:textId="77777777" w:rsidR="00BD1775" w:rsidRPr="00B64701" w:rsidRDefault="00BD1775" w:rsidP="001930BB">
            <w:r>
              <w:t>Lethal dose 50%</w:t>
            </w:r>
          </w:p>
        </w:tc>
      </w:tr>
      <w:tr w:rsidR="001930BB" w14:paraId="6AD899F1" w14:textId="77777777" w:rsidTr="001930BB">
        <w:tc>
          <w:tcPr>
            <w:tcW w:w="1890" w:type="dxa"/>
          </w:tcPr>
          <w:p w14:paraId="6AD899EF" w14:textId="77777777" w:rsidR="001930BB" w:rsidRPr="00B64701" w:rsidRDefault="001930BB" w:rsidP="001930BB">
            <w:r w:rsidRPr="00B64701">
              <w:t>LLQ</w:t>
            </w:r>
          </w:p>
        </w:tc>
        <w:tc>
          <w:tcPr>
            <w:tcW w:w="6911" w:type="dxa"/>
          </w:tcPr>
          <w:p w14:paraId="6AD899F0" w14:textId="77777777" w:rsidR="001930BB" w:rsidRPr="00B64701" w:rsidRDefault="001930BB" w:rsidP="001930BB">
            <w:r w:rsidRPr="00B64701">
              <w:t>Lower limit of quantification</w:t>
            </w:r>
          </w:p>
        </w:tc>
      </w:tr>
      <w:tr w:rsidR="00D560E3" w14:paraId="6AD899F4" w14:textId="77777777" w:rsidTr="001930BB">
        <w:tc>
          <w:tcPr>
            <w:tcW w:w="1890" w:type="dxa"/>
          </w:tcPr>
          <w:p w14:paraId="6AD899F2" w14:textId="77777777" w:rsidR="00D560E3" w:rsidRPr="00B64701" w:rsidRDefault="00D560E3" w:rsidP="001930BB">
            <w:r w:rsidRPr="00D560E3">
              <w:t>LOAEL</w:t>
            </w:r>
          </w:p>
        </w:tc>
        <w:tc>
          <w:tcPr>
            <w:tcW w:w="6911" w:type="dxa"/>
          </w:tcPr>
          <w:p w14:paraId="6AD899F3" w14:textId="77777777" w:rsidR="00D560E3" w:rsidRPr="00B64701" w:rsidRDefault="00F475F1" w:rsidP="001930BB">
            <w:r>
              <w:t>Lowest observed adverse effect level</w:t>
            </w:r>
          </w:p>
        </w:tc>
      </w:tr>
      <w:tr w:rsidR="001930BB" w14:paraId="6AD899F7" w14:textId="77777777" w:rsidTr="001930BB">
        <w:tc>
          <w:tcPr>
            <w:tcW w:w="1890" w:type="dxa"/>
          </w:tcPr>
          <w:p w14:paraId="6AD899F5" w14:textId="77777777" w:rsidR="001930BB" w:rsidRPr="00B64701" w:rsidRDefault="001930BB" w:rsidP="001930BB">
            <w:r w:rsidRPr="00B64701">
              <w:t>LOCF</w:t>
            </w:r>
          </w:p>
        </w:tc>
        <w:tc>
          <w:tcPr>
            <w:tcW w:w="6911" w:type="dxa"/>
          </w:tcPr>
          <w:p w14:paraId="6AD899F6" w14:textId="77777777" w:rsidR="001930BB" w:rsidRPr="00B64701" w:rsidRDefault="001930BB" w:rsidP="001930BB">
            <w:r w:rsidRPr="00B64701">
              <w:t>Last observation carried forward</w:t>
            </w:r>
          </w:p>
        </w:tc>
      </w:tr>
      <w:tr w:rsidR="001930BB" w14:paraId="6AD899FA" w14:textId="77777777" w:rsidTr="001930BB">
        <w:tc>
          <w:tcPr>
            <w:tcW w:w="1890" w:type="dxa"/>
          </w:tcPr>
          <w:p w14:paraId="6AD899F8" w14:textId="77777777" w:rsidR="001930BB" w:rsidRPr="00B64701" w:rsidRDefault="001930BB" w:rsidP="001930BB">
            <w:r w:rsidRPr="00B64701">
              <w:t>MI</w:t>
            </w:r>
          </w:p>
        </w:tc>
        <w:tc>
          <w:tcPr>
            <w:tcW w:w="6911" w:type="dxa"/>
          </w:tcPr>
          <w:p w14:paraId="6AD899F9" w14:textId="77777777" w:rsidR="001930BB" w:rsidRPr="00B64701" w:rsidRDefault="001930BB" w:rsidP="001930BB">
            <w:r w:rsidRPr="00B64701">
              <w:t>Multiple imputation</w:t>
            </w:r>
          </w:p>
        </w:tc>
      </w:tr>
      <w:tr w:rsidR="008719BD" w14:paraId="6AD899FD" w14:textId="77777777" w:rsidTr="001930BB">
        <w:tc>
          <w:tcPr>
            <w:tcW w:w="1890" w:type="dxa"/>
          </w:tcPr>
          <w:p w14:paraId="6AD899FB" w14:textId="77777777" w:rsidR="008719BD" w:rsidRPr="00B64701" w:rsidRDefault="008719BD" w:rsidP="001930BB">
            <w:r w:rsidRPr="008719BD">
              <w:t>NCC</w:t>
            </w:r>
          </w:p>
        </w:tc>
        <w:tc>
          <w:tcPr>
            <w:tcW w:w="6911" w:type="dxa"/>
          </w:tcPr>
          <w:p w14:paraId="6AD899FC" w14:textId="77777777" w:rsidR="008719BD" w:rsidRPr="00B64701" w:rsidRDefault="003F525A" w:rsidP="001930BB">
            <w:r w:rsidRPr="003F525A">
              <w:t>Neutrophil cell count</w:t>
            </w:r>
          </w:p>
        </w:tc>
      </w:tr>
      <w:tr w:rsidR="008B1EEB" w14:paraId="6AD89A00" w14:textId="77777777" w:rsidTr="001930BB">
        <w:tc>
          <w:tcPr>
            <w:tcW w:w="1890" w:type="dxa"/>
          </w:tcPr>
          <w:p w14:paraId="6AD899FE" w14:textId="77777777" w:rsidR="008B1EEB" w:rsidRPr="00B64701" w:rsidRDefault="008B1EEB" w:rsidP="001930BB">
            <w:r w:rsidRPr="008B1EEB">
              <w:t>NOAEL</w:t>
            </w:r>
          </w:p>
        </w:tc>
        <w:tc>
          <w:tcPr>
            <w:tcW w:w="6911" w:type="dxa"/>
          </w:tcPr>
          <w:p w14:paraId="6AD899FF" w14:textId="77777777" w:rsidR="008B1EEB" w:rsidRPr="00B64701" w:rsidRDefault="008B1EEB" w:rsidP="001930BB">
            <w:r>
              <w:t xml:space="preserve">No observable </w:t>
            </w:r>
            <w:r w:rsidR="00A44476">
              <w:t xml:space="preserve">adverse </w:t>
            </w:r>
            <w:r>
              <w:t>effect level</w:t>
            </w:r>
          </w:p>
        </w:tc>
      </w:tr>
      <w:tr w:rsidR="001930BB" w14:paraId="6AD89A03" w14:textId="77777777" w:rsidTr="001930BB">
        <w:tc>
          <w:tcPr>
            <w:tcW w:w="1890" w:type="dxa"/>
          </w:tcPr>
          <w:p w14:paraId="6AD89A01" w14:textId="77777777" w:rsidR="001930BB" w:rsidRPr="00B64701" w:rsidRDefault="001930BB" w:rsidP="001930BB">
            <w:r w:rsidRPr="00B64701">
              <w:t>PP</w:t>
            </w:r>
          </w:p>
        </w:tc>
        <w:tc>
          <w:tcPr>
            <w:tcW w:w="6911" w:type="dxa"/>
          </w:tcPr>
          <w:p w14:paraId="6AD89A02" w14:textId="77777777" w:rsidR="001930BB" w:rsidRPr="00B64701" w:rsidRDefault="001930BB" w:rsidP="001930BB">
            <w:r w:rsidRPr="00B64701">
              <w:t>Per protocol</w:t>
            </w:r>
          </w:p>
        </w:tc>
      </w:tr>
      <w:tr w:rsidR="001930BB" w14:paraId="6AD89A06" w14:textId="77777777" w:rsidTr="001930BB">
        <w:tc>
          <w:tcPr>
            <w:tcW w:w="1890" w:type="dxa"/>
          </w:tcPr>
          <w:p w14:paraId="6AD89A04" w14:textId="77777777" w:rsidR="001930BB" w:rsidRPr="00B64701" w:rsidRDefault="001930BB" w:rsidP="001930BB">
            <w:r w:rsidRPr="00B64701">
              <w:t>PPR</w:t>
            </w:r>
          </w:p>
        </w:tc>
        <w:tc>
          <w:tcPr>
            <w:tcW w:w="6911" w:type="dxa"/>
          </w:tcPr>
          <w:p w14:paraId="6AD89A05" w14:textId="77777777" w:rsidR="001930BB" w:rsidRPr="00B64701" w:rsidRDefault="001930BB" w:rsidP="001930BB">
            <w:proofErr w:type="spellStart"/>
            <w:r w:rsidRPr="00B64701">
              <w:t>Papulo</w:t>
            </w:r>
            <w:proofErr w:type="spellEnd"/>
            <w:r w:rsidRPr="00B64701">
              <w:t>-pustular rosacea</w:t>
            </w:r>
          </w:p>
        </w:tc>
      </w:tr>
      <w:tr w:rsidR="003F525A" w14:paraId="6AD89A09" w14:textId="77777777" w:rsidTr="001930BB">
        <w:tc>
          <w:tcPr>
            <w:tcW w:w="1890" w:type="dxa"/>
          </w:tcPr>
          <w:p w14:paraId="6AD89A07" w14:textId="77777777" w:rsidR="003F525A" w:rsidRPr="00B64701" w:rsidRDefault="00FD3E5F" w:rsidP="001930BB">
            <w:r>
              <w:t>QD</w:t>
            </w:r>
          </w:p>
        </w:tc>
        <w:tc>
          <w:tcPr>
            <w:tcW w:w="6911" w:type="dxa"/>
          </w:tcPr>
          <w:p w14:paraId="6AD89A08" w14:textId="77777777" w:rsidR="003F525A" w:rsidRPr="00B64701" w:rsidRDefault="003F525A" w:rsidP="001930BB">
            <w:r>
              <w:t>Once daily</w:t>
            </w:r>
          </w:p>
        </w:tc>
      </w:tr>
      <w:tr w:rsidR="00D75195" w14:paraId="6AD89A0C" w14:textId="77777777" w:rsidTr="001930BB">
        <w:tc>
          <w:tcPr>
            <w:tcW w:w="1890" w:type="dxa"/>
          </w:tcPr>
          <w:p w14:paraId="6AD89A0A" w14:textId="77777777" w:rsidR="00D75195" w:rsidRDefault="00D75195" w:rsidP="001930BB">
            <w:proofErr w:type="spellStart"/>
            <w:r w:rsidRPr="00D75195">
              <w:t>QTcF</w:t>
            </w:r>
            <w:proofErr w:type="spellEnd"/>
          </w:p>
        </w:tc>
        <w:tc>
          <w:tcPr>
            <w:tcW w:w="6911" w:type="dxa"/>
          </w:tcPr>
          <w:p w14:paraId="6AD89A0B" w14:textId="77777777" w:rsidR="00D75195" w:rsidRDefault="00D75195" w:rsidP="001930BB">
            <w:r>
              <w:t xml:space="preserve">Corrected Q-T interval </w:t>
            </w:r>
            <w:proofErr w:type="spellStart"/>
            <w:r w:rsidR="00F8356E">
              <w:t>Fridericia</w:t>
            </w:r>
            <w:proofErr w:type="spellEnd"/>
          </w:p>
        </w:tc>
      </w:tr>
      <w:tr w:rsidR="001930BB" w14:paraId="6AD89A0F" w14:textId="77777777" w:rsidTr="001930BB">
        <w:tc>
          <w:tcPr>
            <w:tcW w:w="1890" w:type="dxa"/>
          </w:tcPr>
          <w:p w14:paraId="6AD89A0D" w14:textId="77777777" w:rsidR="001930BB" w:rsidRPr="00B64701" w:rsidRDefault="001930BB" w:rsidP="001930BB">
            <w:r w:rsidRPr="00B64701">
              <w:t>SAE</w:t>
            </w:r>
          </w:p>
        </w:tc>
        <w:tc>
          <w:tcPr>
            <w:tcW w:w="6911" w:type="dxa"/>
          </w:tcPr>
          <w:p w14:paraId="6AD89A0E" w14:textId="77777777" w:rsidR="001930BB" w:rsidRPr="00B64701" w:rsidRDefault="001930BB" w:rsidP="001930BB">
            <w:r w:rsidRPr="00B64701">
              <w:t>Serious AE</w:t>
            </w:r>
          </w:p>
        </w:tc>
      </w:tr>
      <w:tr w:rsidR="001930BB" w14:paraId="6AD89A12" w14:textId="77777777" w:rsidTr="001930BB">
        <w:tc>
          <w:tcPr>
            <w:tcW w:w="1890" w:type="dxa"/>
          </w:tcPr>
          <w:p w14:paraId="6AD89A10" w14:textId="77777777" w:rsidR="001930BB" w:rsidRPr="00B64701" w:rsidRDefault="001930BB" w:rsidP="001930BB">
            <w:r w:rsidRPr="00B64701">
              <w:t>SARI</w:t>
            </w:r>
          </w:p>
        </w:tc>
        <w:tc>
          <w:tcPr>
            <w:tcW w:w="6911" w:type="dxa"/>
          </w:tcPr>
          <w:p w14:paraId="6AD89A11" w14:textId="77777777" w:rsidR="001930BB" w:rsidRPr="00B64701" w:rsidRDefault="001930BB" w:rsidP="001930BB">
            <w:r w:rsidRPr="00B64701">
              <w:t>Subject’s assessment of rosacea improvement</w:t>
            </w:r>
          </w:p>
        </w:tc>
      </w:tr>
      <w:tr w:rsidR="00F8356E" w14:paraId="6AD89A15" w14:textId="77777777" w:rsidTr="001930BB">
        <w:tc>
          <w:tcPr>
            <w:tcW w:w="1890" w:type="dxa"/>
          </w:tcPr>
          <w:p w14:paraId="6AD89A13" w14:textId="77777777" w:rsidR="00F8356E" w:rsidRPr="00B64701" w:rsidRDefault="00F8356E" w:rsidP="001930BB">
            <w:r>
              <w:t>SD</w:t>
            </w:r>
          </w:p>
        </w:tc>
        <w:tc>
          <w:tcPr>
            <w:tcW w:w="6911" w:type="dxa"/>
          </w:tcPr>
          <w:p w14:paraId="6AD89A14" w14:textId="77777777" w:rsidR="00F8356E" w:rsidRPr="00B64701" w:rsidRDefault="00F8356E" w:rsidP="001930BB">
            <w:r>
              <w:t>Standard deviation</w:t>
            </w:r>
          </w:p>
        </w:tc>
      </w:tr>
      <w:tr w:rsidR="00D75195" w14:paraId="6AD89A18" w14:textId="77777777" w:rsidTr="001930BB">
        <w:tc>
          <w:tcPr>
            <w:tcW w:w="1890" w:type="dxa"/>
          </w:tcPr>
          <w:p w14:paraId="6AD89A16" w14:textId="77777777" w:rsidR="00D75195" w:rsidRPr="00B64701" w:rsidRDefault="00D75195" w:rsidP="001930BB">
            <w:r w:rsidRPr="00D75195">
              <w:t>SOC</w:t>
            </w:r>
          </w:p>
        </w:tc>
        <w:tc>
          <w:tcPr>
            <w:tcW w:w="6911" w:type="dxa"/>
          </w:tcPr>
          <w:p w14:paraId="6AD89A17" w14:textId="77777777" w:rsidR="00D75195" w:rsidRPr="00B64701" w:rsidRDefault="00D75195" w:rsidP="001930BB">
            <w:r>
              <w:t>System organ class</w:t>
            </w:r>
          </w:p>
        </w:tc>
      </w:tr>
      <w:tr w:rsidR="000028DF" w14:paraId="6AD89A1B" w14:textId="77777777" w:rsidTr="001930BB">
        <w:tc>
          <w:tcPr>
            <w:tcW w:w="1890" w:type="dxa"/>
          </w:tcPr>
          <w:p w14:paraId="6AD89A19" w14:textId="77777777" w:rsidR="000028DF" w:rsidRPr="00B64701" w:rsidRDefault="000028DF" w:rsidP="001930BB">
            <w:r w:rsidRPr="000028DF">
              <w:lastRenderedPageBreak/>
              <w:t>T</w:t>
            </w:r>
            <w:r w:rsidRPr="000028DF">
              <w:rPr>
                <w:vertAlign w:val="subscript"/>
              </w:rPr>
              <w:t>SS</w:t>
            </w:r>
          </w:p>
        </w:tc>
        <w:tc>
          <w:tcPr>
            <w:tcW w:w="6911" w:type="dxa"/>
          </w:tcPr>
          <w:p w14:paraId="6AD89A1A" w14:textId="77777777" w:rsidR="000028DF" w:rsidRPr="00B64701" w:rsidRDefault="000028DF" w:rsidP="001930BB">
            <w:r>
              <w:t>Time taken to get a steady state of plasma concentration</w:t>
            </w:r>
          </w:p>
        </w:tc>
      </w:tr>
      <w:tr w:rsidR="000028DF" w14:paraId="6AD89A1E" w14:textId="77777777" w:rsidTr="001930BB">
        <w:tc>
          <w:tcPr>
            <w:tcW w:w="1890" w:type="dxa"/>
          </w:tcPr>
          <w:p w14:paraId="6AD89A1C" w14:textId="77777777" w:rsidR="000028DF" w:rsidRPr="00B64701" w:rsidRDefault="00BD1775" w:rsidP="001930BB">
            <w:r w:rsidRPr="00BD1775">
              <w:t>T</w:t>
            </w:r>
            <w:r w:rsidRPr="00BD1775">
              <w:rPr>
                <w:vertAlign w:val="subscript"/>
              </w:rPr>
              <w:t>½</w:t>
            </w:r>
          </w:p>
        </w:tc>
        <w:tc>
          <w:tcPr>
            <w:tcW w:w="6911" w:type="dxa"/>
          </w:tcPr>
          <w:p w14:paraId="6AD89A1D" w14:textId="65EB9B62" w:rsidR="000028DF" w:rsidRPr="00B64701" w:rsidRDefault="00BD1775" w:rsidP="00F475F1">
            <w:r w:rsidRPr="00F475F1">
              <w:rPr>
                <w:color w:val="auto"/>
              </w:rPr>
              <w:t xml:space="preserve">Time </w:t>
            </w:r>
            <w:r w:rsidR="00F475F1" w:rsidRPr="00F475F1">
              <w:rPr>
                <w:color w:val="auto"/>
              </w:rPr>
              <w:t>for plasma concentration hal</w:t>
            </w:r>
            <w:r w:rsidR="00026D9A">
              <w:rPr>
                <w:color w:val="auto"/>
              </w:rPr>
              <w:t>f-life</w:t>
            </w:r>
          </w:p>
        </w:tc>
      </w:tr>
      <w:tr w:rsidR="00947AAC" w14:paraId="6AD89A21" w14:textId="77777777" w:rsidTr="001930BB">
        <w:tc>
          <w:tcPr>
            <w:tcW w:w="1890" w:type="dxa"/>
          </w:tcPr>
          <w:p w14:paraId="6AD89A1F" w14:textId="77777777" w:rsidR="00947AAC" w:rsidRPr="00BD1775" w:rsidRDefault="00947AAC" w:rsidP="001930BB">
            <w:r w:rsidRPr="00947AAC">
              <w:t>USP</w:t>
            </w:r>
          </w:p>
        </w:tc>
        <w:tc>
          <w:tcPr>
            <w:tcW w:w="6911" w:type="dxa"/>
          </w:tcPr>
          <w:p w14:paraId="6AD89A20" w14:textId="77777777" w:rsidR="00947AAC" w:rsidRPr="00F475F1" w:rsidRDefault="00947AAC" w:rsidP="00F475F1">
            <w:r>
              <w:t xml:space="preserve">United States </w:t>
            </w:r>
            <w:r w:rsidR="006613F1">
              <w:t>Pharmacopeia</w:t>
            </w:r>
          </w:p>
        </w:tc>
      </w:tr>
      <w:tr w:rsidR="00C63F58" w:rsidRPr="00C63F58" w14:paraId="6AD89A24" w14:textId="77777777" w:rsidTr="001930BB">
        <w:tc>
          <w:tcPr>
            <w:tcW w:w="1890" w:type="dxa"/>
          </w:tcPr>
          <w:p w14:paraId="6AD89A22" w14:textId="77777777" w:rsidR="00C63F58" w:rsidRPr="00BD1775" w:rsidRDefault="00C63F58" w:rsidP="001930BB">
            <w:r>
              <w:t>UVR</w:t>
            </w:r>
          </w:p>
        </w:tc>
        <w:tc>
          <w:tcPr>
            <w:tcW w:w="6911" w:type="dxa"/>
          </w:tcPr>
          <w:p w14:paraId="6AD89A23" w14:textId="77777777" w:rsidR="00C63F58" w:rsidRPr="00C63F58" w:rsidRDefault="00C63F58" w:rsidP="001930BB">
            <w:pPr>
              <w:rPr>
                <w:color w:val="auto"/>
              </w:rPr>
            </w:pPr>
            <w:r w:rsidRPr="00C63F58">
              <w:rPr>
                <w:color w:val="auto"/>
              </w:rPr>
              <w:t>Ultra violet radiation</w:t>
            </w:r>
          </w:p>
        </w:tc>
      </w:tr>
      <w:tr w:rsidR="00082D46" w:rsidRPr="00082D46" w14:paraId="6AD89A27" w14:textId="77777777" w:rsidTr="001930BB">
        <w:tc>
          <w:tcPr>
            <w:tcW w:w="1890" w:type="dxa"/>
          </w:tcPr>
          <w:p w14:paraId="6AD89A25" w14:textId="77777777" w:rsidR="00BD1775" w:rsidRPr="00082D46" w:rsidRDefault="00BD1775" w:rsidP="001930BB">
            <w:pPr>
              <w:rPr>
                <w:color w:val="auto"/>
              </w:rPr>
            </w:pPr>
            <w:r w:rsidRPr="00082D46">
              <w:rPr>
                <w:color w:val="auto"/>
              </w:rPr>
              <w:t>V</w:t>
            </w:r>
            <w:r w:rsidRPr="00082D46">
              <w:rPr>
                <w:color w:val="auto"/>
                <w:vertAlign w:val="subscript"/>
              </w:rPr>
              <w:t>D SS</w:t>
            </w:r>
          </w:p>
        </w:tc>
        <w:tc>
          <w:tcPr>
            <w:tcW w:w="6911" w:type="dxa"/>
          </w:tcPr>
          <w:p w14:paraId="6AD89A26" w14:textId="77777777" w:rsidR="00BD1775" w:rsidRPr="00082D46" w:rsidRDefault="00082D46" w:rsidP="001930BB">
            <w:pPr>
              <w:rPr>
                <w:color w:val="auto"/>
              </w:rPr>
            </w:pPr>
            <w:r w:rsidRPr="00082D46">
              <w:rPr>
                <w:color w:val="auto"/>
              </w:rPr>
              <w:t>volume of distribution at steady state</w:t>
            </w:r>
          </w:p>
        </w:tc>
      </w:tr>
      <w:tr w:rsidR="00130761" w:rsidRPr="00082D46" w14:paraId="6AD89A2A" w14:textId="77777777" w:rsidTr="001930BB">
        <w:tc>
          <w:tcPr>
            <w:tcW w:w="1890" w:type="dxa"/>
          </w:tcPr>
          <w:p w14:paraId="6AD89A28" w14:textId="77777777" w:rsidR="00130761" w:rsidRPr="00082D46" w:rsidRDefault="00130761" w:rsidP="001930BB">
            <w:r w:rsidRPr="00130761">
              <w:t>w/w</w:t>
            </w:r>
          </w:p>
        </w:tc>
        <w:tc>
          <w:tcPr>
            <w:tcW w:w="6911" w:type="dxa"/>
          </w:tcPr>
          <w:p w14:paraId="6AD89A29" w14:textId="77777777" w:rsidR="00130761" w:rsidRPr="00082D46" w:rsidRDefault="00130761" w:rsidP="001930BB">
            <w:r>
              <w:t>weight/ weight</w:t>
            </w:r>
          </w:p>
        </w:tc>
      </w:tr>
    </w:tbl>
    <w:p w14:paraId="6AD89A2B" w14:textId="77777777" w:rsidR="00FD119B" w:rsidRPr="00082D46" w:rsidRDefault="00FD119B" w:rsidP="00FD119B"/>
    <w:p w14:paraId="6AD89A2C" w14:textId="77777777" w:rsidR="00FD119B" w:rsidRPr="00FD119B" w:rsidRDefault="00FD119B" w:rsidP="00FD119B">
      <w:pPr>
        <w:spacing w:before="0" w:after="200" w:line="0" w:lineRule="auto"/>
        <w:rPr>
          <w:b/>
          <w:i/>
          <w:sz w:val="24"/>
          <w:szCs w:val="24"/>
        </w:rPr>
      </w:pPr>
      <w:r w:rsidRPr="00FD119B">
        <w:rPr>
          <w:b/>
          <w:i/>
          <w:sz w:val="24"/>
          <w:szCs w:val="24"/>
        </w:rPr>
        <w:br w:type="page"/>
      </w:r>
    </w:p>
    <w:p w14:paraId="6AD89A2D" w14:textId="77777777" w:rsidR="008E7846" w:rsidRDefault="00F53C07" w:rsidP="008E7846">
      <w:pPr>
        <w:pStyle w:val="Heading2"/>
      </w:pPr>
      <w:bookmarkStart w:id="10" w:name="_Toc437418376"/>
      <w:r>
        <w:lastRenderedPageBreak/>
        <w:t>I.</w:t>
      </w:r>
      <w:r w:rsidR="008E7846">
        <w:t xml:space="preserve"> Introduction to product submission</w:t>
      </w:r>
      <w:bookmarkEnd w:id="10"/>
      <w:bookmarkEnd w:id="4"/>
      <w:bookmarkEnd w:id="1"/>
    </w:p>
    <w:p w14:paraId="6AD89A2E" w14:textId="77777777" w:rsidR="008E7846" w:rsidRDefault="008E7846" w:rsidP="008E7846">
      <w:pPr>
        <w:pStyle w:val="Heading3"/>
        <w:rPr>
          <w:lang w:eastAsia="en-AU"/>
        </w:rPr>
      </w:pPr>
      <w:bookmarkStart w:id="11" w:name="_Toc247691502"/>
      <w:bookmarkStart w:id="12" w:name="_Toc314842483"/>
      <w:bookmarkStart w:id="13" w:name="_Toc437418377"/>
      <w:r>
        <w:rPr>
          <w:lang w:eastAsia="en-AU"/>
        </w:rPr>
        <w:t>Submission details</w:t>
      </w:r>
      <w:bookmarkEnd w:id="11"/>
      <w:bookmarkEnd w:id="12"/>
      <w:bookmarkEnd w:id="13"/>
    </w:p>
    <w:tbl>
      <w:tblPr>
        <w:tblW w:w="9497" w:type="dxa"/>
        <w:tblInd w:w="108" w:type="dxa"/>
        <w:tblLook w:val="01E0" w:firstRow="1" w:lastRow="1" w:firstColumn="1" w:lastColumn="1" w:noHBand="0" w:noVBand="0"/>
      </w:tblPr>
      <w:tblGrid>
        <w:gridCol w:w="2907"/>
        <w:gridCol w:w="6590"/>
      </w:tblGrid>
      <w:tr w:rsidR="008E7846" w:rsidRPr="003D1E62" w14:paraId="6AD89A31" w14:textId="77777777" w:rsidTr="0089635C">
        <w:trPr>
          <w:trHeight w:hRule="exact" w:val="454"/>
        </w:trPr>
        <w:tc>
          <w:tcPr>
            <w:tcW w:w="2907" w:type="dxa"/>
          </w:tcPr>
          <w:p w14:paraId="6AD89A2F" w14:textId="77777777" w:rsidR="008E7846" w:rsidRPr="003D1E62" w:rsidRDefault="001B5C90" w:rsidP="001B5C90">
            <w:pPr>
              <w:rPr>
                <w:i/>
              </w:rPr>
            </w:pPr>
            <w:r>
              <w:rPr>
                <w:i/>
              </w:rPr>
              <w:t>Type of s</w:t>
            </w:r>
            <w:r w:rsidR="008E7846" w:rsidRPr="003D1E62">
              <w:rPr>
                <w:i/>
              </w:rPr>
              <w:t>ubmission</w:t>
            </w:r>
            <w:r>
              <w:rPr>
                <w:i/>
              </w:rPr>
              <w:t>:</w:t>
            </w:r>
          </w:p>
        </w:tc>
        <w:tc>
          <w:tcPr>
            <w:tcW w:w="6590" w:type="dxa"/>
          </w:tcPr>
          <w:p w14:paraId="6AD89A30" w14:textId="77777777" w:rsidR="008E7846" w:rsidRPr="003D1E62" w:rsidRDefault="006C1CA3" w:rsidP="00B7247F">
            <w:r>
              <w:t>M</w:t>
            </w:r>
            <w:r w:rsidR="008E7846" w:rsidRPr="003D1E62">
              <w:t xml:space="preserve">ajor </w:t>
            </w:r>
            <w:r w:rsidR="001B5C90">
              <w:t>v</w:t>
            </w:r>
            <w:r w:rsidR="008E7846" w:rsidRPr="003D1E62">
              <w:t>ariation (</w:t>
            </w:r>
            <w:r w:rsidR="001B5C90">
              <w:t>n</w:t>
            </w:r>
            <w:r w:rsidR="008E7846" w:rsidRPr="003D1E62">
              <w:t xml:space="preserve">ew </w:t>
            </w:r>
            <w:r w:rsidR="00B7247F">
              <w:t>indication and new dose form</w:t>
            </w:r>
            <w:r w:rsidR="008E7846" w:rsidRPr="003D1E62">
              <w:t>)</w:t>
            </w:r>
          </w:p>
        </w:tc>
      </w:tr>
      <w:tr w:rsidR="008E7846" w:rsidRPr="003D1E62" w14:paraId="6AD89A34" w14:textId="77777777" w:rsidTr="0089635C">
        <w:trPr>
          <w:trHeight w:hRule="exact" w:val="454"/>
        </w:trPr>
        <w:tc>
          <w:tcPr>
            <w:tcW w:w="2907" w:type="dxa"/>
          </w:tcPr>
          <w:p w14:paraId="6AD89A32" w14:textId="77777777" w:rsidR="008E7846" w:rsidRPr="003D1E62" w:rsidRDefault="008E7846" w:rsidP="003D1E62">
            <w:r w:rsidRPr="003D1E62">
              <w:rPr>
                <w:i/>
              </w:rPr>
              <w:t>Decision</w:t>
            </w:r>
            <w:r w:rsidRPr="003D1E62">
              <w:t>:</w:t>
            </w:r>
          </w:p>
        </w:tc>
        <w:tc>
          <w:tcPr>
            <w:tcW w:w="6590" w:type="dxa"/>
          </w:tcPr>
          <w:p w14:paraId="6AD89A33" w14:textId="77777777" w:rsidR="008E7846" w:rsidRPr="003D1E62" w:rsidRDefault="00B7247F" w:rsidP="00B7247F">
            <w:r>
              <w:t>Approved</w:t>
            </w:r>
          </w:p>
        </w:tc>
      </w:tr>
      <w:tr w:rsidR="008E7846" w:rsidRPr="003D1E62" w14:paraId="6AD89A37" w14:textId="77777777" w:rsidTr="0089635C">
        <w:trPr>
          <w:trHeight w:hRule="exact" w:val="454"/>
        </w:trPr>
        <w:tc>
          <w:tcPr>
            <w:tcW w:w="2907" w:type="dxa"/>
          </w:tcPr>
          <w:p w14:paraId="6AD89A35"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tcPr>
          <w:p w14:paraId="6AD89A36" w14:textId="77777777" w:rsidR="008E7846" w:rsidRPr="003D1E62" w:rsidRDefault="00434464" w:rsidP="001B5C90">
            <w:r>
              <w:t>9 September 2015</w:t>
            </w:r>
          </w:p>
        </w:tc>
      </w:tr>
      <w:tr w:rsidR="00ED2922" w:rsidRPr="003D1E62" w14:paraId="6AD89A3A" w14:textId="77777777" w:rsidTr="0089635C">
        <w:trPr>
          <w:trHeight w:hRule="exact" w:val="454"/>
        </w:trPr>
        <w:tc>
          <w:tcPr>
            <w:tcW w:w="2907" w:type="dxa"/>
          </w:tcPr>
          <w:p w14:paraId="6AD89A38" w14:textId="77777777" w:rsidR="00ED2922" w:rsidRPr="00441C3F" w:rsidRDefault="00ED2922" w:rsidP="001B5C90">
            <w:pPr>
              <w:rPr>
                <w:i/>
              </w:rPr>
            </w:pPr>
            <w:r w:rsidRPr="00441C3F">
              <w:rPr>
                <w:i/>
              </w:rPr>
              <w:t>Date of entry onto ARTG</w:t>
            </w:r>
            <w:r w:rsidR="00F9355A">
              <w:rPr>
                <w:i/>
              </w:rPr>
              <w:t>:</w:t>
            </w:r>
          </w:p>
        </w:tc>
        <w:tc>
          <w:tcPr>
            <w:tcW w:w="6590" w:type="dxa"/>
          </w:tcPr>
          <w:p w14:paraId="6AD89A39" w14:textId="77777777" w:rsidR="00ED2922" w:rsidRPr="00441C3F" w:rsidRDefault="00434464" w:rsidP="00EC463D">
            <w:pPr>
              <w:rPr>
                <w:i/>
              </w:rPr>
            </w:pPr>
            <w:r>
              <w:t>14 September 2015</w:t>
            </w:r>
          </w:p>
        </w:tc>
      </w:tr>
    </w:tbl>
    <w:p w14:paraId="6AD89A3B"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6AD89A3E" w14:textId="77777777" w:rsidTr="00BF1190">
        <w:tc>
          <w:tcPr>
            <w:tcW w:w="2907" w:type="dxa"/>
          </w:tcPr>
          <w:p w14:paraId="6AD89A3C" w14:textId="77777777" w:rsidR="008E7846" w:rsidRPr="00487162" w:rsidRDefault="00434464" w:rsidP="00E45619">
            <w:pPr>
              <w:rPr>
                <w:i/>
              </w:rPr>
            </w:pPr>
            <w:r>
              <w:rPr>
                <w:i/>
              </w:rPr>
              <w:t>Active ingredient</w:t>
            </w:r>
            <w:r w:rsidR="001B5C90">
              <w:rPr>
                <w:i/>
              </w:rPr>
              <w:t>:</w:t>
            </w:r>
          </w:p>
        </w:tc>
        <w:tc>
          <w:tcPr>
            <w:tcW w:w="6307" w:type="dxa"/>
          </w:tcPr>
          <w:p w14:paraId="6AD89A3D" w14:textId="77777777" w:rsidR="008E7846" w:rsidRPr="00487162" w:rsidRDefault="00434464" w:rsidP="00E45619">
            <w:r>
              <w:t>Ivermectin</w:t>
            </w:r>
          </w:p>
        </w:tc>
      </w:tr>
      <w:tr w:rsidR="008E7846" w:rsidRPr="00487162" w14:paraId="6AD89A41" w14:textId="77777777" w:rsidTr="00BF1190">
        <w:tc>
          <w:tcPr>
            <w:tcW w:w="2907" w:type="dxa"/>
          </w:tcPr>
          <w:p w14:paraId="6AD89A3F" w14:textId="77777777" w:rsidR="008E7846" w:rsidRPr="00487162" w:rsidRDefault="008E7846" w:rsidP="001B5C90">
            <w:pPr>
              <w:rPr>
                <w:i/>
              </w:rPr>
            </w:pPr>
            <w:r w:rsidRPr="00487162">
              <w:rPr>
                <w:i/>
              </w:rPr>
              <w:t>Product</w:t>
            </w:r>
            <w:r w:rsidR="00F9355A">
              <w:rPr>
                <w:i/>
              </w:rPr>
              <w:t xml:space="preserve"> names</w:t>
            </w:r>
            <w:r w:rsidR="001B5C90">
              <w:rPr>
                <w:i/>
              </w:rPr>
              <w:t>:</w:t>
            </w:r>
          </w:p>
        </w:tc>
        <w:tc>
          <w:tcPr>
            <w:tcW w:w="6307" w:type="dxa"/>
          </w:tcPr>
          <w:p w14:paraId="6AD89A40" w14:textId="77777777" w:rsidR="008E7846" w:rsidRPr="00487162" w:rsidRDefault="00434464" w:rsidP="00E45619">
            <w:r>
              <w:t>Soolantra and Vastreka</w:t>
            </w:r>
          </w:p>
        </w:tc>
      </w:tr>
      <w:tr w:rsidR="008E7846" w:rsidRPr="00487162" w14:paraId="6AD89A46" w14:textId="77777777" w:rsidTr="00BF1190">
        <w:tc>
          <w:tcPr>
            <w:tcW w:w="2907" w:type="dxa"/>
          </w:tcPr>
          <w:p w14:paraId="6AD89A42"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AD89A43" w14:textId="77777777" w:rsidR="008E7846" w:rsidRPr="006E4644" w:rsidRDefault="00434464" w:rsidP="006C1CA3">
            <w:pPr>
              <w:spacing w:before="0" w:after="0" w:line="240" w:lineRule="auto"/>
              <w:rPr>
                <w:lang w:val="es-ES_tradnl"/>
              </w:rPr>
            </w:pPr>
            <w:proofErr w:type="spellStart"/>
            <w:r w:rsidRPr="006E4644">
              <w:rPr>
                <w:lang w:val="es-ES_tradnl"/>
              </w:rPr>
              <w:t>Galderma</w:t>
            </w:r>
            <w:proofErr w:type="spellEnd"/>
            <w:r w:rsidRPr="006E4644">
              <w:rPr>
                <w:lang w:val="es-ES_tradnl"/>
              </w:rPr>
              <w:t xml:space="preserve"> Australia </w:t>
            </w:r>
            <w:proofErr w:type="spellStart"/>
            <w:r w:rsidRPr="006E4644">
              <w:rPr>
                <w:lang w:val="es-ES_tradnl"/>
              </w:rPr>
              <w:t>Pty</w:t>
            </w:r>
            <w:proofErr w:type="spellEnd"/>
            <w:r w:rsidRPr="006E4644">
              <w:rPr>
                <w:lang w:val="es-ES_tradnl"/>
              </w:rPr>
              <w:t xml:space="preserve"> </w:t>
            </w:r>
            <w:proofErr w:type="spellStart"/>
            <w:r w:rsidRPr="006E4644">
              <w:rPr>
                <w:lang w:val="es-ES_tradnl"/>
              </w:rPr>
              <w:t>Ltd</w:t>
            </w:r>
            <w:proofErr w:type="spellEnd"/>
          </w:p>
          <w:p w14:paraId="6AD89A44" w14:textId="77777777" w:rsidR="00434464" w:rsidRPr="006E4644" w:rsidRDefault="00434464" w:rsidP="006C1CA3">
            <w:pPr>
              <w:spacing w:before="0" w:after="0" w:line="240" w:lineRule="auto"/>
              <w:rPr>
                <w:lang w:val="es-ES_tradnl"/>
              </w:rPr>
            </w:pPr>
            <w:r w:rsidRPr="006E4644">
              <w:rPr>
                <w:lang w:val="es-ES_tradnl"/>
              </w:rPr>
              <w:t>PO Box 502</w:t>
            </w:r>
          </w:p>
          <w:p w14:paraId="6AD89A45" w14:textId="77777777" w:rsidR="00434464" w:rsidRPr="00487162" w:rsidRDefault="00434464" w:rsidP="006C1CA3">
            <w:pPr>
              <w:spacing w:before="0" w:after="0" w:line="240" w:lineRule="auto"/>
            </w:pPr>
            <w:r>
              <w:t>Frenches Forest NSW 2086</w:t>
            </w:r>
          </w:p>
        </w:tc>
      </w:tr>
      <w:tr w:rsidR="008E7846" w:rsidRPr="00487162" w14:paraId="6AD89A49" w14:textId="77777777" w:rsidTr="00BF1190">
        <w:tc>
          <w:tcPr>
            <w:tcW w:w="2907" w:type="dxa"/>
          </w:tcPr>
          <w:p w14:paraId="6AD89A47" w14:textId="77777777" w:rsidR="008E7846" w:rsidRPr="00487162" w:rsidRDefault="00434464" w:rsidP="00E45619">
            <w:pPr>
              <w:rPr>
                <w:i/>
              </w:rPr>
            </w:pPr>
            <w:r>
              <w:rPr>
                <w:i/>
              </w:rPr>
              <w:t>Dose form</w:t>
            </w:r>
            <w:r w:rsidR="001B5C90">
              <w:rPr>
                <w:i/>
              </w:rPr>
              <w:t>:</w:t>
            </w:r>
          </w:p>
        </w:tc>
        <w:tc>
          <w:tcPr>
            <w:tcW w:w="6307" w:type="dxa"/>
          </w:tcPr>
          <w:p w14:paraId="6AD89A48" w14:textId="77777777" w:rsidR="008E7846" w:rsidRPr="00487162" w:rsidRDefault="00947AAC" w:rsidP="00E45619">
            <w:r>
              <w:t>C</w:t>
            </w:r>
            <w:r w:rsidR="00F2439E">
              <w:t>ream</w:t>
            </w:r>
          </w:p>
        </w:tc>
      </w:tr>
      <w:tr w:rsidR="008E7846" w:rsidRPr="00487162" w14:paraId="6AD89A4C" w14:textId="77777777" w:rsidTr="00BF1190">
        <w:tc>
          <w:tcPr>
            <w:tcW w:w="2907" w:type="dxa"/>
          </w:tcPr>
          <w:p w14:paraId="6AD89A4A" w14:textId="77777777" w:rsidR="008E7846" w:rsidRPr="00487162" w:rsidRDefault="00434464" w:rsidP="00E45619">
            <w:pPr>
              <w:rPr>
                <w:i/>
              </w:rPr>
            </w:pPr>
            <w:r>
              <w:rPr>
                <w:i/>
              </w:rPr>
              <w:t>Strength</w:t>
            </w:r>
            <w:r w:rsidR="00F9355A">
              <w:rPr>
                <w:i/>
              </w:rPr>
              <w:t>:</w:t>
            </w:r>
          </w:p>
        </w:tc>
        <w:tc>
          <w:tcPr>
            <w:tcW w:w="6307" w:type="dxa"/>
          </w:tcPr>
          <w:p w14:paraId="6AD89A4B" w14:textId="77777777" w:rsidR="008E7846" w:rsidRPr="00487162" w:rsidRDefault="00434464" w:rsidP="00E45619">
            <w:r>
              <w:t>10 mg/g</w:t>
            </w:r>
          </w:p>
        </w:tc>
      </w:tr>
      <w:tr w:rsidR="008E7846" w:rsidRPr="00487162" w14:paraId="6AD89A4F" w14:textId="77777777" w:rsidTr="00BF1190">
        <w:tc>
          <w:tcPr>
            <w:tcW w:w="2907" w:type="dxa"/>
          </w:tcPr>
          <w:p w14:paraId="6AD89A4D" w14:textId="77777777" w:rsidR="008E7846" w:rsidRPr="00487162" w:rsidRDefault="008E7846" w:rsidP="00E45619">
            <w:pPr>
              <w:rPr>
                <w:i/>
              </w:rPr>
            </w:pPr>
            <w:r w:rsidRPr="00487162">
              <w:rPr>
                <w:i/>
              </w:rPr>
              <w:t>Conta</w:t>
            </w:r>
            <w:r w:rsidR="00434464">
              <w:rPr>
                <w:i/>
              </w:rPr>
              <w:t>iner</w:t>
            </w:r>
            <w:r w:rsidRPr="00487162">
              <w:rPr>
                <w:i/>
              </w:rPr>
              <w:t>:</w:t>
            </w:r>
          </w:p>
        </w:tc>
        <w:tc>
          <w:tcPr>
            <w:tcW w:w="6307" w:type="dxa"/>
          </w:tcPr>
          <w:p w14:paraId="6AD89A4E" w14:textId="77777777" w:rsidR="008E7846" w:rsidRPr="00487162" w:rsidRDefault="00434464" w:rsidP="00E45619">
            <w:r>
              <w:t>Tube</w:t>
            </w:r>
          </w:p>
        </w:tc>
      </w:tr>
      <w:tr w:rsidR="008E7846" w:rsidRPr="00487162" w14:paraId="6AD89A52" w14:textId="77777777" w:rsidTr="00BF1190">
        <w:tc>
          <w:tcPr>
            <w:tcW w:w="2907" w:type="dxa"/>
          </w:tcPr>
          <w:p w14:paraId="6AD89A50" w14:textId="77777777" w:rsidR="008E7846" w:rsidRPr="00487162" w:rsidRDefault="006C1CA3" w:rsidP="00E45619">
            <w:pPr>
              <w:rPr>
                <w:i/>
              </w:rPr>
            </w:pPr>
            <w:r>
              <w:rPr>
                <w:i/>
              </w:rPr>
              <w:t>Pack sizes</w:t>
            </w:r>
            <w:r w:rsidR="008E7846" w:rsidRPr="00487162">
              <w:rPr>
                <w:i/>
              </w:rPr>
              <w:t>:</w:t>
            </w:r>
          </w:p>
        </w:tc>
        <w:tc>
          <w:tcPr>
            <w:tcW w:w="6307" w:type="dxa"/>
          </w:tcPr>
          <w:p w14:paraId="6AD89A51" w14:textId="77777777" w:rsidR="008E7846" w:rsidRPr="00487162" w:rsidRDefault="00434464" w:rsidP="00E45619">
            <w:r>
              <w:t xml:space="preserve">2g, </w:t>
            </w:r>
            <w:r w:rsidR="009D6CCA">
              <w:t>15 g</w:t>
            </w:r>
            <w:r>
              <w:t xml:space="preserve">, </w:t>
            </w:r>
            <w:r w:rsidR="009D6CCA">
              <w:t>30 g</w:t>
            </w:r>
            <w:r>
              <w:t xml:space="preserve">, </w:t>
            </w:r>
            <w:r w:rsidR="009D6CCA">
              <w:t>45 g</w:t>
            </w:r>
            <w:r>
              <w:t xml:space="preserve"> and </w:t>
            </w:r>
            <w:r w:rsidR="009D6CCA">
              <w:t>60 g</w:t>
            </w:r>
          </w:p>
        </w:tc>
      </w:tr>
      <w:tr w:rsidR="008E7846" w:rsidRPr="00487162" w14:paraId="6AD89A55" w14:textId="77777777" w:rsidTr="00BF1190">
        <w:tc>
          <w:tcPr>
            <w:tcW w:w="2907" w:type="dxa"/>
          </w:tcPr>
          <w:p w14:paraId="6AD89A53"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6AD89A54" w14:textId="77777777" w:rsidR="008E7846" w:rsidRPr="00434464" w:rsidRDefault="005F5FE5" w:rsidP="00E45619">
            <w:pPr>
              <w:rPr>
                <w:rFonts w:eastAsia="MS Mincho"/>
                <w:i/>
                <w:lang w:eastAsia="ja-JP"/>
              </w:rPr>
            </w:pPr>
            <w:r>
              <w:rPr>
                <w:i/>
              </w:rPr>
              <w:t>Soolantra / Vastreka</w:t>
            </w:r>
            <w:r w:rsidR="00434464" w:rsidRPr="00434464">
              <w:rPr>
                <w:i/>
              </w:rPr>
              <w:t xml:space="preserve"> </w:t>
            </w:r>
            <w:proofErr w:type="gramStart"/>
            <w:r w:rsidR="00434464" w:rsidRPr="00434464">
              <w:rPr>
                <w:i/>
              </w:rPr>
              <w:t>is</w:t>
            </w:r>
            <w:proofErr w:type="gramEnd"/>
            <w:r w:rsidR="00434464" w:rsidRPr="00434464">
              <w:rPr>
                <w:i/>
              </w:rPr>
              <w:t xml:space="preserve"> indicated for the topical treatment of inflammatory lesions of rosacea (</w:t>
            </w:r>
            <w:proofErr w:type="spellStart"/>
            <w:r w:rsidR="00434464" w:rsidRPr="00434464">
              <w:rPr>
                <w:i/>
              </w:rPr>
              <w:t>papulo</w:t>
            </w:r>
            <w:proofErr w:type="spellEnd"/>
            <w:r w:rsidR="00434464" w:rsidRPr="00434464">
              <w:rPr>
                <w:i/>
              </w:rPr>
              <w:t>-pustular) in adult patients 18 years and over.</w:t>
            </w:r>
          </w:p>
        </w:tc>
      </w:tr>
      <w:tr w:rsidR="008E7846" w:rsidRPr="00487162" w14:paraId="6AD89A58" w14:textId="77777777" w:rsidTr="00BF1190">
        <w:tc>
          <w:tcPr>
            <w:tcW w:w="2907" w:type="dxa"/>
          </w:tcPr>
          <w:p w14:paraId="6AD89A56" w14:textId="77777777" w:rsidR="008E7846" w:rsidRPr="00487162" w:rsidRDefault="006C1CA3" w:rsidP="00E45619">
            <w:pPr>
              <w:rPr>
                <w:i/>
              </w:rPr>
            </w:pPr>
            <w:r>
              <w:rPr>
                <w:i/>
              </w:rPr>
              <w:t>Route</w:t>
            </w:r>
            <w:r w:rsidR="008E7846" w:rsidRPr="00487162">
              <w:rPr>
                <w:i/>
              </w:rPr>
              <w:t xml:space="preserve"> of administration:</w:t>
            </w:r>
          </w:p>
        </w:tc>
        <w:tc>
          <w:tcPr>
            <w:tcW w:w="6307" w:type="dxa"/>
          </w:tcPr>
          <w:p w14:paraId="6AD89A57" w14:textId="77777777" w:rsidR="008E7846" w:rsidRPr="00487162" w:rsidRDefault="00434464" w:rsidP="00E45619">
            <w:r>
              <w:t>Topical</w:t>
            </w:r>
          </w:p>
        </w:tc>
      </w:tr>
      <w:tr w:rsidR="008E7846" w:rsidRPr="00487162" w14:paraId="6AD89A5F" w14:textId="77777777" w:rsidTr="00BF1190">
        <w:tc>
          <w:tcPr>
            <w:tcW w:w="2907" w:type="dxa"/>
          </w:tcPr>
          <w:p w14:paraId="6AD89A59" w14:textId="77777777" w:rsidR="008E7846" w:rsidRPr="00487162" w:rsidRDefault="008E7846" w:rsidP="00E45619">
            <w:pPr>
              <w:rPr>
                <w:i/>
              </w:rPr>
            </w:pPr>
            <w:r w:rsidRPr="00487162">
              <w:rPr>
                <w:i/>
              </w:rPr>
              <w:t>Dosage:</w:t>
            </w:r>
          </w:p>
        </w:tc>
        <w:tc>
          <w:tcPr>
            <w:tcW w:w="6307" w:type="dxa"/>
          </w:tcPr>
          <w:p w14:paraId="6AD89A5A" w14:textId="77777777" w:rsidR="00721301" w:rsidRPr="00721301" w:rsidRDefault="00721301" w:rsidP="00721301">
            <w:r w:rsidRPr="00721301">
              <w:t xml:space="preserve">One application a day for up to 4 months. </w:t>
            </w:r>
            <w:r w:rsidR="00356678">
              <w:t>Soolantra</w:t>
            </w:r>
            <w:r w:rsidRPr="00721301">
              <w:t xml:space="preserve"> should be applied daily over the treatment course. The treatment course may be repeated</w:t>
            </w:r>
            <w:r w:rsidR="00BD1775">
              <w:t xml:space="preserve">. </w:t>
            </w:r>
            <w:r w:rsidRPr="00721301">
              <w:t>In case of no improvement after 3 months, the treatment should be discontinued.</w:t>
            </w:r>
          </w:p>
          <w:p w14:paraId="6AD89A5B" w14:textId="77777777" w:rsidR="00721301" w:rsidRPr="00721301" w:rsidRDefault="00721301" w:rsidP="00721301">
            <w:r w:rsidRPr="00721301">
              <w:t>For optimal facial treatment, it is recommended that five small pea-size amounts, the total estimated to be no more than 1 g, are applied to the main areas of the face (</w:t>
            </w:r>
            <w:r w:rsidR="00F941D7">
              <w:t xml:space="preserve">that is </w:t>
            </w:r>
            <w:r w:rsidRPr="00721301">
              <w:t>forehead, chin, nose, each cheek) daily. The cream should be spread as a thin layer across the entire face, avoiding the eyes and lips.</w:t>
            </w:r>
          </w:p>
          <w:p w14:paraId="6AD89A5C" w14:textId="77777777" w:rsidR="00721301" w:rsidRPr="00721301" w:rsidRDefault="00356678" w:rsidP="00721301">
            <w:r>
              <w:t>Soolantra</w:t>
            </w:r>
            <w:r w:rsidR="00721301" w:rsidRPr="00721301">
              <w:t xml:space="preserve"> should be applied only to the face.</w:t>
            </w:r>
          </w:p>
          <w:p w14:paraId="6AD89A5D" w14:textId="77777777" w:rsidR="008E7846" w:rsidRPr="00721301" w:rsidRDefault="00721301" w:rsidP="00721301">
            <w:r w:rsidRPr="00721301">
              <w:t xml:space="preserve">Hands should be washed after applying </w:t>
            </w:r>
            <w:r w:rsidR="00356678">
              <w:t>Soolantra</w:t>
            </w:r>
            <w:r w:rsidRPr="00721301">
              <w:t>.</w:t>
            </w:r>
          </w:p>
          <w:p w14:paraId="6AD89A5E" w14:textId="77777777" w:rsidR="00721301" w:rsidRPr="00721301" w:rsidRDefault="00356678" w:rsidP="00721301">
            <w:r>
              <w:t>Soolantra</w:t>
            </w:r>
            <w:r w:rsidR="00721301" w:rsidRPr="00721301">
              <w:t xml:space="preserve"> is not for oral, ophthalmic, or intravaginal use.</w:t>
            </w:r>
          </w:p>
        </w:tc>
      </w:tr>
      <w:tr w:rsidR="008E7846" w:rsidRPr="00487162" w14:paraId="6AD89A62" w14:textId="77777777" w:rsidTr="00BF1190">
        <w:tc>
          <w:tcPr>
            <w:tcW w:w="2907" w:type="dxa"/>
          </w:tcPr>
          <w:p w14:paraId="6AD89A60" w14:textId="77777777" w:rsidR="008E7846" w:rsidRPr="00487162" w:rsidRDefault="008E7846" w:rsidP="001B5C90">
            <w:pPr>
              <w:rPr>
                <w:i/>
              </w:rPr>
            </w:pPr>
            <w:r w:rsidRPr="00487162">
              <w:rPr>
                <w:i/>
              </w:rPr>
              <w:t xml:space="preserve">ARTG </w:t>
            </w:r>
            <w:r w:rsidR="001B5C90">
              <w:rPr>
                <w:i/>
              </w:rPr>
              <w:t>n</w:t>
            </w:r>
            <w:r w:rsidR="006C1CA3">
              <w:rPr>
                <w:i/>
              </w:rPr>
              <w:t>umbers</w:t>
            </w:r>
            <w:r w:rsidR="001B5C90">
              <w:rPr>
                <w:i/>
              </w:rPr>
              <w:t>:</w:t>
            </w:r>
          </w:p>
        </w:tc>
        <w:tc>
          <w:tcPr>
            <w:tcW w:w="6307" w:type="dxa"/>
          </w:tcPr>
          <w:p w14:paraId="6AD89A61" w14:textId="77777777" w:rsidR="008E7846" w:rsidRPr="00487162" w:rsidRDefault="005F5FE5" w:rsidP="00E45619">
            <w:r>
              <w:t>227125, 227242</w:t>
            </w:r>
          </w:p>
        </w:tc>
      </w:tr>
    </w:tbl>
    <w:p w14:paraId="6AD89A63" w14:textId="77777777" w:rsidR="008E7846" w:rsidRDefault="008E7846" w:rsidP="008E7846">
      <w:pPr>
        <w:pStyle w:val="Heading3"/>
      </w:pPr>
      <w:bookmarkStart w:id="14" w:name="_Toc247691503"/>
      <w:bookmarkStart w:id="15" w:name="_Toc314842484"/>
      <w:bookmarkStart w:id="16" w:name="_Toc437418378"/>
      <w:r>
        <w:lastRenderedPageBreak/>
        <w:t>Product background</w:t>
      </w:r>
      <w:bookmarkEnd w:id="14"/>
      <w:bookmarkEnd w:id="15"/>
      <w:bookmarkEnd w:id="16"/>
    </w:p>
    <w:p w14:paraId="6AD89A64" w14:textId="77777777" w:rsidR="00947AAC" w:rsidRDefault="00940A89" w:rsidP="00947AAC">
      <w:r w:rsidRPr="00940A89">
        <w:t xml:space="preserve">This AusPAR describes the application by </w:t>
      </w:r>
      <w:proofErr w:type="spellStart"/>
      <w:r w:rsidR="005F5FE5">
        <w:t>Galderma</w:t>
      </w:r>
      <w:proofErr w:type="spellEnd"/>
      <w:r w:rsidR="005F5FE5">
        <w:t xml:space="preserve"> Australia Pty Ltd (</w:t>
      </w:r>
      <w:r w:rsidRPr="00940A89">
        <w:t>the sponsor</w:t>
      </w:r>
      <w:r w:rsidR="005F5FE5">
        <w:t>)</w:t>
      </w:r>
      <w:r w:rsidRPr="00940A89">
        <w:t xml:space="preserve"> to </w:t>
      </w:r>
      <w:r w:rsidR="00947AAC" w:rsidRPr="00947AAC">
        <w:t>register Soolantra</w:t>
      </w:r>
      <w:r w:rsidR="00F9355A">
        <w:t>,</w:t>
      </w:r>
      <w:r w:rsidR="00947AAC" w:rsidRPr="00947AAC">
        <w:t xml:space="preserve"> </w:t>
      </w:r>
      <w:r w:rsidR="00130761">
        <w:t xml:space="preserve">for an extension of indications, </w:t>
      </w:r>
      <w:r w:rsidR="006613F1">
        <w:t xml:space="preserve">a new </w:t>
      </w:r>
      <w:r w:rsidR="00130761">
        <w:t>dosage form</w:t>
      </w:r>
      <w:r w:rsidR="00947AAC" w:rsidRPr="00947AAC">
        <w:t xml:space="preserve"> and dosage strength of ivermectin (w/w; 10 mg/g or 1% in an oil-in-water cream emulsion)</w:t>
      </w:r>
      <w:r w:rsidR="00130761">
        <w:t>. The proposed indications are:</w:t>
      </w:r>
    </w:p>
    <w:p w14:paraId="6AD89A65" w14:textId="77777777" w:rsidR="008D6FB3" w:rsidRDefault="008D6FB3" w:rsidP="00947AAC">
      <w:pPr>
        <w:ind w:left="720"/>
      </w:pPr>
      <w:r w:rsidRPr="008D6FB3">
        <w:rPr>
          <w:i/>
        </w:rPr>
        <w:t xml:space="preserve">Soolantra / Vastreka </w:t>
      </w:r>
      <w:proofErr w:type="gramStart"/>
      <w:r w:rsidRPr="008D6FB3">
        <w:rPr>
          <w:i/>
        </w:rPr>
        <w:t>is</w:t>
      </w:r>
      <w:proofErr w:type="gramEnd"/>
      <w:r w:rsidRPr="008D6FB3">
        <w:rPr>
          <w:i/>
        </w:rPr>
        <w:t xml:space="preserve"> indicated for the topical treatment of inflammatory lesions of rosacea (</w:t>
      </w:r>
      <w:proofErr w:type="spellStart"/>
      <w:r w:rsidRPr="008D6FB3">
        <w:rPr>
          <w:i/>
        </w:rPr>
        <w:t>papulo</w:t>
      </w:r>
      <w:proofErr w:type="spellEnd"/>
      <w:r w:rsidRPr="008D6FB3">
        <w:rPr>
          <w:i/>
        </w:rPr>
        <w:t>-pustular) in adult patients 18 years and over.</w:t>
      </w:r>
    </w:p>
    <w:p w14:paraId="6AD89A66" w14:textId="77777777" w:rsidR="00947AAC" w:rsidRPr="00947AAC" w:rsidRDefault="008D6FB3" w:rsidP="00947AAC">
      <w:r w:rsidRPr="008D6FB3">
        <w:t xml:space="preserve">Ivermectin is a semi-synthetic drug derived from the Streptomyces </w:t>
      </w:r>
      <w:proofErr w:type="spellStart"/>
      <w:r w:rsidRPr="008D6FB3">
        <w:t>av</w:t>
      </w:r>
      <w:r w:rsidR="00947AAC">
        <w:t>ermitilis</w:t>
      </w:r>
      <w:proofErr w:type="spellEnd"/>
      <w:r w:rsidR="00947AAC">
        <w:t xml:space="preserve"> metabolite and </w:t>
      </w:r>
      <w:r w:rsidRPr="008D6FB3">
        <w:t xml:space="preserve">is active at low doses against a wide range of </w:t>
      </w:r>
      <w:proofErr w:type="spellStart"/>
      <w:r w:rsidRPr="008D6FB3">
        <w:t>helminths</w:t>
      </w:r>
      <w:proofErr w:type="spellEnd"/>
      <w:r w:rsidRPr="008D6FB3">
        <w:t xml:space="preserve"> and </w:t>
      </w:r>
      <w:proofErr w:type="spellStart"/>
      <w:r w:rsidRPr="008D6FB3">
        <w:t>ectoparasites</w:t>
      </w:r>
      <w:proofErr w:type="spellEnd"/>
      <w:r w:rsidRPr="008D6FB3">
        <w:t xml:space="preserve">. </w:t>
      </w:r>
      <w:r w:rsidR="00947AAC" w:rsidRPr="00947AAC">
        <w:t xml:space="preserve">Ivermectin is currently registered for human use in Australia by Merck, Sharpe and </w:t>
      </w:r>
      <w:proofErr w:type="spellStart"/>
      <w:r w:rsidR="00947AAC" w:rsidRPr="00947AAC">
        <w:t>Dohme</w:t>
      </w:r>
      <w:proofErr w:type="spellEnd"/>
      <w:r w:rsidR="00947AAC" w:rsidRPr="00947AAC">
        <w:t xml:space="preserve"> Australia Ltd (</w:t>
      </w:r>
      <w:proofErr w:type="spellStart"/>
      <w:r w:rsidR="00947AAC" w:rsidRPr="00947AAC">
        <w:t>Stromectol</w:t>
      </w:r>
      <w:proofErr w:type="spellEnd"/>
      <w:r w:rsidR="00947AAC" w:rsidRPr="00947AAC">
        <w:t xml:space="preserve"> 3mg tablets, AUST R 181338, for the treatment of onchocerciasis, intestinal </w:t>
      </w:r>
      <w:proofErr w:type="spellStart"/>
      <w:r w:rsidR="00947AAC" w:rsidRPr="00947AAC">
        <w:t>strongyloidiasis</w:t>
      </w:r>
      <w:proofErr w:type="spellEnd"/>
      <w:r w:rsidR="00947AAC" w:rsidRPr="00947AAC">
        <w:t xml:space="preserve"> (</w:t>
      </w:r>
      <w:proofErr w:type="spellStart"/>
      <w:r w:rsidR="00947AAC" w:rsidRPr="00947AAC">
        <w:t>anguillulosis</w:t>
      </w:r>
      <w:proofErr w:type="spellEnd"/>
      <w:r w:rsidR="00947AAC" w:rsidRPr="00947AAC">
        <w:t xml:space="preserve">), crusted scabies and human </w:t>
      </w:r>
      <w:proofErr w:type="spellStart"/>
      <w:r w:rsidR="00947AAC" w:rsidRPr="00947AAC">
        <w:t>sarcoptic</w:t>
      </w:r>
      <w:proofErr w:type="spellEnd"/>
      <w:r w:rsidR="00947AAC" w:rsidRPr="00947AAC">
        <w:t xml:space="preserve"> scabies).</w:t>
      </w:r>
    </w:p>
    <w:p w14:paraId="6AD89A67" w14:textId="796E108B" w:rsidR="006C1CA3" w:rsidRDefault="006C1CA3" w:rsidP="008D6FB3">
      <w:r>
        <w:t>The</w:t>
      </w:r>
      <w:r w:rsidR="008D6FB3" w:rsidRPr="008D6FB3">
        <w:t xml:space="preserve"> efficacy of ivermectin in human and animal </w:t>
      </w:r>
      <w:proofErr w:type="spellStart"/>
      <w:r w:rsidR="008D6FB3" w:rsidRPr="008D6FB3">
        <w:t>demodicidosis</w:t>
      </w:r>
      <w:proofErr w:type="spellEnd"/>
      <w:r w:rsidR="008D6FB3" w:rsidRPr="008D6FB3">
        <w:t xml:space="preserve"> (sensitivity to and overpopulation of </w:t>
      </w:r>
      <w:proofErr w:type="spellStart"/>
      <w:r w:rsidR="008D6FB3" w:rsidRPr="008D6FB3">
        <w:t>Demodex</w:t>
      </w:r>
      <w:proofErr w:type="spellEnd"/>
      <w:r w:rsidR="008D6FB3" w:rsidRPr="008D6FB3">
        <w:t xml:space="preserve"> </w:t>
      </w:r>
      <w:proofErr w:type="spellStart"/>
      <w:r w:rsidR="008D6FB3" w:rsidRPr="008D6FB3">
        <w:t>canis</w:t>
      </w:r>
      <w:proofErr w:type="spellEnd"/>
      <w:r w:rsidR="008D6FB3" w:rsidRPr="008D6FB3">
        <w:t>) and its anti-inflammatory properties suggested that ivermectin could also be effective in the treatment of inflammatory lesions of rosacea. This prompted the development of Soolantra.</w:t>
      </w:r>
    </w:p>
    <w:p w14:paraId="6AD89A68" w14:textId="77777777" w:rsidR="006C1CA3" w:rsidRDefault="008D6FB3" w:rsidP="008D6FB3">
      <w:r w:rsidRPr="008D6FB3">
        <w:t xml:space="preserve">Rosacea is a skin disorder that causes flushing, papules, pustules, and </w:t>
      </w:r>
      <w:proofErr w:type="spellStart"/>
      <w:r w:rsidRPr="008D6FB3">
        <w:t>telangiectasias</w:t>
      </w:r>
      <w:proofErr w:type="spellEnd"/>
      <w:r w:rsidRPr="008D6FB3">
        <w:t xml:space="preserve"> (small, dilated surface capillaries) on the convex surfaces of the face. It is a common,</w:t>
      </w:r>
      <w:r w:rsidR="006C1CA3">
        <w:t xml:space="preserve"> chronic dermatological disease</w:t>
      </w:r>
      <w:r w:rsidRPr="008D6FB3">
        <w:t>, with a prevalence reported of up to 10%. Onset typically occurs between 30 to 50 years of age, with women m</w:t>
      </w:r>
      <w:r w:rsidR="00893FB3">
        <w:t>ore commonly affected than men.</w:t>
      </w:r>
    </w:p>
    <w:p w14:paraId="6AD89A69" w14:textId="77777777" w:rsidR="008E7846" w:rsidRPr="003F31A2" w:rsidRDefault="00386150" w:rsidP="008E7846">
      <w:pPr>
        <w:pStyle w:val="Heading3"/>
      </w:pPr>
      <w:bookmarkStart w:id="17" w:name="_Toc314842485"/>
      <w:bookmarkStart w:id="18" w:name="_Toc437418379"/>
      <w:bookmarkStart w:id="19" w:name="_Toc247691504"/>
      <w:r>
        <w:t>Regulatory s</w:t>
      </w:r>
      <w:r w:rsidR="008E7846">
        <w:t>tatus</w:t>
      </w:r>
      <w:bookmarkEnd w:id="17"/>
      <w:bookmarkEnd w:id="18"/>
      <w:r w:rsidR="008E7846">
        <w:t xml:space="preserve"> </w:t>
      </w:r>
      <w:bookmarkEnd w:id="19"/>
    </w:p>
    <w:p w14:paraId="6AD89A6A" w14:textId="77777777" w:rsidR="006C1CA3" w:rsidRDefault="00902337" w:rsidP="00940A89">
      <w:bookmarkStart w:id="20" w:name="_Toc247691505"/>
      <w:bookmarkStart w:id="21" w:name="_Toc314842486"/>
      <w:r w:rsidRPr="00902337">
        <w:t>Ivermectin is currently registered for human use in Australia (</w:t>
      </w:r>
      <w:proofErr w:type="spellStart"/>
      <w:r w:rsidRPr="00902337">
        <w:t>Stromectol</w:t>
      </w:r>
      <w:proofErr w:type="spellEnd"/>
      <w:r w:rsidRPr="00902337">
        <w:t xml:space="preserve"> 3mg tablets</w:t>
      </w:r>
      <w:r w:rsidR="009D6CCA">
        <w:t>)</w:t>
      </w:r>
      <w:r w:rsidRPr="00902337">
        <w:t xml:space="preserve">, for the treatment of onchocerciasis, intestinal </w:t>
      </w:r>
      <w:proofErr w:type="spellStart"/>
      <w:r w:rsidRPr="00902337">
        <w:t>strongyloidiasis</w:t>
      </w:r>
      <w:proofErr w:type="spellEnd"/>
      <w:r w:rsidRPr="00902337">
        <w:t xml:space="preserve"> </w:t>
      </w:r>
      <w:r w:rsidR="00F941D7">
        <w:t>(</w:t>
      </w:r>
      <w:proofErr w:type="spellStart"/>
      <w:r w:rsidRPr="00902337">
        <w:t>anguillulosis</w:t>
      </w:r>
      <w:proofErr w:type="spellEnd"/>
      <w:r w:rsidR="00F941D7">
        <w:t>)</w:t>
      </w:r>
      <w:r w:rsidRPr="00902337">
        <w:t xml:space="preserve">, crusted scabies and human </w:t>
      </w:r>
      <w:proofErr w:type="spellStart"/>
      <w:r w:rsidRPr="00902337">
        <w:t>sarcoptic</w:t>
      </w:r>
      <w:proofErr w:type="spellEnd"/>
      <w:r w:rsidRPr="00902337">
        <w:t xml:space="preserve"> scabies).</w:t>
      </w:r>
    </w:p>
    <w:p w14:paraId="6AD89A6B" w14:textId="77777777" w:rsidR="00940A89" w:rsidRPr="00940A89" w:rsidRDefault="00893FB3" w:rsidP="00940A89">
      <w:r>
        <w:t>Soolantra/ Vastreka</w:t>
      </w:r>
      <w:r w:rsidR="00940A89" w:rsidRPr="00940A89">
        <w:t xml:space="preserve"> received registration on the Australian Register</w:t>
      </w:r>
      <w:r w:rsidR="008D6FB3">
        <w:t xml:space="preserve"> of Therapeutic Goods (ARTG) on 14 September 2015.</w:t>
      </w:r>
    </w:p>
    <w:p w14:paraId="6AD89A6C" w14:textId="4A280ABA" w:rsidR="00940A89" w:rsidRDefault="00940A89" w:rsidP="00940A89">
      <w:r w:rsidRPr="00940A89">
        <w:t xml:space="preserve">At the time the TGA considered this </w:t>
      </w:r>
      <w:proofErr w:type="gramStart"/>
      <w:r w:rsidR="00026D9A">
        <w:t>application,</w:t>
      </w:r>
      <w:proofErr w:type="gramEnd"/>
      <w:r w:rsidRPr="00940A89">
        <w:t xml:space="preserve"> a similar application had been approved</w:t>
      </w:r>
      <w:r w:rsidR="00947AAC">
        <w:t xml:space="preserve"> or </w:t>
      </w:r>
      <w:r w:rsidRPr="00940A89">
        <w:t>was under co</w:t>
      </w:r>
      <w:r w:rsidR="009D71DA">
        <w:t xml:space="preserve">nsideration in </w:t>
      </w:r>
      <w:r w:rsidR="00947AAC">
        <w:t xml:space="preserve">other </w:t>
      </w:r>
      <w:r w:rsidR="00D154E5">
        <w:t>jurisdictions as</w:t>
      </w:r>
      <w:r w:rsidR="009D71DA">
        <w:t xml:space="preserve"> shown in Table 1</w:t>
      </w:r>
    </w:p>
    <w:p w14:paraId="6AD89A6D" w14:textId="77777777" w:rsidR="008D6FB3" w:rsidRDefault="009D71DA" w:rsidP="009D71DA">
      <w:pPr>
        <w:pStyle w:val="TableTitle"/>
      </w:pPr>
      <w:proofErr w:type="gramStart"/>
      <w:r>
        <w:t>Table 1.</w:t>
      </w:r>
      <w:proofErr w:type="gramEnd"/>
      <w:r>
        <w:t xml:space="preserve"> </w:t>
      </w:r>
      <w:proofErr w:type="gramStart"/>
      <w:r>
        <w:t>Overseas regulatory status.</w:t>
      </w:r>
      <w:proofErr w:type="gramEnd"/>
    </w:p>
    <w:tbl>
      <w:tblPr>
        <w:tblStyle w:val="TableTGAblue"/>
        <w:tblW w:w="0" w:type="auto"/>
        <w:tblLook w:val="04A0" w:firstRow="1" w:lastRow="0" w:firstColumn="1" w:lastColumn="0" w:noHBand="0" w:noVBand="1"/>
        <w:tblDescription w:val="Table 1. Overseas regulatory status."/>
      </w:tblPr>
      <w:tblGrid>
        <w:gridCol w:w="2186"/>
        <w:gridCol w:w="2178"/>
        <w:gridCol w:w="2177"/>
        <w:gridCol w:w="2179"/>
      </w:tblGrid>
      <w:tr w:rsidR="005B4405" w:rsidRPr="001672EC" w14:paraId="6AD89A72" w14:textId="77777777" w:rsidTr="005B4405">
        <w:trPr>
          <w:cnfStyle w:val="100000000000" w:firstRow="1" w:lastRow="0" w:firstColumn="0" w:lastColumn="0" w:oddVBand="0" w:evenVBand="0" w:oddHBand="0" w:evenHBand="0" w:firstRowFirstColumn="0" w:firstRowLastColumn="0" w:lastRowFirstColumn="0" w:lastRowLastColumn="0"/>
        </w:trPr>
        <w:tc>
          <w:tcPr>
            <w:tcW w:w="2186" w:type="dxa"/>
          </w:tcPr>
          <w:p w14:paraId="6AD89A6E" w14:textId="77777777" w:rsidR="008D6FB3" w:rsidRPr="007E252E" w:rsidRDefault="008D6FB3" w:rsidP="00D154E5">
            <w:pPr>
              <w:keepNext w:val="0"/>
              <w:ind w:left="0" w:right="0"/>
              <w:rPr>
                <w:rFonts w:asciiTheme="minorHAnsi" w:hAnsiTheme="minorHAnsi"/>
                <w:sz w:val="20"/>
                <w:szCs w:val="20"/>
              </w:rPr>
            </w:pPr>
            <w:r w:rsidRPr="007E252E">
              <w:rPr>
                <w:rFonts w:asciiTheme="minorHAnsi" w:hAnsiTheme="minorHAnsi"/>
                <w:sz w:val="20"/>
                <w:szCs w:val="20"/>
              </w:rPr>
              <w:t>Country/Region</w:t>
            </w:r>
          </w:p>
        </w:tc>
        <w:tc>
          <w:tcPr>
            <w:tcW w:w="2178" w:type="dxa"/>
          </w:tcPr>
          <w:p w14:paraId="6AD89A6F" w14:textId="77777777" w:rsidR="008D6FB3" w:rsidRPr="00BF3A4E" w:rsidRDefault="008D6FB3" w:rsidP="00D154E5">
            <w:pPr>
              <w:keepNext w:val="0"/>
              <w:ind w:left="0" w:right="0"/>
              <w:rPr>
                <w:rFonts w:asciiTheme="minorHAnsi" w:hAnsiTheme="minorHAnsi"/>
                <w:sz w:val="20"/>
                <w:szCs w:val="20"/>
              </w:rPr>
            </w:pPr>
            <w:r w:rsidRPr="007E252E">
              <w:rPr>
                <w:rFonts w:asciiTheme="minorHAnsi" w:hAnsiTheme="minorHAnsi"/>
                <w:sz w:val="20"/>
                <w:szCs w:val="20"/>
              </w:rPr>
              <w:t>Date submitted or intend to submit</w:t>
            </w:r>
          </w:p>
        </w:tc>
        <w:tc>
          <w:tcPr>
            <w:tcW w:w="2177" w:type="dxa"/>
          </w:tcPr>
          <w:p w14:paraId="6AD89A70" w14:textId="77777777" w:rsidR="008D6FB3" w:rsidRPr="00BF3A4E" w:rsidRDefault="008D6FB3" w:rsidP="00205E7F">
            <w:pPr>
              <w:keepNext w:val="0"/>
              <w:ind w:left="0" w:right="0"/>
              <w:rPr>
                <w:rFonts w:asciiTheme="minorHAnsi" w:hAnsiTheme="minorHAnsi"/>
                <w:sz w:val="20"/>
                <w:szCs w:val="20"/>
              </w:rPr>
            </w:pPr>
            <w:r w:rsidRPr="007E252E">
              <w:rPr>
                <w:rFonts w:asciiTheme="minorHAnsi" w:hAnsiTheme="minorHAnsi"/>
                <w:sz w:val="20"/>
                <w:szCs w:val="20"/>
              </w:rPr>
              <w:t>Approval date</w:t>
            </w:r>
          </w:p>
        </w:tc>
        <w:tc>
          <w:tcPr>
            <w:tcW w:w="2179" w:type="dxa"/>
          </w:tcPr>
          <w:p w14:paraId="6AD89A71" w14:textId="77777777" w:rsidR="008D6FB3" w:rsidRPr="00BF3A4E" w:rsidRDefault="008D6FB3">
            <w:pPr>
              <w:keepNext w:val="0"/>
              <w:ind w:left="0" w:right="0"/>
              <w:rPr>
                <w:rFonts w:asciiTheme="minorHAnsi" w:hAnsiTheme="minorHAnsi"/>
                <w:sz w:val="20"/>
                <w:szCs w:val="20"/>
              </w:rPr>
            </w:pPr>
            <w:r w:rsidRPr="00BF3A4E">
              <w:rPr>
                <w:rFonts w:asciiTheme="minorHAnsi" w:hAnsiTheme="minorHAnsi"/>
                <w:sz w:val="20"/>
                <w:szCs w:val="20"/>
              </w:rPr>
              <w:t>Proposed indication</w:t>
            </w:r>
          </w:p>
        </w:tc>
      </w:tr>
      <w:tr w:rsidR="005B4405" w:rsidRPr="001672EC" w14:paraId="6AD89A77" w14:textId="77777777" w:rsidTr="005B4405">
        <w:tc>
          <w:tcPr>
            <w:tcW w:w="2186" w:type="dxa"/>
          </w:tcPr>
          <w:p w14:paraId="6AD89A73" w14:textId="77777777" w:rsidR="008D6FB3" w:rsidRPr="00BF3A4E" w:rsidRDefault="008D6FB3" w:rsidP="00BF3A4E">
            <w:pPr>
              <w:rPr>
                <w:rFonts w:asciiTheme="minorHAnsi" w:hAnsiTheme="minorHAnsi"/>
                <w:sz w:val="20"/>
                <w:szCs w:val="20"/>
              </w:rPr>
            </w:pPr>
            <w:r w:rsidRPr="00BF3A4E">
              <w:rPr>
                <w:rFonts w:asciiTheme="minorHAnsi" w:hAnsiTheme="minorHAnsi"/>
                <w:sz w:val="20"/>
                <w:szCs w:val="20"/>
              </w:rPr>
              <w:t>United States of America</w:t>
            </w:r>
          </w:p>
        </w:tc>
        <w:tc>
          <w:tcPr>
            <w:tcW w:w="2178" w:type="dxa"/>
          </w:tcPr>
          <w:p w14:paraId="6AD89A74" w14:textId="77777777" w:rsidR="008D6FB3" w:rsidRPr="00BF3A4E" w:rsidRDefault="008D6FB3" w:rsidP="00BF3A4E">
            <w:pPr>
              <w:rPr>
                <w:rFonts w:asciiTheme="minorHAnsi" w:hAnsiTheme="minorHAnsi"/>
                <w:sz w:val="20"/>
                <w:szCs w:val="20"/>
              </w:rPr>
            </w:pPr>
            <w:r w:rsidRPr="00BF3A4E">
              <w:rPr>
                <w:rFonts w:asciiTheme="minorHAnsi" w:hAnsiTheme="minorHAnsi"/>
                <w:sz w:val="20"/>
                <w:szCs w:val="20"/>
              </w:rPr>
              <w:t>20 December 2013</w:t>
            </w:r>
          </w:p>
        </w:tc>
        <w:tc>
          <w:tcPr>
            <w:tcW w:w="2177" w:type="dxa"/>
          </w:tcPr>
          <w:p w14:paraId="6AD89A75" w14:textId="77777777" w:rsidR="008D6FB3" w:rsidRPr="00BF3A4E" w:rsidRDefault="008D6FB3" w:rsidP="00BF3A4E">
            <w:pPr>
              <w:rPr>
                <w:rFonts w:asciiTheme="minorHAnsi" w:hAnsiTheme="minorHAnsi"/>
                <w:sz w:val="20"/>
                <w:szCs w:val="20"/>
              </w:rPr>
            </w:pPr>
            <w:r w:rsidRPr="00BF3A4E">
              <w:rPr>
                <w:rFonts w:asciiTheme="minorHAnsi" w:hAnsiTheme="minorHAnsi"/>
                <w:sz w:val="20"/>
                <w:szCs w:val="20"/>
              </w:rPr>
              <w:t>19 December 2014</w:t>
            </w:r>
          </w:p>
        </w:tc>
        <w:tc>
          <w:tcPr>
            <w:tcW w:w="2179" w:type="dxa"/>
          </w:tcPr>
          <w:p w14:paraId="6AD89A76" w14:textId="77777777" w:rsidR="008D6FB3" w:rsidRPr="00BF3A4E" w:rsidRDefault="00356678" w:rsidP="00BF3A4E">
            <w:pPr>
              <w:rPr>
                <w:rFonts w:asciiTheme="minorHAnsi" w:hAnsiTheme="minorHAnsi"/>
                <w:sz w:val="20"/>
                <w:szCs w:val="20"/>
              </w:rPr>
            </w:pPr>
            <w:r w:rsidRPr="00BF3A4E">
              <w:rPr>
                <w:rFonts w:asciiTheme="minorHAnsi" w:hAnsiTheme="minorHAnsi"/>
                <w:sz w:val="20"/>
                <w:szCs w:val="20"/>
              </w:rPr>
              <w:t>Soolantra</w:t>
            </w:r>
            <w:r w:rsidR="008D6FB3" w:rsidRPr="00BF3A4E">
              <w:rPr>
                <w:rFonts w:asciiTheme="minorHAnsi" w:hAnsiTheme="minorHAnsi"/>
                <w:sz w:val="20"/>
                <w:szCs w:val="20"/>
              </w:rPr>
              <w:t xml:space="preserve"> cream is indicated for the topical treatment of inflammatory lesions of rosacea.</w:t>
            </w:r>
          </w:p>
        </w:tc>
      </w:tr>
      <w:tr w:rsidR="005B4405" w:rsidRPr="001672EC" w14:paraId="6AD89A7C" w14:textId="77777777" w:rsidTr="005B4405">
        <w:tc>
          <w:tcPr>
            <w:tcW w:w="2186" w:type="dxa"/>
          </w:tcPr>
          <w:p w14:paraId="6AD89A78"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Europe (De-centralised procedure)</w:t>
            </w:r>
          </w:p>
        </w:tc>
        <w:tc>
          <w:tcPr>
            <w:tcW w:w="2178" w:type="dxa"/>
          </w:tcPr>
          <w:p w14:paraId="6AD89A79" w14:textId="77777777" w:rsidR="005B4405" w:rsidRPr="00BF3A4E" w:rsidRDefault="005B4405" w:rsidP="00BF3A4E">
            <w:pPr>
              <w:rPr>
                <w:rFonts w:asciiTheme="minorHAnsi" w:hAnsiTheme="minorHAnsi"/>
                <w:sz w:val="20"/>
                <w:szCs w:val="20"/>
              </w:rPr>
            </w:pPr>
          </w:p>
        </w:tc>
        <w:tc>
          <w:tcPr>
            <w:tcW w:w="2177" w:type="dxa"/>
          </w:tcPr>
          <w:p w14:paraId="6AD89A7A"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22 March 2015</w:t>
            </w:r>
          </w:p>
        </w:tc>
        <w:tc>
          <w:tcPr>
            <w:tcW w:w="2179" w:type="dxa"/>
            <w:vMerge w:val="restart"/>
          </w:tcPr>
          <w:p w14:paraId="6AD89A7B"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Soolantra is indicated for the topical treatment of inflammatory lesions of rosacea (</w:t>
            </w:r>
            <w:proofErr w:type="spellStart"/>
            <w:r w:rsidR="00F475F1" w:rsidRPr="00BF3A4E">
              <w:rPr>
                <w:rFonts w:asciiTheme="minorHAnsi" w:hAnsiTheme="minorHAnsi"/>
                <w:sz w:val="20"/>
                <w:szCs w:val="20"/>
              </w:rPr>
              <w:t>papulo</w:t>
            </w:r>
            <w:proofErr w:type="spellEnd"/>
            <w:r w:rsidR="00F475F1" w:rsidRPr="00BF3A4E">
              <w:rPr>
                <w:rFonts w:asciiTheme="minorHAnsi" w:hAnsiTheme="minorHAnsi"/>
                <w:sz w:val="20"/>
                <w:szCs w:val="20"/>
              </w:rPr>
              <w:t>-pustular</w:t>
            </w:r>
            <w:r w:rsidRPr="00BF3A4E">
              <w:rPr>
                <w:rFonts w:asciiTheme="minorHAnsi" w:hAnsiTheme="minorHAnsi"/>
                <w:sz w:val="20"/>
                <w:szCs w:val="20"/>
              </w:rPr>
              <w:t>) in adult patients.</w:t>
            </w:r>
          </w:p>
        </w:tc>
      </w:tr>
      <w:tr w:rsidR="005B4405" w:rsidRPr="001672EC" w14:paraId="6AD89A81" w14:textId="77777777" w:rsidTr="005B4405">
        <w:tc>
          <w:tcPr>
            <w:tcW w:w="2186" w:type="dxa"/>
          </w:tcPr>
          <w:p w14:paraId="6AD89A7D"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Austria, Estonia, Germany, Malta and Spain</w:t>
            </w:r>
          </w:p>
        </w:tc>
        <w:tc>
          <w:tcPr>
            <w:tcW w:w="2178" w:type="dxa"/>
          </w:tcPr>
          <w:p w14:paraId="6AD89A7E"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8 April 2014</w:t>
            </w:r>
          </w:p>
        </w:tc>
        <w:tc>
          <w:tcPr>
            <w:tcW w:w="2177" w:type="dxa"/>
          </w:tcPr>
          <w:p w14:paraId="2B0EF17C" w14:textId="77777777" w:rsidR="00445ED5" w:rsidRPr="00BF3A4E" w:rsidRDefault="00445ED5">
            <w:pPr>
              <w:ind w:left="0" w:right="0"/>
              <w:rPr>
                <w:rFonts w:asciiTheme="minorHAnsi" w:hAnsiTheme="minorHAnsi"/>
                <w:sz w:val="20"/>
                <w:szCs w:val="20"/>
                <w:lang w:val="fr-FR"/>
              </w:rPr>
            </w:pPr>
            <w:r w:rsidRPr="00BF3A4E">
              <w:rPr>
                <w:rFonts w:asciiTheme="minorHAnsi" w:hAnsiTheme="minorHAnsi"/>
                <w:sz w:val="20"/>
                <w:szCs w:val="20"/>
                <w:lang w:val="fr-FR"/>
              </w:rPr>
              <w:t xml:space="preserve">AT: 02 </w:t>
            </w:r>
            <w:proofErr w:type="spellStart"/>
            <w:r w:rsidRPr="00BF3A4E">
              <w:rPr>
                <w:rFonts w:asciiTheme="minorHAnsi" w:hAnsiTheme="minorHAnsi"/>
                <w:sz w:val="20"/>
                <w:szCs w:val="20"/>
                <w:lang w:val="fr-FR"/>
              </w:rPr>
              <w:t>June</w:t>
            </w:r>
            <w:proofErr w:type="spellEnd"/>
            <w:r w:rsidRPr="00BF3A4E">
              <w:rPr>
                <w:rFonts w:asciiTheme="minorHAnsi" w:hAnsiTheme="minorHAnsi"/>
                <w:sz w:val="20"/>
                <w:szCs w:val="20"/>
                <w:lang w:val="fr-FR"/>
              </w:rPr>
              <w:t xml:space="preserve"> 2015</w:t>
            </w:r>
          </w:p>
          <w:p w14:paraId="3C186840" w14:textId="77777777" w:rsidR="00445ED5" w:rsidRPr="00BF3A4E" w:rsidRDefault="00445ED5">
            <w:pPr>
              <w:ind w:left="0" w:right="0"/>
              <w:rPr>
                <w:rFonts w:asciiTheme="minorHAnsi" w:hAnsiTheme="minorHAnsi"/>
                <w:sz w:val="20"/>
                <w:szCs w:val="20"/>
                <w:lang w:val="fr-FR"/>
              </w:rPr>
            </w:pPr>
            <w:r w:rsidRPr="00BF3A4E">
              <w:rPr>
                <w:rFonts w:asciiTheme="minorHAnsi" w:hAnsiTheme="minorHAnsi"/>
                <w:sz w:val="20"/>
                <w:szCs w:val="20"/>
                <w:lang w:val="fr-FR"/>
              </w:rPr>
              <w:t xml:space="preserve">ET: 08 </w:t>
            </w:r>
            <w:proofErr w:type="spellStart"/>
            <w:r w:rsidRPr="00BF3A4E">
              <w:rPr>
                <w:rFonts w:asciiTheme="minorHAnsi" w:hAnsiTheme="minorHAnsi"/>
                <w:sz w:val="20"/>
                <w:szCs w:val="20"/>
                <w:lang w:val="fr-FR"/>
              </w:rPr>
              <w:t>June</w:t>
            </w:r>
            <w:proofErr w:type="spellEnd"/>
            <w:r w:rsidRPr="00BF3A4E">
              <w:rPr>
                <w:rFonts w:asciiTheme="minorHAnsi" w:hAnsiTheme="minorHAnsi"/>
                <w:sz w:val="20"/>
                <w:szCs w:val="20"/>
                <w:lang w:val="fr-FR"/>
              </w:rPr>
              <w:t xml:space="preserve"> 2015</w:t>
            </w:r>
          </w:p>
          <w:p w14:paraId="0BB93F0B" w14:textId="77777777" w:rsidR="00445ED5" w:rsidRPr="00BF3A4E" w:rsidRDefault="00445ED5">
            <w:pPr>
              <w:ind w:left="0" w:right="0"/>
              <w:rPr>
                <w:rFonts w:asciiTheme="minorHAnsi" w:hAnsiTheme="minorHAnsi"/>
                <w:sz w:val="20"/>
                <w:szCs w:val="20"/>
                <w:lang w:val="fr-FR"/>
              </w:rPr>
            </w:pPr>
            <w:r w:rsidRPr="00BF3A4E">
              <w:rPr>
                <w:rFonts w:asciiTheme="minorHAnsi" w:hAnsiTheme="minorHAnsi"/>
                <w:sz w:val="20"/>
                <w:szCs w:val="20"/>
                <w:lang w:val="fr-FR"/>
              </w:rPr>
              <w:t>DE: 29 April 15</w:t>
            </w:r>
          </w:p>
          <w:p w14:paraId="0AD3F05F" w14:textId="77777777" w:rsidR="00445ED5" w:rsidRPr="00BF3A4E" w:rsidRDefault="00445ED5">
            <w:pPr>
              <w:ind w:left="0" w:right="0"/>
              <w:rPr>
                <w:rFonts w:asciiTheme="minorHAnsi" w:hAnsiTheme="minorHAnsi"/>
                <w:sz w:val="20"/>
                <w:szCs w:val="20"/>
                <w:lang w:val="fr-FR"/>
              </w:rPr>
            </w:pPr>
            <w:r w:rsidRPr="00BF3A4E">
              <w:rPr>
                <w:rFonts w:asciiTheme="minorHAnsi" w:hAnsiTheme="minorHAnsi"/>
                <w:sz w:val="20"/>
                <w:szCs w:val="20"/>
                <w:lang w:val="fr-FR"/>
              </w:rPr>
              <w:t>Malta: 02 April 2015</w:t>
            </w:r>
          </w:p>
          <w:p w14:paraId="6AD89A7F" w14:textId="776073C5" w:rsidR="005B4405" w:rsidRPr="00BF3A4E" w:rsidRDefault="00445ED5" w:rsidP="001672EC">
            <w:pPr>
              <w:ind w:left="0" w:right="0"/>
              <w:rPr>
                <w:rFonts w:asciiTheme="minorHAnsi" w:hAnsiTheme="minorHAnsi"/>
                <w:sz w:val="20"/>
                <w:szCs w:val="20"/>
                <w:lang w:val="fr-FR"/>
              </w:rPr>
            </w:pPr>
            <w:r w:rsidRPr="00BF3A4E">
              <w:rPr>
                <w:rFonts w:asciiTheme="minorHAnsi" w:hAnsiTheme="minorHAnsi"/>
                <w:sz w:val="20"/>
                <w:szCs w:val="20"/>
                <w:lang w:val="fr-FR"/>
              </w:rPr>
              <w:lastRenderedPageBreak/>
              <w:t xml:space="preserve">ES : 02 </w:t>
            </w:r>
            <w:proofErr w:type="spellStart"/>
            <w:r w:rsidRPr="00BF3A4E">
              <w:rPr>
                <w:rFonts w:asciiTheme="minorHAnsi" w:hAnsiTheme="minorHAnsi"/>
                <w:sz w:val="20"/>
                <w:szCs w:val="20"/>
                <w:lang w:val="fr-FR"/>
              </w:rPr>
              <w:t>June</w:t>
            </w:r>
            <w:proofErr w:type="spellEnd"/>
            <w:r w:rsidRPr="00BF3A4E">
              <w:rPr>
                <w:rFonts w:asciiTheme="minorHAnsi" w:hAnsiTheme="minorHAnsi"/>
                <w:sz w:val="20"/>
                <w:szCs w:val="20"/>
                <w:lang w:val="fr-FR"/>
              </w:rPr>
              <w:t xml:space="preserve"> 201</w:t>
            </w:r>
            <w:r w:rsidR="001672EC">
              <w:rPr>
                <w:rFonts w:asciiTheme="minorHAnsi" w:hAnsiTheme="minorHAnsi"/>
                <w:sz w:val="20"/>
                <w:szCs w:val="20"/>
                <w:lang w:val="fr-FR"/>
              </w:rPr>
              <w:t>5</w:t>
            </w:r>
          </w:p>
        </w:tc>
        <w:tc>
          <w:tcPr>
            <w:tcW w:w="2179" w:type="dxa"/>
            <w:vMerge/>
          </w:tcPr>
          <w:p w14:paraId="6AD89A80" w14:textId="77777777" w:rsidR="005B4405" w:rsidRPr="00BF3A4E" w:rsidRDefault="005B4405">
            <w:pPr>
              <w:ind w:left="0" w:right="0"/>
              <w:rPr>
                <w:rFonts w:asciiTheme="minorHAnsi" w:hAnsiTheme="minorHAnsi"/>
                <w:sz w:val="20"/>
                <w:szCs w:val="20"/>
                <w:lang w:val="fr-FR"/>
              </w:rPr>
            </w:pPr>
          </w:p>
        </w:tc>
      </w:tr>
      <w:tr w:rsidR="005B4405" w:rsidRPr="001672EC" w14:paraId="6AD89A86" w14:textId="77777777" w:rsidTr="005B4405">
        <w:tc>
          <w:tcPr>
            <w:tcW w:w="2186" w:type="dxa"/>
          </w:tcPr>
          <w:p w14:paraId="6AD89A82" w14:textId="0591A207" w:rsidR="005B4405" w:rsidRPr="00BF3A4E" w:rsidRDefault="005B4405" w:rsidP="00BF3A4E">
            <w:pPr>
              <w:rPr>
                <w:rFonts w:asciiTheme="minorHAnsi" w:hAnsiTheme="minorHAnsi"/>
                <w:sz w:val="20"/>
                <w:szCs w:val="20"/>
              </w:rPr>
            </w:pPr>
            <w:r w:rsidRPr="00BF3A4E">
              <w:rPr>
                <w:rFonts w:asciiTheme="minorHAnsi" w:hAnsiTheme="minorHAnsi"/>
                <w:sz w:val="20"/>
                <w:szCs w:val="20"/>
              </w:rPr>
              <w:lastRenderedPageBreak/>
              <w:t>Belgium, Bulgaria, Czech Republic, Denmark, Finland, France, Hungary, Ireland, Latvia, Luxembourg, Lithuania, Poland, Portugal, Romania, Slovakia and United Kingdom</w:t>
            </w:r>
          </w:p>
        </w:tc>
        <w:tc>
          <w:tcPr>
            <w:tcW w:w="2178" w:type="dxa"/>
          </w:tcPr>
          <w:p w14:paraId="6AD89A83"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9 April 2014</w:t>
            </w:r>
          </w:p>
        </w:tc>
        <w:tc>
          <w:tcPr>
            <w:tcW w:w="2177" w:type="dxa"/>
          </w:tcPr>
          <w:p w14:paraId="0D94B76F"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BE: 03 April 2015</w:t>
            </w:r>
          </w:p>
          <w:p w14:paraId="14695889" w14:textId="4B392EE5"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BG : 10 June 2015</w:t>
            </w:r>
          </w:p>
          <w:p w14:paraId="6BC8E3CD" w14:textId="348A5821"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CZ : 13 May 2015</w:t>
            </w:r>
          </w:p>
          <w:p w14:paraId="3A63C8C6" w14:textId="1C865C20"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DK : 22 April 2015</w:t>
            </w:r>
          </w:p>
          <w:p w14:paraId="69890121"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FI: 26 June 2015</w:t>
            </w:r>
          </w:p>
          <w:p w14:paraId="5A9D6A70"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FR: 21 July 2015</w:t>
            </w:r>
          </w:p>
          <w:p w14:paraId="512F39A8"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HU: 14 April 2015</w:t>
            </w:r>
          </w:p>
          <w:p w14:paraId="42300779" w14:textId="79C0AE61"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IE: 24 April 2015</w:t>
            </w:r>
          </w:p>
          <w:p w14:paraId="6FEEB77F"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LV: 13 July 2015</w:t>
            </w:r>
          </w:p>
          <w:p w14:paraId="34027182"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LU: 01 July 2015</w:t>
            </w:r>
          </w:p>
          <w:p w14:paraId="323A5514"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LT: 13 may 2015</w:t>
            </w:r>
          </w:p>
          <w:p w14:paraId="315DA01C"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PL: 23 July 2015</w:t>
            </w:r>
          </w:p>
          <w:p w14:paraId="361740E4" w14:textId="57D5AB7B"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PT: 08 April 2015</w:t>
            </w:r>
          </w:p>
          <w:p w14:paraId="3B2082F2" w14:textId="4BA9DBD1"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RO: 26 May 2015</w:t>
            </w:r>
          </w:p>
          <w:p w14:paraId="4E62BCDD" w14:textId="77777777" w:rsidR="00445ED5" w:rsidRPr="00BF3A4E" w:rsidRDefault="00445ED5">
            <w:pPr>
              <w:ind w:left="0" w:right="0"/>
              <w:rPr>
                <w:rFonts w:asciiTheme="minorHAnsi" w:hAnsiTheme="minorHAnsi"/>
                <w:sz w:val="20"/>
                <w:szCs w:val="20"/>
                <w:lang w:val="en-US"/>
              </w:rPr>
            </w:pPr>
            <w:r w:rsidRPr="00BF3A4E">
              <w:rPr>
                <w:rFonts w:asciiTheme="minorHAnsi" w:hAnsiTheme="minorHAnsi"/>
                <w:sz w:val="20"/>
                <w:szCs w:val="20"/>
                <w:lang w:val="en-US"/>
              </w:rPr>
              <w:t xml:space="preserve">SK: 11 </w:t>
            </w:r>
            <w:proofErr w:type="spellStart"/>
            <w:r w:rsidRPr="00BF3A4E">
              <w:rPr>
                <w:rFonts w:asciiTheme="minorHAnsi" w:hAnsiTheme="minorHAnsi"/>
                <w:sz w:val="20"/>
                <w:szCs w:val="20"/>
                <w:lang w:val="en-US"/>
              </w:rPr>
              <w:t>june</w:t>
            </w:r>
            <w:proofErr w:type="spellEnd"/>
            <w:r w:rsidRPr="00BF3A4E">
              <w:rPr>
                <w:rFonts w:asciiTheme="minorHAnsi" w:hAnsiTheme="minorHAnsi"/>
                <w:sz w:val="20"/>
                <w:szCs w:val="20"/>
                <w:lang w:val="en-US"/>
              </w:rPr>
              <w:t xml:space="preserve"> 2015</w:t>
            </w:r>
          </w:p>
          <w:p w14:paraId="6AD89A84" w14:textId="4A46340B" w:rsidR="005B4405" w:rsidRPr="00BF3A4E" w:rsidRDefault="00445ED5">
            <w:pPr>
              <w:ind w:left="0" w:right="0"/>
              <w:rPr>
                <w:rFonts w:asciiTheme="minorHAnsi" w:hAnsiTheme="minorHAnsi"/>
                <w:sz w:val="20"/>
                <w:szCs w:val="20"/>
              </w:rPr>
            </w:pPr>
            <w:r w:rsidRPr="00BF3A4E">
              <w:rPr>
                <w:rFonts w:asciiTheme="minorHAnsi" w:hAnsiTheme="minorHAnsi"/>
                <w:sz w:val="20"/>
                <w:szCs w:val="20"/>
                <w:lang w:val="en-US"/>
              </w:rPr>
              <w:t>UK: 17 April 2015</w:t>
            </w:r>
          </w:p>
        </w:tc>
        <w:tc>
          <w:tcPr>
            <w:tcW w:w="2179" w:type="dxa"/>
            <w:vMerge/>
          </w:tcPr>
          <w:p w14:paraId="6AD89A85" w14:textId="77777777" w:rsidR="005B4405" w:rsidRPr="00BF3A4E" w:rsidRDefault="005B4405">
            <w:pPr>
              <w:ind w:left="0" w:right="0"/>
              <w:rPr>
                <w:rFonts w:asciiTheme="minorHAnsi" w:hAnsiTheme="minorHAnsi"/>
                <w:sz w:val="20"/>
                <w:szCs w:val="20"/>
              </w:rPr>
            </w:pPr>
          </w:p>
        </w:tc>
      </w:tr>
      <w:tr w:rsidR="005B4405" w:rsidRPr="001672EC" w14:paraId="6AD89A8B" w14:textId="77777777" w:rsidTr="005B4405">
        <w:tc>
          <w:tcPr>
            <w:tcW w:w="2186" w:type="dxa"/>
          </w:tcPr>
          <w:p w14:paraId="6AD89A87" w14:textId="012B79B5" w:rsidR="005B4405" w:rsidRPr="00BF3A4E" w:rsidRDefault="005B4405" w:rsidP="00BF3A4E">
            <w:pPr>
              <w:rPr>
                <w:rFonts w:asciiTheme="minorHAnsi" w:hAnsiTheme="minorHAnsi"/>
                <w:sz w:val="20"/>
                <w:szCs w:val="20"/>
              </w:rPr>
            </w:pPr>
            <w:r w:rsidRPr="00BF3A4E">
              <w:rPr>
                <w:rFonts w:asciiTheme="minorHAnsi" w:hAnsiTheme="minorHAnsi"/>
                <w:sz w:val="20"/>
                <w:szCs w:val="20"/>
              </w:rPr>
              <w:t>Cyprus, Greece, Iceland, Italy, The Netherlands, Norway and Sweden</w:t>
            </w:r>
          </w:p>
        </w:tc>
        <w:tc>
          <w:tcPr>
            <w:tcW w:w="2178" w:type="dxa"/>
          </w:tcPr>
          <w:p w14:paraId="6AD89A88"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10 April 2014</w:t>
            </w:r>
          </w:p>
        </w:tc>
        <w:tc>
          <w:tcPr>
            <w:tcW w:w="2177" w:type="dxa"/>
          </w:tcPr>
          <w:p w14:paraId="0B7E6654" w14:textId="77777777" w:rsidR="00DA11F1" w:rsidRPr="00BF3A4E" w:rsidRDefault="00DA11F1" w:rsidP="00BF3A4E">
            <w:pPr>
              <w:rPr>
                <w:rFonts w:asciiTheme="minorHAnsi" w:hAnsiTheme="minorHAnsi"/>
                <w:sz w:val="20"/>
                <w:szCs w:val="20"/>
              </w:rPr>
            </w:pPr>
            <w:r w:rsidRPr="00BF3A4E">
              <w:rPr>
                <w:rFonts w:asciiTheme="minorHAnsi" w:hAnsiTheme="minorHAnsi"/>
                <w:sz w:val="20"/>
                <w:szCs w:val="20"/>
              </w:rPr>
              <w:t>Cyprus: pending</w:t>
            </w:r>
          </w:p>
          <w:p w14:paraId="291476CC" w14:textId="77777777" w:rsidR="00DA11F1" w:rsidRPr="00BF3A4E" w:rsidRDefault="00DA11F1" w:rsidP="00BF3A4E">
            <w:pPr>
              <w:rPr>
                <w:rFonts w:asciiTheme="minorHAnsi" w:hAnsiTheme="minorHAnsi"/>
                <w:sz w:val="20"/>
                <w:szCs w:val="20"/>
              </w:rPr>
            </w:pPr>
            <w:r w:rsidRPr="00BF3A4E">
              <w:rPr>
                <w:rFonts w:asciiTheme="minorHAnsi" w:hAnsiTheme="minorHAnsi"/>
                <w:sz w:val="20"/>
                <w:szCs w:val="20"/>
              </w:rPr>
              <w:t>Greece: pending</w:t>
            </w:r>
          </w:p>
          <w:p w14:paraId="54A0AB0D" w14:textId="087497D7" w:rsidR="00445ED5" w:rsidRPr="00BF3A4E" w:rsidRDefault="00445ED5" w:rsidP="00BF3A4E">
            <w:pPr>
              <w:rPr>
                <w:rFonts w:asciiTheme="minorHAnsi" w:hAnsiTheme="minorHAnsi"/>
                <w:sz w:val="20"/>
                <w:szCs w:val="20"/>
              </w:rPr>
            </w:pPr>
            <w:r w:rsidRPr="00BF3A4E">
              <w:rPr>
                <w:rFonts w:asciiTheme="minorHAnsi" w:hAnsiTheme="minorHAnsi"/>
                <w:sz w:val="20"/>
                <w:szCs w:val="20"/>
              </w:rPr>
              <w:t>IS: 29 April</w:t>
            </w:r>
            <w:r w:rsidR="005F1306">
              <w:rPr>
                <w:rFonts w:asciiTheme="minorHAnsi" w:hAnsiTheme="minorHAnsi"/>
                <w:sz w:val="20"/>
                <w:szCs w:val="20"/>
              </w:rPr>
              <w:t xml:space="preserve"> </w:t>
            </w:r>
            <w:r w:rsidRPr="00BF3A4E">
              <w:rPr>
                <w:rFonts w:asciiTheme="minorHAnsi" w:hAnsiTheme="minorHAnsi"/>
                <w:sz w:val="20"/>
                <w:szCs w:val="20"/>
              </w:rPr>
              <w:t>2015</w:t>
            </w:r>
          </w:p>
          <w:p w14:paraId="78B88C02" w14:textId="77777777" w:rsidR="00DA11F1" w:rsidRPr="00BF3A4E" w:rsidRDefault="00445ED5" w:rsidP="00BF3A4E">
            <w:pPr>
              <w:rPr>
                <w:rFonts w:asciiTheme="minorHAnsi" w:hAnsiTheme="minorHAnsi"/>
                <w:sz w:val="20"/>
                <w:szCs w:val="20"/>
              </w:rPr>
            </w:pPr>
            <w:r w:rsidRPr="00BF3A4E">
              <w:rPr>
                <w:rFonts w:asciiTheme="minorHAnsi" w:hAnsiTheme="minorHAnsi"/>
                <w:sz w:val="20"/>
                <w:szCs w:val="20"/>
              </w:rPr>
              <w:t>IT</w:t>
            </w:r>
            <w:r w:rsidR="00DA11F1" w:rsidRPr="00BF3A4E">
              <w:rPr>
                <w:rFonts w:asciiTheme="minorHAnsi" w:hAnsiTheme="minorHAnsi"/>
                <w:sz w:val="20"/>
                <w:szCs w:val="20"/>
              </w:rPr>
              <w:t>: 13 July 2015</w:t>
            </w:r>
          </w:p>
          <w:p w14:paraId="6419296F" w14:textId="77777777" w:rsidR="00DA11F1" w:rsidRPr="00BF3A4E" w:rsidRDefault="00DA11F1" w:rsidP="00BF3A4E">
            <w:pPr>
              <w:rPr>
                <w:rFonts w:asciiTheme="minorHAnsi" w:hAnsiTheme="minorHAnsi"/>
                <w:sz w:val="20"/>
                <w:szCs w:val="20"/>
              </w:rPr>
            </w:pPr>
            <w:r w:rsidRPr="00BF3A4E">
              <w:rPr>
                <w:rFonts w:asciiTheme="minorHAnsi" w:hAnsiTheme="minorHAnsi"/>
                <w:sz w:val="20"/>
                <w:szCs w:val="20"/>
              </w:rPr>
              <w:t>NL: 04 may 2015</w:t>
            </w:r>
          </w:p>
          <w:p w14:paraId="19791FF0" w14:textId="77777777" w:rsidR="00DA11F1" w:rsidRPr="00BF3A4E" w:rsidRDefault="00DA11F1" w:rsidP="00BF3A4E">
            <w:pPr>
              <w:rPr>
                <w:rFonts w:asciiTheme="minorHAnsi" w:hAnsiTheme="minorHAnsi"/>
                <w:sz w:val="20"/>
                <w:szCs w:val="20"/>
              </w:rPr>
            </w:pPr>
            <w:r w:rsidRPr="00BF3A4E">
              <w:rPr>
                <w:rFonts w:asciiTheme="minorHAnsi" w:hAnsiTheme="minorHAnsi"/>
                <w:sz w:val="20"/>
                <w:szCs w:val="20"/>
              </w:rPr>
              <w:t>NO: 23 April 2015</w:t>
            </w:r>
          </w:p>
          <w:p w14:paraId="6AD89A89" w14:textId="4453EA2D" w:rsidR="005B4405" w:rsidRPr="00BF3A4E" w:rsidRDefault="00DA11F1" w:rsidP="00BF3A4E">
            <w:pPr>
              <w:rPr>
                <w:rFonts w:asciiTheme="minorHAnsi" w:hAnsiTheme="minorHAnsi"/>
                <w:sz w:val="20"/>
                <w:szCs w:val="20"/>
              </w:rPr>
            </w:pPr>
            <w:r w:rsidRPr="00BF3A4E">
              <w:rPr>
                <w:rFonts w:asciiTheme="minorHAnsi" w:hAnsiTheme="minorHAnsi"/>
                <w:sz w:val="20"/>
                <w:szCs w:val="20"/>
              </w:rPr>
              <w:t>SE: 22 April 2015</w:t>
            </w:r>
          </w:p>
        </w:tc>
        <w:tc>
          <w:tcPr>
            <w:tcW w:w="2179" w:type="dxa"/>
            <w:vMerge/>
          </w:tcPr>
          <w:p w14:paraId="6AD89A8A" w14:textId="77777777" w:rsidR="005B4405" w:rsidRPr="00BF3A4E" w:rsidRDefault="005B4405" w:rsidP="00BF3A4E">
            <w:pPr>
              <w:rPr>
                <w:rFonts w:asciiTheme="minorHAnsi" w:hAnsiTheme="minorHAnsi"/>
                <w:sz w:val="20"/>
                <w:szCs w:val="20"/>
              </w:rPr>
            </w:pPr>
          </w:p>
        </w:tc>
      </w:tr>
      <w:tr w:rsidR="005B4405" w:rsidRPr="001672EC" w14:paraId="6AD89A90" w14:textId="77777777" w:rsidTr="005B4405">
        <w:tc>
          <w:tcPr>
            <w:tcW w:w="2186" w:type="dxa"/>
          </w:tcPr>
          <w:p w14:paraId="6AD89A8C" w14:textId="111E2F0D" w:rsidR="005B4405" w:rsidRPr="00BF3A4E" w:rsidRDefault="005B4405" w:rsidP="00BF3A4E">
            <w:pPr>
              <w:rPr>
                <w:rFonts w:asciiTheme="minorHAnsi" w:hAnsiTheme="minorHAnsi"/>
                <w:sz w:val="20"/>
                <w:szCs w:val="20"/>
              </w:rPr>
            </w:pPr>
            <w:r w:rsidRPr="00BF3A4E">
              <w:rPr>
                <w:rFonts w:asciiTheme="minorHAnsi" w:hAnsiTheme="minorHAnsi"/>
                <w:sz w:val="20"/>
                <w:szCs w:val="20"/>
              </w:rPr>
              <w:t>Canada</w:t>
            </w:r>
          </w:p>
        </w:tc>
        <w:tc>
          <w:tcPr>
            <w:tcW w:w="2178" w:type="dxa"/>
          </w:tcPr>
          <w:p w14:paraId="6AD89A8D"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15th April 2014</w:t>
            </w:r>
          </w:p>
        </w:tc>
        <w:tc>
          <w:tcPr>
            <w:tcW w:w="2177" w:type="dxa"/>
          </w:tcPr>
          <w:p w14:paraId="6AD89A8E"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23rd April 2015</w:t>
            </w:r>
          </w:p>
        </w:tc>
        <w:tc>
          <w:tcPr>
            <w:tcW w:w="2179" w:type="dxa"/>
          </w:tcPr>
          <w:p w14:paraId="6AD89A8F" w14:textId="77777777" w:rsidR="005B4405" w:rsidRPr="00BF3A4E" w:rsidRDefault="005B4405" w:rsidP="00BF3A4E">
            <w:pPr>
              <w:rPr>
                <w:rFonts w:asciiTheme="minorHAnsi" w:hAnsiTheme="minorHAnsi"/>
                <w:sz w:val="20"/>
                <w:szCs w:val="20"/>
              </w:rPr>
            </w:pPr>
            <w:proofErr w:type="spellStart"/>
            <w:r w:rsidRPr="00BF3A4E">
              <w:rPr>
                <w:rFonts w:asciiTheme="minorHAnsi" w:hAnsiTheme="minorHAnsi"/>
                <w:sz w:val="20"/>
                <w:szCs w:val="20"/>
              </w:rPr>
              <w:t>R</w:t>
            </w:r>
            <w:r w:rsidR="009D71DA" w:rsidRPr="00BF3A4E">
              <w:rPr>
                <w:rFonts w:asciiTheme="minorHAnsi" w:hAnsiTheme="minorHAnsi"/>
                <w:sz w:val="20"/>
                <w:szCs w:val="20"/>
              </w:rPr>
              <w:t>osiver</w:t>
            </w:r>
            <w:proofErr w:type="spellEnd"/>
            <w:r w:rsidRPr="00BF3A4E">
              <w:rPr>
                <w:rFonts w:asciiTheme="minorHAnsi" w:hAnsiTheme="minorHAnsi"/>
                <w:sz w:val="20"/>
                <w:szCs w:val="20"/>
              </w:rPr>
              <w:t xml:space="preserve"> (</w:t>
            </w:r>
            <w:proofErr w:type="spellStart"/>
            <w:r w:rsidRPr="00BF3A4E">
              <w:rPr>
                <w:rFonts w:asciiTheme="minorHAnsi" w:hAnsiTheme="minorHAnsi"/>
                <w:sz w:val="20"/>
                <w:szCs w:val="20"/>
              </w:rPr>
              <w:t>ivermectin</w:t>
            </w:r>
            <w:proofErr w:type="spellEnd"/>
            <w:r w:rsidRPr="00BF3A4E">
              <w:rPr>
                <w:rFonts w:asciiTheme="minorHAnsi" w:hAnsiTheme="minorHAnsi"/>
                <w:sz w:val="20"/>
                <w:szCs w:val="20"/>
              </w:rPr>
              <w:t xml:space="preserve">) </w:t>
            </w:r>
            <w:r w:rsidR="00F2439E" w:rsidRPr="00BF3A4E">
              <w:rPr>
                <w:rFonts w:asciiTheme="minorHAnsi" w:hAnsiTheme="minorHAnsi"/>
                <w:sz w:val="20"/>
                <w:szCs w:val="20"/>
              </w:rPr>
              <w:t>cream</w:t>
            </w:r>
            <w:r w:rsidRPr="00BF3A4E">
              <w:rPr>
                <w:rFonts w:asciiTheme="minorHAnsi" w:hAnsiTheme="minorHAnsi"/>
                <w:sz w:val="20"/>
                <w:szCs w:val="20"/>
              </w:rPr>
              <w:t>, 1% is indicated for the topical treatment of inflammatory lesions (papules and pustules) of rosacea in adults 18 years of age or older.</w:t>
            </w:r>
          </w:p>
        </w:tc>
      </w:tr>
      <w:tr w:rsidR="005B4405" w:rsidRPr="001672EC" w14:paraId="6AD89A95" w14:textId="77777777" w:rsidTr="005B4405">
        <w:tc>
          <w:tcPr>
            <w:tcW w:w="2186" w:type="dxa"/>
          </w:tcPr>
          <w:p w14:paraId="6AD89A91"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Russia</w:t>
            </w:r>
          </w:p>
        </w:tc>
        <w:tc>
          <w:tcPr>
            <w:tcW w:w="2178" w:type="dxa"/>
          </w:tcPr>
          <w:p w14:paraId="624BA127"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1 August 2014</w:t>
            </w:r>
          </w:p>
          <w:p w14:paraId="6AD89A92" w14:textId="4B6A7531" w:rsidR="00DA11F1" w:rsidRPr="00BF3A4E" w:rsidRDefault="00DA11F1" w:rsidP="00BF3A4E">
            <w:pPr>
              <w:rPr>
                <w:rFonts w:asciiTheme="minorHAnsi" w:hAnsiTheme="minorHAnsi"/>
                <w:sz w:val="20"/>
                <w:szCs w:val="20"/>
              </w:rPr>
            </w:pPr>
            <w:r w:rsidRPr="00BF3A4E">
              <w:rPr>
                <w:rFonts w:asciiTheme="minorHAnsi" w:hAnsiTheme="minorHAnsi"/>
                <w:sz w:val="20"/>
                <w:szCs w:val="20"/>
              </w:rPr>
              <w:t>Resubmission on 14 September 2015</w:t>
            </w:r>
          </w:p>
        </w:tc>
        <w:tc>
          <w:tcPr>
            <w:tcW w:w="2177" w:type="dxa"/>
          </w:tcPr>
          <w:p w14:paraId="0CCF0C8E" w14:textId="77777777" w:rsidR="00DA11F1" w:rsidRPr="00BF3A4E" w:rsidRDefault="005B4405" w:rsidP="00BF3A4E">
            <w:pPr>
              <w:rPr>
                <w:rFonts w:asciiTheme="minorHAnsi" w:hAnsiTheme="minorHAnsi"/>
                <w:sz w:val="20"/>
                <w:szCs w:val="20"/>
              </w:rPr>
            </w:pPr>
            <w:r w:rsidRPr="00BF3A4E">
              <w:rPr>
                <w:rFonts w:asciiTheme="minorHAnsi" w:hAnsiTheme="minorHAnsi"/>
                <w:sz w:val="20"/>
                <w:szCs w:val="20"/>
              </w:rPr>
              <w:t>MAA Withdrawal</w:t>
            </w:r>
          </w:p>
          <w:p w14:paraId="6AD89A93" w14:textId="02475DFF" w:rsidR="005B4405" w:rsidRPr="00BF3A4E" w:rsidRDefault="00DA11F1" w:rsidP="00BF3A4E">
            <w:pPr>
              <w:rPr>
                <w:rFonts w:asciiTheme="minorHAnsi" w:hAnsiTheme="minorHAnsi"/>
                <w:sz w:val="20"/>
                <w:szCs w:val="20"/>
              </w:rPr>
            </w:pPr>
            <w:r w:rsidRPr="00BF3A4E">
              <w:rPr>
                <w:rFonts w:asciiTheme="minorHAnsi" w:hAnsiTheme="minorHAnsi"/>
                <w:sz w:val="20"/>
                <w:szCs w:val="20"/>
              </w:rPr>
              <w:t>Pending</w:t>
            </w:r>
          </w:p>
        </w:tc>
        <w:tc>
          <w:tcPr>
            <w:tcW w:w="2179" w:type="dxa"/>
          </w:tcPr>
          <w:p w14:paraId="6AD89A94" w14:textId="77777777" w:rsidR="005B4405" w:rsidRPr="00BF3A4E" w:rsidRDefault="005B4405" w:rsidP="00BF3A4E">
            <w:pPr>
              <w:rPr>
                <w:rFonts w:asciiTheme="minorHAnsi" w:hAnsiTheme="minorHAnsi"/>
                <w:sz w:val="20"/>
                <w:szCs w:val="20"/>
              </w:rPr>
            </w:pPr>
          </w:p>
        </w:tc>
      </w:tr>
      <w:tr w:rsidR="005B4405" w:rsidRPr="001672EC" w14:paraId="6AD89A9A" w14:textId="77777777" w:rsidTr="005B4405">
        <w:tc>
          <w:tcPr>
            <w:tcW w:w="2186" w:type="dxa"/>
          </w:tcPr>
          <w:p w14:paraId="6AD89A96"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lastRenderedPageBreak/>
              <w:t>Colombia</w:t>
            </w:r>
          </w:p>
        </w:tc>
        <w:tc>
          <w:tcPr>
            <w:tcW w:w="2178" w:type="dxa"/>
          </w:tcPr>
          <w:p w14:paraId="6AD89A97"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5 September 2014</w:t>
            </w:r>
          </w:p>
        </w:tc>
        <w:tc>
          <w:tcPr>
            <w:tcW w:w="2177" w:type="dxa"/>
          </w:tcPr>
          <w:p w14:paraId="6AD89A98"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Pending</w:t>
            </w:r>
          </w:p>
        </w:tc>
        <w:tc>
          <w:tcPr>
            <w:tcW w:w="2179" w:type="dxa"/>
            <w:vMerge w:val="restart"/>
          </w:tcPr>
          <w:p w14:paraId="6AD89A99"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Soolantra is indicated for the cutaneous treatment of inflammatory lesions of rosacea in adult patients.</w:t>
            </w:r>
          </w:p>
        </w:tc>
      </w:tr>
      <w:tr w:rsidR="005B4405" w:rsidRPr="001672EC" w14:paraId="6AD89A9F" w14:textId="77777777" w:rsidTr="005B4405">
        <w:tc>
          <w:tcPr>
            <w:tcW w:w="2186" w:type="dxa"/>
          </w:tcPr>
          <w:p w14:paraId="6AD89A9B"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South Africa</w:t>
            </w:r>
          </w:p>
        </w:tc>
        <w:tc>
          <w:tcPr>
            <w:tcW w:w="2178" w:type="dxa"/>
          </w:tcPr>
          <w:p w14:paraId="6AD89A9C"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3 October 2014</w:t>
            </w:r>
          </w:p>
        </w:tc>
        <w:tc>
          <w:tcPr>
            <w:tcW w:w="2177" w:type="dxa"/>
          </w:tcPr>
          <w:p w14:paraId="6AD89A9D"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Pending</w:t>
            </w:r>
          </w:p>
        </w:tc>
        <w:tc>
          <w:tcPr>
            <w:tcW w:w="2179" w:type="dxa"/>
            <w:vMerge/>
          </w:tcPr>
          <w:p w14:paraId="6AD89A9E" w14:textId="77777777" w:rsidR="005B4405" w:rsidRPr="00BF3A4E" w:rsidRDefault="005B4405" w:rsidP="00BF3A4E">
            <w:pPr>
              <w:rPr>
                <w:rFonts w:asciiTheme="minorHAnsi" w:hAnsiTheme="minorHAnsi"/>
                <w:sz w:val="20"/>
                <w:szCs w:val="20"/>
              </w:rPr>
            </w:pPr>
          </w:p>
        </w:tc>
      </w:tr>
      <w:tr w:rsidR="005B4405" w:rsidRPr="001672EC" w14:paraId="6AD89AA4" w14:textId="77777777" w:rsidTr="005B4405">
        <w:tc>
          <w:tcPr>
            <w:tcW w:w="2186" w:type="dxa"/>
          </w:tcPr>
          <w:p w14:paraId="6AD89AA0"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Chile</w:t>
            </w:r>
          </w:p>
        </w:tc>
        <w:tc>
          <w:tcPr>
            <w:tcW w:w="2178" w:type="dxa"/>
          </w:tcPr>
          <w:p w14:paraId="6AD89AA1"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10 November 2014</w:t>
            </w:r>
          </w:p>
        </w:tc>
        <w:tc>
          <w:tcPr>
            <w:tcW w:w="2177" w:type="dxa"/>
          </w:tcPr>
          <w:p w14:paraId="6AD89AA2"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6 May 2015</w:t>
            </w:r>
          </w:p>
        </w:tc>
        <w:tc>
          <w:tcPr>
            <w:tcW w:w="2179" w:type="dxa"/>
            <w:vMerge/>
          </w:tcPr>
          <w:p w14:paraId="6AD89AA3" w14:textId="77777777" w:rsidR="005B4405" w:rsidRPr="00BF3A4E" w:rsidRDefault="005B4405" w:rsidP="00BF3A4E">
            <w:pPr>
              <w:rPr>
                <w:rFonts w:asciiTheme="minorHAnsi" w:hAnsiTheme="minorHAnsi"/>
                <w:sz w:val="20"/>
                <w:szCs w:val="20"/>
              </w:rPr>
            </w:pPr>
          </w:p>
        </w:tc>
      </w:tr>
      <w:tr w:rsidR="005B4405" w:rsidRPr="001672EC" w14:paraId="6AD89AA9" w14:textId="77777777" w:rsidTr="005B4405">
        <w:tc>
          <w:tcPr>
            <w:tcW w:w="2186" w:type="dxa"/>
          </w:tcPr>
          <w:p w14:paraId="6AD89AA5"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Mexico</w:t>
            </w:r>
          </w:p>
        </w:tc>
        <w:tc>
          <w:tcPr>
            <w:tcW w:w="2178" w:type="dxa"/>
          </w:tcPr>
          <w:p w14:paraId="6AD89AA6"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27 February 2015</w:t>
            </w:r>
          </w:p>
        </w:tc>
        <w:tc>
          <w:tcPr>
            <w:tcW w:w="2177" w:type="dxa"/>
          </w:tcPr>
          <w:p w14:paraId="6AD89AA7"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Pending</w:t>
            </w:r>
          </w:p>
        </w:tc>
        <w:tc>
          <w:tcPr>
            <w:tcW w:w="2179" w:type="dxa"/>
            <w:vMerge/>
          </w:tcPr>
          <w:p w14:paraId="6AD89AA8" w14:textId="77777777" w:rsidR="005B4405" w:rsidRPr="00BF3A4E" w:rsidRDefault="005B4405" w:rsidP="00BF3A4E">
            <w:pPr>
              <w:rPr>
                <w:rFonts w:asciiTheme="minorHAnsi" w:hAnsiTheme="minorHAnsi"/>
                <w:sz w:val="20"/>
                <w:szCs w:val="20"/>
              </w:rPr>
            </w:pPr>
          </w:p>
        </w:tc>
      </w:tr>
      <w:tr w:rsidR="005B4405" w:rsidRPr="001672EC" w14:paraId="6AD89AAE" w14:textId="77777777" w:rsidTr="005B4405">
        <w:tc>
          <w:tcPr>
            <w:tcW w:w="2186" w:type="dxa"/>
          </w:tcPr>
          <w:p w14:paraId="6AD89AAA"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Argentina</w:t>
            </w:r>
          </w:p>
        </w:tc>
        <w:tc>
          <w:tcPr>
            <w:tcW w:w="2178" w:type="dxa"/>
          </w:tcPr>
          <w:p w14:paraId="6AD89AAB"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7 April 2015</w:t>
            </w:r>
          </w:p>
        </w:tc>
        <w:tc>
          <w:tcPr>
            <w:tcW w:w="2177" w:type="dxa"/>
          </w:tcPr>
          <w:p w14:paraId="6AD89AAC"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Pending</w:t>
            </w:r>
          </w:p>
        </w:tc>
        <w:tc>
          <w:tcPr>
            <w:tcW w:w="2179" w:type="dxa"/>
            <w:vMerge/>
          </w:tcPr>
          <w:p w14:paraId="6AD89AAD" w14:textId="77777777" w:rsidR="005B4405" w:rsidRPr="00BF3A4E" w:rsidRDefault="005B4405" w:rsidP="00BF3A4E">
            <w:pPr>
              <w:rPr>
                <w:rFonts w:asciiTheme="minorHAnsi" w:hAnsiTheme="minorHAnsi"/>
                <w:sz w:val="20"/>
                <w:szCs w:val="20"/>
              </w:rPr>
            </w:pPr>
          </w:p>
        </w:tc>
      </w:tr>
      <w:tr w:rsidR="005B4405" w:rsidRPr="001672EC" w14:paraId="6AD89AB3" w14:textId="77777777" w:rsidTr="005B4405">
        <w:tc>
          <w:tcPr>
            <w:tcW w:w="2186" w:type="dxa"/>
          </w:tcPr>
          <w:p w14:paraId="6AD89AAF"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Brazil</w:t>
            </w:r>
          </w:p>
        </w:tc>
        <w:tc>
          <w:tcPr>
            <w:tcW w:w="2178" w:type="dxa"/>
          </w:tcPr>
          <w:p w14:paraId="6AD89AB0"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14 April 2015</w:t>
            </w:r>
          </w:p>
        </w:tc>
        <w:tc>
          <w:tcPr>
            <w:tcW w:w="2177" w:type="dxa"/>
          </w:tcPr>
          <w:p w14:paraId="6AD89AB1" w14:textId="77777777" w:rsidR="005B4405" w:rsidRPr="00BF3A4E" w:rsidRDefault="005B4405" w:rsidP="00BF3A4E">
            <w:pPr>
              <w:rPr>
                <w:rFonts w:asciiTheme="minorHAnsi" w:hAnsiTheme="minorHAnsi"/>
                <w:sz w:val="20"/>
                <w:szCs w:val="20"/>
              </w:rPr>
            </w:pPr>
            <w:r w:rsidRPr="00BF3A4E">
              <w:rPr>
                <w:rFonts w:asciiTheme="minorHAnsi" w:hAnsiTheme="minorHAnsi"/>
                <w:sz w:val="20"/>
                <w:szCs w:val="20"/>
              </w:rPr>
              <w:t>Pending</w:t>
            </w:r>
          </w:p>
        </w:tc>
        <w:tc>
          <w:tcPr>
            <w:tcW w:w="2179" w:type="dxa"/>
            <w:vMerge/>
          </w:tcPr>
          <w:p w14:paraId="6AD89AB2" w14:textId="77777777" w:rsidR="005B4405" w:rsidRPr="00BF3A4E" w:rsidRDefault="005B4405" w:rsidP="00BF3A4E">
            <w:pPr>
              <w:rPr>
                <w:rFonts w:asciiTheme="minorHAnsi" w:hAnsiTheme="minorHAnsi"/>
                <w:sz w:val="20"/>
                <w:szCs w:val="20"/>
              </w:rPr>
            </w:pPr>
          </w:p>
        </w:tc>
      </w:tr>
      <w:tr w:rsidR="00E3222C" w:rsidRPr="001672EC" w14:paraId="531CBFE6" w14:textId="77777777" w:rsidTr="005B4405">
        <w:tc>
          <w:tcPr>
            <w:tcW w:w="2186" w:type="dxa"/>
          </w:tcPr>
          <w:p w14:paraId="6C2392B0" w14:textId="77CD6997" w:rsidR="00E3222C" w:rsidRPr="00E3222C" w:rsidRDefault="00E3222C">
            <w:pPr>
              <w:rPr>
                <w:rFonts w:asciiTheme="minorHAnsi" w:hAnsiTheme="minorHAnsi"/>
                <w:sz w:val="20"/>
                <w:szCs w:val="20"/>
              </w:rPr>
            </w:pPr>
            <w:r>
              <w:rPr>
                <w:rFonts w:asciiTheme="minorHAnsi" w:hAnsiTheme="minorHAnsi"/>
                <w:sz w:val="20"/>
                <w:szCs w:val="20"/>
              </w:rPr>
              <w:t>Switzerland</w:t>
            </w:r>
          </w:p>
        </w:tc>
        <w:tc>
          <w:tcPr>
            <w:tcW w:w="2178" w:type="dxa"/>
          </w:tcPr>
          <w:p w14:paraId="2BBF6CFD" w14:textId="1E58AE4F" w:rsidR="00E3222C" w:rsidRPr="00E3222C" w:rsidRDefault="00E3222C" w:rsidP="00026D9A">
            <w:pPr>
              <w:ind w:right="0"/>
              <w:rPr>
                <w:rFonts w:asciiTheme="minorHAnsi" w:hAnsiTheme="minorHAnsi"/>
                <w:sz w:val="20"/>
                <w:szCs w:val="20"/>
              </w:rPr>
            </w:pPr>
            <w:r>
              <w:rPr>
                <w:rFonts w:asciiTheme="minorHAnsi" w:hAnsiTheme="minorHAnsi"/>
                <w:sz w:val="20"/>
                <w:szCs w:val="20"/>
              </w:rPr>
              <w:t>17 September 2015</w:t>
            </w:r>
          </w:p>
        </w:tc>
        <w:tc>
          <w:tcPr>
            <w:tcW w:w="2177" w:type="dxa"/>
          </w:tcPr>
          <w:p w14:paraId="69C4F3E9" w14:textId="2582819E" w:rsidR="00E3222C" w:rsidRPr="00E3222C" w:rsidRDefault="00E3222C">
            <w:pPr>
              <w:rPr>
                <w:rFonts w:asciiTheme="minorHAnsi" w:hAnsiTheme="minorHAnsi"/>
                <w:sz w:val="20"/>
                <w:szCs w:val="20"/>
              </w:rPr>
            </w:pPr>
            <w:r>
              <w:rPr>
                <w:rFonts w:asciiTheme="minorHAnsi" w:hAnsiTheme="minorHAnsi"/>
                <w:sz w:val="20"/>
                <w:szCs w:val="20"/>
              </w:rPr>
              <w:t>Pending</w:t>
            </w:r>
          </w:p>
        </w:tc>
        <w:tc>
          <w:tcPr>
            <w:tcW w:w="2179" w:type="dxa"/>
          </w:tcPr>
          <w:p w14:paraId="43CE0EDB" w14:textId="78D7E91D" w:rsidR="00E3222C" w:rsidRPr="00E3222C" w:rsidRDefault="00E3222C" w:rsidP="00BF3A4E">
            <w:pPr>
              <w:ind w:left="0" w:right="0"/>
              <w:rPr>
                <w:rFonts w:asciiTheme="minorHAnsi" w:hAnsiTheme="minorHAnsi"/>
                <w:sz w:val="20"/>
                <w:szCs w:val="20"/>
              </w:rPr>
            </w:pPr>
            <w:r w:rsidRPr="00E3222C">
              <w:rPr>
                <w:rFonts w:asciiTheme="minorHAnsi" w:hAnsiTheme="minorHAnsi"/>
                <w:sz w:val="20"/>
                <w:szCs w:val="20"/>
              </w:rPr>
              <w:t>Soolantr</w:t>
            </w:r>
            <w:r>
              <w:rPr>
                <w:rFonts w:asciiTheme="minorHAnsi" w:hAnsiTheme="minorHAnsi"/>
                <w:sz w:val="20"/>
                <w:szCs w:val="20"/>
              </w:rPr>
              <w:t xml:space="preserve">a is indicated for the topical </w:t>
            </w:r>
            <w:r w:rsidRPr="00E3222C">
              <w:rPr>
                <w:rFonts w:asciiTheme="minorHAnsi" w:hAnsiTheme="minorHAnsi"/>
                <w:sz w:val="20"/>
                <w:szCs w:val="20"/>
              </w:rPr>
              <w:t>treatment of inflammatory lesions of moderate to severe (</w:t>
            </w:r>
            <w:proofErr w:type="spellStart"/>
            <w:r w:rsidRPr="00E3222C">
              <w:rPr>
                <w:rFonts w:asciiTheme="minorHAnsi" w:hAnsiTheme="minorHAnsi"/>
                <w:sz w:val="20"/>
                <w:szCs w:val="20"/>
              </w:rPr>
              <w:t>papulopustular</w:t>
            </w:r>
            <w:proofErr w:type="spellEnd"/>
            <w:r w:rsidRPr="00E3222C">
              <w:rPr>
                <w:rFonts w:asciiTheme="minorHAnsi" w:hAnsiTheme="minorHAnsi"/>
                <w:sz w:val="20"/>
                <w:szCs w:val="20"/>
              </w:rPr>
              <w:t>) rosacea (Investigator Global Assessment Grade 3 and 4) in adult patients</w:t>
            </w:r>
          </w:p>
        </w:tc>
      </w:tr>
    </w:tbl>
    <w:p w14:paraId="6AD89AB4" w14:textId="77777777" w:rsidR="008E7846" w:rsidRDefault="008E7846" w:rsidP="00940A89">
      <w:pPr>
        <w:pStyle w:val="Heading3"/>
      </w:pPr>
      <w:bookmarkStart w:id="22" w:name="_Toc437418380"/>
      <w:r>
        <w:t>Product Information</w:t>
      </w:r>
      <w:bookmarkEnd w:id="20"/>
      <w:bookmarkEnd w:id="21"/>
      <w:bookmarkEnd w:id="22"/>
    </w:p>
    <w:p w14:paraId="6AD89AB5" w14:textId="77777777" w:rsidR="00940A89" w:rsidRDefault="00940A89" w:rsidP="00940A89">
      <w:pPr>
        <w:rPr>
          <w:b/>
          <w:bCs/>
        </w:rPr>
      </w:pPr>
      <w:bookmarkStart w:id="23" w:name="_Toc247691506"/>
      <w:bookmarkStart w:id="24"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7" w:history="1">
        <w:r w:rsidR="00441C3F" w:rsidRPr="00441C3F">
          <w:rPr>
            <w:rStyle w:val="Hyperlink"/>
          </w:rPr>
          <w:t>https://www.tga.gov.au/product-information-pi</w:t>
        </w:r>
      </w:hyperlink>
      <w:r w:rsidR="00441C3F">
        <w:t>&gt;</w:t>
      </w:r>
      <w:r w:rsidRPr="00940A89">
        <w:t>.</w:t>
      </w:r>
    </w:p>
    <w:p w14:paraId="6AD89AB6" w14:textId="77777777" w:rsidR="008E7846" w:rsidRPr="003602A9" w:rsidRDefault="008E7846" w:rsidP="008E7846">
      <w:pPr>
        <w:pStyle w:val="Heading2"/>
        <w:ind w:left="-11"/>
      </w:pPr>
      <w:bookmarkStart w:id="25" w:name="_Toc437418381"/>
      <w:r>
        <w:t>II. Quality</w:t>
      </w:r>
      <w:bookmarkEnd w:id="2"/>
      <w:r>
        <w:t xml:space="preserve"> findings</w:t>
      </w:r>
      <w:bookmarkEnd w:id="23"/>
      <w:bookmarkEnd w:id="24"/>
      <w:bookmarkEnd w:id="25"/>
    </w:p>
    <w:p w14:paraId="6AD89AB7" w14:textId="77777777" w:rsidR="008E7846" w:rsidRDefault="008E7846" w:rsidP="00940A89">
      <w:pPr>
        <w:pStyle w:val="Heading3"/>
      </w:pPr>
      <w:bookmarkStart w:id="26" w:name="_Toc247691507"/>
      <w:bookmarkStart w:id="27" w:name="_Toc314842488"/>
      <w:bookmarkStart w:id="28" w:name="_Toc437418382"/>
      <w:r w:rsidRPr="008751DC">
        <w:t xml:space="preserve">Drug </w:t>
      </w:r>
      <w:r>
        <w:t>s</w:t>
      </w:r>
      <w:r w:rsidRPr="008751DC">
        <w:t>ubstance</w:t>
      </w:r>
      <w:r>
        <w:t xml:space="preserve"> (active ingredient)</w:t>
      </w:r>
      <w:bookmarkEnd w:id="26"/>
      <w:bookmarkEnd w:id="27"/>
      <w:bookmarkEnd w:id="28"/>
    </w:p>
    <w:p w14:paraId="6AD89AB8" w14:textId="77777777" w:rsidR="009D71DA" w:rsidRPr="009D71DA" w:rsidRDefault="009D71DA" w:rsidP="009D71DA">
      <w:r w:rsidRPr="009D71DA">
        <w:t>The drug substance, iverm</w:t>
      </w:r>
      <w:r w:rsidR="00F2439E">
        <w:t xml:space="preserve">ectin is a semi </w:t>
      </w:r>
      <w:r w:rsidR="00893FB3">
        <w:t xml:space="preserve">synthetic broad </w:t>
      </w:r>
      <w:r w:rsidRPr="009D71DA">
        <w:t xml:space="preserve">spectrum antiparasitic drug derived from the Streptomyces </w:t>
      </w:r>
      <w:proofErr w:type="spellStart"/>
      <w:r w:rsidRPr="009D71DA">
        <w:t>avermitilis</w:t>
      </w:r>
      <w:proofErr w:type="spellEnd"/>
      <w:r w:rsidRPr="009D71DA">
        <w:t xml:space="preserve"> metabolite, ‘</w:t>
      </w:r>
      <w:proofErr w:type="spellStart"/>
      <w:r w:rsidRPr="009D71DA">
        <w:t>avermectin</w:t>
      </w:r>
      <w:proofErr w:type="spellEnd"/>
      <w:r w:rsidRPr="009D71DA">
        <w:t>’, traditionally used against parasitic worms. In veterinary medicine ivermectin is used against many intestinal worms, most mites, ticks and some lice.</w:t>
      </w:r>
    </w:p>
    <w:p w14:paraId="6AD89AB9" w14:textId="77777777" w:rsidR="009D71DA" w:rsidRDefault="009D71DA" w:rsidP="009D71DA">
      <w:r w:rsidRPr="009D71DA">
        <w:t>Ivermectin is a 16-membered macrocyclic lactone, consisting of a &gt;</w:t>
      </w:r>
      <w:r w:rsidR="00893FB3">
        <w:t xml:space="preserve"> </w:t>
      </w:r>
      <w:r w:rsidRPr="009D71DA">
        <w:t xml:space="preserve">9:1 mixture of two homologous components, ivermectin B1a </w:t>
      </w:r>
      <w:r w:rsidR="00893FB3">
        <w:t xml:space="preserve">and ivermectin </w:t>
      </w:r>
      <w:r w:rsidRPr="009D71DA">
        <w:t>B1b, differing only with respect to the incorporation of an ethyl or methyl substituent, respectively.</w:t>
      </w:r>
    </w:p>
    <w:p w14:paraId="6AD89ABA" w14:textId="65CCAA6D" w:rsidR="009D71DA" w:rsidRPr="009D71DA" w:rsidRDefault="009D71DA" w:rsidP="009D71DA">
      <w:pPr>
        <w:pStyle w:val="FigureTitle"/>
      </w:pPr>
      <w:proofErr w:type="gramStart"/>
      <w:r>
        <w:lastRenderedPageBreak/>
        <w:t>Figure 1</w:t>
      </w:r>
      <w:r w:rsidR="00947AAC">
        <w:t>.</w:t>
      </w:r>
      <w:proofErr w:type="gramEnd"/>
      <w:r w:rsidR="00FC316F">
        <w:t xml:space="preserve"> </w:t>
      </w:r>
      <w:proofErr w:type="gramStart"/>
      <w:r w:rsidR="000835E6">
        <w:t>Structure</w:t>
      </w:r>
      <w:r>
        <w:t xml:space="preserve"> of</w:t>
      </w:r>
      <w:r w:rsidR="006D61C3">
        <w:t xml:space="preserve"> </w:t>
      </w:r>
      <w:proofErr w:type="spellStart"/>
      <w:r w:rsidR="006D61C3">
        <w:t>ivermectin</w:t>
      </w:r>
      <w:proofErr w:type="spellEnd"/>
      <w:r w:rsidR="006D61C3">
        <w:t xml:space="preserve"> and </w:t>
      </w:r>
      <w:proofErr w:type="spellStart"/>
      <w:r w:rsidR="006D61C3">
        <w:t>a</w:t>
      </w:r>
      <w:r>
        <w:t>vermectin</w:t>
      </w:r>
      <w:proofErr w:type="spellEnd"/>
      <w:r>
        <w:t>.</w:t>
      </w:r>
      <w:proofErr w:type="gramEnd"/>
    </w:p>
    <w:p w14:paraId="6AD89ABB" w14:textId="77777777" w:rsidR="008E7846" w:rsidRDefault="009D71DA" w:rsidP="00940A89">
      <w:r>
        <w:rPr>
          <w:noProof/>
          <w:lang w:eastAsia="en-AU"/>
        </w:rPr>
        <w:drawing>
          <wp:inline distT="0" distB="0" distL="0" distR="0" wp14:anchorId="6AD89F86" wp14:editId="6AD89F87">
            <wp:extent cx="5400040" cy="2704058"/>
            <wp:effectExtent l="0" t="0" r="0" b="1270"/>
            <wp:docPr id="1" name="Picture 1" descr="Figure 1.  Structure of ivermectin and avermec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2704058"/>
                    </a:xfrm>
                    <a:prstGeom prst="rect">
                      <a:avLst/>
                    </a:prstGeom>
                  </pic:spPr>
                </pic:pic>
              </a:graphicData>
            </a:graphic>
          </wp:inline>
        </w:drawing>
      </w:r>
    </w:p>
    <w:p w14:paraId="6AD89ABC" w14:textId="77777777" w:rsidR="009D71DA" w:rsidRPr="009D71DA" w:rsidRDefault="009D71DA" w:rsidP="009D71DA">
      <w:r w:rsidRPr="009D71DA">
        <w:t>Ive</w:t>
      </w:r>
      <w:r w:rsidR="00893FB3">
        <w:t xml:space="preserve">rmectin is a white or yellowish </w:t>
      </w:r>
      <w:r w:rsidRPr="009D71DA">
        <w:t>white, slightly hygroscopic crystalline powder, which is practically insoluble in saturated hydrocarbons such as cyclohexane, insoluble in water, soluble in ethanol and highly soluble in methylene chloride and propylene glycol. The drug substance is the subje</w:t>
      </w:r>
      <w:r w:rsidR="00893FB3">
        <w:t xml:space="preserve">ct of harmonised </w:t>
      </w:r>
      <w:r w:rsidR="00130761" w:rsidRPr="00130761">
        <w:t xml:space="preserve">European Pharmacopeia </w:t>
      </w:r>
      <w:r w:rsidR="00130761">
        <w:t>(</w:t>
      </w:r>
      <w:r w:rsidR="00893FB3">
        <w:t>EP</w:t>
      </w:r>
      <w:r w:rsidR="00130761">
        <w:t>)</w:t>
      </w:r>
      <w:r w:rsidR="00893FB3">
        <w:t>/</w:t>
      </w:r>
      <w:r w:rsidR="00130761" w:rsidRPr="00130761">
        <w:t xml:space="preserve"> British Pharmacopeia </w:t>
      </w:r>
      <w:r w:rsidR="00130761">
        <w:t>(</w:t>
      </w:r>
      <w:r w:rsidR="00893FB3">
        <w:t>BP</w:t>
      </w:r>
      <w:r w:rsidR="00130761">
        <w:t>)</w:t>
      </w:r>
      <w:r w:rsidR="00893FB3">
        <w:t xml:space="preserve"> and </w:t>
      </w:r>
      <w:r w:rsidR="00130761" w:rsidRPr="00130761">
        <w:t xml:space="preserve">United States Pharmacopeia </w:t>
      </w:r>
      <w:r w:rsidR="00130761">
        <w:t>(</w:t>
      </w:r>
      <w:r w:rsidR="00893FB3">
        <w:t>USP</w:t>
      </w:r>
      <w:r w:rsidR="00130761">
        <w:t>)</w:t>
      </w:r>
      <w:r w:rsidR="00893FB3">
        <w:t xml:space="preserve"> </w:t>
      </w:r>
      <w:r w:rsidRPr="009D71DA">
        <w:t>monographs.</w:t>
      </w:r>
    </w:p>
    <w:p w14:paraId="6AD89ABD" w14:textId="77777777" w:rsidR="008E7846" w:rsidRDefault="008E7846" w:rsidP="008E7846">
      <w:pPr>
        <w:pStyle w:val="Heading3"/>
      </w:pPr>
      <w:bookmarkStart w:id="29" w:name="_Toc247691508"/>
      <w:bookmarkStart w:id="30" w:name="_Toc314842490"/>
      <w:bookmarkStart w:id="31" w:name="_Toc437418383"/>
      <w:r w:rsidRPr="008751DC">
        <w:t xml:space="preserve">Drug </w:t>
      </w:r>
      <w:r>
        <w:t>p</w:t>
      </w:r>
      <w:r w:rsidRPr="008751DC">
        <w:t>roduct</w:t>
      </w:r>
      <w:bookmarkEnd w:id="29"/>
      <w:bookmarkEnd w:id="30"/>
      <w:bookmarkEnd w:id="31"/>
    </w:p>
    <w:p w14:paraId="6AD89ABE" w14:textId="77777777" w:rsidR="009D71DA" w:rsidRPr="009D71DA" w:rsidRDefault="009D71DA" w:rsidP="009D71DA">
      <w:r w:rsidRPr="009D71DA">
        <w:t xml:space="preserve">The proposed product is a white to pale yellow homogeneous cream containing 1% </w:t>
      </w:r>
      <w:r w:rsidR="00130761" w:rsidRPr="00130761">
        <w:t xml:space="preserve">weight/ weight </w:t>
      </w:r>
      <w:r w:rsidR="00130761">
        <w:t>(</w:t>
      </w:r>
      <w:r w:rsidRPr="009D71DA">
        <w:t>w/w</w:t>
      </w:r>
      <w:r w:rsidR="00130761">
        <w:t>)</w:t>
      </w:r>
      <w:r w:rsidRPr="009D71DA">
        <w:t xml:space="preserve"> (10 mg/g) of iv</w:t>
      </w:r>
      <w:r w:rsidR="00893FB3">
        <w:t>ermectin as the drug substance.</w:t>
      </w:r>
    </w:p>
    <w:p w14:paraId="6AD89ABF" w14:textId="29F867EA" w:rsidR="009D71DA" w:rsidRPr="009D71DA" w:rsidRDefault="00893FB3" w:rsidP="009D71DA">
      <w:r>
        <w:t xml:space="preserve">The cream consists of a two </w:t>
      </w:r>
      <w:r w:rsidR="009D71DA" w:rsidRPr="009D71DA">
        <w:t>phase system made of two immiscible liquids, one of which is dispersed as droplets (lipophilic phase: active drug substance</w:t>
      </w:r>
      <w:r>
        <w:t>)</w:t>
      </w:r>
      <w:r w:rsidR="009D71DA" w:rsidRPr="009D71DA">
        <w:t xml:space="preserve"> within the other liquid (hydrophilic phase</w:t>
      </w:r>
      <w:r>
        <w:t xml:space="preserve">). This two </w:t>
      </w:r>
      <w:r w:rsidR="009D71DA" w:rsidRPr="009D71DA">
        <w:t>phase system is stabil</w:t>
      </w:r>
      <w:r w:rsidR="00603F07">
        <w:t>ise</w:t>
      </w:r>
      <w:r w:rsidR="009D71DA" w:rsidRPr="009D71DA">
        <w:t>d by t</w:t>
      </w:r>
      <w:r>
        <w:t xml:space="preserve">wo main emulsifying agents thus giving </w:t>
      </w:r>
      <w:r w:rsidR="00F76A01" w:rsidRPr="00F76A01">
        <w:t xml:space="preserve">an oil-in-water </w:t>
      </w:r>
      <w:r w:rsidR="009D71DA" w:rsidRPr="009D71DA">
        <w:t>emulsion.</w:t>
      </w:r>
      <w:r>
        <w:t xml:space="preserve"> </w:t>
      </w:r>
      <w:r w:rsidR="009D71DA" w:rsidRPr="009D71DA">
        <w:t>The excipients used</w:t>
      </w:r>
      <w:r w:rsidR="00603F07">
        <w:t xml:space="preserve"> are registered as part of </w:t>
      </w:r>
      <w:r w:rsidR="009D71DA" w:rsidRPr="009D71DA">
        <w:t>topical products registered in Australia and there are no novel excipients.</w:t>
      </w:r>
    </w:p>
    <w:p w14:paraId="6AD89AC0" w14:textId="77777777" w:rsidR="009D71DA" w:rsidRPr="009D71DA" w:rsidRDefault="009D71DA" w:rsidP="009D71DA">
      <w:r w:rsidRPr="009D71DA">
        <w:t>The efficacy of the preservatives and other microbiological aspects of the proposed product have been evaluated and found acceptable by the TGA Laboratories Branch.</w:t>
      </w:r>
    </w:p>
    <w:p w14:paraId="6AD89AC1" w14:textId="77777777" w:rsidR="009D71DA" w:rsidRPr="009D71DA" w:rsidRDefault="006D61C3" w:rsidP="009D71DA">
      <w:r>
        <w:t>Ivermectin c</w:t>
      </w:r>
      <w:r w:rsidR="009D71DA" w:rsidRPr="009D71DA">
        <w:t>ream was character</w:t>
      </w:r>
      <w:r w:rsidR="00603F07">
        <w:t>ise</w:t>
      </w:r>
      <w:r w:rsidR="009D71DA" w:rsidRPr="009D71DA">
        <w:t>d during development by macroscopic aspect (lack of phase separat</w:t>
      </w:r>
      <w:r w:rsidR="00603F07">
        <w:t xml:space="preserve">ion on centrifugation), pH (6.0 to </w:t>
      </w:r>
      <w:r w:rsidR="009D71DA" w:rsidRPr="009D71DA">
        <w:t xml:space="preserve">6.6; to avoid drug substance hydrolysis and to neutralise the acidic </w:t>
      </w:r>
      <w:proofErr w:type="spellStart"/>
      <w:r w:rsidR="009D71DA" w:rsidRPr="009D71DA">
        <w:t>carbomer</w:t>
      </w:r>
      <w:proofErr w:type="spellEnd"/>
      <w:r w:rsidR="009D71DA" w:rsidRPr="009D71DA">
        <w:t xml:space="preserve"> copolymer), emulsion type and rhe</w:t>
      </w:r>
      <w:r w:rsidR="00603F07">
        <w:t>ological properties (</w:t>
      </w:r>
      <w:r w:rsidR="009D6CCA">
        <w:t xml:space="preserve">oil in </w:t>
      </w:r>
      <w:r w:rsidR="009D71DA" w:rsidRPr="009D71DA">
        <w:t>water emulsi</w:t>
      </w:r>
      <w:r w:rsidR="00603F07">
        <w:t xml:space="preserve">on, droplet size </w:t>
      </w:r>
      <w:r w:rsidR="009D6CCA">
        <w:t>and viscosity).</w:t>
      </w:r>
    </w:p>
    <w:p w14:paraId="6AD89AC2" w14:textId="77777777" w:rsidR="009D71DA" w:rsidRPr="009D71DA" w:rsidRDefault="009D71DA" w:rsidP="009D71DA">
      <w:r w:rsidRPr="009D71DA">
        <w:t xml:space="preserve">The proposed finished product specifications included controls on identity and levels of the drug substance and preservative excipients, pH, viscosity, assay, levels of 4 specified </w:t>
      </w:r>
      <w:proofErr w:type="spellStart"/>
      <w:r w:rsidRPr="009D71DA">
        <w:t>degradants</w:t>
      </w:r>
      <w:proofErr w:type="spellEnd"/>
      <w:r w:rsidRPr="009D71DA">
        <w:t xml:space="preserve"> and unspecified </w:t>
      </w:r>
      <w:proofErr w:type="spellStart"/>
      <w:r w:rsidRPr="009D71DA">
        <w:t>degradants</w:t>
      </w:r>
      <w:proofErr w:type="spellEnd"/>
      <w:r w:rsidRPr="009D71DA">
        <w:t xml:space="preserve"> and microbial limits. These have been adequately justified and comply with TGA requirements. They are considered adequate to ensure the quality of the finished product at r</w:t>
      </w:r>
      <w:r w:rsidR="009D6CCA">
        <w:t xml:space="preserve">elease and throughout the shelf </w:t>
      </w:r>
      <w:r w:rsidRPr="009D71DA">
        <w:t>life.</w:t>
      </w:r>
    </w:p>
    <w:p w14:paraId="37B5CC92" w14:textId="77777777" w:rsidR="005F1306" w:rsidRDefault="009D71DA" w:rsidP="009D71DA">
      <w:r w:rsidRPr="009D71DA">
        <w:t>The cream shows good physical and chemical s</w:t>
      </w:r>
      <w:r w:rsidR="009D6CCA">
        <w:t xml:space="preserve">tability and a shelf life of 24 </w:t>
      </w:r>
      <w:r w:rsidRPr="009D71DA">
        <w:t>months when stored below 30</w:t>
      </w:r>
      <w:r w:rsidR="009D6CCA">
        <w:t>°</w:t>
      </w:r>
      <w:r w:rsidRPr="009D71DA">
        <w:t xml:space="preserve">C, in the original packaging, </w:t>
      </w:r>
      <w:proofErr w:type="gramStart"/>
      <w:r w:rsidRPr="009D71DA">
        <w:t>has</w:t>
      </w:r>
      <w:proofErr w:type="gramEnd"/>
      <w:r w:rsidRPr="009D71DA">
        <w:t xml:space="preserve"> been established</w:t>
      </w:r>
      <w:r w:rsidR="005F1306">
        <w:t>.</w:t>
      </w:r>
    </w:p>
    <w:p w14:paraId="6AD89AC4" w14:textId="23D4D9D7" w:rsidR="009D6CCA" w:rsidRPr="009D71DA" w:rsidRDefault="009D6CCA" w:rsidP="009D71DA">
      <w:proofErr w:type="spellStart"/>
      <w:r w:rsidRPr="009D6CCA">
        <w:t>Ivermectin</w:t>
      </w:r>
      <w:proofErr w:type="spellEnd"/>
      <w:r w:rsidRPr="009D6CCA">
        <w:t xml:space="preserve"> cream is to be packaged within </w:t>
      </w:r>
      <w:r>
        <w:t>15 g</w:t>
      </w:r>
      <w:r w:rsidRPr="009D6CCA">
        <w:t xml:space="preserve">, </w:t>
      </w:r>
      <w:r>
        <w:t>30 g</w:t>
      </w:r>
      <w:r w:rsidRPr="009D6CCA">
        <w:t xml:space="preserve">, </w:t>
      </w:r>
      <w:r>
        <w:t>45 g</w:t>
      </w:r>
      <w:r w:rsidRPr="009D6CCA">
        <w:t xml:space="preserve"> and </w:t>
      </w:r>
      <w:r>
        <w:t>60 g</w:t>
      </w:r>
      <w:r w:rsidRPr="009D6CCA">
        <w:t xml:space="preserve"> laminated </w:t>
      </w:r>
      <w:r w:rsidR="00603F07" w:rsidRPr="00603F07">
        <w:t xml:space="preserve">High-density polyethylene </w:t>
      </w:r>
      <w:r w:rsidR="00603F07">
        <w:t>(</w:t>
      </w:r>
      <w:r w:rsidRPr="009D6CCA">
        <w:t>HDPE</w:t>
      </w:r>
      <w:r w:rsidR="00603F07">
        <w:t>)</w:t>
      </w:r>
      <w:r w:rsidRPr="009D6CCA">
        <w:t xml:space="preserve"> tubes with a </w:t>
      </w:r>
      <w:r w:rsidR="00603F07">
        <w:t>polypropylene</w:t>
      </w:r>
      <w:r w:rsidRPr="009D6CCA">
        <w:t xml:space="preserve"> child-resistant closure (CRC). In addition the company will also register a 2g physician’s sample pack size but will have a non-CRC </w:t>
      </w:r>
      <w:r w:rsidR="00603F07" w:rsidRPr="00603F07">
        <w:t>polypropylene</w:t>
      </w:r>
      <w:r w:rsidRPr="009D6CCA">
        <w:t xml:space="preserve"> cap.</w:t>
      </w:r>
    </w:p>
    <w:p w14:paraId="6AD89AC5" w14:textId="77777777" w:rsidR="008E7846" w:rsidRPr="008751DC" w:rsidRDefault="008E7846" w:rsidP="008E7846">
      <w:pPr>
        <w:pStyle w:val="Heading3"/>
      </w:pPr>
      <w:bookmarkStart w:id="32" w:name="_Toc247691509"/>
      <w:bookmarkStart w:id="33" w:name="_Toc314842493"/>
      <w:bookmarkStart w:id="34" w:name="_Toc437418384"/>
      <w:r>
        <w:lastRenderedPageBreak/>
        <w:t>Quality s</w:t>
      </w:r>
      <w:r w:rsidRPr="008751DC">
        <w:t>ummary</w:t>
      </w:r>
      <w:r>
        <w:t xml:space="preserve"> and conclusions</w:t>
      </w:r>
      <w:bookmarkEnd w:id="32"/>
      <w:bookmarkEnd w:id="33"/>
      <w:bookmarkEnd w:id="34"/>
    </w:p>
    <w:p w14:paraId="6AD89AC6" w14:textId="77777777" w:rsidR="009D71DA" w:rsidRPr="009D71DA" w:rsidRDefault="009D71DA" w:rsidP="009D71DA">
      <w:bookmarkStart w:id="35" w:name="_Toc196046439"/>
      <w:bookmarkStart w:id="36" w:name="_Toc247691510"/>
      <w:bookmarkStart w:id="37" w:name="_Toc314842494"/>
      <w:r w:rsidRPr="009D71DA">
        <w:t>Registration of the proposed ‘</w:t>
      </w:r>
      <w:r w:rsidR="00356678">
        <w:t>Soolantra</w:t>
      </w:r>
      <w:r w:rsidRPr="009D71DA">
        <w:t>’ and ‘</w:t>
      </w:r>
      <w:r w:rsidR="006F6336">
        <w:t>Vastreka</w:t>
      </w:r>
      <w:r w:rsidRPr="009D71DA">
        <w:t xml:space="preserve">’ ivermectin 1% (w/w; </w:t>
      </w:r>
      <w:r w:rsidR="009D6CCA">
        <w:t>10 mg</w:t>
      </w:r>
      <w:r w:rsidR="006C1CA3">
        <w:t xml:space="preserve">/g) cream in pack sizes of </w:t>
      </w:r>
      <w:r w:rsidRPr="009D71DA">
        <w:t xml:space="preserve">2g, </w:t>
      </w:r>
      <w:r w:rsidR="009D6CCA">
        <w:t>15 g</w:t>
      </w:r>
      <w:r w:rsidRPr="009D71DA">
        <w:t xml:space="preserve">, </w:t>
      </w:r>
      <w:r w:rsidR="009D6CCA">
        <w:t>30 g</w:t>
      </w:r>
      <w:r w:rsidRPr="009D71DA">
        <w:t xml:space="preserve">, </w:t>
      </w:r>
      <w:r w:rsidR="009D6CCA">
        <w:t>45 g</w:t>
      </w:r>
      <w:r w:rsidRPr="009D71DA">
        <w:t xml:space="preserve"> and </w:t>
      </w:r>
      <w:r w:rsidR="009D6CCA">
        <w:t>60 g</w:t>
      </w:r>
      <w:r w:rsidRPr="009D71DA">
        <w:t xml:space="preserve"> in laminated HDPE tubes with </w:t>
      </w:r>
      <w:r w:rsidR="00603F07" w:rsidRPr="00603F07">
        <w:t>polypropylene</w:t>
      </w:r>
      <w:r w:rsidRPr="009D71DA">
        <w:t xml:space="preserve"> caps, is recommended with respect to quality and </w:t>
      </w:r>
      <w:r w:rsidR="00F2439E">
        <w:t>biopharmaceutic</w:t>
      </w:r>
      <w:r w:rsidRPr="009D71DA">
        <w:t xml:space="preserve"> aspects. All issues raised during the initial evaluation of this application hav</w:t>
      </w:r>
      <w:r w:rsidR="009D6CCA">
        <w:t>e been satisfactorily resolved.</w:t>
      </w:r>
    </w:p>
    <w:p w14:paraId="6AD89AC7" w14:textId="77777777" w:rsidR="009D71DA" w:rsidRPr="009D71DA" w:rsidRDefault="009D71DA" w:rsidP="009D71DA">
      <w:r w:rsidRPr="009D71DA">
        <w:t>As no significant pharmaceutical chemistry issues were identified, the submission was not referred to the Pharmace</w:t>
      </w:r>
      <w:r w:rsidR="00F2439E">
        <w:t xml:space="preserve">utical Subcommittee of the </w:t>
      </w:r>
      <w:r w:rsidR="00603F07" w:rsidRPr="00603F07">
        <w:t xml:space="preserve">Advisory Committee for Prescription Medicines </w:t>
      </w:r>
      <w:r w:rsidR="00603F07">
        <w:t>(</w:t>
      </w:r>
      <w:r w:rsidR="00F2439E">
        <w:t>ACPM</w:t>
      </w:r>
      <w:r w:rsidR="00603F07">
        <w:t>)</w:t>
      </w:r>
      <w:r w:rsidRPr="009D71DA">
        <w:t>.</w:t>
      </w:r>
    </w:p>
    <w:p w14:paraId="6AD89AC8" w14:textId="77777777" w:rsidR="008E7846" w:rsidRDefault="008E7846" w:rsidP="008E7846">
      <w:pPr>
        <w:pStyle w:val="Heading2"/>
      </w:pPr>
      <w:bookmarkStart w:id="38" w:name="_Toc437418385"/>
      <w:r>
        <w:t>III. Nonclinical</w:t>
      </w:r>
      <w:bookmarkEnd w:id="35"/>
      <w:r>
        <w:t xml:space="preserve"> findings</w:t>
      </w:r>
      <w:bookmarkEnd w:id="36"/>
      <w:bookmarkEnd w:id="37"/>
      <w:bookmarkEnd w:id="38"/>
    </w:p>
    <w:p w14:paraId="6AD89AC9" w14:textId="77777777" w:rsidR="008E7846" w:rsidRPr="009D6CCA" w:rsidRDefault="008E7846" w:rsidP="009D6CCA">
      <w:pPr>
        <w:pStyle w:val="Heading3"/>
      </w:pPr>
      <w:bookmarkStart w:id="39" w:name="_Toc247691511"/>
      <w:bookmarkStart w:id="40" w:name="_Toc314842495"/>
      <w:bookmarkStart w:id="41" w:name="_Toc437418386"/>
      <w:r w:rsidRPr="009D6CCA">
        <w:t>Introduction</w:t>
      </w:r>
      <w:bookmarkEnd w:id="39"/>
      <w:bookmarkEnd w:id="40"/>
      <w:bookmarkEnd w:id="41"/>
    </w:p>
    <w:p w14:paraId="6AD89ACA" w14:textId="77777777" w:rsidR="00D357B1" w:rsidRPr="00D357B1" w:rsidRDefault="00D357B1" w:rsidP="00D357B1">
      <w:r w:rsidRPr="00D357B1">
        <w:t>While there are extensive existing dossiers and toxicological evaluations available for the agrochemical/veterinary use of ivermectin and other me</w:t>
      </w:r>
      <w:r w:rsidR="009D6CCA">
        <w:t xml:space="preserve">mbers of the </w:t>
      </w:r>
      <w:proofErr w:type="spellStart"/>
      <w:r w:rsidR="009D6CCA">
        <w:t>avermectin</w:t>
      </w:r>
      <w:proofErr w:type="spellEnd"/>
      <w:r w:rsidR="009D6CCA">
        <w:t xml:space="preserve"> 16</w:t>
      </w:r>
      <w:r w:rsidR="009D6CCA">
        <w:noBreakHyphen/>
      </w:r>
      <w:r w:rsidRPr="00D357B1">
        <w:t xml:space="preserve">membered macrocyclic lactone </w:t>
      </w:r>
      <w:proofErr w:type="spellStart"/>
      <w:r w:rsidRPr="00D357B1">
        <w:t>actinomycete</w:t>
      </w:r>
      <w:proofErr w:type="spellEnd"/>
      <w:r w:rsidRPr="00D357B1">
        <w:t xml:space="preserve"> exotoxin family, the sponsor has provide</w:t>
      </w:r>
      <w:r w:rsidR="009D6CCA">
        <w:t>d</w:t>
      </w:r>
      <w:r w:rsidRPr="00D357B1">
        <w:t xml:space="preserve"> </w:t>
      </w:r>
      <w:r w:rsidR="009D6CCA">
        <w:t>a completely new package of non</w:t>
      </w:r>
      <w:r w:rsidRPr="00D357B1">
        <w:t xml:space="preserve">clinical studies. This package of studies has, for the most part, corroborated the findings of the currently existing </w:t>
      </w:r>
      <w:r w:rsidR="009D6CCA">
        <w:t>nonclinical</w:t>
      </w:r>
      <w:r w:rsidRPr="00D357B1">
        <w:t xml:space="preserve"> dossiers and toxicological evaluations of ivermectin</w:t>
      </w:r>
      <w:r w:rsidR="00F475F1">
        <w:t>.</w:t>
      </w:r>
    </w:p>
    <w:p w14:paraId="6AD89ACB" w14:textId="77777777" w:rsidR="00D357B1" w:rsidRPr="00D357B1" w:rsidRDefault="00D357B1" w:rsidP="00D357B1">
      <w:r w:rsidRPr="00D357B1">
        <w:t xml:space="preserve">The principle that competitive substrates for </w:t>
      </w:r>
      <w:r w:rsidR="00A74A6A">
        <w:t>a</w:t>
      </w:r>
      <w:r w:rsidR="00A74A6A" w:rsidRPr="00A74A6A">
        <w:t xml:space="preserve">denosine triphosphate </w:t>
      </w:r>
      <w:r w:rsidR="00A74A6A">
        <w:t>(</w:t>
      </w:r>
      <w:r w:rsidR="00F475F1" w:rsidRPr="00F475F1">
        <w:t>ATP</w:t>
      </w:r>
      <w:r w:rsidR="00A74A6A">
        <w:t>)</w:t>
      </w:r>
      <w:r w:rsidR="00F475F1" w:rsidRPr="00F475F1">
        <w:t xml:space="preserve"> binding cassette B1</w:t>
      </w:r>
      <w:r w:rsidR="00CA7EEF">
        <w:t xml:space="preserve"> (p-glycoprotein)</w:t>
      </w:r>
      <w:r w:rsidR="00F475F1">
        <w:t xml:space="preserve"> (</w:t>
      </w:r>
      <w:r w:rsidRPr="00D357B1">
        <w:t>ABC B1</w:t>
      </w:r>
      <w:r w:rsidR="00F475F1">
        <w:t>)</w:t>
      </w:r>
      <w:r w:rsidRPr="00D357B1">
        <w:t xml:space="preserve"> or inhibitors of this transporter affect the actions and</w:t>
      </w:r>
      <w:r w:rsidR="009D6CCA">
        <w:t xml:space="preserve"> toxicity of ivermectin is well </w:t>
      </w:r>
      <w:r w:rsidRPr="00D357B1">
        <w:t>established and there are very strong mechanistic reasons to expect interactions between ivermectin and the large number of drugs that affect ABC B1 function or whose pharmacokinetics is affected by this transporter. Thus the overall limitation of the sponsor’s dossier is the failure to systematically evaluate the p</w:t>
      </w:r>
      <w:r w:rsidR="00902337">
        <w:t xml:space="preserve">otential for adverse ivermectin </w:t>
      </w:r>
      <w:r w:rsidRPr="00D357B1">
        <w:t>associated pharmacokinetic interactions associated with pharmacogen</w:t>
      </w:r>
      <w:r w:rsidR="00902337">
        <w:t xml:space="preserve">etic, phenotypic and xenobiotic </w:t>
      </w:r>
      <w:r w:rsidRPr="00D357B1">
        <w:t>induced effects/</w:t>
      </w:r>
      <w:proofErr w:type="spellStart"/>
      <w:r w:rsidRPr="00D357B1">
        <w:t>ionteractions</w:t>
      </w:r>
      <w:proofErr w:type="spellEnd"/>
      <w:r w:rsidRPr="00D357B1">
        <w:t xml:space="preserve"> at ABC B1 (p-glycoprotein) efflux transpor</w:t>
      </w:r>
      <w:r w:rsidR="00902337">
        <w:t xml:space="preserve">ters, particularly in the blood brain barrier, the blood testis </w:t>
      </w:r>
      <w:r w:rsidRPr="00D357B1">
        <w:t xml:space="preserve">barrier, the placental xenobiotic efflux system and the intestinal </w:t>
      </w:r>
      <w:proofErr w:type="spellStart"/>
      <w:r w:rsidRPr="00D357B1">
        <w:t>enterothelium</w:t>
      </w:r>
      <w:proofErr w:type="spellEnd"/>
      <w:r w:rsidR="00902337">
        <w:t>.</w:t>
      </w:r>
    </w:p>
    <w:p w14:paraId="6AD89ACC" w14:textId="77777777" w:rsidR="00D357B1" w:rsidRPr="00D357B1" w:rsidRDefault="00D357B1" w:rsidP="00D357B1">
      <w:r w:rsidRPr="00D357B1">
        <w:t>This overall weakness is somewhat tempered by the fact that systemic ivermectin exp</w:t>
      </w:r>
      <w:r w:rsidR="009D6CCA">
        <w:t xml:space="preserve">osure associated with topically </w:t>
      </w:r>
      <w:r w:rsidRPr="00D357B1">
        <w:t xml:space="preserve">applied Soolantra is relatively low </w:t>
      </w:r>
      <w:r w:rsidR="00132E95">
        <w:t xml:space="preserve">relative bioavailability </w:t>
      </w:r>
      <w:r w:rsidRPr="00D357B1">
        <w:t>(</w:t>
      </w:r>
      <w:proofErr w:type="spellStart"/>
      <w:r w:rsidRPr="00D357B1">
        <w:t>F</w:t>
      </w:r>
      <w:r w:rsidRPr="00916BD2">
        <w:rPr>
          <w:vertAlign w:val="subscript"/>
        </w:rPr>
        <w:t>Relative</w:t>
      </w:r>
      <w:proofErr w:type="spellEnd"/>
      <w:r w:rsidR="00132E95">
        <w:t>)</w:t>
      </w:r>
      <w:r w:rsidRPr="00D357B1">
        <w:t xml:space="preserve"> (Dermal:</w:t>
      </w:r>
      <w:r w:rsidR="00132E95">
        <w:t xml:space="preserve"> </w:t>
      </w:r>
      <w:r w:rsidRPr="00D357B1">
        <w:t xml:space="preserve">Oral) </w:t>
      </w:r>
      <w:r w:rsidR="006B3CF6">
        <w:t>approximately</w:t>
      </w:r>
      <w:r w:rsidRPr="00D357B1">
        <w:t xml:space="preserve"> 16%, with a very crudely approximated</w:t>
      </w:r>
      <w:r w:rsidR="00132E95">
        <w:t xml:space="preserve"> absolute bioavailability (</w:t>
      </w:r>
      <w:proofErr w:type="spellStart"/>
      <w:r w:rsidRPr="00D357B1">
        <w:t>F</w:t>
      </w:r>
      <w:r w:rsidRPr="00916BD2">
        <w:rPr>
          <w:vertAlign w:val="subscript"/>
        </w:rPr>
        <w:t>Absolute</w:t>
      </w:r>
      <w:proofErr w:type="spellEnd"/>
      <w:r w:rsidR="00132E95">
        <w:t>)</w:t>
      </w:r>
      <w:r w:rsidRPr="00D357B1">
        <w:t xml:space="preserve"> (Dermal:</w:t>
      </w:r>
      <w:r w:rsidR="00132E95">
        <w:t xml:space="preserve"> </w:t>
      </w:r>
      <w:r w:rsidR="009D17DE" w:rsidRPr="009D17DE">
        <w:t xml:space="preserve">intravenous </w:t>
      </w:r>
      <w:r w:rsidR="009D17DE">
        <w:t>(</w:t>
      </w:r>
      <w:r w:rsidRPr="00D357B1">
        <w:t>IV</w:t>
      </w:r>
      <w:r w:rsidR="009D17DE">
        <w:t>)</w:t>
      </w:r>
      <w:r w:rsidRPr="00D357B1">
        <w:t>)</w:t>
      </w:r>
      <w:r w:rsidR="00A74A6A">
        <w:t xml:space="preserve"> of</w:t>
      </w:r>
      <w:r w:rsidRPr="00D357B1">
        <w:t xml:space="preserve"> </w:t>
      </w:r>
      <w:r w:rsidR="006B3CF6">
        <w:t>approximately</w:t>
      </w:r>
      <w:r w:rsidRPr="00D357B1">
        <w:t xml:space="preserve"> 8%; systemic exposure due to the repeated topical application of </w:t>
      </w:r>
      <w:r w:rsidR="00F941D7">
        <w:t>Soolantra cream</w:t>
      </w:r>
      <w:r w:rsidRPr="00D357B1">
        <w:t xml:space="preserve"> under steady state conditions would be expect</w:t>
      </w:r>
      <w:r w:rsidR="009D6CCA">
        <w:t xml:space="preserve">ed to be </w:t>
      </w:r>
      <w:r w:rsidR="006B3CF6">
        <w:t>approximately</w:t>
      </w:r>
      <w:r w:rsidR="009D6CCA">
        <w:t xml:space="preserve"> </w:t>
      </w:r>
      <w:r w:rsidRPr="00D357B1">
        <w:t xml:space="preserve">7.5 </w:t>
      </w:r>
      <w:r w:rsidR="00F475F1">
        <w:t>times</w:t>
      </w:r>
      <w:r w:rsidRPr="00D357B1">
        <w:t xml:space="preserve"> lower than that associated with a single 200 µ</w:t>
      </w:r>
      <w:r w:rsidR="00F475F1">
        <w:t xml:space="preserve">g/kg </w:t>
      </w:r>
      <w:r w:rsidR="00463188">
        <w:t>b</w:t>
      </w:r>
      <w:r w:rsidR="00463188" w:rsidRPr="00463188">
        <w:t xml:space="preserve">ody weight </w:t>
      </w:r>
      <w:r w:rsidR="00463188">
        <w:t>(</w:t>
      </w:r>
      <w:r w:rsidR="00F475F1">
        <w:t>BW</w:t>
      </w:r>
      <w:r w:rsidR="00463188">
        <w:t>)</w:t>
      </w:r>
      <w:r w:rsidR="00F475F1">
        <w:t xml:space="preserve"> oral dose of </w:t>
      </w:r>
      <w:proofErr w:type="spellStart"/>
      <w:r w:rsidR="00F475F1">
        <w:t>Stromectol</w:t>
      </w:r>
      <w:proofErr w:type="spellEnd"/>
      <w:r w:rsidRPr="00D357B1">
        <w:t xml:space="preserve"> </w:t>
      </w:r>
      <w:r w:rsidR="00F475F1">
        <w:t>(</w:t>
      </w:r>
      <w:r w:rsidRPr="00D357B1">
        <w:t>not accounting for cumulative effects)</w:t>
      </w:r>
      <w:r w:rsidR="00902337">
        <w:t xml:space="preserve">. </w:t>
      </w:r>
      <w:r w:rsidRPr="00D357B1">
        <w:t xml:space="preserve">Specific studies to determine </w:t>
      </w:r>
      <w:proofErr w:type="spellStart"/>
      <w:r w:rsidRPr="00D357B1">
        <w:t>F</w:t>
      </w:r>
      <w:r w:rsidRPr="00132E95">
        <w:rPr>
          <w:vertAlign w:val="subscript"/>
        </w:rPr>
        <w:t>Absolute</w:t>
      </w:r>
      <w:proofErr w:type="spellEnd"/>
      <w:r w:rsidRPr="00D357B1">
        <w:t xml:space="preserve"> were not performed and the animal topical exposure studies that could potentially have been used for this purpose were probably (and demonstrated to be in some cases) systematically confounded by concurrent ingestion associated with grooming at the site of application and/or </w:t>
      </w:r>
      <w:proofErr w:type="spellStart"/>
      <w:r w:rsidRPr="00D357B1">
        <w:t>coprophagy</w:t>
      </w:r>
      <w:proofErr w:type="spellEnd"/>
      <w:r w:rsidRPr="00D357B1">
        <w:t>.</w:t>
      </w:r>
    </w:p>
    <w:p w14:paraId="6AD89ACD" w14:textId="77777777" w:rsidR="008E7846" w:rsidRDefault="008E7846" w:rsidP="008E7846">
      <w:pPr>
        <w:pStyle w:val="Heading3"/>
      </w:pPr>
      <w:bookmarkStart w:id="42" w:name="_Toc247691512"/>
      <w:bookmarkStart w:id="43" w:name="_Toc314842496"/>
      <w:bookmarkStart w:id="44" w:name="_Toc437418387"/>
      <w:r w:rsidRPr="00020030">
        <w:t>Pharmacology</w:t>
      </w:r>
      <w:bookmarkEnd w:id="42"/>
      <w:bookmarkEnd w:id="43"/>
      <w:bookmarkEnd w:id="44"/>
    </w:p>
    <w:p w14:paraId="6AD89ACE" w14:textId="77777777" w:rsidR="00D357B1" w:rsidRPr="00D357B1" w:rsidRDefault="00D357B1" w:rsidP="00D357B1">
      <w:pPr>
        <w:pStyle w:val="Heading4"/>
      </w:pPr>
      <w:r w:rsidRPr="00D357B1">
        <w:t>Primary pharmacology</w:t>
      </w:r>
    </w:p>
    <w:p w14:paraId="6AD89ACF" w14:textId="77777777" w:rsidR="00D357B1" w:rsidRPr="00D357B1" w:rsidRDefault="00D357B1" w:rsidP="00D357B1">
      <w:r w:rsidRPr="00D357B1">
        <w:t>There are no acceptable animal models of human rosacea</w:t>
      </w:r>
      <w:r w:rsidR="00902337">
        <w:t xml:space="preserve">. </w:t>
      </w:r>
      <w:r w:rsidRPr="00D357B1">
        <w:t>The modes of action of ivermectin treatment on this disease are unknown</w:t>
      </w:r>
      <w:r w:rsidR="00902337">
        <w:t xml:space="preserve">. </w:t>
      </w:r>
      <w:r w:rsidRPr="00D357B1">
        <w:t xml:space="preserve">Ivermectin has at least two main effects relevant to the treatment of facial </w:t>
      </w:r>
      <w:proofErr w:type="spellStart"/>
      <w:r w:rsidR="00F475F1">
        <w:t>papulo</w:t>
      </w:r>
      <w:proofErr w:type="spellEnd"/>
      <w:r w:rsidR="00F475F1">
        <w:t>-pustular</w:t>
      </w:r>
      <w:r w:rsidRPr="00D357B1">
        <w:t xml:space="preserve"> rosacea: (a) </w:t>
      </w:r>
      <w:proofErr w:type="spellStart"/>
      <w:r w:rsidRPr="00D357B1">
        <w:t>mitocidal</w:t>
      </w:r>
      <w:proofErr w:type="spellEnd"/>
      <w:r w:rsidRPr="00D357B1">
        <w:t xml:space="preserve"> effects on </w:t>
      </w:r>
      <w:proofErr w:type="spellStart"/>
      <w:r w:rsidRPr="00D357B1">
        <w:lastRenderedPageBreak/>
        <w:t>D</w:t>
      </w:r>
      <w:r w:rsidR="00132E95">
        <w:t>emodex</w:t>
      </w:r>
      <w:proofErr w:type="spellEnd"/>
      <w:r w:rsidR="00132E95">
        <w:t xml:space="preserve"> species</w:t>
      </w:r>
      <w:r w:rsidRPr="00D357B1">
        <w:t>; and (b) modulation of inflammation</w:t>
      </w:r>
      <w:r w:rsidR="00902337">
        <w:t xml:space="preserve">. </w:t>
      </w:r>
      <w:r w:rsidR="00132E95">
        <w:t xml:space="preserve">There is modest clinical (case </w:t>
      </w:r>
      <w:r w:rsidRPr="00D357B1">
        <w:t>study) evidence of the efficacy of ivermectin as a treatment fo</w:t>
      </w:r>
      <w:r w:rsidR="004079D0">
        <w:t xml:space="preserve">r confirmed cases of </w:t>
      </w:r>
      <w:proofErr w:type="spellStart"/>
      <w:r w:rsidR="004079D0">
        <w:t>Demodex</w:t>
      </w:r>
      <w:proofErr w:type="spellEnd"/>
      <w:r w:rsidR="004079D0">
        <w:t xml:space="preserve"> species</w:t>
      </w:r>
      <w:r w:rsidRPr="00D357B1">
        <w:t xml:space="preserve"> infection in humans and domestic animals</w:t>
      </w:r>
      <w:r w:rsidR="00902337">
        <w:t xml:space="preserve">. </w:t>
      </w:r>
      <w:r w:rsidRPr="00D357B1">
        <w:t xml:space="preserve">Members of the related </w:t>
      </w:r>
      <w:proofErr w:type="spellStart"/>
      <w:r w:rsidRPr="00D357B1">
        <w:t>milbemycin</w:t>
      </w:r>
      <w:proofErr w:type="spellEnd"/>
      <w:r w:rsidRPr="00D357B1">
        <w:t xml:space="preserve"> </w:t>
      </w:r>
      <w:proofErr w:type="spellStart"/>
      <w:r w:rsidRPr="00D357B1">
        <w:t>parasiticide</w:t>
      </w:r>
      <w:proofErr w:type="spellEnd"/>
      <w:r w:rsidRPr="00D357B1">
        <w:t xml:space="preserve"> family (</w:t>
      </w:r>
      <w:r w:rsidR="004079D0">
        <w:t>for example</w:t>
      </w:r>
      <w:r w:rsidRPr="00D357B1">
        <w:t xml:space="preserve"> </w:t>
      </w:r>
      <w:proofErr w:type="spellStart"/>
      <w:r w:rsidRPr="00D357B1">
        <w:t>moxidectin</w:t>
      </w:r>
      <w:proofErr w:type="spellEnd"/>
      <w:r w:rsidRPr="00D357B1">
        <w:t>) have also been used for this purpose in domestic animals</w:t>
      </w:r>
      <w:r w:rsidR="00902337">
        <w:t xml:space="preserve">. </w:t>
      </w:r>
      <w:r w:rsidRPr="00D357B1">
        <w:t xml:space="preserve">All members of the </w:t>
      </w:r>
      <w:proofErr w:type="spellStart"/>
      <w:r w:rsidRPr="00D357B1">
        <w:t>avermectin</w:t>
      </w:r>
      <w:proofErr w:type="spellEnd"/>
      <w:r w:rsidRPr="00D357B1">
        <w:t xml:space="preserve"> family primarily exert their effects on invertebrates by acting as positive all</w:t>
      </w:r>
      <w:r w:rsidR="004079D0">
        <w:t xml:space="preserve">osteric modulators of glutamate </w:t>
      </w:r>
      <w:r w:rsidRPr="00D357B1">
        <w:t>gated chloride channels on neurons and pharyngeal muscle cells</w:t>
      </w:r>
      <w:r w:rsidR="00902337">
        <w:t xml:space="preserve">. </w:t>
      </w:r>
      <w:r w:rsidR="004079D0">
        <w:t xml:space="preserve">Glutamate </w:t>
      </w:r>
      <w:r w:rsidRPr="00D357B1">
        <w:t xml:space="preserve">gated chloride channel receptors have not been demonstrated in vertebrates and most of the adverse effects of the </w:t>
      </w:r>
      <w:proofErr w:type="spellStart"/>
      <w:r w:rsidRPr="00D357B1">
        <w:t>avermectin</w:t>
      </w:r>
      <w:proofErr w:type="spellEnd"/>
      <w:r w:rsidRPr="00D357B1">
        <w:t xml:space="preserve"> class in mammals pertain to their positive allosteric modulator effects on </w:t>
      </w:r>
      <w:r w:rsidR="004079D0">
        <w:t>g</w:t>
      </w:r>
      <w:r w:rsidR="004079D0" w:rsidRPr="004079D0">
        <w:t>amma-</w:t>
      </w:r>
      <w:proofErr w:type="spellStart"/>
      <w:r w:rsidR="004079D0" w:rsidRPr="004079D0">
        <w:t>aminobutyric</w:t>
      </w:r>
      <w:proofErr w:type="spellEnd"/>
      <w:r w:rsidR="004079D0" w:rsidRPr="004079D0">
        <w:t xml:space="preserve"> acid receptor class A </w:t>
      </w:r>
      <w:r w:rsidR="004079D0">
        <w:t>(</w:t>
      </w:r>
      <w:r w:rsidRPr="00D357B1">
        <w:t>GABA-A</w:t>
      </w:r>
      <w:r w:rsidR="004079D0">
        <w:t>)</w:t>
      </w:r>
      <w:r w:rsidRPr="00D357B1">
        <w:t xml:space="preserve"> gated chloride channels, particularly in the </w:t>
      </w:r>
      <w:r w:rsidR="004079D0">
        <w:t>c</w:t>
      </w:r>
      <w:r w:rsidR="004079D0" w:rsidRPr="004079D0">
        <w:t xml:space="preserve">entral nervous system </w:t>
      </w:r>
      <w:r w:rsidR="004079D0">
        <w:t>(</w:t>
      </w:r>
      <w:r w:rsidRPr="00D357B1">
        <w:t>CNS</w:t>
      </w:r>
      <w:r w:rsidR="004079D0">
        <w:t>)</w:t>
      </w:r>
      <w:r w:rsidRPr="00D357B1">
        <w:t xml:space="preserve"> under overdose conditions o</w:t>
      </w:r>
      <w:r w:rsidR="004079D0">
        <w:t xml:space="preserve">r in animals displaying a blood brain </w:t>
      </w:r>
      <w:r w:rsidRPr="00D357B1">
        <w:t xml:space="preserve">barrier ABC </w:t>
      </w:r>
      <w:r w:rsidR="004079D0">
        <w:t xml:space="preserve">B1 transporter (the major blood brain </w:t>
      </w:r>
      <w:r w:rsidRPr="00D357B1">
        <w:t>barrier ivermectin efflux transporter) deficiency phenotype</w:t>
      </w:r>
      <w:r w:rsidR="00902337">
        <w:t xml:space="preserve">. </w:t>
      </w:r>
      <w:r w:rsidRPr="00D357B1">
        <w:t>Both the GABA-A and glutamate rece</w:t>
      </w:r>
      <w:r w:rsidR="004079D0">
        <w:t xml:space="preserve">ptor types belong to the ligand </w:t>
      </w:r>
      <w:r w:rsidRPr="00D357B1">
        <w:t>gated ion channel superfamily and exert their</w:t>
      </w:r>
      <w:r w:rsidR="006B3CF6">
        <w:t xml:space="preserve"> effects by potentiating ligand </w:t>
      </w:r>
      <w:r w:rsidRPr="00D357B1">
        <w:t>gated ion currents (notably glutamate gated chloride channels in the CNS of invertebrates and GABA type A gated chloride currents in the mammalian CNS).</w:t>
      </w:r>
    </w:p>
    <w:p w14:paraId="6AD89AD0" w14:textId="77777777" w:rsidR="00D357B1" w:rsidRPr="00D357B1" w:rsidRDefault="00D357B1" w:rsidP="00D357B1">
      <w:proofErr w:type="spellStart"/>
      <w:r w:rsidRPr="00D357B1">
        <w:t>Avermectins</w:t>
      </w:r>
      <w:proofErr w:type="spellEnd"/>
      <w:r w:rsidRPr="00D357B1">
        <w:t xml:space="preserve"> are also reported to i</w:t>
      </w:r>
      <w:r w:rsidR="004079D0">
        <w:t xml:space="preserve">nhibit lipopolysaccharide (LPS) </w:t>
      </w:r>
      <w:r w:rsidRPr="00D357B1">
        <w:t>induced inflammation and the sponsor has presented da</w:t>
      </w:r>
      <w:r w:rsidR="004079D0">
        <w:t xml:space="preserve">ta that demonstrates ivermectin </w:t>
      </w:r>
      <w:r w:rsidRPr="00D357B1">
        <w:t xml:space="preserve">induced anti-inflammatory effects in animal models of skin inflammation </w:t>
      </w:r>
      <w:r w:rsidRPr="004079D0">
        <w:t xml:space="preserve">and </w:t>
      </w:r>
      <w:proofErr w:type="spellStart"/>
      <w:r w:rsidRPr="004079D0">
        <w:t>atopy</w:t>
      </w:r>
      <w:proofErr w:type="spellEnd"/>
      <w:r w:rsidR="00902337" w:rsidRPr="004079D0">
        <w:t xml:space="preserve">. </w:t>
      </w:r>
      <w:r w:rsidRPr="00D357B1">
        <w:t>These studies are evaluated in the secondary pharmacodynamics section since they are not the primary pharmacological action of ivermectin and may have a somewhat different mode of ac</w:t>
      </w:r>
      <w:r w:rsidR="006B3CF6">
        <w:t xml:space="preserve">tion than its effects on ligand </w:t>
      </w:r>
      <w:r w:rsidRPr="00D357B1">
        <w:t>gated ion channels.</w:t>
      </w:r>
    </w:p>
    <w:p w14:paraId="6AD89AD1" w14:textId="77777777" w:rsidR="00D357B1" w:rsidRPr="00D357B1" w:rsidRDefault="00D357B1" w:rsidP="00D357B1">
      <w:r w:rsidRPr="00D357B1">
        <w:t>Based on the models of acute inflammation evaluated, 1% topical ivermectin appeared to display greater efficacy over the lower tested concentrations</w:t>
      </w:r>
      <w:r w:rsidR="00902337">
        <w:t xml:space="preserve">. </w:t>
      </w:r>
      <w:r w:rsidRPr="00D357B1">
        <w:t xml:space="preserve">However since relevant animal models of human rosacea are not available, efficacy, efficacy thresholds and dose selection could not be assessed </w:t>
      </w:r>
      <w:r w:rsidR="006B3CF6">
        <w:t>in the nonclinical evaluation.</w:t>
      </w:r>
    </w:p>
    <w:p w14:paraId="6AD89AD2" w14:textId="6E27A824" w:rsidR="00D357B1" w:rsidRPr="00D357B1" w:rsidRDefault="00D357B1" w:rsidP="00D357B1">
      <w:r w:rsidRPr="00D357B1">
        <w:t>The pro</w:t>
      </w:r>
      <w:r w:rsidR="006B3CF6">
        <w:t>posed repeated sub-acute to sub-</w:t>
      </w:r>
      <w:r w:rsidRPr="00D357B1">
        <w:t>chronic pattern of use of Soolantra cream is markedly different from the currently approved pattern of human use of ivermectin in Australia (</w:t>
      </w:r>
      <w:proofErr w:type="spellStart"/>
      <w:r w:rsidRPr="00D357B1">
        <w:t>Stromectol</w:t>
      </w:r>
      <w:proofErr w:type="spellEnd"/>
      <w:r w:rsidRPr="00D357B1">
        <w:t xml:space="preserve"> for the treatment of parasitism)</w:t>
      </w:r>
      <w:r w:rsidR="00902337">
        <w:t xml:space="preserve">. </w:t>
      </w:r>
      <w:proofErr w:type="spellStart"/>
      <w:r w:rsidRPr="00D357B1">
        <w:t>St</w:t>
      </w:r>
      <w:r w:rsidR="004079D0">
        <w:t>romectol</w:t>
      </w:r>
      <w:proofErr w:type="spellEnd"/>
      <w:r w:rsidR="004079D0">
        <w:t xml:space="preserve"> is administered at 150 to </w:t>
      </w:r>
      <w:r w:rsidRPr="00D357B1">
        <w:t>200 µg/kg BW</w:t>
      </w:r>
      <w:r w:rsidR="004079D0">
        <w:t>,</w:t>
      </w:r>
      <w:r w:rsidRPr="00D357B1">
        <w:t xml:space="preserve"> with repeat dose intervals of intervals of ≥ 7 days for scabies (maximum of 2 doses)</w:t>
      </w:r>
      <w:r w:rsidR="00F76A01">
        <w:t>,</w:t>
      </w:r>
      <w:r w:rsidRPr="00D357B1">
        <w:t xml:space="preserve"> and ≥ 3 </w:t>
      </w:r>
      <w:r w:rsidR="006B3CF6">
        <w:t>months for internal parasitism.</w:t>
      </w:r>
      <w:r w:rsidRPr="006B3CF6">
        <w:rPr>
          <w:vertAlign w:val="superscript"/>
        </w:rPr>
        <w:footnoteReference w:id="1"/>
      </w:r>
      <w:r w:rsidR="006B3CF6">
        <w:t xml:space="preserve"> </w:t>
      </w:r>
      <w:r w:rsidRPr="00D357B1">
        <w:t xml:space="preserve">The oral bioavailability of ivermectin in the form of </w:t>
      </w:r>
      <w:proofErr w:type="spellStart"/>
      <w:r w:rsidRPr="00D357B1">
        <w:t>Stromectol</w:t>
      </w:r>
      <w:proofErr w:type="spellEnd"/>
      <w:r w:rsidRPr="00D357B1">
        <w:t xml:space="preserve"> administered in the fasting state is </w:t>
      </w:r>
      <w:r w:rsidR="006B3CF6">
        <w:t xml:space="preserve">approximately 40 to </w:t>
      </w:r>
      <w:r w:rsidRPr="00D357B1">
        <w:t>50% (dosing following a high fat meal</w:t>
      </w:r>
      <w:r w:rsidR="006B3CF6">
        <w:t xml:space="preserve"> resulted in an approximate 2.5 </w:t>
      </w:r>
      <w:r w:rsidRPr="00D357B1">
        <w:t>fold increase in bioavailability)</w:t>
      </w:r>
      <w:r w:rsidR="00902337">
        <w:t xml:space="preserve">. </w:t>
      </w:r>
      <w:r w:rsidRPr="00D357B1">
        <w:t>The scheduled dosing intervals are such that there is no systemic ivermectin bioaccumulation.</w:t>
      </w:r>
    </w:p>
    <w:p w14:paraId="6AD89AD3" w14:textId="77777777" w:rsidR="00D357B1" w:rsidRPr="00D357B1" w:rsidRDefault="00D357B1" w:rsidP="00D357B1">
      <w:r w:rsidRPr="00D357B1">
        <w:t>The sponsor has not provided studies that specifically examined the absolute or relative ivermecti</w:t>
      </w:r>
      <w:r w:rsidR="006B3CF6">
        <w:t xml:space="preserve">n bioavailability of Soolantra </w:t>
      </w:r>
      <w:r w:rsidRPr="00D357B1">
        <w:t>cream, although they have clearly demonstrated slow accumulation of this drug</w:t>
      </w:r>
      <w:r w:rsidR="00902337">
        <w:t xml:space="preserve">. </w:t>
      </w:r>
      <w:r w:rsidRPr="00D357B1">
        <w:t>The sponsor has provided a rough estimate of topical ivermectin relative bioavailability from So</w:t>
      </w:r>
      <w:r w:rsidR="006B3CF6">
        <w:t xml:space="preserve">olantra </w:t>
      </w:r>
      <w:r w:rsidRPr="00D357B1">
        <w:t xml:space="preserve">cream under steady state conditions in humans of 16% (based on </w:t>
      </w:r>
      <w:r w:rsidR="00F941D7">
        <w:t>Study</w:t>
      </w:r>
      <w:r w:rsidRPr="00D357B1">
        <w:t xml:space="preserve"> RD.06.SRE.18120; 4 weeks of once per day</w:t>
      </w:r>
      <w:r w:rsidR="00463188">
        <w:t xml:space="preserve"> (</w:t>
      </w:r>
      <w:r w:rsidR="00FD3E5F">
        <w:t>QD</w:t>
      </w:r>
      <w:r w:rsidR="00463188">
        <w:t>)</w:t>
      </w:r>
      <w:r w:rsidRPr="00D357B1">
        <w:t xml:space="preserve"> topical application of 1 g of 1% ivermectin cream applied to 3% of body surface area of patients with severe </w:t>
      </w:r>
      <w:proofErr w:type="spellStart"/>
      <w:r w:rsidR="00F475F1">
        <w:t>papulo</w:t>
      </w:r>
      <w:proofErr w:type="spellEnd"/>
      <w:r w:rsidR="00F475F1">
        <w:t>-pustular</w:t>
      </w:r>
      <w:r w:rsidRPr="00D357B1">
        <w:t xml:space="preserve"> rosacea using the proposed market formulation</w:t>
      </w:r>
      <w:r w:rsidR="00CA539B">
        <w:t>,</w:t>
      </w:r>
      <w:r w:rsidRPr="00D357B1">
        <w:t xml:space="preserve"> </w:t>
      </w:r>
      <w:r w:rsidR="00F941D7">
        <w:t xml:space="preserve">that is </w:t>
      </w:r>
      <w:r w:rsidR="00463188">
        <w:t>10 </w:t>
      </w:r>
      <w:r w:rsidRPr="00D357B1">
        <w:t xml:space="preserve">mg/day or </w:t>
      </w:r>
      <w:r w:rsidR="006B3CF6">
        <w:t xml:space="preserve">approximately 167 </w:t>
      </w:r>
      <w:r w:rsidRPr="00D357B1">
        <w:t xml:space="preserve">µg/kg BW </w:t>
      </w:r>
      <w:r w:rsidR="00F941D7">
        <w:t>(</w:t>
      </w:r>
      <w:r w:rsidRPr="00D357B1">
        <w:t>topical exposure</w:t>
      </w:r>
      <w:r w:rsidR="00F941D7">
        <w:t>)</w:t>
      </w:r>
      <w:r w:rsidR="00CA539B">
        <w:t xml:space="preserve"> based on a body weight of 60 </w:t>
      </w:r>
      <w:r w:rsidRPr="00D357B1">
        <w:t>kg) relative</w:t>
      </w:r>
      <w:r w:rsidR="00463188">
        <w:t xml:space="preserve"> to a single oral 6 mg dose of </w:t>
      </w:r>
      <w:proofErr w:type="spellStart"/>
      <w:r w:rsidRPr="00D357B1">
        <w:t>Stromectol</w:t>
      </w:r>
      <w:proofErr w:type="spellEnd"/>
      <w:r w:rsidRPr="00D357B1">
        <w:t xml:space="preserve"> in humans (</w:t>
      </w:r>
      <w:r w:rsidR="006B3CF6">
        <w:t>approximately</w:t>
      </w:r>
      <w:r w:rsidR="00F941D7">
        <w:t xml:space="preserve"> 82 </w:t>
      </w:r>
      <w:r w:rsidRPr="00D357B1">
        <w:t>µg/kg BW based on mean study subject body weight of 73.5</w:t>
      </w:r>
      <w:r w:rsidR="00CA539B">
        <w:t xml:space="preserve"> </w:t>
      </w:r>
      <w:r w:rsidRPr="00D357B1">
        <w:t>kg) administered under fasting conditions</w:t>
      </w:r>
      <w:r w:rsidR="00F941D7">
        <w:t>.</w:t>
      </w:r>
    </w:p>
    <w:p w14:paraId="6AD89AD4" w14:textId="77777777" w:rsidR="00D357B1" w:rsidRPr="00D357B1" w:rsidRDefault="00D357B1" w:rsidP="00D357B1">
      <w:r w:rsidRPr="00D357B1">
        <w:t xml:space="preserve">Based on the known bioavailability of oral </w:t>
      </w:r>
      <w:proofErr w:type="spellStart"/>
      <w:r w:rsidRPr="00D357B1">
        <w:t>Stromectol</w:t>
      </w:r>
      <w:proofErr w:type="spellEnd"/>
      <w:r w:rsidRPr="00D357B1">
        <w:t xml:space="preserve"> under fasting conditions of 50%, an 82 µg/kg BW dose would have resulted in a systemic exposure </w:t>
      </w:r>
      <w:proofErr w:type="gramStart"/>
      <w:r w:rsidRPr="00D357B1">
        <w:t xml:space="preserve">of </w:t>
      </w:r>
      <w:r w:rsidR="006B3CF6">
        <w:t>approximately</w:t>
      </w:r>
      <w:r w:rsidRPr="00D357B1">
        <w:t xml:space="preserve"> 41 µg/kg BW</w:t>
      </w:r>
      <w:proofErr w:type="gramEnd"/>
      <w:r w:rsidR="00902337">
        <w:t xml:space="preserve">. </w:t>
      </w:r>
      <w:r w:rsidRPr="00D357B1">
        <w:t xml:space="preserve">Using crude comparisons, the use of </w:t>
      </w:r>
      <w:r w:rsidR="00F941D7">
        <w:t>Soolantra cream</w:t>
      </w:r>
      <w:r w:rsidRPr="00D357B1">
        <w:t xml:space="preserve"> under the steady state conditions described above would have resulted in a systemic exposure of 16% of that of </w:t>
      </w:r>
      <w:r w:rsidRPr="00D357B1">
        <w:lastRenderedPageBreak/>
        <w:t xml:space="preserve">oral </w:t>
      </w:r>
      <w:proofErr w:type="spellStart"/>
      <w:r w:rsidRPr="00D357B1">
        <w:t>Stromectol</w:t>
      </w:r>
      <w:proofErr w:type="spellEnd"/>
      <w:r w:rsidRPr="00D357B1">
        <w:t xml:space="preserve"> </w:t>
      </w:r>
      <w:r w:rsidR="00F941D7">
        <w:t xml:space="preserve">that is </w:t>
      </w:r>
      <w:r w:rsidRPr="00D357B1">
        <w:t xml:space="preserve">16% of 50% = 8% or 0.08 x 167 µg/kg BW </w:t>
      </w:r>
      <w:r w:rsidR="006B3CF6">
        <w:t>approximately</w:t>
      </w:r>
      <w:r w:rsidR="00F941D7">
        <w:t xml:space="preserve"> 13.4 </w:t>
      </w:r>
      <w:r w:rsidRPr="00D357B1">
        <w:t>µg/kg BW</w:t>
      </w:r>
      <w:r w:rsidR="00902337">
        <w:t xml:space="preserve">. </w:t>
      </w:r>
      <w:r w:rsidR="00CA539B">
        <w:t>Thus</w:t>
      </w:r>
      <w:r w:rsidRPr="00D357B1">
        <w:t xml:space="preserve"> using very approximate and crude comparisons, the systemic exposure due to the use of </w:t>
      </w:r>
      <w:r w:rsidR="00F941D7">
        <w:t>Soolantra cream</w:t>
      </w:r>
      <w:r w:rsidRPr="00D357B1">
        <w:t xml:space="preserve"> under steady state conditions was </w:t>
      </w:r>
      <w:r w:rsidR="006B3CF6">
        <w:t>approximately</w:t>
      </w:r>
      <w:r w:rsidRPr="00D357B1">
        <w:t xml:space="preserve"> 3 </w:t>
      </w:r>
      <w:r w:rsidR="00463188">
        <w:t>times</w:t>
      </w:r>
      <w:r w:rsidRPr="00D357B1">
        <w:t xml:space="preserve"> lower than that associated with a single, acute 6 mg oral dose of </w:t>
      </w:r>
      <w:proofErr w:type="spellStart"/>
      <w:r w:rsidRPr="00D357B1">
        <w:t>Stromectol</w:t>
      </w:r>
      <w:proofErr w:type="spellEnd"/>
      <w:r w:rsidR="00902337">
        <w:t xml:space="preserve">. </w:t>
      </w:r>
      <w:r w:rsidRPr="00D357B1">
        <w:t xml:space="preserve">Applying this calculation to the maximum approved dose level of </w:t>
      </w:r>
      <w:proofErr w:type="spellStart"/>
      <w:r w:rsidRPr="00D357B1">
        <w:t>Stromectol</w:t>
      </w:r>
      <w:proofErr w:type="spellEnd"/>
      <w:r w:rsidRPr="00D357B1">
        <w:t xml:space="preserve"> in Australia, the systemic exposure due to the use of </w:t>
      </w:r>
      <w:r w:rsidR="00F941D7">
        <w:t>Soolantra cream</w:t>
      </w:r>
      <w:r w:rsidRPr="00D357B1">
        <w:t xml:space="preserve"> under steady state cond</w:t>
      </w:r>
      <w:r w:rsidR="00F941D7">
        <w:t xml:space="preserve">itions would be expected to be </w:t>
      </w:r>
      <w:r w:rsidR="006B3CF6">
        <w:t>approximately</w:t>
      </w:r>
      <w:r w:rsidRPr="00D357B1">
        <w:t xml:space="preserve"> 7.5 </w:t>
      </w:r>
      <w:r w:rsidR="00463188">
        <w:t>times</w:t>
      </w:r>
      <w:r w:rsidRPr="00D357B1">
        <w:t xml:space="preserve"> lower than that associated with a 200 µg/kg BW oral dose of </w:t>
      </w:r>
      <w:proofErr w:type="spellStart"/>
      <w:r w:rsidRPr="00D357B1">
        <w:t>Stromectol</w:t>
      </w:r>
      <w:proofErr w:type="spellEnd"/>
      <w:r w:rsidR="00902337">
        <w:t xml:space="preserve">. </w:t>
      </w:r>
      <w:r w:rsidRPr="00D357B1">
        <w:t>However it should be noted that these crude systemic exposure comparisons are based on comparing a 4 week repeated dermal exposure study with a single acute oral exposure and do not necessarily take into account all potential effects, particularly any cumulative effects.</w:t>
      </w:r>
    </w:p>
    <w:p w14:paraId="6AD89AD5" w14:textId="77777777" w:rsidR="00D357B1" w:rsidRPr="00D357B1" w:rsidRDefault="00D357B1" w:rsidP="00D357B1">
      <w:r w:rsidRPr="00D357B1">
        <w:t xml:space="preserve">Since one of the major pathways of systemic ivermectin elimination is via </w:t>
      </w:r>
      <w:proofErr w:type="spellStart"/>
      <w:r w:rsidRPr="00D357B1">
        <w:t>enteroth</w:t>
      </w:r>
      <w:r w:rsidR="00F941D7">
        <w:t>elial</w:t>
      </w:r>
      <w:proofErr w:type="spellEnd"/>
      <w:r w:rsidR="00F941D7">
        <w:t xml:space="preserve"> ABC B1</w:t>
      </w:r>
      <w:r w:rsidR="00CA539B">
        <w:t>(P-</w:t>
      </w:r>
      <w:proofErr w:type="spellStart"/>
      <w:r w:rsidR="00CA539B">
        <w:t>gp</w:t>
      </w:r>
      <w:proofErr w:type="spellEnd"/>
      <w:r w:rsidR="00CA539B">
        <w:t>)</w:t>
      </w:r>
      <w:r w:rsidR="00F941D7">
        <w:t xml:space="preserve"> efflux transporter </w:t>
      </w:r>
      <w:r w:rsidRPr="00D357B1">
        <w:t>mediated excretion into</w:t>
      </w:r>
      <w:r w:rsidR="00CA539B">
        <w:t xml:space="preserve"> the gut lumen, the chronic low </w:t>
      </w:r>
      <w:r w:rsidRPr="00D357B1">
        <w:t>level systemic exposures associated with Soolantra raise possible concerns regarding the induction of hu</w:t>
      </w:r>
      <w:r w:rsidR="00F941D7">
        <w:t xml:space="preserve">man </w:t>
      </w:r>
      <w:r w:rsidRPr="00D357B1">
        <w:t>relevant anthelmintic resistance to ivermectin</w:t>
      </w:r>
      <w:r w:rsidR="00902337">
        <w:t xml:space="preserve">. </w:t>
      </w:r>
      <w:r w:rsidRPr="00D357B1">
        <w:t xml:space="preserve">Helminth and other parasite resistance to ivermectin and selection of resistance traits that reduce the effectiveness of the entire </w:t>
      </w:r>
      <w:proofErr w:type="spellStart"/>
      <w:r w:rsidRPr="00D357B1">
        <w:t>avermectin</w:t>
      </w:r>
      <w:proofErr w:type="spellEnd"/>
      <w:r w:rsidRPr="00D357B1">
        <w:t xml:space="preserve"> class have become a very substantial problem in veterinary medicine and this problem already critically limits control of parasites in humans</w:t>
      </w:r>
      <w:r w:rsidR="00902337">
        <w:t xml:space="preserve">. </w:t>
      </w:r>
      <w:r w:rsidRPr="00D357B1">
        <w:t>Selection</w:t>
      </w:r>
      <w:r w:rsidR="00F941D7">
        <w:t xml:space="preserve"> pressure associated with under dosing and parasite under </w:t>
      </w:r>
      <w:r w:rsidRPr="00D357B1">
        <w:t>exposure has been classically associated with the emergence of this phenomenon.</w:t>
      </w:r>
    </w:p>
    <w:p w14:paraId="6AD89AD6" w14:textId="77777777" w:rsidR="00D357B1" w:rsidRPr="00D357B1" w:rsidRDefault="00D357B1" w:rsidP="00D357B1">
      <w:pPr>
        <w:pStyle w:val="Heading4"/>
      </w:pPr>
      <w:r w:rsidRPr="00D357B1">
        <w:t>Secondary pharmacodynamics and safety pharmacology</w:t>
      </w:r>
    </w:p>
    <w:p w14:paraId="6AD89AD7" w14:textId="77777777" w:rsidR="00D357B1" w:rsidRPr="00D357B1" w:rsidRDefault="00D357B1" w:rsidP="00D357B1">
      <w:r w:rsidRPr="00D357B1">
        <w:t>The sponsor has provid</w:t>
      </w:r>
      <w:r w:rsidR="00F941D7">
        <w:t xml:space="preserve">ed clear evidence of ivermectin </w:t>
      </w:r>
      <w:r w:rsidRPr="00D357B1">
        <w:t xml:space="preserve">induced suppression of acute </w:t>
      </w:r>
      <w:r w:rsidR="00F941D7">
        <w:t xml:space="preserve">(single exposure) skin irritant </w:t>
      </w:r>
      <w:r w:rsidR="009D17DE">
        <w:t>induced inflammation</w:t>
      </w:r>
      <w:r w:rsidRPr="00D357B1">
        <w:t xml:space="preserve"> in relevant mouse models and</w:t>
      </w:r>
      <w:r w:rsidR="00F941D7">
        <w:t xml:space="preserve"> some </w:t>
      </w:r>
      <w:proofErr w:type="spellStart"/>
      <w:r w:rsidR="00F941D7">
        <w:t>atopy</w:t>
      </w:r>
      <w:proofErr w:type="spellEnd"/>
      <w:r w:rsidR="00F941D7">
        <w:t xml:space="preserve"> </w:t>
      </w:r>
      <w:r w:rsidRPr="00D357B1">
        <w:t xml:space="preserve">like effects in a </w:t>
      </w:r>
      <w:proofErr w:type="spellStart"/>
      <w:r w:rsidRPr="00D357B1">
        <w:t>Dermatophagoides</w:t>
      </w:r>
      <w:proofErr w:type="spellEnd"/>
      <w:r w:rsidRPr="00D357B1">
        <w:t xml:space="preserve"> </w:t>
      </w:r>
      <w:proofErr w:type="spellStart"/>
      <w:r w:rsidRPr="00D357B1">
        <w:t>farinae</w:t>
      </w:r>
      <w:proofErr w:type="spellEnd"/>
      <w:r w:rsidRPr="00D357B1">
        <w:t xml:space="preserve"> (American house dust mite) antigen mouse model of human atopic dermatitis. Notably these effects were only evaluated in female </w:t>
      </w:r>
      <w:proofErr w:type="spellStart"/>
      <w:r w:rsidRPr="00D357B1">
        <w:t>Balb</w:t>
      </w:r>
      <w:proofErr w:type="spellEnd"/>
      <w:r w:rsidRPr="00D357B1">
        <w:t>/c mice</w:t>
      </w:r>
      <w:r w:rsidR="00902337">
        <w:t xml:space="preserve">. </w:t>
      </w:r>
      <w:r w:rsidRPr="00D357B1">
        <w:t xml:space="preserve">The inherent assumption associated with this evidence base is that suppression of acute skin inflammation will also provide suppression of cumulative skin irritancy associated with </w:t>
      </w:r>
      <w:proofErr w:type="spellStart"/>
      <w:r w:rsidR="00F475F1">
        <w:t>papulo</w:t>
      </w:r>
      <w:proofErr w:type="spellEnd"/>
      <w:r w:rsidR="00F475F1">
        <w:t>-pustular</w:t>
      </w:r>
      <w:r w:rsidRPr="00D357B1">
        <w:t xml:space="preserve"> rosacea</w:t>
      </w:r>
      <w:r w:rsidR="00902337">
        <w:t xml:space="preserve">. </w:t>
      </w:r>
      <w:r w:rsidRPr="00D357B1">
        <w:t xml:space="preserve">Notably the </w:t>
      </w:r>
      <w:r w:rsidR="009D6CCA">
        <w:t>nonclinical</w:t>
      </w:r>
      <w:r w:rsidRPr="00D357B1">
        <w:t xml:space="preserve"> studies suggest 1% </w:t>
      </w:r>
      <w:r w:rsidR="00463188" w:rsidRPr="00D357B1">
        <w:t>ivermectin</w:t>
      </w:r>
      <w:r w:rsidRPr="00D357B1">
        <w:t xml:space="preserve"> is superior to 0.3% or 0.1% in terms of anti-inflammatory effects</w:t>
      </w:r>
      <w:r w:rsidR="00902337">
        <w:t xml:space="preserve">. </w:t>
      </w:r>
      <w:r w:rsidRPr="00D357B1">
        <w:t>However given the lack of animal models of rosacea the data are insufficient to determine if ivermectin c</w:t>
      </w:r>
      <w:r w:rsidR="00F941D7">
        <w:t>oncentrations &lt; 1% can be used.</w:t>
      </w:r>
    </w:p>
    <w:p w14:paraId="6AD89AD8" w14:textId="77777777" w:rsidR="004334C7" w:rsidRPr="004334C7" w:rsidRDefault="00FC7051" w:rsidP="00AF35D8">
      <w:r>
        <w:t xml:space="preserve">Supra </w:t>
      </w:r>
      <w:r w:rsidR="00D357B1" w:rsidRPr="00D357B1">
        <w:t>therapeutic doses of ivermectin reduce gastric emptying and intestinal transit time (probably via actions on gut metabotropic GABA B receptors)</w:t>
      </w:r>
      <w:r w:rsidR="00902337">
        <w:t xml:space="preserve">. </w:t>
      </w:r>
      <w:r w:rsidR="00D357B1" w:rsidRPr="00D357B1">
        <w:t>This has potential implications for oral drug absorption</w:t>
      </w:r>
      <w:r w:rsidR="00902337">
        <w:t xml:space="preserve">. </w:t>
      </w:r>
      <w:r>
        <w:t xml:space="preserve">Additionally, supra </w:t>
      </w:r>
      <w:r w:rsidR="00D357B1" w:rsidRPr="00D357B1">
        <w:t>therapeutic doses of ivermectin result in reductions in motor activity (probably via effects on CNS GABA A systems following overwhelming of blood brain barrier ABC B1 efflux transporters)</w:t>
      </w:r>
      <w:r w:rsidR="00902337">
        <w:t xml:space="preserve">. </w:t>
      </w:r>
      <w:r w:rsidR="00D357B1" w:rsidRPr="00D357B1">
        <w:t xml:space="preserve">The CNS effects will be at least additive/subtractive with the effects of other CNS GABA </w:t>
      </w:r>
      <w:proofErr w:type="gramStart"/>
      <w:r w:rsidR="00D357B1" w:rsidRPr="00D357B1">
        <w:t>A</w:t>
      </w:r>
      <w:proofErr w:type="gramEnd"/>
      <w:r w:rsidR="00D357B1" w:rsidRPr="00D357B1">
        <w:t xml:space="preserve"> agents, notably ethanol</w:t>
      </w:r>
      <w:r w:rsidR="00902337">
        <w:t xml:space="preserve">. </w:t>
      </w:r>
      <w:r w:rsidR="00D357B1" w:rsidRPr="00D357B1">
        <w:t>Ivermectin is an efficient inhibitor of human breast cancer resistance protein (BCRP, ABC G2) which may inc</w:t>
      </w:r>
      <w:r w:rsidR="00E35366">
        <w:t xml:space="preserve">rease </w:t>
      </w:r>
      <w:r w:rsidR="00CE323A">
        <w:t>fet</w:t>
      </w:r>
      <w:r w:rsidR="00E35366">
        <w:t xml:space="preserve">al and neonatal trans </w:t>
      </w:r>
      <w:r w:rsidR="00D357B1" w:rsidRPr="00D357B1">
        <w:t>ma</w:t>
      </w:r>
      <w:r w:rsidR="00E35366">
        <w:t xml:space="preserve">mmary exposure to BCRP </w:t>
      </w:r>
      <w:r w:rsidR="00D357B1" w:rsidRPr="00D357B1">
        <w:t>relevant pharmaceutical substrates due to inhibition of this placental and mammary gland efflux transporter</w:t>
      </w:r>
      <w:r>
        <w:t>.</w:t>
      </w:r>
    </w:p>
    <w:p w14:paraId="6AD89AD9" w14:textId="77777777" w:rsidR="008E7846" w:rsidRDefault="008E7846" w:rsidP="008E7846">
      <w:pPr>
        <w:pStyle w:val="Heading3"/>
      </w:pPr>
      <w:bookmarkStart w:id="45" w:name="_Toc247691513"/>
      <w:bookmarkStart w:id="46" w:name="_Toc314842497"/>
      <w:bookmarkStart w:id="47" w:name="_Toc437418388"/>
      <w:r>
        <w:t>Pharmacokinetics</w:t>
      </w:r>
      <w:bookmarkEnd w:id="45"/>
      <w:bookmarkEnd w:id="46"/>
      <w:bookmarkEnd w:id="47"/>
    </w:p>
    <w:p w14:paraId="6AD89ADA" w14:textId="77777777" w:rsidR="00D357B1" w:rsidRDefault="00FC7051" w:rsidP="00D357B1">
      <w:pPr>
        <w:pStyle w:val="Heading4"/>
      </w:pPr>
      <w:bookmarkStart w:id="48" w:name="_Toc247691514"/>
      <w:bookmarkStart w:id="49" w:name="_Toc314842498"/>
      <w:r>
        <w:t>Absorption</w:t>
      </w:r>
    </w:p>
    <w:p w14:paraId="6AD89ADB" w14:textId="77777777" w:rsidR="00D357B1" w:rsidRPr="00D357B1" w:rsidRDefault="00D357B1" w:rsidP="00D357B1">
      <w:r w:rsidRPr="000028DF">
        <w:t xml:space="preserve">Dermal application of Soolantra results in relatively low absorption of ivermectin (very crude </w:t>
      </w:r>
      <w:r w:rsidR="000028DF" w:rsidRPr="000028DF">
        <w:t>approximated</w:t>
      </w:r>
      <w:r w:rsidRPr="000028DF">
        <w:t xml:space="preserve"> </w:t>
      </w:r>
      <w:proofErr w:type="spellStart"/>
      <w:r w:rsidRPr="000028DF">
        <w:t>F</w:t>
      </w:r>
      <w:r w:rsidRPr="000028DF">
        <w:rPr>
          <w:vertAlign w:val="subscript"/>
        </w:rPr>
        <w:t>Absolute</w:t>
      </w:r>
      <w:proofErr w:type="spellEnd"/>
      <w:r w:rsidRPr="000028DF">
        <w:t xml:space="preserve"> (Dermal:</w:t>
      </w:r>
      <w:r w:rsidR="00D653C0">
        <w:t xml:space="preserve"> </w:t>
      </w:r>
      <w:r w:rsidRPr="000028DF">
        <w:t xml:space="preserve">IV) </w:t>
      </w:r>
      <w:r w:rsidR="006B3CF6" w:rsidRPr="000028DF">
        <w:t>approximately</w:t>
      </w:r>
      <w:r w:rsidR="000028DF">
        <w:t xml:space="preserve"> </w:t>
      </w:r>
      <w:r w:rsidR="000028DF" w:rsidRPr="000028DF">
        <w:t>8%</w:t>
      </w:r>
      <w:r w:rsidRPr="000028DF">
        <w:t xml:space="preserve">; </w:t>
      </w:r>
      <w:r w:rsidR="006B3CF6" w:rsidRPr="000028DF">
        <w:t>approximately</w:t>
      </w:r>
      <w:r w:rsidR="00FC7051" w:rsidRPr="000028DF">
        <w:t xml:space="preserve"> </w:t>
      </w:r>
      <w:r w:rsidRPr="000028DF">
        <w:t xml:space="preserve">7.5 </w:t>
      </w:r>
      <w:r w:rsidR="009D17DE">
        <w:t>times</w:t>
      </w:r>
      <w:r w:rsidRPr="000028DF">
        <w:t xml:space="preserve"> lower </w:t>
      </w:r>
      <w:r w:rsidRPr="00D357B1">
        <w:t>than that associated with a single 200 µg</w:t>
      </w:r>
      <w:r w:rsidR="000028DF">
        <w:t xml:space="preserve">/kg BW oral dose of </w:t>
      </w:r>
      <w:proofErr w:type="spellStart"/>
      <w:r w:rsidR="000028DF">
        <w:t>Stromectol</w:t>
      </w:r>
      <w:proofErr w:type="spellEnd"/>
      <w:r w:rsidR="000028DF">
        <w:t xml:space="preserve"> </w:t>
      </w:r>
      <w:r w:rsidRPr="00D357B1">
        <w:t>in humans under steady state conditions, not accounting for any cumulative effects)</w:t>
      </w:r>
      <w:r w:rsidR="00902337">
        <w:t xml:space="preserve">. </w:t>
      </w:r>
      <w:r w:rsidR="00FC7051">
        <w:t xml:space="preserve">Systemic exposure displays flip flop, absorption </w:t>
      </w:r>
      <w:r w:rsidRPr="00D357B1">
        <w:t>limited pharmacokinetics</w:t>
      </w:r>
      <w:r w:rsidR="00902337">
        <w:t xml:space="preserve">. </w:t>
      </w:r>
      <w:r w:rsidRPr="00D357B1">
        <w:t xml:space="preserve">Accordingly the </w:t>
      </w:r>
      <w:r w:rsidR="00463188">
        <w:t>t</w:t>
      </w:r>
      <w:r w:rsidR="00463188" w:rsidRPr="00463188">
        <w:t xml:space="preserve">ime </w:t>
      </w:r>
      <w:r w:rsidR="00463188" w:rsidRPr="00463188">
        <w:lastRenderedPageBreak/>
        <w:t>taken to get a steady state of plasma concentration (</w:t>
      </w:r>
      <w:r w:rsidRPr="00463188">
        <w:t>T</w:t>
      </w:r>
      <w:r w:rsidRPr="00463188">
        <w:rPr>
          <w:vertAlign w:val="subscript"/>
        </w:rPr>
        <w:t>SS</w:t>
      </w:r>
      <w:r w:rsidR="00463188" w:rsidRPr="00463188">
        <w:t>)</w:t>
      </w:r>
      <w:r w:rsidRPr="00463188">
        <w:t xml:space="preserve"> and </w:t>
      </w:r>
      <w:r w:rsidR="009D17DE">
        <w:t>t</w:t>
      </w:r>
      <w:r w:rsidR="00463188" w:rsidRPr="00463188">
        <w:t>ime for plasma concentration half-life (</w:t>
      </w:r>
      <w:r w:rsidRPr="00463188">
        <w:t>T</w:t>
      </w:r>
      <w:r w:rsidRPr="00463188">
        <w:rPr>
          <w:vertAlign w:val="subscript"/>
        </w:rPr>
        <w:t>½</w:t>
      </w:r>
      <w:r w:rsidR="00463188" w:rsidRPr="00463188">
        <w:t>)</w:t>
      </w:r>
      <w:r w:rsidRPr="00463188">
        <w:t xml:space="preserve"> are relatively long </w:t>
      </w:r>
      <w:r w:rsidRPr="00BD1775">
        <w:t>(T</w:t>
      </w:r>
      <w:r w:rsidRPr="00BD1775">
        <w:rPr>
          <w:vertAlign w:val="subscript"/>
        </w:rPr>
        <w:t>SS</w:t>
      </w:r>
      <w:r w:rsidRPr="00BD1775">
        <w:t xml:space="preserve"> </w:t>
      </w:r>
      <w:r w:rsidR="006B3CF6" w:rsidRPr="00BD1775">
        <w:t>approximately</w:t>
      </w:r>
      <w:r w:rsidR="00FC7051" w:rsidRPr="00BD1775">
        <w:t xml:space="preserve"> 9 to </w:t>
      </w:r>
      <w:r w:rsidRPr="00BD1775">
        <w:t>20 days in humans; T</w:t>
      </w:r>
      <w:r w:rsidRPr="00BD1775">
        <w:rPr>
          <w:vertAlign w:val="subscript"/>
        </w:rPr>
        <w:t>½</w:t>
      </w:r>
      <w:r w:rsidRPr="00BD1775">
        <w:t xml:space="preserve"> </w:t>
      </w:r>
      <w:r w:rsidR="006B3CF6" w:rsidRPr="00BD1775">
        <w:t>approximately</w:t>
      </w:r>
      <w:r w:rsidR="00FC7051" w:rsidRPr="00BD1775">
        <w:t xml:space="preserve"> </w:t>
      </w:r>
      <w:r w:rsidR="00FC7051">
        <w:t xml:space="preserve">45 to </w:t>
      </w:r>
      <w:r w:rsidRPr="00D357B1">
        <w:t>97 hours).</w:t>
      </w:r>
    </w:p>
    <w:p w14:paraId="6AD89ADC" w14:textId="77777777" w:rsidR="00D357B1" w:rsidRDefault="00FC7051" w:rsidP="00D357B1">
      <w:pPr>
        <w:pStyle w:val="Heading4"/>
      </w:pPr>
      <w:r>
        <w:t>Distribution</w:t>
      </w:r>
    </w:p>
    <w:p w14:paraId="6AD89ADD" w14:textId="77777777" w:rsidR="00D357B1" w:rsidRPr="00D357B1" w:rsidRDefault="00D357B1" w:rsidP="00D357B1">
      <w:r w:rsidRPr="00D357B1">
        <w:t>The majority of topically applied ivermectin distributes to the lipophilic compartments of the skin</w:t>
      </w:r>
      <w:r w:rsidR="00902337">
        <w:t xml:space="preserve">. </w:t>
      </w:r>
      <w:r w:rsidRPr="00D357B1">
        <w:t>Systemically absorbed ivermectin is almost completely protein bound</w:t>
      </w:r>
      <w:r w:rsidR="00902337">
        <w:t xml:space="preserve">. </w:t>
      </w:r>
      <w:r w:rsidRPr="00D357B1">
        <w:t xml:space="preserve">The </w:t>
      </w:r>
      <w:r w:rsidR="00082D46">
        <w:t xml:space="preserve">volume of distribution at steady </w:t>
      </w:r>
      <w:r w:rsidR="00082D46" w:rsidRPr="00082D46">
        <w:t>state (</w:t>
      </w:r>
      <w:r w:rsidRPr="00082D46">
        <w:t>V</w:t>
      </w:r>
      <w:r w:rsidR="009D17DE">
        <w:rPr>
          <w:vertAlign w:val="subscript"/>
        </w:rPr>
        <w:t>D</w:t>
      </w:r>
      <w:r w:rsidRPr="00082D46">
        <w:rPr>
          <w:vertAlign w:val="subscript"/>
        </w:rPr>
        <w:t>SS</w:t>
      </w:r>
      <w:r w:rsidR="00082D46" w:rsidRPr="00082D46">
        <w:t>)</w:t>
      </w:r>
      <w:r w:rsidRPr="00082D46">
        <w:t xml:space="preserve"> in all </w:t>
      </w:r>
      <w:r w:rsidRPr="00D357B1">
        <w:t>examined</w:t>
      </w:r>
      <w:r w:rsidR="00BD1775">
        <w:t xml:space="preserve"> species, including humans, is </w:t>
      </w:r>
      <w:r w:rsidR="00082D46">
        <w:t>&gt; </w:t>
      </w:r>
      <w:r w:rsidRPr="00D357B1">
        <w:t>1 L/kg implying the presence of substantial sequestration with the</w:t>
      </w:r>
      <w:r w:rsidR="009D17DE">
        <w:t xml:space="preserve"> major site</w:t>
      </w:r>
      <w:r w:rsidRPr="00D357B1">
        <w:t xml:space="preserve"> </w:t>
      </w:r>
      <w:r w:rsidR="009D17DE">
        <w:t>for this</w:t>
      </w:r>
      <w:r w:rsidRPr="00D357B1">
        <w:t xml:space="preserve"> being the adipose tissues (particularly brown fat)</w:t>
      </w:r>
      <w:r w:rsidR="00902337">
        <w:t xml:space="preserve">. </w:t>
      </w:r>
      <w:r w:rsidRPr="00D357B1">
        <w:t>Repeated topical exposure was associated with a low level of diffusion into non-treated skin as well as progressive accumulation and redistribution to adipose tissues, particularly brown adipose tissue</w:t>
      </w:r>
      <w:r w:rsidR="00902337">
        <w:t xml:space="preserve">. </w:t>
      </w:r>
      <w:r w:rsidRPr="00D357B1">
        <w:t xml:space="preserve">The rate of decline of ivermectin levels in skin and adipose tissues is very slow and these sites act as </w:t>
      </w:r>
      <w:r w:rsidR="00BD1775">
        <w:t>‘</w:t>
      </w:r>
      <w:r w:rsidRPr="00D357B1">
        <w:t>deep storage</w:t>
      </w:r>
      <w:r w:rsidR="00BD1775">
        <w:t>’</w:t>
      </w:r>
      <w:r w:rsidRPr="00D357B1">
        <w:t xml:space="preserve"> compartments.</w:t>
      </w:r>
    </w:p>
    <w:p w14:paraId="6AD89ADE" w14:textId="77777777" w:rsidR="00D357B1" w:rsidRPr="00D357B1" w:rsidRDefault="00D357B1" w:rsidP="00D357B1">
      <w:r w:rsidRPr="00D357B1">
        <w:t>Penetration</w:t>
      </w:r>
      <w:r w:rsidR="00BD1775">
        <w:t xml:space="preserve"> of ivermectin across the blood brain barrier, across the blood </w:t>
      </w:r>
      <w:r w:rsidRPr="00D357B1">
        <w:t>testis barrier and across the placenta is limited in normal animals due to the actions of ABC B1 efflux transporters</w:t>
      </w:r>
      <w:r w:rsidR="00FC7051">
        <w:t>.</w:t>
      </w:r>
    </w:p>
    <w:p w14:paraId="6AD89ADF" w14:textId="77777777" w:rsidR="00D357B1" w:rsidRPr="00D357B1" w:rsidRDefault="00D357B1" w:rsidP="00D357B1">
      <w:r w:rsidRPr="00D357B1">
        <w:t>Rat data demonstrates that the l</w:t>
      </w:r>
      <w:r w:rsidR="00BD1775">
        <w:t xml:space="preserve">evel of ivermectin in milk is 3 to 4 </w:t>
      </w:r>
      <w:r w:rsidRPr="00D357B1">
        <w:t>fold higher than those in the maternal plasma and this causes significantly higher levels of ivermectin in the brain and plasma of nursing offspring. Ivermectin is detectable in human milk following oral dosing. Significant exposure of neonates to ivermectin via the trans-</w:t>
      </w:r>
      <w:r w:rsidR="00FC7051">
        <w:t>mammary route is highly likely.</w:t>
      </w:r>
    </w:p>
    <w:p w14:paraId="6AD89AE0" w14:textId="77777777" w:rsidR="00D357B1" w:rsidRDefault="00FC7051" w:rsidP="00D357B1">
      <w:pPr>
        <w:pStyle w:val="Heading4"/>
      </w:pPr>
      <w:r>
        <w:t>Metabolism</w:t>
      </w:r>
    </w:p>
    <w:p w14:paraId="6AD89AE1" w14:textId="77777777" w:rsidR="00D357B1" w:rsidRPr="00D357B1" w:rsidRDefault="00D357B1" w:rsidP="00D357B1">
      <w:r w:rsidRPr="00D357B1">
        <w:t>Systemically absorbed ivermectin undergoes limited metabolism in mammals with much of the systemically absorbed material being excreted unchanged</w:t>
      </w:r>
      <w:r w:rsidR="00902337">
        <w:t xml:space="preserve">. </w:t>
      </w:r>
      <w:proofErr w:type="spellStart"/>
      <w:r w:rsidRPr="00D357B1">
        <w:t>Ivermectin</w:t>
      </w:r>
      <w:proofErr w:type="spellEnd"/>
      <w:r w:rsidRPr="00D357B1">
        <w:t xml:space="preserve"> is extensively </w:t>
      </w:r>
      <w:proofErr w:type="spellStart"/>
      <w:r w:rsidRPr="00D357B1">
        <w:t>hydroxylated</w:t>
      </w:r>
      <w:proofErr w:type="spellEnd"/>
      <w:r w:rsidRPr="00D357B1">
        <w:t xml:space="preserve"> and/or </w:t>
      </w:r>
      <w:proofErr w:type="spellStart"/>
      <w:r w:rsidRPr="00D357B1">
        <w:t>demethylated</w:t>
      </w:r>
      <w:proofErr w:type="spellEnd"/>
      <w:r w:rsidRPr="00D357B1">
        <w:t xml:space="preserve"> to at least 10 metabolites with </w:t>
      </w:r>
      <w:r w:rsidR="00BD1775">
        <w:t>cytochrome (</w:t>
      </w:r>
      <w:r w:rsidRPr="00D357B1">
        <w:t>CYP</w:t>
      </w:r>
      <w:r w:rsidR="00BD1775">
        <w:t>)</w:t>
      </w:r>
      <w:r w:rsidRPr="00D357B1">
        <w:t xml:space="preserve"> 3A4 is the main CYP450 isoform responsible for human hepatic microsomal metabolism</w:t>
      </w:r>
      <w:r w:rsidR="00902337">
        <w:t xml:space="preserve">. </w:t>
      </w:r>
      <w:r w:rsidRPr="00D357B1">
        <w:t>There are notable species differences in metabolism</w:t>
      </w:r>
      <w:r w:rsidR="00902337">
        <w:t xml:space="preserve">. </w:t>
      </w:r>
      <w:r w:rsidRPr="00D357B1">
        <w:t>The major in vivo metabolites in cattle, sheep and rats are 24-OH-H2B1a and 24-OH-H2B1b and 3</w:t>
      </w:r>
      <w:r w:rsidR="00BD1775">
        <w:t>’</w:t>
      </w:r>
      <w:r w:rsidRPr="00D357B1">
        <w:t>-O-desmethyl-H2B1a and 3</w:t>
      </w:r>
      <w:r w:rsidR="00BD1775">
        <w:t>’</w:t>
      </w:r>
      <w:r w:rsidRPr="00D357B1">
        <w:t>-O-desmethyl-H2B1b in pigs. Metabolism tends to be more extensive in pigs and mice compared with other species. The H2B1b enantiomer is typically more extensively metabol</w:t>
      </w:r>
      <w:r w:rsidR="00603F07">
        <w:t>ise</w:t>
      </w:r>
      <w:r w:rsidRPr="00D357B1">
        <w:t>d than the H2B1a enantiomer in all studied species</w:t>
      </w:r>
      <w:r w:rsidR="00902337">
        <w:t xml:space="preserve">. </w:t>
      </w:r>
      <w:r w:rsidRPr="00D357B1">
        <w:t>The major known human microsomal metabolites are: (a) 3</w:t>
      </w:r>
      <w:r w:rsidR="00BD1775">
        <w:t>’</w:t>
      </w:r>
      <w:r w:rsidRPr="00D357B1">
        <w:t>-O-desmethyl-H2B1a; and (b) 4a-hydroxy ivermectin.</w:t>
      </w:r>
    </w:p>
    <w:p w14:paraId="6AD89AE2" w14:textId="77777777" w:rsidR="00D357B1" w:rsidRDefault="00FC7051" w:rsidP="00D357B1">
      <w:pPr>
        <w:pStyle w:val="Heading4"/>
      </w:pPr>
      <w:r>
        <w:t>Excretion</w:t>
      </w:r>
    </w:p>
    <w:p w14:paraId="6AD89AE3" w14:textId="77777777" w:rsidR="00D357B1" w:rsidRPr="00D357B1" w:rsidRDefault="00D357B1" w:rsidP="00D357B1">
      <w:r w:rsidRPr="00D357B1">
        <w:t xml:space="preserve">Ivermectin is predominantly excreted in faeces with minimal amounts excreted in urine. A repeatable </w:t>
      </w:r>
      <w:r w:rsidR="009D17DE">
        <w:t>gender</w:t>
      </w:r>
      <w:r w:rsidRPr="00D357B1">
        <w:t xml:space="preserve"> difference in urinary excretion was noted in </w:t>
      </w:r>
      <w:r w:rsidR="00BD1775">
        <w:t>Sprague Dawley</w:t>
      </w:r>
      <w:r w:rsidRPr="00D357B1">
        <w:t xml:space="preserve"> rats following IV and oral dosing: urinary excretion of radioactivity was </w:t>
      </w:r>
      <w:r w:rsidR="006B3CF6">
        <w:t>approximately</w:t>
      </w:r>
      <w:r w:rsidRPr="00D357B1">
        <w:t xml:space="preserve"> 2</w:t>
      </w:r>
      <w:r w:rsidR="00BD1775">
        <w:t xml:space="preserve"> times</w:t>
      </w:r>
      <w:r w:rsidRPr="00D357B1">
        <w:t xml:space="preserve"> higher in males than females</w:t>
      </w:r>
      <w:r w:rsidR="00902337">
        <w:t xml:space="preserve">. </w:t>
      </w:r>
      <w:r w:rsidRPr="00D357B1">
        <w:t>However given that the level of urinary excretion is low (</w:t>
      </w:r>
      <w:r w:rsidR="006B3CF6">
        <w:t>approximately</w:t>
      </w:r>
      <w:r w:rsidR="00BD1775">
        <w:t xml:space="preserve">0.8% to </w:t>
      </w:r>
      <w:r w:rsidRPr="00D357B1">
        <w:t xml:space="preserve">2%) this </w:t>
      </w:r>
      <w:r w:rsidR="009D17DE">
        <w:t>gender</w:t>
      </w:r>
      <w:r w:rsidRPr="00D357B1">
        <w:t xml:space="preserve"> difference is biologically unimportant</w:t>
      </w:r>
      <w:r w:rsidR="00902337">
        <w:t xml:space="preserve">. </w:t>
      </w:r>
      <w:r w:rsidRPr="00D357B1">
        <w:t xml:space="preserve">Additionally, this </w:t>
      </w:r>
      <w:r w:rsidR="009D17DE">
        <w:t>gender</w:t>
      </w:r>
      <w:r w:rsidRPr="00D357B1">
        <w:t xml:space="preserve"> difference was not noted in dogs and pigs demonstrati</w:t>
      </w:r>
      <w:r w:rsidR="00463188">
        <w:t xml:space="preserve">ng that it is most likely a rat </w:t>
      </w:r>
      <w:r w:rsidRPr="00D357B1">
        <w:t>specific effect</w:t>
      </w:r>
      <w:r w:rsidR="00FC7051">
        <w:t>.</w:t>
      </w:r>
    </w:p>
    <w:p w14:paraId="6AD89AE4" w14:textId="6ACF8382" w:rsidR="00D357B1" w:rsidRPr="00D357B1" w:rsidRDefault="00D357B1" w:rsidP="00D357B1">
      <w:r w:rsidRPr="00D357B1">
        <w:t xml:space="preserve">Faecal excretion was similar following oral and IV dosing implying that biliary and/or intestinal excretion </w:t>
      </w:r>
      <w:r w:rsidR="00F76A01">
        <w:t>is</w:t>
      </w:r>
      <w:r w:rsidR="00F76A01" w:rsidRPr="00D357B1">
        <w:t xml:space="preserve"> </w:t>
      </w:r>
      <w:r w:rsidRPr="00D357B1">
        <w:t>the major route of elimination</w:t>
      </w:r>
      <w:r w:rsidR="00902337">
        <w:t xml:space="preserve">. </w:t>
      </w:r>
      <w:r w:rsidRPr="00D357B1">
        <w:t>Studies in rats using the intestinal closed-loop model have demon</w:t>
      </w:r>
      <w:r w:rsidR="00BD1775">
        <w:t>strated that AB</w:t>
      </w:r>
      <w:r w:rsidR="00463188">
        <w:t>C B1 transporter mediated trans-</w:t>
      </w:r>
      <w:r w:rsidRPr="00D357B1">
        <w:t>epithelial intestinal elimination is a major pathway of ivermectin elimination accounting for 27% of total drug clearance (compared with biliary excretion which only accounts for</w:t>
      </w:r>
      <w:r w:rsidR="00FC7051">
        <w:t xml:space="preserve"> 5.5% of total drug clearance).</w:t>
      </w:r>
    </w:p>
    <w:p w14:paraId="6AD89AE5" w14:textId="77777777" w:rsidR="00D357B1" w:rsidRPr="00D357B1" w:rsidRDefault="00D357B1" w:rsidP="00D357B1">
      <w:pPr>
        <w:pStyle w:val="Heading4"/>
      </w:pPr>
      <w:bookmarkStart w:id="50" w:name="_Toc294861725"/>
      <w:r w:rsidRPr="00D357B1">
        <w:lastRenderedPageBreak/>
        <w:t>Pharmacokinetic drug interactions</w:t>
      </w:r>
      <w:bookmarkEnd w:id="50"/>
    </w:p>
    <w:p w14:paraId="6AD89AE6" w14:textId="77777777" w:rsidR="00D357B1" w:rsidRPr="00D357B1" w:rsidRDefault="00D357B1" w:rsidP="00D357B1">
      <w:r w:rsidRPr="00D357B1">
        <w:t>The safety properties of ivermectin are critically dependent on the presence of ABC B1 efflux transporter function in the</w:t>
      </w:r>
      <w:r w:rsidR="00BD1775">
        <w:t xml:space="preserve"> blood brain barrier, the blood ocular barriers, </w:t>
      </w:r>
      <w:proofErr w:type="gramStart"/>
      <w:r w:rsidR="00BD1775">
        <w:t>the</w:t>
      </w:r>
      <w:proofErr w:type="gramEnd"/>
      <w:r w:rsidR="00BD1775">
        <w:t xml:space="preserve"> blood testis </w:t>
      </w:r>
      <w:r w:rsidRPr="00D357B1">
        <w:t>barrier and in the placenta</w:t>
      </w:r>
      <w:r w:rsidR="00902337">
        <w:t xml:space="preserve">. </w:t>
      </w:r>
      <w:r w:rsidRPr="00D357B1">
        <w:t>The effectiveness of these biological barriers to ivermectin can be overwhelmed either by ivermectin overdose, drugs that inhibit ABC B1 function or disease states that affect the integrity of these biological barriers. Concurrent administration of drugs that block or suppress ABC B1 efflux transporter function with ivermectin can result in toxicity (potentially severe if high doses of ivermectin are administered)</w:t>
      </w:r>
      <w:r w:rsidR="00902337">
        <w:t xml:space="preserve">. </w:t>
      </w:r>
      <w:r w:rsidRPr="00D357B1">
        <w:t>Lethality and other forms of severe toxicity have occurred with the veterinary medical use of ivermectin because of these types of interactions (classica</w:t>
      </w:r>
      <w:r w:rsidR="00BD1775">
        <w:t xml:space="preserve">lly concurrent use of </w:t>
      </w:r>
      <w:proofErr w:type="spellStart"/>
      <w:r w:rsidR="00BD1775">
        <w:t>spinosad</w:t>
      </w:r>
      <w:proofErr w:type="spellEnd"/>
      <w:r w:rsidR="00BD1775">
        <w:t xml:space="preserve"> with</w:t>
      </w:r>
      <w:r w:rsidRPr="00D357B1">
        <w:t xml:space="preserve"> </w:t>
      </w:r>
      <w:proofErr w:type="spellStart"/>
      <w:r w:rsidRPr="00D357B1">
        <w:t>ivermectin</w:t>
      </w:r>
      <w:proofErr w:type="spellEnd"/>
      <w:r w:rsidRPr="00D357B1">
        <w:t>). In these situations the most commonly no</w:t>
      </w:r>
      <w:r w:rsidR="00BD1775">
        <w:t xml:space="preserve">ted events are sustained GABA A </w:t>
      </w:r>
      <w:r w:rsidRPr="00D357B1">
        <w:t xml:space="preserve">mediated CNS depression which may extend to unconsciousness and death from central respiratory </w:t>
      </w:r>
      <w:r w:rsidR="00BD1775">
        <w:t xml:space="preserve">failure. In animals, ivermectin </w:t>
      </w:r>
      <w:r w:rsidRPr="00D357B1">
        <w:t>induced coma is difficult to reverse</w:t>
      </w:r>
      <w:r w:rsidR="00902337">
        <w:t xml:space="preserve">. </w:t>
      </w:r>
      <w:proofErr w:type="spellStart"/>
      <w:r w:rsidRPr="00D357B1">
        <w:t>Flumazinel</w:t>
      </w:r>
      <w:proofErr w:type="spellEnd"/>
      <w:r w:rsidRPr="00D357B1">
        <w:t xml:space="preserve"> (a GABA A receptor antagonist) is typically only transiently effective in animals with ivermectin poisoning (although it has been used diagnostically in this situation)</w:t>
      </w:r>
      <w:r w:rsidR="00FC7051">
        <w:t>.</w:t>
      </w:r>
    </w:p>
    <w:p w14:paraId="6AD89AE7" w14:textId="77777777" w:rsidR="00D357B1" w:rsidRPr="00D357B1" w:rsidRDefault="00D357B1" w:rsidP="00D357B1">
      <w:r w:rsidRPr="00D357B1">
        <w:t>It should be noted that the central GABA-</w:t>
      </w:r>
      <w:proofErr w:type="gramStart"/>
      <w:r w:rsidRPr="00D357B1">
        <w:t>A</w:t>
      </w:r>
      <w:proofErr w:type="gramEnd"/>
      <w:r w:rsidRPr="00D357B1">
        <w:t xml:space="preserve"> allosteric agonist effects of ivermectin will be at lea</w:t>
      </w:r>
      <w:r w:rsidR="00BD1775">
        <w:t xml:space="preserve">st additive, and possibly supra </w:t>
      </w:r>
      <w:r w:rsidRPr="00D357B1">
        <w:t>additive, to the effects of other GABA-A agonist pharmaceuticals and products (including ethanol)</w:t>
      </w:r>
      <w:r w:rsidR="00FC7051">
        <w:t>.</w:t>
      </w:r>
    </w:p>
    <w:p w14:paraId="6AD89AE8" w14:textId="77777777" w:rsidR="00D357B1" w:rsidRPr="00D357B1" w:rsidRDefault="00BD1775" w:rsidP="00D357B1">
      <w:r>
        <w:t xml:space="preserve">Compromise of the blood retinal </w:t>
      </w:r>
      <w:r w:rsidR="00D357B1" w:rsidRPr="00D357B1">
        <w:t>barrier also i</w:t>
      </w:r>
      <w:r>
        <w:t xml:space="preserve">ncreases the risk of ivermectin </w:t>
      </w:r>
      <w:r w:rsidR="00D357B1" w:rsidRPr="00D357B1">
        <w:t>induced retinopathies</w:t>
      </w:r>
      <w:r w:rsidR="00902337">
        <w:t xml:space="preserve">. </w:t>
      </w:r>
      <w:r w:rsidR="00D357B1" w:rsidRPr="00D357B1">
        <w:t xml:space="preserve">Compromise of the </w:t>
      </w:r>
      <w:r>
        <w:t>blood testis barrier</w:t>
      </w:r>
      <w:r w:rsidR="00D357B1" w:rsidRPr="00D357B1">
        <w:t xml:space="preserve"> combined with repeated ivermectin exposure has been </w:t>
      </w:r>
      <w:r w:rsidR="00D357B1" w:rsidRPr="009D17DE">
        <w:rPr>
          <w:color w:val="000000" w:themeColor="text1"/>
        </w:rPr>
        <w:t xml:space="preserve">associated with male </w:t>
      </w:r>
      <w:r w:rsidR="009D17DE" w:rsidRPr="009D17DE">
        <w:rPr>
          <w:color w:val="000000" w:themeColor="text1"/>
        </w:rPr>
        <w:t>in</w:t>
      </w:r>
      <w:r w:rsidR="00D357B1" w:rsidRPr="009D17DE">
        <w:rPr>
          <w:color w:val="000000" w:themeColor="text1"/>
        </w:rPr>
        <w:t>fertility in animals</w:t>
      </w:r>
      <w:r w:rsidR="00902337" w:rsidRPr="009D17DE">
        <w:rPr>
          <w:color w:val="000000" w:themeColor="text1"/>
        </w:rPr>
        <w:t xml:space="preserve">. </w:t>
      </w:r>
      <w:r w:rsidRPr="009D17DE">
        <w:rPr>
          <w:color w:val="000000" w:themeColor="text1"/>
        </w:rPr>
        <w:t xml:space="preserve">Ivermectin </w:t>
      </w:r>
      <w:r w:rsidR="00D357B1" w:rsidRPr="00D357B1">
        <w:t>induced severe pre-natal developmental effects can also occur in animals if placental ABC B1 efflux transporters have been pharmaceutically compromised</w:t>
      </w:r>
      <w:r w:rsidR="00902337">
        <w:t xml:space="preserve">. </w:t>
      </w:r>
      <w:r w:rsidR="00D357B1" w:rsidRPr="00D357B1">
        <w:t xml:space="preserve">Pharmacological inhibition of </w:t>
      </w:r>
      <w:proofErr w:type="spellStart"/>
      <w:r w:rsidR="00D357B1" w:rsidRPr="00D357B1">
        <w:t>enterothelial</w:t>
      </w:r>
      <w:proofErr w:type="spellEnd"/>
      <w:r w:rsidR="00D357B1" w:rsidRPr="00D357B1">
        <w:t xml:space="preserve"> ABC B1 efflux transporters will decrease the rate of active intestinal elimination of ivermectin (an important elimination pathway for systemically absorbed ivermectin).</w:t>
      </w:r>
    </w:p>
    <w:p w14:paraId="6AD89AE9" w14:textId="77777777" w:rsidR="00D357B1" w:rsidRPr="00D357B1" w:rsidRDefault="00D357B1" w:rsidP="00D357B1">
      <w:r w:rsidRPr="00D357B1">
        <w:t>Ivermectin is an efficient inhibitor of human breast cancer resistance protein (BCRP, ABC G2)</w:t>
      </w:r>
      <w:r w:rsidR="00BD1775">
        <w:t xml:space="preserve">. Ivermectin </w:t>
      </w:r>
      <w:r w:rsidRPr="00D357B1">
        <w:t>induced inhibition of BCRP during pregnancy will i</w:t>
      </w:r>
      <w:r w:rsidR="009D17DE">
        <w:t>ncrease f</w:t>
      </w:r>
      <w:r w:rsidR="00BD1775">
        <w:t xml:space="preserve">etal exposure to BCRP </w:t>
      </w:r>
      <w:r w:rsidRPr="00D357B1">
        <w:t>relevant pharmaceuticals due to inhibition of this placental efflux transporter</w:t>
      </w:r>
      <w:r w:rsidR="00902337">
        <w:t xml:space="preserve">. </w:t>
      </w:r>
      <w:r w:rsidRPr="00D357B1">
        <w:t>This results in a number of potential pharmacokinetic interactions with substrates of BCRP.</w:t>
      </w:r>
    </w:p>
    <w:p w14:paraId="6AD89AEA" w14:textId="77777777" w:rsidR="00D357B1" w:rsidRPr="00D357B1" w:rsidRDefault="00D357B1" w:rsidP="00D357B1">
      <w:r w:rsidRPr="00D357B1">
        <w:t>Because of the relatively small amount of ivermectin systemically absorbed following topical application of Soolantra, metabolic interactional effects at CYP3A4 are expected to be quantitatively small.</w:t>
      </w:r>
    </w:p>
    <w:p w14:paraId="6AD89AEB" w14:textId="77777777" w:rsidR="00D357B1" w:rsidRPr="00D357B1" w:rsidRDefault="00D357B1" w:rsidP="00D357B1">
      <w:r w:rsidRPr="00D357B1">
        <w:t>Notably, the unique pharmacokinetics associated with Soolantra (</w:t>
      </w:r>
      <w:r w:rsidR="00F941D7">
        <w:t xml:space="preserve">that is </w:t>
      </w:r>
      <w:r w:rsidRPr="00D357B1">
        <w:t xml:space="preserve">slow flip-flop absorption kinetics resulting in long time to plasma steady state, long ivermectin half-life, slow whole body elimination, accumulation and sequestration in lipophilic tissues) increases the risk of these types of adverse pharmacokinetic interactions compared with the single acute episodic use of </w:t>
      </w:r>
      <w:proofErr w:type="spellStart"/>
      <w:r w:rsidRPr="00D357B1">
        <w:t>ivermectin</w:t>
      </w:r>
      <w:proofErr w:type="spellEnd"/>
      <w:r w:rsidRPr="00D357B1">
        <w:t xml:space="preserve"> as a </w:t>
      </w:r>
      <w:proofErr w:type="spellStart"/>
      <w:r w:rsidRPr="00D357B1">
        <w:t>parasiticide</w:t>
      </w:r>
      <w:proofErr w:type="spellEnd"/>
      <w:r w:rsidRPr="00D357B1">
        <w:t xml:space="preserve"> in humans.</w:t>
      </w:r>
    </w:p>
    <w:p w14:paraId="6AD89AEC" w14:textId="77777777" w:rsidR="00D357B1" w:rsidRPr="00D357B1" w:rsidRDefault="00D357B1" w:rsidP="00D357B1">
      <w:pPr>
        <w:pStyle w:val="Heading4"/>
      </w:pPr>
      <w:r w:rsidRPr="00D357B1">
        <w:t>Pharmacogenetic interactions</w:t>
      </w:r>
    </w:p>
    <w:p w14:paraId="6AD89AED" w14:textId="77777777" w:rsidR="00D357B1" w:rsidRPr="00D357B1" w:rsidRDefault="00D357B1" w:rsidP="00D357B1">
      <w:r w:rsidRPr="00D357B1">
        <w:t xml:space="preserve">Heritable loss of </w:t>
      </w:r>
      <w:r w:rsidR="00BD1775">
        <w:t>blood brain barrier</w:t>
      </w:r>
      <w:r w:rsidRPr="00D357B1">
        <w:t xml:space="preserve"> ABC B1 efflux transporters in dogs (classically collies and related breeds) results in a substantial (&gt; 200</w:t>
      </w:r>
      <w:r w:rsidR="00BD1775">
        <w:t xml:space="preserve"> </w:t>
      </w:r>
      <w:r w:rsidR="009D17DE">
        <w:t>times</w:t>
      </w:r>
      <w:r w:rsidRPr="00D357B1">
        <w:t xml:space="preserve">) increase in the risk of </w:t>
      </w:r>
      <w:r w:rsidR="00BD1775">
        <w:t>ivermectin induced</w:t>
      </w:r>
      <w:r w:rsidRPr="00D357B1">
        <w:t xml:space="preserve"> CNS toxicity</w:t>
      </w:r>
      <w:r w:rsidR="00902337">
        <w:t xml:space="preserve">. </w:t>
      </w:r>
      <w:r w:rsidRPr="00D357B1">
        <w:t xml:space="preserve">This pharmacogenetic effect has been associated with </w:t>
      </w:r>
      <w:r w:rsidR="00BD1775">
        <w:t>ivermectin induced</w:t>
      </w:r>
      <w:r w:rsidRPr="00D357B1">
        <w:t xml:space="preserve"> lethality in dogs and impacts upon the safety properties of many members of the </w:t>
      </w:r>
      <w:proofErr w:type="spellStart"/>
      <w:r w:rsidRPr="00D357B1">
        <w:t>avermectin</w:t>
      </w:r>
      <w:proofErr w:type="spellEnd"/>
      <w:r w:rsidRPr="00D357B1">
        <w:t xml:space="preserve"> drug class in this species</w:t>
      </w:r>
      <w:r w:rsidR="00902337">
        <w:t xml:space="preserve">. </w:t>
      </w:r>
      <w:r w:rsidRPr="00D357B1">
        <w:t>This particular pharmacogenetic effect does not appear to occur to the same extent in humans (although only relatively small human populations have been evaluated)</w:t>
      </w:r>
      <w:r w:rsidR="00902337">
        <w:t xml:space="preserve">. </w:t>
      </w:r>
      <w:r w:rsidRPr="00D357B1">
        <w:t>Severe ivermectin poisonings in humans that do not involve product misuse are rare</w:t>
      </w:r>
      <w:r w:rsidR="00FC7051">
        <w:t>.</w:t>
      </w:r>
    </w:p>
    <w:p w14:paraId="6AD89AEE" w14:textId="77777777" w:rsidR="00D357B1" w:rsidRDefault="00D357B1" w:rsidP="004334C7">
      <w:r w:rsidRPr="00D357B1">
        <w:lastRenderedPageBreak/>
        <w:t>Pharmacological and/or d</w:t>
      </w:r>
      <w:r w:rsidR="00BD1775">
        <w:t xml:space="preserve">isease </w:t>
      </w:r>
      <w:r w:rsidRPr="00D357B1">
        <w:t xml:space="preserve">induced compromises to the </w:t>
      </w:r>
      <w:r w:rsidR="00BD1775">
        <w:t>blood brain barrier</w:t>
      </w:r>
      <w:r w:rsidRPr="00D357B1">
        <w:t xml:space="preserve"> appear to be a more likely cause of adverse e</w:t>
      </w:r>
      <w:r w:rsidR="00FC7051">
        <w:t>ffects of ivermectin in humans.</w:t>
      </w:r>
    </w:p>
    <w:p w14:paraId="6AD89AEF" w14:textId="77777777" w:rsidR="001B5C90" w:rsidRDefault="008E7846" w:rsidP="001B5C90">
      <w:pPr>
        <w:pStyle w:val="Heading3"/>
      </w:pPr>
      <w:bookmarkStart w:id="51" w:name="_Toc437418389"/>
      <w:r>
        <w:t>Toxicology</w:t>
      </w:r>
      <w:bookmarkEnd w:id="48"/>
      <w:bookmarkEnd w:id="49"/>
      <w:bookmarkEnd w:id="51"/>
    </w:p>
    <w:p w14:paraId="6AD89AF0" w14:textId="77777777" w:rsidR="00F16B9D" w:rsidRPr="00F16B9D" w:rsidRDefault="00F16B9D" w:rsidP="00F16B9D">
      <w:pPr>
        <w:pStyle w:val="Heading4"/>
      </w:pPr>
      <w:bookmarkStart w:id="52" w:name="_Toc294861727"/>
      <w:r w:rsidRPr="00F16B9D">
        <w:t>Acute toxicity</w:t>
      </w:r>
      <w:bookmarkEnd w:id="52"/>
    </w:p>
    <w:p w14:paraId="6AD89AF1" w14:textId="77777777" w:rsidR="00F16B9D" w:rsidRPr="00F16B9D" w:rsidRDefault="00F16B9D" w:rsidP="00F16B9D">
      <w:r w:rsidRPr="00F16B9D">
        <w:t>Predictably, ivermectin is only modestly toxic following single (acute) oral gavage dosing in ABC B1 phenotypically normal rats and mice</w:t>
      </w:r>
      <w:r w:rsidR="00902337">
        <w:t xml:space="preserve">. </w:t>
      </w:r>
      <w:r w:rsidRPr="00F16B9D">
        <w:t>The rodent m</w:t>
      </w:r>
      <w:r w:rsidRPr="00F16B9D">
        <w:rPr>
          <w:rFonts w:hint="eastAsia"/>
        </w:rPr>
        <w:t>aximum non-lethal dose</w:t>
      </w:r>
      <w:r w:rsidRPr="00F16B9D">
        <w:t xml:space="preserve"> following single (acute) oral gavage dosing is</w:t>
      </w:r>
      <w:r w:rsidRPr="00F16B9D">
        <w:rPr>
          <w:rFonts w:hint="eastAsia"/>
        </w:rPr>
        <w:t xml:space="preserve"> 20</w:t>
      </w:r>
      <w:r w:rsidR="00BD1775">
        <w:t xml:space="preserve"> to </w:t>
      </w:r>
      <w:r w:rsidRPr="00F16B9D">
        <w:t>40</w:t>
      </w:r>
      <w:r w:rsidRPr="00F16B9D">
        <w:rPr>
          <w:rFonts w:hint="eastAsia"/>
        </w:rPr>
        <w:t xml:space="preserve"> mg/kg BW </w:t>
      </w:r>
      <w:r w:rsidRPr="00F16B9D">
        <w:t>with a</w:t>
      </w:r>
      <w:r w:rsidR="009D17DE">
        <w:t xml:space="preserve"> </w:t>
      </w:r>
      <w:r w:rsidR="009D17DE" w:rsidRPr="009D17DE">
        <w:t>50%</w:t>
      </w:r>
      <w:r w:rsidRPr="00F16B9D">
        <w:t xml:space="preserve"> </w:t>
      </w:r>
      <w:r w:rsidR="00BD1775">
        <w:t>l</w:t>
      </w:r>
      <w:r w:rsidR="00BD1775" w:rsidRPr="00BD1775">
        <w:t xml:space="preserve">ethal dose </w:t>
      </w:r>
      <w:r w:rsidR="00BD1775">
        <w:t>(</w:t>
      </w:r>
      <w:r w:rsidRPr="00F16B9D">
        <w:t>LD</w:t>
      </w:r>
      <w:r w:rsidRPr="00BD1775">
        <w:rPr>
          <w:vertAlign w:val="subscript"/>
        </w:rPr>
        <w:t>50</w:t>
      </w:r>
      <w:r w:rsidR="00BD1775" w:rsidRPr="00BD1775">
        <w:t>)</w:t>
      </w:r>
      <w:r w:rsidRPr="00F16B9D">
        <w:t xml:space="preserve"> &gt; 40 mg/kg BW</w:t>
      </w:r>
      <w:r w:rsidR="00902337">
        <w:t xml:space="preserve">. </w:t>
      </w:r>
      <w:r w:rsidRPr="00F16B9D">
        <w:t>It should be noted that</w:t>
      </w:r>
      <w:r w:rsidR="009D17DE">
        <w:t xml:space="preserve"> these results will overe</w:t>
      </w:r>
      <w:r w:rsidR="009D17DE" w:rsidRPr="00F16B9D">
        <w:t>stimate</w:t>
      </w:r>
      <w:r w:rsidRPr="00F16B9D">
        <w:t xml:space="preserve"> the maximum non-lethal dose and LD</w:t>
      </w:r>
      <w:r w:rsidRPr="00BD1775">
        <w:rPr>
          <w:vertAlign w:val="subscript"/>
        </w:rPr>
        <w:t>50</w:t>
      </w:r>
      <w:r w:rsidRPr="00F16B9D">
        <w:t xml:space="preserve"> in animals displaying the 100% defective ABC B1 phenotype</w:t>
      </w:r>
      <w:r w:rsidR="00FC7051">
        <w:t>.</w:t>
      </w:r>
    </w:p>
    <w:p w14:paraId="6AD89AF2" w14:textId="77777777" w:rsidR="00F16B9D" w:rsidRPr="00F16B9D" w:rsidRDefault="00463188" w:rsidP="00F16B9D">
      <w:pPr>
        <w:pStyle w:val="Heading4"/>
      </w:pPr>
      <w:bookmarkStart w:id="53" w:name="_Toc294861728"/>
      <w:r>
        <w:t xml:space="preserve">Repeat </w:t>
      </w:r>
      <w:r w:rsidR="00F16B9D" w:rsidRPr="00F16B9D">
        <w:t>dose toxicity</w:t>
      </w:r>
      <w:bookmarkEnd w:id="53"/>
    </w:p>
    <w:p w14:paraId="6AD89AF3" w14:textId="77777777" w:rsidR="00F16B9D" w:rsidRPr="00F16B9D" w:rsidRDefault="00F16B9D" w:rsidP="00F16B9D">
      <w:r w:rsidRPr="00F16B9D">
        <w:t xml:space="preserve">The sponsor’s study package was generally consistent with current </w:t>
      </w:r>
      <w:r w:rsidR="00A44476" w:rsidRPr="00A44476">
        <w:t xml:space="preserve">International conference on Harmonisation of Technical Requirements for the Registration of Pharmaceuticals for Human Use </w:t>
      </w:r>
      <w:r w:rsidR="00A44476">
        <w:t>(</w:t>
      </w:r>
      <w:r w:rsidRPr="00F16B9D">
        <w:t>ICH</w:t>
      </w:r>
      <w:r w:rsidR="00A44476">
        <w:t>)</w:t>
      </w:r>
      <w:r w:rsidRPr="00F16B9D">
        <w:t xml:space="preserve"> guidance requirements and of acceptable quality</w:t>
      </w:r>
      <w:r w:rsidR="00902337">
        <w:t xml:space="preserve">. </w:t>
      </w:r>
      <w:r w:rsidRPr="00F16B9D">
        <w:t>All of the sponsor’s topical repeat exposure studies in animals were probably (and confirmed to have been in some cases) confounded by ingestion exposure. Additionally, many of the topical repeated exposure studies did not use the same final formulation as Soolantra</w:t>
      </w:r>
      <w:r w:rsidR="00902337">
        <w:t xml:space="preserve">. </w:t>
      </w:r>
      <w:r w:rsidRPr="00F16B9D">
        <w:t>Although relevant exposure bridging studies for the different formulations were not provided by the sponsor, systemic ivermectin exposure following topical application was demonstrated in many of the keystone studies and the supplied studies are generally fit for purpose given the ultimate pattern of use of Soolantra in humans</w:t>
      </w:r>
      <w:r w:rsidR="00902337">
        <w:t xml:space="preserve">. </w:t>
      </w:r>
      <w:r w:rsidRPr="00F16B9D">
        <w:t>Predictably, the sponsor’s studies do not provide any new inf</w:t>
      </w:r>
      <w:r w:rsidR="00463188">
        <w:t xml:space="preserve">ormation regarding the repeated </w:t>
      </w:r>
      <w:r w:rsidRPr="00F16B9D">
        <w:t>exposure toxicology of ivermectin and its vehicle (with the exception of photocarcinogenesis and potential cumulative skin irritancy)</w:t>
      </w:r>
      <w:r w:rsidR="00FC7051">
        <w:t>.</w:t>
      </w:r>
    </w:p>
    <w:p w14:paraId="6AD89AF4" w14:textId="77777777" w:rsidR="00F16B9D" w:rsidRPr="00F16B9D" w:rsidRDefault="00F16B9D" w:rsidP="00F16B9D">
      <w:r w:rsidRPr="00F16B9D">
        <w:t>Excluding local</w:t>
      </w:r>
      <w:r w:rsidR="00BD1775">
        <w:t xml:space="preserve"> application site effects, the </w:t>
      </w:r>
      <w:r w:rsidR="008B1EEB">
        <w:t xml:space="preserve">chronic near </w:t>
      </w:r>
      <w:r w:rsidRPr="00F16B9D">
        <w:t xml:space="preserve">lifetime exposure topical exposure </w:t>
      </w:r>
      <w:r w:rsidR="00463188">
        <w:t>n</w:t>
      </w:r>
      <w:r w:rsidR="008B1EEB" w:rsidRPr="008B1EEB">
        <w:t>o observable</w:t>
      </w:r>
      <w:r w:rsidR="00A44476">
        <w:t xml:space="preserve"> adverse</w:t>
      </w:r>
      <w:r w:rsidR="008B1EEB" w:rsidRPr="008B1EEB">
        <w:t xml:space="preserve"> effect level </w:t>
      </w:r>
      <w:r w:rsidR="008B1EEB">
        <w:t>(</w:t>
      </w:r>
      <w:r w:rsidRPr="00F16B9D">
        <w:t>NOAEL</w:t>
      </w:r>
      <w:r w:rsidR="008B1EEB">
        <w:t>)</w:t>
      </w:r>
      <w:r w:rsidRPr="00F16B9D">
        <w:t xml:space="preserve"> in mice was</w:t>
      </w:r>
      <w:r w:rsidR="008B1EEB">
        <w:t xml:space="preserve"> ≥ 1% (</w:t>
      </w:r>
      <w:r w:rsidR="00463188">
        <w:t>w/w</w:t>
      </w:r>
      <w:r w:rsidR="008B1EEB">
        <w:t xml:space="preserve">) ivermectin cream, </w:t>
      </w:r>
      <w:r w:rsidR="00A44476">
        <w:t xml:space="preserve">from </w:t>
      </w:r>
      <w:r w:rsidR="008B1EEB">
        <w:t>1 </w:t>
      </w:r>
      <w:r w:rsidRPr="00F16B9D">
        <w:t xml:space="preserve">mL/kg/day covering </w:t>
      </w:r>
      <w:r w:rsidR="006B3CF6">
        <w:t>approximately</w:t>
      </w:r>
      <w:r w:rsidRPr="00F16B9D">
        <w:t xml:space="preserve"> 10% body surface area, non-occlusive (equivalent to </w:t>
      </w:r>
      <w:r w:rsidR="00D653C0">
        <w:t>a</w:t>
      </w:r>
      <w:r w:rsidR="00D653C0" w:rsidRPr="00D653C0">
        <w:t xml:space="preserve">rea under the curve </w:t>
      </w:r>
      <w:r w:rsidR="00A44476">
        <w:t xml:space="preserve">from </w:t>
      </w:r>
      <w:r w:rsidR="00D653C0" w:rsidRPr="00D653C0">
        <w:t xml:space="preserve">time 0 to 24 hours </w:t>
      </w:r>
      <w:r w:rsidR="008B1EEB">
        <w:t>(</w:t>
      </w:r>
      <w:r w:rsidR="008B1EEB" w:rsidRPr="00F16B9D">
        <w:t>AUC</w:t>
      </w:r>
      <w:r w:rsidR="008B1EEB" w:rsidRPr="008B1EEB">
        <w:rPr>
          <w:vertAlign w:val="subscript"/>
        </w:rPr>
        <w:t>0-24</w:t>
      </w:r>
      <w:r w:rsidR="008B1EEB">
        <w:t xml:space="preserve">) </w:t>
      </w:r>
      <w:r w:rsidRPr="00F16B9D">
        <w:t>48</w:t>
      </w:r>
      <w:r w:rsidR="008B1EEB">
        <w:t>,</w:t>
      </w:r>
      <w:r w:rsidRPr="00F16B9D">
        <w:t xml:space="preserve">519 </w:t>
      </w:r>
      <w:proofErr w:type="spellStart"/>
      <w:r w:rsidRPr="00F16B9D">
        <w:t>ng∙h</w:t>
      </w:r>
      <w:proofErr w:type="spellEnd"/>
      <w:r w:rsidRPr="00F16B9D">
        <w:t>/mL in males and 26</w:t>
      </w:r>
      <w:r w:rsidR="008B1EEB">
        <w:t>,461 </w:t>
      </w:r>
      <w:proofErr w:type="spellStart"/>
      <w:r w:rsidRPr="00F16B9D">
        <w:t>ng∙h</w:t>
      </w:r>
      <w:proofErr w:type="spellEnd"/>
      <w:r w:rsidRPr="00F16B9D">
        <w:t>/mL in females)</w:t>
      </w:r>
      <w:r w:rsidR="00902337">
        <w:t xml:space="preserve">. </w:t>
      </w:r>
      <w:r w:rsidRPr="00F16B9D">
        <w:t xml:space="preserve">The highest mean </w:t>
      </w:r>
      <w:r w:rsidR="008B1EEB" w:rsidRPr="00F16B9D">
        <w:t>AUC</w:t>
      </w:r>
      <w:r w:rsidR="008B1EEB" w:rsidRPr="008B1EEB">
        <w:rPr>
          <w:vertAlign w:val="subscript"/>
        </w:rPr>
        <w:t>0-24</w:t>
      </w:r>
      <w:r w:rsidRPr="00F16B9D">
        <w:t xml:space="preserve"> for Soolantra use in humans was 75.16 </w:t>
      </w:r>
      <w:proofErr w:type="spellStart"/>
      <w:r w:rsidRPr="00F16B9D">
        <w:t>ng∙h</w:t>
      </w:r>
      <w:proofErr w:type="spellEnd"/>
      <w:r w:rsidRPr="00F16B9D">
        <w:t xml:space="preserve">/mL (clinical </w:t>
      </w:r>
      <w:r w:rsidR="00F941D7">
        <w:t>Study</w:t>
      </w:r>
      <w:r w:rsidRPr="00F16B9D">
        <w:t xml:space="preserve"> 40064); thus the </w:t>
      </w:r>
      <w:proofErr w:type="gramStart"/>
      <w:r w:rsidRPr="00F16B9D">
        <w:t>animal NOAEL mean</w:t>
      </w:r>
      <w:proofErr w:type="gramEnd"/>
      <w:r w:rsidRPr="00F16B9D">
        <w:t xml:space="preserve"> </w:t>
      </w:r>
      <w:r w:rsidR="008B1EEB" w:rsidRPr="00F16B9D">
        <w:t>AUC</w:t>
      </w:r>
      <w:r w:rsidR="008B1EEB" w:rsidRPr="008B1EEB">
        <w:rPr>
          <w:vertAlign w:val="subscript"/>
        </w:rPr>
        <w:t>0-</w:t>
      </w:r>
      <w:r w:rsidR="00463188" w:rsidRPr="008B1EEB">
        <w:rPr>
          <w:vertAlign w:val="subscript"/>
        </w:rPr>
        <w:t>24</w:t>
      </w:r>
      <w:r w:rsidR="00463188" w:rsidRPr="00463188">
        <w:t>:</w:t>
      </w:r>
      <w:r w:rsidR="008B1EEB" w:rsidRPr="00463188">
        <w:t xml:space="preserve"> </w:t>
      </w:r>
      <w:r w:rsidR="008B1EEB" w:rsidRPr="00F16B9D">
        <w:t>human</w:t>
      </w:r>
      <w:r w:rsidRPr="00F16B9D">
        <w:t xml:space="preserve"> mean </w:t>
      </w:r>
      <w:r w:rsidR="008B1EEB" w:rsidRPr="00F16B9D">
        <w:t>AUC</w:t>
      </w:r>
      <w:r w:rsidR="008B1EEB" w:rsidRPr="008B1EEB">
        <w:rPr>
          <w:vertAlign w:val="subscript"/>
        </w:rPr>
        <w:t>0-24</w:t>
      </w:r>
      <w:r w:rsidRPr="00F16B9D">
        <w:t xml:space="preserve"> exposure ra</w:t>
      </w:r>
      <w:r w:rsidR="008B1EEB">
        <w:t>tio under these conditions is ≥ </w:t>
      </w:r>
      <w:r w:rsidRPr="00F16B9D">
        <w:t>1</w:t>
      </w:r>
      <w:r w:rsidR="008B1EEB">
        <w:t>,</w:t>
      </w:r>
      <w:r w:rsidRPr="00F16B9D">
        <w:t xml:space="preserve">342.5 (not taking </w:t>
      </w:r>
      <w:proofErr w:type="spellStart"/>
      <w:r w:rsidRPr="00F16B9D">
        <w:t>allometric</w:t>
      </w:r>
      <w:proofErr w:type="spellEnd"/>
      <w:r w:rsidRPr="00F16B9D">
        <w:t xml:space="preserve"> scaling or relative surface area of application into account). The highest individual human </w:t>
      </w:r>
      <w:r w:rsidR="008B1EEB" w:rsidRPr="00F16B9D">
        <w:t>AUC</w:t>
      </w:r>
      <w:r w:rsidR="008B1EEB" w:rsidRPr="008B1EEB">
        <w:rPr>
          <w:vertAlign w:val="subscript"/>
        </w:rPr>
        <w:t>0-24</w:t>
      </w:r>
      <w:r w:rsidRPr="00F16B9D">
        <w:t xml:space="preserve"> at steady state under maximal use conditions was </w:t>
      </w:r>
      <w:proofErr w:type="gramStart"/>
      <w:r w:rsidRPr="00F16B9D">
        <w:t xml:space="preserve">75.16 </w:t>
      </w:r>
      <w:proofErr w:type="spellStart"/>
      <w:r w:rsidRPr="00F16B9D">
        <w:t>ng∙h</w:t>
      </w:r>
      <w:proofErr w:type="spellEnd"/>
      <w:r w:rsidRPr="00F16B9D">
        <w:t xml:space="preserve">/mL (clinical </w:t>
      </w:r>
      <w:r w:rsidR="00F941D7">
        <w:t>Study</w:t>
      </w:r>
      <w:r w:rsidRPr="00F16B9D">
        <w:t xml:space="preserve"> 40064)</w:t>
      </w:r>
      <w:proofErr w:type="gramEnd"/>
      <w:r w:rsidR="00902337">
        <w:t xml:space="preserve">. </w:t>
      </w:r>
      <w:r w:rsidRPr="00F16B9D">
        <w:t xml:space="preserve">Thus the animal NOAEL mean </w:t>
      </w:r>
      <w:r w:rsidR="008B1EEB" w:rsidRPr="00F16B9D">
        <w:t>AUC</w:t>
      </w:r>
      <w:r w:rsidR="008B1EEB">
        <w:rPr>
          <w:vertAlign w:val="subscript"/>
        </w:rPr>
        <w:t>0</w:t>
      </w:r>
      <w:r w:rsidR="008B1EEB">
        <w:rPr>
          <w:vertAlign w:val="subscript"/>
        </w:rPr>
        <w:noBreakHyphen/>
      </w:r>
      <w:r w:rsidR="007A3A5C" w:rsidRPr="008B1EEB">
        <w:rPr>
          <w:vertAlign w:val="subscript"/>
        </w:rPr>
        <w:t>24</w:t>
      </w:r>
      <w:r w:rsidR="007A3A5C" w:rsidRPr="007A3A5C">
        <w:t>:</w:t>
      </w:r>
      <w:r w:rsidR="008B1EEB" w:rsidRPr="00F16B9D">
        <w:t xml:space="preserve"> human</w:t>
      </w:r>
      <w:r w:rsidRPr="00F16B9D">
        <w:t xml:space="preserve"> mean </w:t>
      </w:r>
      <w:r w:rsidR="008B1EEB" w:rsidRPr="00F16B9D">
        <w:t>AUC</w:t>
      </w:r>
      <w:r w:rsidR="008B1EEB" w:rsidRPr="008B1EEB">
        <w:rPr>
          <w:vertAlign w:val="subscript"/>
        </w:rPr>
        <w:t>0-24</w:t>
      </w:r>
      <w:r w:rsidRPr="00F16B9D">
        <w:t xml:space="preserve"> ex</w:t>
      </w:r>
      <w:r w:rsidR="008B1EEB">
        <w:t>posure ratio under these health protective conditions is ≥ </w:t>
      </w:r>
      <w:r w:rsidRPr="00F16B9D">
        <w:t>645.5.</w:t>
      </w:r>
    </w:p>
    <w:p w14:paraId="6AD89AF5" w14:textId="77777777" w:rsidR="00F16B9D" w:rsidRPr="00F16B9D" w:rsidRDefault="00F16B9D" w:rsidP="00F16B9D">
      <w:r w:rsidRPr="00F16B9D">
        <w:t>Apart from site of application effects (predominantly cumulative irritancy) adverse non-neoplastic adverse events were generally not observed in the keystone repeated topical application studies except at extreme doses and under conditions where combined dermal and oral exposure were likely</w:t>
      </w:r>
      <w:r w:rsidR="00902337">
        <w:t xml:space="preserve">. </w:t>
      </w:r>
      <w:r w:rsidR="00463188">
        <w:t xml:space="preserve">Non </w:t>
      </w:r>
      <w:r w:rsidRPr="00F16B9D">
        <w:t>occlusive topical exposure to 1% ivermectin (w/w) cream applied to a minimum of 10% of the body surfa</w:t>
      </w:r>
      <w:r w:rsidR="008B1EEB">
        <w:t>ce area at a dosage volume of 5 </w:t>
      </w:r>
      <w:r w:rsidRPr="00F16B9D">
        <w:t xml:space="preserve">mL/kg/day (corresponding to 50 mg/kg/day) resulted in mortality consistent with systemic ivermectin neurotoxicity (GABA A positive allosteric modulation resulting in generalised CNS depression, coma and death) was observed in one CD-1 mouse </w:t>
      </w:r>
      <w:r w:rsidR="00F941D7">
        <w:t>study</w:t>
      </w:r>
      <w:r w:rsidR="00902337">
        <w:t xml:space="preserve">. </w:t>
      </w:r>
      <w:r w:rsidRPr="00F16B9D">
        <w:t>Methods to prevent grooming ingestion were not used in this study, thus it is likely that the observed mortalities were associated with a combination of ingestion as well as topical exposure</w:t>
      </w:r>
      <w:r w:rsidR="00902337">
        <w:t xml:space="preserve">. </w:t>
      </w:r>
      <w:r w:rsidRPr="00F16B9D">
        <w:t xml:space="preserve">Similarly, clinical signs consistent with ivermectin neurotoxicity (tremor, decreased motor activity, </w:t>
      </w:r>
      <w:proofErr w:type="spellStart"/>
      <w:r w:rsidRPr="00F16B9D">
        <w:t>bradypnoea</w:t>
      </w:r>
      <w:proofErr w:type="spellEnd"/>
      <w:r w:rsidRPr="00F16B9D">
        <w:t xml:space="preserve">, ptosis, hunched posture </w:t>
      </w:r>
      <w:r w:rsidR="008B1EEB">
        <w:t>etcetera</w:t>
      </w:r>
      <w:r w:rsidRPr="00F16B9D">
        <w:t>) were present in hairless mice topically treated with 1% ivermectin (w/w) applied at 50 µg/day/mouse</w:t>
      </w:r>
      <w:r w:rsidR="00902337">
        <w:t xml:space="preserve">. </w:t>
      </w:r>
      <w:r w:rsidRPr="00F16B9D">
        <w:lastRenderedPageBreak/>
        <w:t>Again it should be noted that precautions against grooming-associated ingestion were not used in this study and that hairless mice have a relatively thin epidermis compared with normal mouse strains</w:t>
      </w:r>
      <w:r w:rsidR="00902337">
        <w:t xml:space="preserve">. </w:t>
      </w:r>
      <w:r w:rsidRPr="00F16B9D">
        <w:t>This is likely to have resulted in increased dermal absorption in this strain</w:t>
      </w:r>
      <w:r w:rsidR="00902337">
        <w:t xml:space="preserve">. </w:t>
      </w:r>
      <w:r w:rsidRPr="00F16B9D">
        <w:t>It should also be noted that the ABC B1 phenotype of SKH</w:t>
      </w:r>
      <w:proofErr w:type="gramStart"/>
      <w:r w:rsidRPr="00F16B9D">
        <w:t>:Hr</w:t>
      </w:r>
      <w:proofErr w:type="gramEnd"/>
      <w:r w:rsidRPr="00F16B9D">
        <w:t>-1 hairless mice is not known.</w:t>
      </w:r>
    </w:p>
    <w:p w14:paraId="6AD89AF6" w14:textId="77777777" w:rsidR="00F16B9D" w:rsidRPr="00F16B9D" w:rsidRDefault="00F16B9D" w:rsidP="00F16B9D">
      <w:r w:rsidRPr="00F16B9D">
        <w:t>Signs of systemic ivermectin CNS toxicity were also obser</w:t>
      </w:r>
      <w:r w:rsidR="00463188">
        <w:t xml:space="preserve">ved at high exposure in the non </w:t>
      </w:r>
      <w:r w:rsidRPr="00F16B9D">
        <w:t>pivotal oral repeated exposure studies</w:t>
      </w:r>
      <w:r w:rsidR="00902337">
        <w:t xml:space="preserve">. </w:t>
      </w:r>
      <w:r w:rsidRPr="00F16B9D">
        <w:t xml:space="preserve">Repeated oral gavage exposures of beagle dogs (likely normal ABC B1 phenotype) at &gt; 1.5 mg/kg BW resulted in </w:t>
      </w:r>
      <w:r w:rsidR="008B1EEB">
        <w:t>i</w:t>
      </w:r>
      <w:r w:rsidR="008B1EEB" w:rsidRPr="00F16B9D">
        <w:t>vermectin</w:t>
      </w:r>
      <w:r w:rsidR="008B1EEB">
        <w:t xml:space="preserve"> </w:t>
      </w:r>
      <w:r w:rsidRPr="00F16B9D">
        <w:t>induced CNS toxicity requiring euthanasia</w:t>
      </w:r>
      <w:r w:rsidR="00902337">
        <w:t xml:space="preserve">. </w:t>
      </w:r>
      <w:r w:rsidRPr="00F16B9D">
        <w:t xml:space="preserve">Exposure at 1.5 mg/kg BW resulted in reversible </w:t>
      </w:r>
      <w:proofErr w:type="spellStart"/>
      <w:r w:rsidRPr="00F16B9D">
        <w:t>mydriasis</w:t>
      </w:r>
      <w:proofErr w:type="spellEnd"/>
      <w:r w:rsidRPr="00F16B9D">
        <w:t xml:space="preserve"> in dogs (a classical clinical sign associated with ivermectin positive allosteric m</w:t>
      </w:r>
      <w:r w:rsidR="00A44476">
        <w:t>odulation of CNS GABA A systems</w:t>
      </w:r>
      <w:r w:rsidRPr="00F16B9D">
        <w:t>)</w:t>
      </w:r>
      <w:r w:rsidR="00902337">
        <w:t xml:space="preserve">. </w:t>
      </w:r>
      <w:r w:rsidRPr="00F16B9D">
        <w:t xml:space="preserve">CNS toxicity resulting in lethality and spongiform leukoencephalopathy was present in </w:t>
      </w:r>
      <w:proofErr w:type="spellStart"/>
      <w:r w:rsidRPr="00F16B9D">
        <w:t>Wistar</w:t>
      </w:r>
      <w:proofErr w:type="spellEnd"/>
      <w:r w:rsidRPr="00F16B9D">
        <w:t xml:space="preserve"> rats repeated</w:t>
      </w:r>
      <w:r w:rsidR="008B1EEB">
        <w:t>ly exposed by oral gavage to 12 </w:t>
      </w:r>
      <w:r w:rsidRPr="00F16B9D">
        <w:t>mg/kg BW/day of ivermectin</w:t>
      </w:r>
      <w:r w:rsidR="00902337">
        <w:t xml:space="preserve">. </w:t>
      </w:r>
      <w:r w:rsidRPr="00F16B9D">
        <w:t>Slight effects on food consumption and body weight were also present at doses ≥ 3.0 mg/kg BW/day</w:t>
      </w:r>
      <w:r w:rsidR="00FC7051">
        <w:t>.</w:t>
      </w:r>
    </w:p>
    <w:p w14:paraId="6AD89AF7" w14:textId="31E8C2B8" w:rsidR="00F16B9D" w:rsidRPr="00F16B9D" w:rsidRDefault="00F16B9D" w:rsidP="00F16B9D">
      <w:r w:rsidRPr="00F16B9D">
        <w:t>Retin</w:t>
      </w:r>
      <w:r w:rsidR="00463188">
        <w:t xml:space="preserve">al atrophy was noted in the non pivotal oral gavage near </w:t>
      </w:r>
      <w:r w:rsidRPr="00F16B9D">
        <w:t>lifetime exposure carcinogenesis study in rats</w:t>
      </w:r>
      <w:r w:rsidR="00902337">
        <w:t xml:space="preserve">. </w:t>
      </w:r>
      <w:r w:rsidRPr="00F16B9D">
        <w:t xml:space="preserve">The rat </w:t>
      </w:r>
      <w:r w:rsidR="00463188">
        <w:t>lowest observed adverse effect level (</w:t>
      </w:r>
      <w:r w:rsidRPr="00F16B9D">
        <w:t>LOAEL</w:t>
      </w:r>
      <w:r w:rsidR="00463188">
        <w:t>)</w:t>
      </w:r>
      <w:r w:rsidRPr="00F16B9D">
        <w:t xml:space="preserve"> for </w:t>
      </w:r>
      <w:r w:rsidR="00BD1775">
        <w:t>ivermectin induced</w:t>
      </w:r>
      <w:r w:rsidRPr="00F16B9D">
        <w:t xml:space="preserve"> retinal atrophy was 1 mg/kg BW/day (equivalent to </w:t>
      </w:r>
      <w:r w:rsidR="00463188">
        <w:t>a</w:t>
      </w:r>
      <w:r w:rsidR="00463188" w:rsidRPr="00463188">
        <w:t xml:space="preserve">rea under the curve during 24 hours after the last dose </w:t>
      </w:r>
      <w:r w:rsidR="00463188">
        <w:t>(</w:t>
      </w:r>
      <w:r w:rsidR="008B1EEB" w:rsidRPr="00F16B9D">
        <w:t>AUC</w:t>
      </w:r>
      <w:r w:rsidR="008B1EEB" w:rsidRPr="008B1EEB">
        <w:rPr>
          <w:vertAlign w:val="subscript"/>
        </w:rPr>
        <w:t>0-24</w:t>
      </w:r>
      <w:r w:rsidRPr="00F16B9D">
        <w:t xml:space="preserve"> </w:t>
      </w:r>
      <w:r w:rsidRPr="00463188">
        <w:rPr>
          <w:vertAlign w:val="subscript"/>
        </w:rPr>
        <w:t>Last</w:t>
      </w:r>
      <w:r w:rsidR="00463188" w:rsidRPr="00463188">
        <w:t>)</w:t>
      </w:r>
      <w:r w:rsidRPr="00F16B9D">
        <w:t xml:space="preserve"> of 5</w:t>
      </w:r>
      <w:r w:rsidR="008B1EEB">
        <w:t>,</w:t>
      </w:r>
      <w:r w:rsidRPr="00F16B9D">
        <w:t xml:space="preserve">241.02 </w:t>
      </w:r>
      <w:proofErr w:type="spellStart"/>
      <w:r w:rsidRPr="00F16B9D">
        <w:t>ng∙h</w:t>
      </w:r>
      <w:proofErr w:type="spellEnd"/>
      <w:r w:rsidRPr="00F16B9D">
        <w:t>/mL and 4</w:t>
      </w:r>
      <w:r w:rsidR="008B1EEB">
        <w:t>,</w:t>
      </w:r>
      <w:r w:rsidR="00026D9A">
        <w:t>335.89 </w:t>
      </w:r>
      <w:proofErr w:type="spellStart"/>
      <w:r w:rsidRPr="00F16B9D">
        <w:t>ng∙h</w:t>
      </w:r>
      <w:proofErr w:type="spellEnd"/>
      <w:r w:rsidRPr="00F16B9D">
        <w:t>/mL in males and females respectively) due to the presence of an increased incidence of retinal atrophy at this dose rate</w:t>
      </w:r>
      <w:r w:rsidR="00902337">
        <w:t xml:space="preserve">. </w:t>
      </w:r>
      <w:r w:rsidRPr="00F16B9D">
        <w:t xml:space="preserve">The highest mean </w:t>
      </w:r>
      <w:r w:rsidR="008B1EEB" w:rsidRPr="00F16B9D">
        <w:t>AUC</w:t>
      </w:r>
      <w:r w:rsidR="008B1EEB" w:rsidRPr="008B1EEB">
        <w:rPr>
          <w:vertAlign w:val="subscript"/>
        </w:rPr>
        <w:t>0-24</w:t>
      </w:r>
      <w:r w:rsidRPr="00F16B9D">
        <w:t xml:space="preserve"> for Soolantra use in humans was </w:t>
      </w:r>
      <w:proofErr w:type="gramStart"/>
      <w:r w:rsidRPr="00F16B9D">
        <w:t xml:space="preserve">36.14 </w:t>
      </w:r>
      <w:proofErr w:type="spellStart"/>
      <w:r w:rsidRPr="00F16B9D">
        <w:t>ng∙h</w:t>
      </w:r>
      <w:proofErr w:type="spellEnd"/>
      <w:r w:rsidRPr="00F16B9D">
        <w:t>/mL (clinical Study 40064)</w:t>
      </w:r>
      <w:proofErr w:type="gramEnd"/>
      <w:r w:rsidRPr="00F16B9D">
        <w:t>, thus the systemic exposure at the LOAEL in rats is ≥ 1</w:t>
      </w:r>
      <w:r w:rsidR="00463188">
        <w:t>,</w:t>
      </w:r>
      <w:r w:rsidRPr="00F16B9D">
        <w:t>342.5 higher than the expected human systemic ivermectin exposure</w:t>
      </w:r>
      <w:r w:rsidR="00902337">
        <w:t xml:space="preserve">. </w:t>
      </w:r>
      <w:r w:rsidR="00BD1775">
        <w:t>Ivermectin induced</w:t>
      </w:r>
      <w:r w:rsidRPr="00F16B9D">
        <w:t xml:space="preserve"> retinal atrophy is undoubtedly relevant to humans and has been noted in cases of overt ivermectin poisoning in dogs</w:t>
      </w:r>
      <w:proofErr w:type="gramStart"/>
      <w:r w:rsidRPr="00F16B9D">
        <w:t>.</w:t>
      </w:r>
      <w:r w:rsidRPr="00FC7051">
        <w:rPr>
          <w:vertAlign w:val="superscript"/>
        </w:rPr>
        <w:footnoteReference w:id="2"/>
      </w:r>
      <w:r w:rsidR="00A44476" w:rsidRPr="00A44476">
        <w:rPr>
          <w:vertAlign w:val="superscript"/>
        </w:rPr>
        <w:t>,</w:t>
      </w:r>
      <w:proofErr w:type="gramEnd"/>
      <w:r w:rsidR="00A44476">
        <w:rPr>
          <w:vertAlign w:val="superscript"/>
        </w:rPr>
        <w:t xml:space="preserve"> </w:t>
      </w:r>
      <w:r w:rsidR="00AF6360">
        <w:rPr>
          <w:rStyle w:val="FootnoteReference"/>
        </w:rPr>
        <w:footnoteReference w:id="3"/>
      </w:r>
    </w:p>
    <w:p w14:paraId="6AD89AF8" w14:textId="77777777" w:rsidR="00F16B9D" w:rsidRPr="00F16B9D" w:rsidRDefault="00F16B9D" w:rsidP="00F16B9D">
      <w:pPr>
        <w:pStyle w:val="Heading5"/>
      </w:pPr>
      <w:r w:rsidRPr="00F16B9D">
        <w:t>Relative exposure</w:t>
      </w:r>
    </w:p>
    <w:p w14:paraId="6AD89AF9" w14:textId="77777777" w:rsidR="00F16B9D" w:rsidRDefault="00F16B9D" w:rsidP="00F16B9D">
      <w:r w:rsidRPr="00F16B9D">
        <w:t xml:space="preserve">The highest mean </w:t>
      </w:r>
      <w:r w:rsidR="008B1EEB" w:rsidRPr="00F16B9D">
        <w:t>AUC</w:t>
      </w:r>
      <w:r w:rsidR="008B1EEB" w:rsidRPr="008B1EEB">
        <w:rPr>
          <w:vertAlign w:val="subscript"/>
        </w:rPr>
        <w:t>0-24</w:t>
      </w:r>
      <w:r w:rsidRPr="00F16B9D">
        <w:t xml:space="preserve"> for Soolantra use in humans was </w:t>
      </w:r>
      <w:proofErr w:type="gramStart"/>
      <w:r w:rsidRPr="00F16B9D">
        <w:t xml:space="preserve">36.14 </w:t>
      </w:r>
      <w:proofErr w:type="spellStart"/>
      <w:r w:rsidRPr="00F16B9D">
        <w:t>ng∙h</w:t>
      </w:r>
      <w:proofErr w:type="spellEnd"/>
      <w:r w:rsidRPr="00F16B9D">
        <w:t xml:space="preserve">/mL (clinical </w:t>
      </w:r>
      <w:r w:rsidR="00F941D7">
        <w:t>Study</w:t>
      </w:r>
      <w:r w:rsidRPr="00F16B9D">
        <w:t xml:space="preserve"> 40064)</w:t>
      </w:r>
      <w:proofErr w:type="gramEnd"/>
      <w:r w:rsidRPr="00F16B9D">
        <w:t xml:space="preserve"> and the highest individual human </w:t>
      </w:r>
      <w:r w:rsidR="008B1EEB" w:rsidRPr="00F16B9D">
        <w:t>AUC</w:t>
      </w:r>
      <w:r w:rsidR="008B1EEB" w:rsidRPr="008B1EEB">
        <w:rPr>
          <w:vertAlign w:val="subscript"/>
        </w:rPr>
        <w:t>0-24</w:t>
      </w:r>
      <w:r w:rsidRPr="00F16B9D">
        <w:t xml:space="preserve"> at steady state under maximal use conditions was 75.16 </w:t>
      </w:r>
      <w:proofErr w:type="spellStart"/>
      <w:r w:rsidRPr="00F16B9D">
        <w:t>ng∙h</w:t>
      </w:r>
      <w:proofErr w:type="spellEnd"/>
      <w:r w:rsidRPr="00F16B9D">
        <w:t xml:space="preserve">/mL (clinical </w:t>
      </w:r>
      <w:r w:rsidR="00F941D7">
        <w:t>Study</w:t>
      </w:r>
      <w:r w:rsidRPr="00F16B9D">
        <w:t xml:space="preserve"> 40064)</w:t>
      </w:r>
      <w:r w:rsidR="00BD1775">
        <w:t xml:space="preserve">. </w:t>
      </w:r>
      <w:r w:rsidRPr="00F16B9D">
        <w:t xml:space="preserve">In general the </w:t>
      </w:r>
      <w:r w:rsidR="00AF6360" w:rsidRPr="00F16B9D">
        <w:t>animal: human</w:t>
      </w:r>
      <w:r w:rsidRPr="00F16B9D">
        <w:t xml:space="preserve"> exposure ratios were high with the exception of the topical repeat exposure studies in mini-pigs</w:t>
      </w:r>
      <w:r w:rsidR="00902337">
        <w:t xml:space="preserve">. </w:t>
      </w:r>
      <w:r w:rsidR="00AF6360">
        <w:t xml:space="preserve">The health </w:t>
      </w:r>
      <w:r w:rsidRPr="00F16B9D">
        <w:t xml:space="preserve">protective method of using the highest individual human </w:t>
      </w:r>
      <w:r w:rsidR="008B1EEB" w:rsidRPr="00F16B9D">
        <w:t>AUC</w:t>
      </w:r>
      <w:r w:rsidR="008B1EEB" w:rsidRPr="008B1EEB">
        <w:rPr>
          <w:vertAlign w:val="subscript"/>
        </w:rPr>
        <w:t>0-24</w:t>
      </w:r>
      <w:r w:rsidRPr="00F16B9D">
        <w:t xml:space="preserve"> at steady state under maximal use conditions was used to calculate the relative exposures following dermal application in the following table</w:t>
      </w:r>
      <w:r w:rsidR="00AF6360">
        <w:t xml:space="preserve"> (Table 2)</w:t>
      </w:r>
      <w:r w:rsidRPr="00F16B9D">
        <w:t xml:space="preserve"> (Note: relative body surface area of exposure and </w:t>
      </w:r>
      <w:proofErr w:type="spellStart"/>
      <w:r w:rsidRPr="00F16B9D">
        <w:t>allometric</w:t>
      </w:r>
      <w:proofErr w:type="spellEnd"/>
      <w:r w:rsidRPr="00F16B9D">
        <w:t xml:space="preserve"> scaling ha</w:t>
      </w:r>
      <w:r w:rsidR="00AF6360">
        <w:t>ve not been taken into account).</w:t>
      </w:r>
    </w:p>
    <w:p w14:paraId="6AD89AFA" w14:textId="77777777" w:rsidR="00AF6360" w:rsidRPr="00F16B9D" w:rsidRDefault="00AF6360" w:rsidP="00AF6360">
      <w:pPr>
        <w:pStyle w:val="TableTitle"/>
      </w:pPr>
      <w:proofErr w:type="gramStart"/>
      <w:r>
        <w:t>Table 2.</w:t>
      </w:r>
      <w:proofErr w:type="gramEnd"/>
      <w:r>
        <w:t xml:space="preserve"> </w:t>
      </w:r>
      <w:proofErr w:type="gramStart"/>
      <w:r>
        <w:t>R</w:t>
      </w:r>
      <w:r w:rsidRPr="00AF6360">
        <w:t>elative exposures following dermal application</w:t>
      </w:r>
      <w:r>
        <w:t>.</w:t>
      </w:r>
      <w:proofErr w:type="gramEnd"/>
    </w:p>
    <w:tbl>
      <w:tblPr>
        <w:tblStyle w:val="TableTGAblue"/>
        <w:tblW w:w="8571" w:type="dxa"/>
        <w:tblLayout w:type="fixed"/>
        <w:tblLook w:val="01E0" w:firstRow="1" w:lastRow="1" w:firstColumn="1" w:lastColumn="1" w:noHBand="0" w:noVBand="0"/>
        <w:tblDescription w:val="Table 2. Relative exposures following dermal application."/>
      </w:tblPr>
      <w:tblGrid>
        <w:gridCol w:w="1536"/>
        <w:gridCol w:w="1826"/>
        <w:gridCol w:w="1435"/>
        <w:gridCol w:w="2088"/>
        <w:gridCol w:w="1686"/>
      </w:tblGrid>
      <w:tr w:rsidR="00F16B9D" w:rsidRPr="001C45C0" w14:paraId="6AD89B00" w14:textId="77777777" w:rsidTr="00A44476">
        <w:trPr>
          <w:cnfStyle w:val="100000000000" w:firstRow="1" w:lastRow="0" w:firstColumn="0" w:lastColumn="0" w:oddVBand="0" w:evenVBand="0" w:oddHBand="0" w:evenHBand="0" w:firstRowFirstColumn="0" w:firstRowLastColumn="0" w:lastRowFirstColumn="0" w:lastRowLastColumn="0"/>
          <w:trHeight w:val="750"/>
        </w:trPr>
        <w:tc>
          <w:tcPr>
            <w:tcW w:w="1536" w:type="dxa"/>
          </w:tcPr>
          <w:p w14:paraId="6AD89AFB" w14:textId="77777777" w:rsidR="00F16B9D" w:rsidRPr="00BF3A4E" w:rsidRDefault="00F16B9D" w:rsidP="00BF3A4E">
            <w:pPr>
              <w:rPr>
                <w:b w:val="0"/>
                <w:sz w:val="20"/>
                <w:szCs w:val="20"/>
              </w:rPr>
            </w:pPr>
            <w:r w:rsidRPr="00BF3A4E">
              <w:rPr>
                <w:b w:val="0"/>
                <w:sz w:val="20"/>
                <w:szCs w:val="20"/>
              </w:rPr>
              <w:t>Species</w:t>
            </w:r>
          </w:p>
        </w:tc>
        <w:tc>
          <w:tcPr>
            <w:tcW w:w="1826" w:type="dxa"/>
          </w:tcPr>
          <w:p w14:paraId="6AD89AFC" w14:textId="77777777" w:rsidR="00F16B9D" w:rsidRPr="00BF3A4E" w:rsidRDefault="00F16B9D" w:rsidP="00BF3A4E">
            <w:pPr>
              <w:rPr>
                <w:sz w:val="20"/>
                <w:szCs w:val="20"/>
              </w:rPr>
            </w:pPr>
            <w:r w:rsidRPr="00BF3A4E">
              <w:rPr>
                <w:b w:val="0"/>
                <w:sz w:val="20"/>
                <w:szCs w:val="20"/>
              </w:rPr>
              <w:t>Study duration</w:t>
            </w:r>
          </w:p>
        </w:tc>
        <w:tc>
          <w:tcPr>
            <w:tcW w:w="1435" w:type="dxa"/>
          </w:tcPr>
          <w:p w14:paraId="6AD89AFD" w14:textId="77777777" w:rsidR="00F16B9D" w:rsidRPr="00BF3A4E" w:rsidRDefault="00F16B9D" w:rsidP="00026D9A">
            <w:pPr>
              <w:ind w:left="0" w:right="0"/>
              <w:rPr>
                <w:sz w:val="20"/>
                <w:szCs w:val="20"/>
              </w:rPr>
            </w:pPr>
            <w:r w:rsidRPr="00BF3A4E">
              <w:rPr>
                <w:b w:val="0"/>
                <w:sz w:val="20"/>
                <w:szCs w:val="20"/>
              </w:rPr>
              <w:t>NOAEL/NOEL</w:t>
            </w:r>
            <w:r w:rsidR="00AA66CB" w:rsidRPr="00BF3A4E">
              <w:rPr>
                <w:b w:val="0"/>
                <w:sz w:val="20"/>
                <w:szCs w:val="20"/>
              </w:rPr>
              <w:t xml:space="preserve"> </w:t>
            </w:r>
            <w:r w:rsidRPr="00BF3A4E">
              <w:rPr>
                <w:b w:val="0"/>
                <w:sz w:val="20"/>
                <w:szCs w:val="20"/>
              </w:rPr>
              <w:t>(mg/kg/day)</w:t>
            </w:r>
          </w:p>
        </w:tc>
        <w:tc>
          <w:tcPr>
            <w:tcW w:w="2088" w:type="dxa"/>
          </w:tcPr>
          <w:p w14:paraId="6AD89AFE" w14:textId="12A29A7E" w:rsidR="00F16B9D" w:rsidRPr="00BF3A4E" w:rsidRDefault="00F16B9D" w:rsidP="00026D9A">
            <w:pPr>
              <w:rPr>
                <w:sz w:val="20"/>
                <w:szCs w:val="20"/>
              </w:rPr>
            </w:pPr>
            <w:r w:rsidRPr="00BF3A4E">
              <w:rPr>
                <w:b w:val="0"/>
                <w:sz w:val="20"/>
                <w:szCs w:val="20"/>
              </w:rPr>
              <w:t>AUC</w:t>
            </w:r>
            <w:r w:rsidRPr="00BF3A4E">
              <w:rPr>
                <w:b w:val="0"/>
                <w:sz w:val="20"/>
                <w:szCs w:val="20"/>
                <w:vertAlign w:val="subscript"/>
              </w:rPr>
              <w:t>0–24</w:t>
            </w:r>
            <w:r w:rsidRPr="00BF3A4E">
              <w:rPr>
                <w:b w:val="0"/>
                <w:w w:val="50"/>
                <w:sz w:val="20"/>
                <w:szCs w:val="20"/>
                <w:vertAlign w:val="subscript"/>
              </w:rPr>
              <w:t> </w:t>
            </w:r>
            <w:r w:rsidRPr="00BF3A4E">
              <w:rPr>
                <w:b w:val="0"/>
                <w:sz w:val="20"/>
                <w:szCs w:val="20"/>
                <w:vertAlign w:val="subscript"/>
              </w:rPr>
              <w:t>h</w:t>
            </w:r>
            <w:r w:rsidRPr="00BF3A4E">
              <w:rPr>
                <w:b w:val="0"/>
                <w:sz w:val="20"/>
                <w:szCs w:val="20"/>
                <w:vertAlign w:val="superscript"/>
              </w:rPr>
              <w:t>§</w:t>
            </w:r>
            <w:r w:rsidR="00026D9A" w:rsidRPr="00BF3A4E">
              <w:rPr>
                <w:b w:val="0"/>
                <w:sz w:val="20"/>
                <w:szCs w:val="20"/>
              </w:rPr>
              <w:t xml:space="preserve"> </w:t>
            </w:r>
            <w:r w:rsidRPr="00BF3A4E">
              <w:rPr>
                <w:b w:val="0"/>
                <w:sz w:val="20"/>
                <w:szCs w:val="20"/>
              </w:rPr>
              <w:t>(</w:t>
            </w:r>
            <w:proofErr w:type="spellStart"/>
            <w:r w:rsidRPr="00BF3A4E">
              <w:rPr>
                <w:b w:val="0"/>
                <w:sz w:val="20"/>
                <w:szCs w:val="20"/>
              </w:rPr>
              <w:t>ng∙h</w:t>
            </w:r>
            <w:proofErr w:type="spellEnd"/>
            <w:r w:rsidRPr="00BF3A4E">
              <w:rPr>
                <w:b w:val="0"/>
                <w:sz w:val="20"/>
                <w:szCs w:val="20"/>
              </w:rPr>
              <w:t>/mL)</w:t>
            </w:r>
          </w:p>
        </w:tc>
        <w:tc>
          <w:tcPr>
            <w:tcW w:w="1686" w:type="dxa"/>
          </w:tcPr>
          <w:p w14:paraId="6AD89AFF" w14:textId="77777777" w:rsidR="00F16B9D" w:rsidRPr="00BF3A4E" w:rsidRDefault="00F16B9D" w:rsidP="00BF3A4E">
            <w:pPr>
              <w:rPr>
                <w:sz w:val="20"/>
                <w:szCs w:val="20"/>
              </w:rPr>
            </w:pPr>
            <w:r w:rsidRPr="00BF3A4E">
              <w:rPr>
                <w:b w:val="0"/>
                <w:sz w:val="20"/>
                <w:szCs w:val="20"/>
              </w:rPr>
              <w:t>Exposure ratio</w:t>
            </w:r>
            <w:r w:rsidRPr="00BF3A4E">
              <w:rPr>
                <w:b w:val="0"/>
                <w:sz w:val="20"/>
                <w:szCs w:val="20"/>
                <w:vertAlign w:val="superscript"/>
              </w:rPr>
              <w:t>#</w:t>
            </w:r>
          </w:p>
        </w:tc>
      </w:tr>
      <w:tr w:rsidR="00F16B9D" w:rsidRPr="001C45C0" w14:paraId="6AD89B07" w14:textId="77777777" w:rsidTr="00A44476">
        <w:trPr>
          <w:trHeight w:val="484"/>
        </w:trPr>
        <w:tc>
          <w:tcPr>
            <w:tcW w:w="1536" w:type="dxa"/>
            <w:vMerge w:val="restart"/>
          </w:tcPr>
          <w:p w14:paraId="6AD89B01" w14:textId="77777777" w:rsidR="00F16B9D" w:rsidRPr="00BF3A4E" w:rsidRDefault="00AF6360" w:rsidP="00BF3A4E">
            <w:pPr>
              <w:rPr>
                <w:kern w:val="2"/>
                <w:sz w:val="20"/>
                <w:szCs w:val="20"/>
              </w:rPr>
            </w:pPr>
            <w:r w:rsidRPr="00BF3A4E">
              <w:rPr>
                <w:kern w:val="2"/>
                <w:sz w:val="20"/>
                <w:szCs w:val="20"/>
              </w:rPr>
              <w:t xml:space="preserve">Mouse </w:t>
            </w:r>
            <w:r w:rsidR="00F16B9D" w:rsidRPr="00BF3A4E">
              <w:rPr>
                <w:kern w:val="2"/>
                <w:sz w:val="20"/>
                <w:szCs w:val="20"/>
              </w:rPr>
              <w:t>(CD</w:t>
            </w:r>
            <w:r w:rsidR="00F16B9D" w:rsidRPr="00BF3A4E">
              <w:rPr>
                <w:kern w:val="2"/>
                <w:sz w:val="20"/>
                <w:szCs w:val="20"/>
              </w:rPr>
              <w:noBreakHyphen/>
              <w:t>1)</w:t>
            </w:r>
          </w:p>
        </w:tc>
        <w:tc>
          <w:tcPr>
            <w:tcW w:w="1826" w:type="dxa"/>
            <w:vAlign w:val="center"/>
          </w:tcPr>
          <w:p w14:paraId="6AD89B02" w14:textId="77777777" w:rsidR="00F16B9D" w:rsidRPr="00BF3A4E" w:rsidRDefault="00F16B9D" w:rsidP="00BF3A4E">
            <w:pPr>
              <w:rPr>
                <w:kern w:val="2"/>
                <w:sz w:val="20"/>
                <w:szCs w:val="20"/>
              </w:rPr>
            </w:pPr>
            <w:r w:rsidRPr="00BF3A4E">
              <w:rPr>
                <w:kern w:val="2"/>
                <w:sz w:val="20"/>
                <w:szCs w:val="20"/>
              </w:rPr>
              <w:t>13 weeks</w:t>
            </w:r>
          </w:p>
          <w:p w14:paraId="6AD89B03" w14:textId="77777777" w:rsidR="00F16B9D" w:rsidRPr="00BF3A4E" w:rsidRDefault="00F16B9D" w:rsidP="00BF3A4E">
            <w:pPr>
              <w:rPr>
                <w:kern w:val="2"/>
                <w:sz w:val="20"/>
                <w:szCs w:val="20"/>
              </w:rPr>
            </w:pPr>
            <w:r w:rsidRPr="00BF3A4E">
              <w:rPr>
                <w:kern w:val="2"/>
                <w:sz w:val="20"/>
                <w:szCs w:val="20"/>
              </w:rPr>
              <w:t>RDS.03.SRE.12500</w:t>
            </w:r>
          </w:p>
        </w:tc>
        <w:tc>
          <w:tcPr>
            <w:tcW w:w="1435" w:type="dxa"/>
          </w:tcPr>
          <w:p w14:paraId="6AD89B04" w14:textId="77777777" w:rsidR="00F16B9D" w:rsidRPr="00BF3A4E" w:rsidRDefault="00F16B9D" w:rsidP="00BF3A4E">
            <w:pPr>
              <w:rPr>
                <w:kern w:val="2"/>
                <w:sz w:val="20"/>
                <w:szCs w:val="20"/>
              </w:rPr>
            </w:pPr>
            <w:r w:rsidRPr="00BF3A4E">
              <w:rPr>
                <w:kern w:val="2"/>
                <w:sz w:val="20"/>
                <w:szCs w:val="20"/>
              </w:rPr>
              <w:t>10</w:t>
            </w:r>
          </w:p>
        </w:tc>
        <w:tc>
          <w:tcPr>
            <w:tcW w:w="2088" w:type="dxa"/>
          </w:tcPr>
          <w:p w14:paraId="6AD89B05" w14:textId="77777777" w:rsidR="00F16B9D" w:rsidRPr="00BF3A4E" w:rsidRDefault="00F16B9D" w:rsidP="00BF3A4E">
            <w:pPr>
              <w:rPr>
                <w:kern w:val="2"/>
                <w:sz w:val="20"/>
                <w:szCs w:val="20"/>
              </w:rPr>
            </w:pPr>
            <w:r w:rsidRPr="00BF3A4E">
              <w:rPr>
                <w:kern w:val="2"/>
                <w:sz w:val="20"/>
                <w:szCs w:val="20"/>
              </w:rPr>
              <w:t>32493.5(m)/27408.9(f)</w:t>
            </w:r>
          </w:p>
        </w:tc>
        <w:tc>
          <w:tcPr>
            <w:tcW w:w="1686" w:type="dxa"/>
          </w:tcPr>
          <w:p w14:paraId="6AD89B06" w14:textId="77777777" w:rsidR="00F16B9D" w:rsidRPr="00BF3A4E" w:rsidRDefault="00D560E3" w:rsidP="00BF3A4E">
            <w:pPr>
              <w:rPr>
                <w:kern w:val="2"/>
                <w:sz w:val="20"/>
                <w:szCs w:val="20"/>
              </w:rPr>
            </w:pPr>
            <w:r w:rsidRPr="00BF3A4E">
              <w:rPr>
                <w:kern w:val="2"/>
                <w:sz w:val="20"/>
                <w:szCs w:val="20"/>
              </w:rPr>
              <w:t>432.3</w:t>
            </w:r>
            <w:r w:rsidR="00F16B9D" w:rsidRPr="00BF3A4E">
              <w:rPr>
                <w:kern w:val="2"/>
                <w:sz w:val="20"/>
                <w:szCs w:val="20"/>
              </w:rPr>
              <w:t>(m)/364.7</w:t>
            </w:r>
          </w:p>
        </w:tc>
      </w:tr>
      <w:tr w:rsidR="00F16B9D" w:rsidRPr="001C45C0" w14:paraId="6AD89B0E" w14:textId="77777777" w:rsidTr="00A44476">
        <w:trPr>
          <w:trHeight w:val="484"/>
        </w:trPr>
        <w:tc>
          <w:tcPr>
            <w:tcW w:w="1536" w:type="dxa"/>
            <w:vMerge/>
          </w:tcPr>
          <w:p w14:paraId="6AD89B08" w14:textId="77777777" w:rsidR="00F16B9D" w:rsidRPr="00BF3A4E" w:rsidRDefault="00F16B9D" w:rsidP="00BF3A4E">
            <w:pPr>
              <w:rPr>
                <w:kern w:val="2"/>
                <w:sz w:val="20"/>
                <w:szCs w:val="20"/>
              </w:rPr>
            </w:pPr>
          </w:p>
        </w:tc>
        <w:tc>
          <w:tcPr>
            <w:tcW w:w="1826" w:type="dxa"/>
            <w:vAlign w:val="center"/>
          </w:tcPr>
          <w:p w14:paraId="6AD89B09" w14:textId="77777777" w:rsidR="00F16B9D" w:rsidRPr="00BF3A4E" w:rsidRDefault="00F16B9D" w:rsidP="00BF3A4E">
            <w:pPr>
              <w:rPr>
                <w:kern w:val="2"/>
                <w:sz w:val="20"/>
                <w:szCs w:val="20"/>
              </w:rPr>
            </w:pPr>
            <w:r w:rsidRPr="00BF3A4E">
              <w:rPr>
                <w:kern w:val="2"/>
                <w:sz w:val="20"/>
                <w:szCs w:val="20"/>
              </w:rPr>
              <w:t>104 Weeks</w:t>
            </w:r>
          </w:p>
          <w:p w14:paraId="6AD89B0A" w14:textId="77777777" w:rsidR="00F16B9D" w:rsidRPr="00BF3A4E" w:rsidRDefault="00F16B9D" w:rsidP="00BF3A4E">
            <w:pPr>
              <w:rPr>
                <w:kern w:val="2"/>
                <w:sz w:val="20"/>
                <w:szCs w:val="20"/>
              </w:rPr>
            </w:pPr>
            <w:r w:rsidRPr="00BF3A4E">
              <w:rPr>
                <w:kern w:val="2"/>
                <w:sz w:val="20"/>
                <w:szCs w:val="20"/>
              </w:rPr>
              <w:t>RDS.03.SRE.12508</w:t>
            </w:r>
          </w:p>
        </w:tc>
        <w:tc>
          <w:tcPr>
            <w:tcW w:w="1435" w:type="dxa"/>
          </w:tcPr>
          <w:p w14:paraId="6AD89B0B" w14:textId="77777777" w:rsidR="00F16B9D" w:rsidRPr="00BF3A4E" w:rsidRDefault="00F16B9D" w:rsidP="00BF3A4E">
            <w:pPr>
              <w:rPr>
                <w:color w:val="auto"/>
                <w:kern w:val="2"/>
                <w:sz w:val="20"/>
                <w:szCs w:val="20"/>
              </w:rPr>
            </w:pPr>
            <w:r w:rsidRPr="00BF3A4E">
              <w:rPr>
                <w:kern w:val="2"/>
                <w:sz w:val="20"/>
                <w:szCs w:val="20"/>
              </w:rPr>
              <w:t>10</w:t>
            </w:r>
          </w:p>
        </w:tc>
        <w:tc>
          <w:tcPr>
            <w:tcW w:w="2088" w:type="dxa"/>
          </w:tcPr>
          <w:p w14:paraId="6AD89B0C" w14:textId="77777777" w:rsidR="00F16B9D" w:rsidRPr="00BF3A4E" w:rsidRDefault="00F16B9D" w:rsidP="00BF3A4E">
            <w:pPr>
              <w:rPr>
                <w:sz w:val="20"/>
                <w:szCs w:val="20"/>
              </w:rPr>
            </w:pPr>
            <w:r w:rsidRPr="00BF3A4E">
              <w:rPr>
                <w:sz w:val="20"/>
                <w:szCs w:val="20"/>
              </w:rPr>
              <w:t>48519 (m)/26461 (f)</w:t>
            </w:r>
          </w:p>
        </w:tc>
        <w:tc>
          <w:tcPr>
            <w:tcW w:w="1686" w:type="dxa"/>
          </w:tcPr>
          <w:p w14:paraId="1476A1A4" w14:textId="35F50A7D" w:rsidR="00205E7F" w:rsidRPr="00BF3A4E" w:rsidRDefault="00D560E3" w:rsidP="00BF3A4E">
            <w:pPr>
              <w:rPr>
                <w:sz w:val="20"/>
                <w:szCs w:val="20"/>
              </w:rPr>
            </w:pPr>
            <w:r w:rsidRPr="00BF3A4E">
              <w:rPr>
                <w:sz w:val="20"/>
                <w:szCs w:val="20"/>
              </w:rPr>
              <w:t>645.54</w:t>
            </w:r>
            <w:r w:rsidR="00F16B9D" w:rsidRPr="00BF3A4E">
              <w:rPr>
                <w:sz w:val="20"/>
                <w:szCs w:val="20"/>
              </w:rPr>
              <w:t>(m)</w:t>
            </w:r>
          </w:p>
          <w:p w14:paraId="6AD89B0D" w14:textId="2623CCBF" w:rsidR="00F16B9D" w:rsidRPr="00BF3A4E" w:rsidRDefault="00F16B9D" w:rsidP="00BF3A4E">
            <w:pPr>
              <w:rPr>
                <w:sz w:val="20"/>
                <w:szCs w:val="20"/>
              </w:rPr>
            </w:pPr>
            <w:r w:rsidRPr="00BF3A4E">
              <w:rPr>
                <w:sz w:val="20"/>
                <w:szCs w:val="20"/>
              </w:rPr>
              <w:t>/352 (f)</w:t>
            </w:r>
          </w:p>
        </w:tc>
      </w:tr>
      <w:tr w:rsidR="00F16B9D" w:rsidRPr="001C45C0" w14:paraId="6AD89B15" w14:textId="77777777" w:rsidTr="00A44476">
        <w:trPr>
          <w:trHeight w:val="741"/>
        </w:trPr>
        <w:tc>
          <w:tcPr>
            <w:tcW w:w="1536" w:type="dxa"/>
            <w:vMerge w:val="restart"/>
          </w:tcPr>
          <w:p w14:paraId="6AD89B0F" w14:textId="77777777" w:rsidR="00F16B9D" w:rsidRPr="00BF3A4E" w:rsidRDefault="00AF6360" w:rsidP="00BF3A4E">
            <w:pPr>
              <w:rPr>
                <w:kern w:val="2"/>
                <w:sz w:val="20"/>
                <w:szCs w:val="20"/>
              </w:rPr>
            </w:pPr>
            <w:r w:rsidRPr="00BF3A4E">
              <w:rPr>
                <w:kern w:val="2"/>
                <w:sz w:val="20"/>
                <w:szCs w:val="20"/>
              </w:rPr>
              <w:lastRenderedPageBreak/>
              <w:t xml:space="preserve">Rat </w:t>
            </w:r>
            <w:r w:rsidR="00F16B9D" w:rsidRPr="00BF3A4E">
              <w:rPr>
                <w:kern w:val="2"/>
                <w:sz w:val="20"/>
                <w:szCs w:val="20"/>
              </w:rPr>
              <w:t>(SD)</w:t>
            </w:r>
          </w:p>
        </w:tc>
        <w:tc>
          <w:tcPr>
            <w:tcW w:w="1826" w:type="dxa"/>
          </w:tcPr>
          <w:p w14:paraId="6AD89B10" w14:textId="77777777" w:rsidR="00F16B9D" w:rsidRPr="00BF3A4E" w:rsidRDefault="00F16B9D" w:rsidP="00026D9A">
            <w:pPr>
              <w:ind w:left="0" w:right="0"/>
              <w:rPr>
                <w:kern w:val="2"/>
                <w:sz w:val="20"/>
                <w:szCs w:val="20"/>
              </w:rPr>
            </w:pPr>
            <w:r w:rsidRPr="00BF3A4E">
              <w:rPr>
                <w:kern w:val="2"/>
                <w:sz w:val="20"/>
                <w:szCs w:val="20"/>
              </w:rPr>
              <w:t>4 Weeks</w:t>
            </w:r>
          </w:p>
          <w:p w14:paraId="6AD89B11" w14:textId="77777777" w:rsidR="00F16B9D" w:rsidRPr="00BF3A4E" w:rsidRDefault="00F16B9D" w:rsidP="00026D9A">
            <w:pPr>
              <w:ind w:left="0" w:right="0"/>
              <w:rPr>
                <w:kern w:val="2"/>
                <w:sz w:val="20"/>
                <w:szCs w:val="20"/>
              </w:rPr>
            </w:pPr>
            <w:r w:rsidRPr="00BF3A4E">
              <w:rPr>
                <w:kern w:val="2"/>
                <w:sz w:val="20"/>
                <w:szCs w:val="20"/>
              </w:rPr>
              <w:t>RDS.03.SRE.8547</w:t>
            </w:r>
          </w:p>
        </w:tc>
        <w:tc>
          <w:tcPr>
            <w:tcW w:w="1435" w:type="dxa"/>
          </w:tcPr>
          <w:p w14:paraId="6AD89B12" w14:textId="77777777" w:rsidR="00F16B9D" w:rsidRPr="00BF3A4E" w:rsidRDefault="00F16B9D" w:rsidP="00BF3A4E">
            <w:pPr>
              <w:rPr>
                <w:color w:val="auto"/>
                <w:kern w:val="2"/>
                <w:sz w:val="20"/>
                <w:szCs w:val="20"/>
              </w:rPr>
            </w:pPr>
            <w:r w:rsidRPr="00BF3A4E">
              <w:rPr>
                <w:kern w:val="2"/>
                <w:sz w:val="20"/>
                <w:szCs w:val="20"/>
              </w:rPr>
              <w:t>20</w:t>
            </w:r>
          </w:p>
        </w:tc>
        <w:tc>
          <w:tcPr>
            <w:tcW w:w="2088" w:type="dxa"/>
          </w:tcPr>
          <w:p w14:paraId="6AD89B13" w14:textId="77777777" w:rsidR="00F16B9D" w:rsidRPr="00BF3A4E" w:rsidRDefault="00F16B9D" w:rsidP="00026D9A">
            <w:pPr>
              <w:ind w:left="0" w:right="0"/>
              <w:rPr>
                <w:kern w:val="2"/>
                <w:sz w:val="20"/>
                <w:szCs w:val="20"/>
              </w:rPr>
            </w:pPr>
            <w:r w:rsidRPr="00BF3A4E">
              <w:rPr>
                <w:kern w:val="2"/>
                <w:sz w:val="20"/>
                <w:szCs w:val="20"/>
              </w:rPr>
              <w:t>33566</w:t>
            </w:r>
          </w:p>
        </w:tc>
        <w:tc>
          <w:tcPr>
            <w:tcW w:w="1686" w:type="dxa"/>
          </w:tcPr>
          <w:p w14:paraId="6AD89B14" w14:textId="77777777" w:rsidR="00F16B9D" w:rsidRPr="00BF3A4E" w:rsidRDefault="00D560E3" w:rsidP="00026D9A">
            <w:pPr>
              <w:ind w:left="0" w:right="0"/>
              <w:rPr>
                <w:kern w:val="2"/>
                <w:sz w:val="20"/>
                <w:szCs w:val="20"/>
              </w:rPr>
            </w:pPr>
            <w:r w:rsidRPr="00BF3A4E">
              <w:rPr>
                <w:kern w:val="2"/>
                <w:sz w:val="20"/>
                <w:szCs w:val="20"/>
              </w:rPr>
              <w:t>446.59</w:t>
            </w:r>
          </w:p>
        </w:tc>
      </w:tr>
      <w:tr w:rsidR="00F16B9D" w:rsidRPr="001C45C0" w14:paraId="6AD89B1E" w14:textId="77777777" w:rsidTr="00A44476">
        <w:trPr>
          <w:trHeight w:val="741"/>
        </w:trPr>
        <w:tc>
          <w:tcPr>
            <w:tcW w:w="1536" w:type="dxa"/>
            <w:vMerge/>
          </w:tcPr>
          <w:p w14:paraId="6AD89B16" w14:textId="77777777" w:rsidR="00F16B9D" w:rsidRPr="00BF3A4E" w:rsidRDefault="00F16B9D" w:rsidP="00BF3A4E">
            <w:pPr>
              <w:rPr>
                <w:kern w:val="2"/>
                <w:sz w:val="20"/>
                <w:szCs w:val="20"/>
              </w:rPr>
            </w:pPr>
          </w:p>
        </w:tc>
        <w:tc>
          <w:tcPr>
            <w:tcW w:w="1826" w:type="dxa"/>
            <w:vMerge w:val="restart"/>
          </w:tcPr>
          <w:p w14:paraId="6AD89B17" w14:textId="77777777" w:rsidR="00F16B9D" w:rsidRPr="00BF3A4E" w:rsidRDefault="00F16B9D" w:rsidP="00026D9A">
            <w:pPr>
              <w:ind w:left="0" w:right="0"/>
              <w:rPr>
                <w:kern w:val="2"/>
                <w:sz w:val="20"/>
                <w:szCs w:val="20"/>
              </w:rPr>
            </w:pPr>
            <w:r w:rsidRPr="00BF3A4E">
              <w:rPr>
                <w:kern w:val="2"/>
                <w:sz w:val="20"/>
                <w:szCs w:val="20"/>
              </w:rPr>
              <w:t>2 year</w:t>
            </w:r>
          </w:p>
          <w:p w14:paraId="6AD89B18" w14:textId="77777777" w:rsidR="00F16B9D" w:rsidRPr="00BF3A4E" w:rsidRDefault="00F16B9D" w:rsidP="00026D9A">
            <w:pPr>
              <w:ind w:left="0" w:right="0"/>
              <w:rPr>
                <w:kern w:val="2"/>
                <w:sz w:val="20"/>
                <w:szCs w:val="20"/>
              </w:rPr>
            </w:pPr>
            <w:r w:rsidRPr="00BF3A4E">
              <w:rPr>
                <w:kern w:val="2"/>
                <w:sz w:val="20"/>
                <w:szCs w:val="20"/>
              </w:rPr>
              <w:t>RDS.03.SRE.12507</w:t>
            </w:r>
          </w:p>
        </w:tc>
        <w:tc>
          <w:tcPr>
            <w:tcW w:w="1435" w:type="dxa"/>
          </w:tcPr>
          <w:p w14:paraId="6AD89B19" w14:textId="77777777" w:rsidR="00F16B9D" w:rsidRPr="00BF3A4E" w:rsidRDefault="00F16B9D" w:rsidP="00026D9A">
            <w:pPr>
              <w:ind w:left="0" w:right="0"/>
              <w:rPr>
                <w:kern w:val="2"/>
                <w:sz w:val="20"/>
                <w:szCs w:val="20"/>
              </w:rPr>
            </w:pPr>
            <w:r w:rsidRPr="00BF3A4E">
              <w:rPr>
                <w:kern w:val="2"/>
                <w:sz w:val="20"/>
                <w:szCs w:val="20"/>
              </w:rPr>
              <w:t>Oral human-relevant non-neoplastic LOAEL</w:t>
            </w:r>
            <w:r w:rsidRPr="00BF3A4E">
              <w:rPr>
                <w:kern w:val="2"/>
                <w:sz w:val="20"/>
                <w:szCs w:val="20"/>
                <w:vertAlign w:val="superscript"/>
              </w:rPr>
              <w:t>•</w:t>
            </w:r>
            <w:r w:rsidRPr="00BF3A4E">
              <w:rPr>
                <w:kern w:val="2"/>
                <w:sz w:val="20"/>
                <w:szCs w:val="20"/>
              </w:rPr>
              <w:t xml:space="preserve"> = 1 mg/kg BW/day</w:t>
            </w:r>
          </w:p>
        </w:tc>
        <w:tc>
          <w:tcPr>
            <w:tcW w:w="2088" w:type="dxa"/>
          </w:tcPr>
          <w:p w14:paraId="6AD89B1A" w14:textId="77777777" w:rsidR="00F16B9D" w:rsidRPr="00BF3A4E" w:rsidRDefault="00F16B9D" w:rsidP="00026D9A">
            <w:pPr>
              <w:ind w:left="0" w:right="0"/>
              <w:rPr>
                <w:kern w:val="2"/>
                <w:sz w:val="20"/>
                <w:szCs w:val="20"/>
              </w:rPr>
            </w:pPr>
            <w:r w:rsidRPr="00BF3A4E">
              <w:rPr>
                <w:kern w:val="2"/>
                <w:sz w:val="20"/>
                <w:szCs w:val="20"/>
              </w:rPr>
              <w:t>Oral AUC</w:t>
            </w:r>
            <w:r w:rsidRPr="00BF3A4E">
              <w:rPr>
                <w:kern w:val="2"/>
                <w:sz w:val="20"/>
                <w:szCs w:val="20"/>
                <w:vertAlign w:val="subscript"/>
              </w:rPr>
              <w:t>0-12 Last</w:t>
            </w:r>
            <w:r w:rsidRPr="00BF3A4E">
              <w:rPr>
                <w:kern w:val="2"/>
                <w:sz w:val="20"/>
                <w:szCs w:val="20"/>
              </w:rPr>
              <w:t xml:space="preserve"> = </w:t>
            </w:r>
          </w:p>
          <w:p w14:paraId="6AD89B1B" w14:textId="77777777" w:rsidR="00F16B9D" w:rsidRPr="00BF3A4E" w:rsidRDefault="00F16B9D" w:rsidP="00026D9A">
            <w:pPr>
              <w:ind w:left="0" w:right="0"/>
              <w:rPr>
                <w:rFonts w:ascii="Times New Roman" w:hAnsi="Times New Roman"/>
                <w:sz w:val="20"/>
                <w:szCs w:val="20"/>
              </w:rPr>
            </w:pPr>
            <w:r w:rsidRPr="00BF3A4E">
              <w:rPr>
                <w:rFonts w:asciiTheme="minorHAnsi" w:hAnsiTheme="minorHAnsi"/>
                <w:sz w:val="20"/>
                <w:szCs w:val="20"/>
              </w:rPr>
              <w:t xml:space="preserve">5241.02 (m) </w:t>
            </w:r>
          </w:p>
          <w:p w14:paraId="6AD89B1C" w14:textId="77777777" w:rsidR="00F16B9D" w:rsidRPr="00BF3A4E" w:rsidRDefault="00F16B9D" w:rsidP="00026D9A">
            <w:pPr>
              <w:ind w:left="0" w:right="0"/>
              <w:rPr>
                <w:kern w:val="2"/>
                <w:sz w:val="20"/>
                <w:szCs w:val="20"/>
              </w:rPr>
            </w:pPr>
            <w:r w:rsidRPr="00BF3A4E">
              <w:rPr>
                <w:rFonts w:asciiTheme="minorHAnsi" w:hAnsiTheme="minorHAnsi"/>
                <w:sz w:val="20"/>
                <w:szCs w:val="20"/>
              </w:rPr>
              <w:t>4335.89 (f)</w:t>
            </w:r>
          </w:p>
        </w:tc>
        <w:tc>
          <w:tcPr>
            <w:tcW w:w="1686" w:type="dxa"/>
          </w:tcPr>
          <w:p w14:paraId="6AD89B1D" w14:textId="77777777" w:rsidR="00F16B9D" w:rsidRPr="00BF3A4E" w:rsidRDefault="00F16B9D" w:rsidP="00026D9A">
            <w:pPr>
              <w:ind w:left="0" w:right="0"/>
              <w:rPr>
                <w:sz w:val="20"/>
                <w:szCs w:val="20"/>
              </w:rPr>
            </w:pPr>
            <w:r w:rsidRPr="00BF3A4E">
              <w:rPr>
                <w:sz w:val="20"/>
                <w:szCs w:val="20"/>
              </w:rPr>
              <w:t>69.7(m)/57.7(f)</w:t>
            </w:r>
          </w:p>
        </w:tc>
      </w:tr>
      <w:tr w:rsidR="00F16B9D" w:rsidRPr="001C45C0" w14:paraId="6AD89B25" w14:textId="77777777" w:rsidTr="00A44476">
        <w:trPr>
          <w:trHeight w:val="741"/>
        </w:trPr>
        <w:tc>
          <w:tcPr>
            <w:tcW w:w="1536" w:type="dxa"/>
            <w:vMerge/>
          </w:tcPr>
          <w:p w14:paraId="6AD89B1F" w14:textId="77777777" w:rsidR="00F16B9D" w:rsidRPr="00BF3A4E" w:rsidRDefault="00F16B9D" w:rsidP="00BF3A4E">
            <w:pPr>
              <w:rPr>
                <w:kern w:val="2"/>
                <w:sz w:val="20"/>
                <w:szCs w:val="20"/>
              </w:rPr>
            </w:pPr>
          </w:p>
        </w:tc>
        <w:tc>
          <w:tcPr>
            <w:tcW w:w="1826" w:type="dxa"/>
            <w:vMerge/>
          </w:tcPr>
          <w:p w14:paraId="6AD89B20" w14:textId="77777777" w:rsidR="00F16B9D" w:rsidRPr="00BF3A4E" w:rsidRDefault="00F16B9D" w:rsidP="00026D9A">
            <w:pPr>
              <w:ind w:left="0" w:right="0"/>
              <w:rPr>
                <w:kern w:val="2"/>
                <w:sz w:val="20"/>
                <w:szCs w:val="20"/>
              </w:rPr>
            </w:pPr>
          </w:p>
        </w:tc>
        <w:tc>
          <w:tcPr>
            <w:tcW w:w="1435" w:type="dxa"/>
          </w:tcPr>
          <w:p w14:paraId="6AD89B21" w14:textId="14A0256B" w:rsidR="00F16B9D" w:rsidRPr="00BF3A4E" w:rsidRDefault="00F16B9D" w:rsidP="00026D9A">
            <w:pPr>
              <w:ind w:left="0" w:right="0"/>
              <w:rPr>
                <w:kern w:val="2"/>
                <w:sz w:val="20"/>
                <w:szCs w:val="20"/>
              </w:rPr>
            </w:pPr>
            <w:r w:rsidRPr="00BF3A4E">
              <w:rPr>
                <w:kern w:val="2"/>
                <w:sz w:val="20"/>
                <w:szCs w:val="20"/>
              </w:rPr>
              <w:t>Oral human-relevant NOAEL accounting for neoplasia = 9 mg/kg BW/day</w:t>
            </w:r>
          </w:p>
        </w:tc>
        <w:tc>
          <w:tcPr>
            <w:tcW w:w="2088" w:type="dxa"/>
          </w:tcPr>
          <w:p w14:paraId="6AD89B22" w14:textId="77777777" w:rsidR="00F16B9D" w:rsidRPr="00BF3A4E" w:rsidRDefault="00F16B9D" w:rsidP="00026D9A">
            <w:pPr>
              <w:ind w:left="0" w:right="0"/>
              <w:rPr>
                <w:kern w:val="2"/>
                <w:sz w:val="20"/>
                <w:szCs w:val="20"/>
              </w:rPr>
            </w:pPr>
            <w:r w:rsidRPr="00BF3A4E">
              <w:rPr>
                <w:kern w:val="2"/>
                <w:sz w:val="20"/>
                <w:szCs w:val="20"/>
              </w:rPr>
              <w:t>Oral AUC</w:t>
            </w:r>
            <w:r w:rsidRPr="00BF3A4E">
              <w:rPr>
                <w:kern w:val="2"/>
                <w:sz w:val="20"/>
                <w:szCs w:val="20"/>
                <w:vertAlign w:val="subscript"/>
              </w:rPr>
              <w:t>0-12 Last</w:t>
            </w:r>
            <w:r w:rsidRPr="00BF3A4E">
              <w:rPr>
                <w:kern w:val="2"/>
                <w:sz w:val="20"/>
                <w:szCs w:val="20"/>
              </w:rPr>
              <w:t xml:space="preserve"> = 62567.60 (m)</w:t>
            </w:r>
          </w:p>
          <w:p w14:paraId="6AD89B23" w14:textId="77777777" w:rsidR="00F16B9D" w:rsidRPr="00BF3A4E" w:rsidRDefault="00F16B9D" w:rsidP="00026D9A">
            <w:pPr>
              <w:ind w:left="0" w:right="0"/>
              <w:rPr>
                <w:kern w:val="2"/>
                <w:sz w:val="20"/>
                <w:szCs w:val="20"/>
              </w:rPr>
            </w:pPr>
            <w:r w:rsidRPr="00BF3A4E">
              <w:rPr>
                <w:kern w:val="2"/>
                <w:sz w:val="20"/>
                <w:szCs w:val="20"/>
              </w:rPr>
              <w:t>69406.70 (f)</w:t>
            </w:r>
          </w:p>
        </w:tc>
        <w:tc>
          <w:tcPr>
            <w:tcW w:w="1686" w:type="dxa"/>
          </w:tcPr>
          <w:p w14:paraId="46705F3F" w14:textId="77777777" w:rsidR="00FC316F" w:rsidRDefault="00F16B9D" w:rsidP="00026D9A">
            <w:pPr>
              <w:ind w:left="0" w:right="0"/>
              <w:rPr>
                <w:color w:val="auto"/>
                <w:kern w:val="2"/>
                <w:sz w:val="20"/>
                <w:szCs w:val="20"/>
                <w:lang w:eastAsia="en-US"/>
              </w:rPr>
            </w:pPr>
            <w:r w:rsidRPr="00BF3A4E">
              <w:rPr>
                <w:kern w:val="2"/>
                <w:sz w:val="20"/>
                <w:szCs w:val="20"/>
              </w:rPr>
              <w:t>832.5(m)/</w:t>
            </w:r>
          </w:p>
          <w:p w14:paraId="6AD89B24" w14:textId="6002C987" w:rsidR="00F16B9D" w:rsidRPr="00BF3A4E" w:rsidRDefault="00F16B9D" w:rsidP="00026D9A">
            <w:pPr>
              <w:ind w:left="0" w:right="0"/>
              <w:rPr>
                <w:kern w:val="2"/>
                <w:sz w:val="20"/>
                <w:szCs w:val="20"/>
              </w:rPr>
            </w:pPr>
            <w:r w:rsidRPr="00BF3A4E">
              <w:rPr>
                <w:kern w:val="2"/>
                <w:sz w:val="20"/>
                <w:szCs w:val="20"/>
              </w:rPr>
              <w:t>923.5(f)</w:t>
            </w:r>
          </w:p>
        </w:tc>
      </w:tr>
      <w:tr w:rsidR="00F16B9D" w:rsidRPr="001C45C0" w14:paraId="6AD89B2C" w14:textId="77777777" w:rsidTr="00A44476">
        <w:trPr>
          <w:trHeight w:val="753"/>
        </w:trPr>
        <w:tc>
          <w:tcPr>
            <w:tcW w:w="1536" w:type="dxa"/>
            <w:vMerge w:val="restart"/>
          </w:tcPr>
          <w:p w14:paraId="6AD89B26" w14:textId="77777777" w:rsidR="00F16B9D" w:rsidRPr="00BF3A4E" w:rsidRDefault="00F16B9D" w:rsidP="00BF3A4E">
            <w:pPr>
              <w:rPr>
                <w:kern w:val="2"/>
                <w:sz w:val="20"/>
                <w:szCs w:val="20"/>
              </w:rPr>
            </w:pPr>
            <w:r w:rsidRPr="00BF3A4E">
              <w:rPr>
                <w:kern w:val="2"/>
                <w:sz w:val="20"/>
                <w:szCs w:val="20"/>
              </w:rPr>
              <w:t>Mini-pig</w:t>
            </w:r>
          </w:p>
        </w:tc>
        <w:tc>
          <w:tcPr>
            <w:tcW w:w="1826" w:type="dxa"/>
          </w:tcPr>
          <w:p w14:paraId="6AD89B27" w14:textId="77777777" w:rsidR="00F16B9D" w:rsidRPr="00BF3A4E" w:rsidRDefault="00F16B9D" w:rsidP="00026D9A">
            <w:pPr>
              <w:ind w:left="0" w:right="0"/>
              <w:rPr>
                <w:kern w:val="2"/>
                <w:sz w:val="20"/>
                <w:szCs w:val="20"/>
              </w:rPr>
            </w:pPr>
            <w:r w:rsidRPr="00BF3A4E">
              <w:rPr>
                <w:kern w:val="2"/>
                <w:sz w:val="20"/>
                <w:szCs w:val="20"/>
              </w:rPr>
              <w:t>4 weeks</w:t>
            </w:r>
          </w:p>
          <w:p w14:paraId="6AD89B28" w14:textId="77777777" w:rsidR="00F16B9D" w:rsidRPr="00BF3A4E" w:rsidRDefault="00F16B9D" w:rsidP="00026D9A">
            <w:pPr>
              <w:ind w:left="0" w:right="0"/>
              <w:rPr>
                <w:kern w:val="2"/>
                <w:sz w:val="20"/>
                <w:szCs w:val="20"/>
              </w:rPr>
            </w:pPr>
            <w:r w:rsidRPr="00BF3A4E">
              <w:rPr>
                <w:kern w:val="2"/>
                <w:sz w:val="20"/>
                <w:szCs w:val="20"/>
              </w:rPr>
              <w:t>RDS.03.SRE.12447</w:t>
            </w:r>
          </w:p>
        </w:tc>
        <w:tc>
          <w:tcPr>
            <w:tcW w:w="1435" w:type="dxa"/>
          </w:tcPr>
          <w:p w14:paraId="6AD89B29" w14:textId="77777777" w:rsidR="00F16B9D" w:rsidRPr="00BF3A4E" w:rsidRDefault="00F16B9D" w:rsidP="00BF3A4E">
            <w:pPr>
              <w:rPr>
                <w:kern w:val="2"/>
                <w:sz w:val="20"/>
                <w:szCs w:val="20"/>
              </w:rPr>
            </w:pPr>
            <w:r w:rsidRPr="00BF3A4E">
              <w:rPr>
                <w:kern w:val="2"/>
                <w:sz w:val="20"/>
                <w:szCs w:val="20"/>
              </w:rPr>
              <w:t>5</w:t>
            </w:r>
          </w:p>
        </w:tc>
        <w:tc>
          <w:tcPr>
            <w:tcW w:w="2088" w:type="dxa"/>
          </w:tcPr>
          <w:p w14:paraId="6AD89B2A" w14:textId="77777777" w:rsidR="00F16B9D" w:rsidRPr="00BF3A4E" w:rsidRDefault="00F16B9D" w:rsidP="00026D9A">
            <w:pPr>
              <w:ind w:left="0" w:right="0"/>
              <w:rPr>
                <w:kern w:val="2"/>
                <w:sz w:val="20"/>
                <w:szCs w:val="20"/>
              </w:rPr>
            </w:pPr>
            <w:r w:rsidRPr="00BF3A4E">
              <w:rPr>
                <w:kern w:val="2"/>
                <w:sz w:val="20"/>
                <w:szCs w:val="20"/>
              </w:rPr>
              <w:t>38.05(m)/46.14(f)</w:t>
            </w:r>
          </w:p>
        </w:tc>
        <w:tc>
          <w:tcPr>
            <w:tcW w:w="1686" w:type="dxa"/>
          </w:tcPr>
          <w:p w14:paraId="6AD89B2B" w14:textId="77777777" w:rsidR="00F16B9D" w:rsidRPr="00BF3A4E" w:rsidRDefault="00D560E3" w:rsidP="00026D9A">
            <w:pPr>
              <w:ind w:left="0" w:right="0"/>
              <w:rPr>
                <w:kern w:val="2"/>
                <w:sz w:val="20"/>
                <w:szCs w:val="20"/>
              </w:rPr>
            </w:pPr>
            <w:r w:rsidRPr="00BF3A4E">
              <w:rPr>
                <w:kern w:val="2"/>
                <w:sz w:val="20"/>
                <w:szCs w:val="20"/>
              </w:rPr>
              <w:t>0.5(m)/0.61(</w:t>
            </w:r>
            <w:r w:rsidR="00F16B9D" w:rsidRPr="00BF3A4E">
              <w:rPr>
                <w:kern w:val="2"/>
                <w:sz w:val="20"/>
                <w:szCs w:val="20"/>
              </w:rPr>
              <w:t>f)</w:t>
            </w:r>
          </w:p>
        </w:tc>
      </w:tr>
      <w:tr w:rsidR="00F16B9D" w:rsidRPr="001C45C0" w14:paraId="6AD89B33" w14:textId="77777777" w:rsidTr="00A44476">
        <w:trPr>
          <w:trHeight w:val="753"/>
        </w:trPr>
        <w:tc>
          <w:tcPr>
            <w:tcW w:w="1536" w:type="dxa"/>
            <w:vMerge/>
          </w:tcPr>
          <w:p w14:paraId="6AD89B2D" w14:textId="77777777" w:rsidR="00F16B9D" w:rsidRPr="00BF3A4E" w:rsidRDefault="00F16B9D" w:rsidP="00BF3A4E">
            <w:pPr>
              <w:rPr>
                <w:kern w:val="2"/>
                <w:sz w:val="20"/>
                <w:szCs w:val="20"/>
              </w:rPr>
            </w:pPr>
          </w:p>
        </w:tc>
        <w:tc>
          <w:tcPr>
            <w:tcW w:w="1826" w:type="dxa"/>
          </w:tcPr>
          <w:p w14:paraId="6AD89B2E" w14:textId="77777777" w:rsidR="00F16B9D" w:rsidRPr="00BF3A4E" w:rsidRDefault="00F16B9D" w:rsidP="00026D9A">
            <w:pPr>
              <w:ind w:left="0" w:right="0"/>
              <w:rPr>
                <w:kern w:val="2"/>
                <w:sz w:val="20"/>
                <w:szCs w:val="20"/>
              </w:rPr>
            </w:pPr>
            <w:r w:rsidRPr="00BF3A4E">
              <w:rPr>
                <w:kern w:val="2"/>
                <w:sz w:val="20"/>
                <w:szCs w:val="20"/>
              </w:rPr>
              <w:t>13 Weeks</w:t>
            </w:r>
          </w:p>
          <w:p w14:paraId="6AD89B2F" w14:textId="77777777" w:rsidR="00F16B9D" w:rsidRPr="00BF3A4E" w:rsidRDefault="00F16B9D" w:rsidP="00026D9A">
            <w:pPr>
              <w:ind w:left="0" w:right="0"/>
              <w:rPr>
                <w:kern w:val="2"/>
                <w:sz w:val="20"/>
                <w:szCs w:val="20"/>
              </w:rPr>
            </w:pPr>
            <w:r w:rsidRPr="00BF3A4E">
              <w:rPr>
                <w:kern w:val="2"/>
                <w:sz w:val="20"/>
                <w:szCs w:val="20"/>
              </w:rPr>
              <w:t>RDS.03.SRE.12491</w:t>
            </w:r>
          </w:p>
        </w:tc>
        <w:tc>
          <w:tcPr>
            <w:tcW w:w="1435" w:type="dxa"/>
          </w:tcPr>
          <w:p w14:paraId="6AD89B30" w14:textId="77777777" w:rsidR="00F16B9D" w:rsidRPr="00BF3A4E" w:rsidRDefault="00F16B9D" w:rsidP="00BF3A4E">
            <w:pPr>
              <w:rPr>
                <w:kern w:val="2"/>
                <w:sz w:val="20"/>
                <w:szCs w:val="20"/>
              </w:rPr>
            </w:pPr>
            <w:r w:rsidRPr="00BF3A4E">
              <w:rPr>
                <w:kern w:val="2"/>
                <w:sz w:val="20"/>
                <w:szCs w:val="20"/>
              </w:rPr>
              <w:t>20</w:t>
            </w:r>
          </w:p>
        </w:tc>
        <w:tc>
          <w:tcPr>
            <w:tcW w:w="2088" w:type="dxa"/>
          </w:tcPr>
          <w:p w14:paraId="6AD89B31" w14:textId="77777777" w:rsidR="00F16B9D" w:rsidRPr="00BF3A4E" w:rsidRDefault="00F16B9D" w:rsidP="00026D9A">
            <w:pPr>
              <w:ind w:left="0" w:right="0"/>
              <w:rPr>
                <w:kern w:val="2"/>
                <w:sz w:val="20"/>
                <w:szCs w:val="20"/>
              </w:rPr>
            </w:pPr>
            <w:r w:rsidRPr="00BF3A4E">
              <w:rPr>
                <w:kern w:val="2"/>
                <w:sz w:val="20"/>
                <w:szCs w:val="20"/>
              </w:rPr>
              <w:t>95.4(m)/161.9(f)</w:t>
            </w:r>
          </w:p>
        </w:tc>
        <w:tc>
          <w:tcPr>
            <w:tcW w:w="1686" w:type="dxa"/>
          </w:tcPr>
          <w:p w14:paraId="6AD89B32" w14:textId="77777777" w:rsidR="00F16B9D" w:rsidRPr="00BF3A4E" w:rsidRDefault="00D560E3" w:rsidP="00026D9A">
            <w:pPr>
              <w:ind w:left="0" w:right="0"/>
              <w:rPr>
                <w:kern w:val="2"/>
                <w:sz w:val="20"/>
                <w:szCs w:val="20"/>
              </w:rPr>
            </w:pPr>
            <w:r w:rsidRPr="00BF3A4E">
              <w:rPr>
                <w:kern w:val="2"/>
                <w:sz w:val="20"/>
                <w:szCs w:val="20"/>
              </w:rPr>
              <w:t>1.3(m)/2.15</w:t>
            </w:r>
            <w:r w:rsidR="00F16B9D" w:rsidRPr="00BF3A4E">
              <w:rPr>
                <w:kern w:val="2"/>
                <w:sz w:val="20"/>
                <w:szCs w:val="20"/>
              </w:rPr>
              <w:t>(f)</w:t>
            </w:r>
          </w:p>
        </w:tc>
      </w:tr>
      <w:tr w:rsidR="00F16B9D" w:rsidRPr="001C45C0" w14:paraId="6AD89B3A" w14:textId="77777777" w:rsidTr="00A44476">
        <w:trPr>
          <w:trHeight w:val="753"/>
        </w:trPr>
        <w:tc>
          <w:tcPr>
            <w:tcW w:w="1536" w:type="dxa"/>
            <w:vMerge/>
          </w:tcPr>
          <w:p w14:paraId="6AD89B34" w14:textId="77777777" w:rsidR="00F16B9D" w:rsidRPr="00BF3A4E" w:rsidRDefault="00F16B9D" w:rsidP="00BF3A4E">
            <w:pPr>
              <w:rPr>
                <w:kern w:val="2"/>
                <w:sz w:val="20"/>
                <w:szCs w:val="20"/>
              </w:rPr>
            </w:pPr>
          </w:p>
        </w:tc>
        <w:tc>
          <w:tcPr>
            <w:tcW w:w="1826" w:type="dxa"/>
          </w:tcPr>
          <w:p w14:paraId="6AD89B35" w14:textId="77777777" w:rsidR="00F16B9D" w:rsidRPr="00BF3A4E" w:rsidRDefault="00F16B9D" w:rsidP="00026D9A">
            <w:pPr>
              <w:ind w:left="0" w:right="0"/>
              <w:rPr>
                <w:kern w:val="2"/>
                <w:sz w:val="20"/>
                <w:szCs w:val="20"/>
              </w:rPr>
            </w:pPr>
            <w:r w:rsidRPr="00BF3A4E">
              <w:rPr>
                <w:kern w:val="2"/>
                <w:sz w:val="20"/>
                <w:szCs w:val="20"/>
              </w:rPr>
              <w:t>9 Months</w:t>
            </w:r>
          </w:p>
          <w:p w14:paraId="6AD89B36" w14:textId="77777777" w:rsidR="00F16B9D" w:rsidRPr="00BF3A4E" w:rsidRDefault="00F16B9D" w:rsidP="00026D9A">
            <w:pPr>
              <w:ind w:left="0" w:right="0"/>
              <w:rPr>
                <w:kern w:val="2"/>
                <w:sz w:val="20"/>
                <w:szCs w:val="20"/>
              </w:rPr>
            </w:pPr>
            <w:r w:rsidRPr="00BF3A4E">
              <w:rPr>
                <w:kern w:val="2"/>
                <w:sz w:val="20"/>
                <w:szCs w:val="20"/>
              </w:rPr>
              <w:t>RDS.03.SRE.12510</w:t>
            </w:r>
          </w:p>
        </w:tc>
        <w:tc>
          <w:tcPr>
            <w:tcW w:w="1435" w:type="dxa"/>
          </w:tcPr>
          <w:p w14:paraId="6AD89B37" w14:textId="77777777" w:rsidR="00F16B9D" w:rsidRPr="00BF3A4E" w:rsidRDefault="00F16B9D" w:rsidP="00BF3A4E">
            <w:pPr>
              <w:rPr>
                <w:kern w:val="2"/>
                <w:sz w:val="20"/>
                <w:szCs w:val="20"/>
              </w:rPr>
            </w:pPr>
            <w:r w:rsidRPr="00BF3A4E">
              <w:rPr>
                <w:kern w:val="2"/>
                <w:sz w:val="20"/>
                <w:szCs w:val="20"/>
              </w:rPr>
              <w:t>20</w:t>
            </w:r>
          </w:p>
        </w:tc>
        <w:tc>
          <w:tcPr>
            <w:tcW w:w="2088" w:type="dxa"/>
          </w:tcPr>
          <w:p w14:paraId="6AD89B38" w14:textId="77777777" w:rsidR="00F16B9D" w:rsidRPr="00BF3A4E" w:rsidRDefault="00F16B9D" w:rsidP="00026D9A">
            <w:pPr>
              <w:ind w:left="0" w:right="0"/>
              <w:rPr>
                <w:kern w:val="2"/>
                <w:sz w:val="20"/>
                <w:szCs w:val="20"/>
              </w:rPr>
            </w:pPr>
            <w:r w:rsidRPr="00BF3A4E">
              <w:rPr>
                <w:kern w:val="2"/>
                <w:sz w:val="20"/>
                <w:szCs w:val="20"/>
              </w:rPr>
              <w:t>66.48(m)/139.46(f)</w:t>
            </w:r>
          </w:p>
        </w:tc>
        <w:tc>
          <w:tcPr>
            <w:tcW w:w="1686" w:type="dxa"/>
          </w:tcPr>
          <w:p w14:paraId="6AD89B39" w14:textId="77777777" w:rsidR="00F16B9D" w:rsidRPr="00BF3A4E" w:rsidRDefault="00D560E3" w:rsidP="00026D9A">
            <w:pPr>
              <w:ind w:left="0" w:right="0"/>
              <w:rPr>
                <w:kern w:val="2"/>
                <w:sz w:val="20"/>
                <w:szCs w:val="20"/>
              </w:rPr>
            </w:pPr>
            <w:r w:rsidRPr="00BF3A4E">
              <w:rPr>
                <w:kern w:val="2"/>
                <w:sz w:val="20"/>
                <w:szCs w:val="20"/>
              </w:rPr>
              <w:t>0.88(m)/1.86</w:t>
            </w:r>
            <w:r w:rsidR="00F16B9D" w:rsidRPr="00BF3A4E">
              <w:rPr>
                <w:kern w:val="2"/>
                <w:sz w:val="20"/>
                <w:szCs w:val="20"/>
              </w:rPr>
              <w:t>(f)</w:t>
            </w:r>
          </w:p>
        </w:tc>
      </w:tr>
      <w:tr w:rsidR="00F16B9D" w:rsidRPr="001C45C0" w14:paraId="6AD89B43" w14:textId="77777777" w:rsidTr="00A44476">
        <w:trPr>
          <w:trHeight w:val="207"/>
        </w:trPr>
        <w:tc>
          <w:tcPr>
            <w:tcW w:w="1536" w:type="dxa"/>
          </w:tcPr>
          <w:p w14:paraId="6AD89B3B" w14:textId="77777777" w:rsidR="00F16B9D" w:rsidRPr="00BF3A4E" w:rsidRDefault="00F16B9D" w:rsidP="00BF3A4E">
            <w:pPr>
              <w:rPr>
                <w:kern w:val="2"/>
                <w:sz w:val="20"/>
                <w:szCs w:val="20"/>
              </w:rPr>
            </w:pPr>
            <w:r w:rsidRPr="00BF3A4E">
              <w:rPr>
                <w:kern w:val="2"/>
                <w:sz w:val="20"/>
                <w:szCs w:val="20"/>
              </w:rPr>
              <w:t>Rabbit</w:t>
            </w:r>
          </w:p>
          <w:p w14:paraId="6AD89B3C" w14:textId="77777777" w:rsidR="00F16B9D" w:rsidRPr="00BF3A4E" w:rsidRDefault="00F16B9D" w:rsidP="00BF3A4E">
            <w:pPr>
              <w:rPr>
                <w:kern w:val="2"/>
                <w:sz w:val="20"/>
                <w:szCs w:val="20"/>
              </w:rPr>
            </w:pPr>
            <w:r w:rsidRPr="00BF3A4E">
              <w:rPr>
                <w:kern w:val="2"/>
                <w:sz w:val="20"/>
                <w:szCs w:val="20"/>
              </w:rPr>
              <w:t>(NZW)</w:t>
            </w:r>
          </w:p>
        </w:tc>
        <w:tc>
          <w:tcPr>
            <w:tcW w:w="1826" w:type="dxa"/>
          </w:tcPr>
          <w:p w14:paraId="6AD89B3D" w14:textId="77777777" w:rsidR="00F16B9D" w:rsidRPr="00BF3A4E" w:rsidRDefault="00F16B9D" w:rsidP="00026D9A">
            <w:pPr>
              <w:ind w:left="0" w:right="0"/>
              <w:rPr>
                <w:kern w:val="2"/>
                <w:sz w:val="20"/>
                <w:szCs w:val="20"/>
              </w:rPr>
            </w:pPr>
            <w:r w:rsidRPr="00BF3A4E">
              <w:rPr>
                <w:kern w:val="2"/>
                <w:sz w:val="20"/>
                <w:szCs w:val="20"/>
              </w:rPr>
              <w:t>Embryo</w:t>
            </w:r>
            <w:r w:rsidR="00CE323A" w:rsidRPr="00BF3A4E">
              <w:rPr>
                <w:kern w:val="2"/>
                <w:sz w:val="20"/>
                <w:szCs w:val="20"/>
              </w:rPr>
              <w:t>fet</w:t>
            </w:r>
            <w:r w:rsidRPr="00BF3A4E">
              <w:rPr>
                <w:kern w:val="2"/>
                <w:sz w:val="20"/>
                <w:szCs w:val="20"/>
              </w:rPr>
              <w:t>al Development</w:t>
            </w:r>
          </w:p>
          <w:p w14:paraId="6AD89B3E" w14:textId="77777777" w:rsidR="00F16B9D" w:rsidRPr="00BF3A4E" w:rsidRDefault="00F16B9D" w:rsidP="00026D9A">
            <w:pPr>
              <w:ind w:left="0" w:right="0"/>
              <w:rPr>
                <w:kern w:val="2"/>
                <w:sz w:val="20"/>
                <w:szCs w:val="20"/>
              </w:rPr>
            </w:pPr>
            <w:r w:rsidRPr="00BF3A4E">
              <w:rPr>
                <w:kern w:val="2"/>
                <w:sz w:val="20"/>
                <w:szCs w:val="20"/>
              </w:rPr>
              <w:t>RDS.03.SRE.12460</w:t>
            </w:r>
          </w:p>
          <w:p w14:paraId="6AD89B3F" w14:textId="77777777" w:rsidR="00F16B9D" w:rsidRPr="00BF3A4E" w:rsidRDefault="00F16B9D" w:rsidP="00026D9A">
            <w:pPr>
              <w:ind w:left="0" w:right="0"/>
              <w:rPr>
                <w:kern w:val="2"/>
                <w:sz w:val="20"/>
                <w:szCs w:val="20"/>
              </w:rPr>
            </w:pPr>
            <w:r w:rsidRPr="00BF3A4E">
              <w:rPr>
                <w:kern w:val="2"/>
                <w:sz w:val="20"/>
                <w:szCs w:val="20"/>
              </w:rPr>
              <w:t>RDS.03.SRE.1263</w:t>
            </w:r>
          </w:p>
        </w:tc>
        <w:tc>
          <w:tcPr>
            <w:tcW w:w="1435" w:type="dxa"/>
          </w:tcPr>
          <w:p w14:paraId="6AD89B40" w14:textId="77777777" w:rsidR="00F16B9D" w:rsidRPr="00BF3A4E" w:rsidRDefault="00F16B9D" w:rsidP="00BF3A4E">
            <w:pPr>
              <w:rPr>
                <w:kern w:val="2"/>
                <w:sz w:val="20"/>
                <w:szCs w:val="20"/>
              </w:rPr>
            </w:pPr>
            <w:r w:rsidRPr="00BF3A4E">
              <w:rPr>
                <w:kern w:val="2"/>
                <w:sz w:val="20"/>
                <w:szCs w:val="20"/>
              </w:rPr>
              <w:t>3.5</w:t>
            </w:r>
          </w:p>
        </w:tc>
        <w:tc>
          <w:tcPr>
            <w:tcW w:w="2088" w:type="dxa"/>
          </w:tcPr>
          <w:p w14:paraId="6AD89B41" w14:textId="77777777" w:rsidR="00F16B9D" w:rsidRPr="00BF3A4E" w:rsidRDefault="00F16B9D" w:rsidP="00026D9A">
            <w:pPr>
              <w:ind w:left="0" w:right="0"/>
              <w:rPr>
                <w:kern w:val="2"/>
                <w:sz w:val="20"/>
                <w:szCs w:val="20"/>
              </w:rPr>
            </w:pPr>
            <w:r w:rsidRPr="00BF3A4E">
              <w:rPr>
                <w:kern w:val="2"/>
                <w:sz w:val="20"/>
                <w:szCs w:val="20"/>
              </w:rPr>
              <w:t>5</w:t>
            </w:r>
            <w:r w:rsidR="00D560E3" w:rsidRPr="00BF3A4E">
              <w:rPr>
                <w:kern w:val="2"/>
                <w:sz w:val="20"/>
                <w:szCs w:val="20"/>
              </w:rPr>
              <w:t>,</w:t>
            </w:r>
            <w:r w:rsidRPr="00BF3A4E">
              <w:rPr>
                <w:kern w:val="2"/>
                <w:sz w:val="20"/>
                <w:szCs w:val="20"/>
              </w:rPr>
              <w:t>159</w:t>
            </w:r>
          </w:p>
        </w:tc>
        <w:tc>
          <w:tcPr>
            <w:tcW w:w="1686" w:type="dxa"/>
          </w:tcPr>
          <w:p w14:paraId="6AD89B42" w14:textId="77777777" w:rsidR="00F16B9D" w:rsidRPr="00BF3A4E" w:rsidRDefault="00F16B9D" w:rsidP="00026D9A">
            <w:pPr>
              <w:ind w:left="0" w:right="0"/>
              <w:rPr>
                <w:kern w:val="2"/>
                <w:sz w:val="20"/>
                <w:szCs w:val="20"/>
              </w:rPr>
            </w:pPr>
            <w:r w:rsidRPr="00BF3A4E">
              <w:rPr>
                <w:kern w:val="2"/>
                <w:sz w:val="20"/>
                <w:szCs w:val="20"/>
              </w:rPr>
              <w:t>68.6</w:t>
            </w:r>
          </w:p>
        </w:tc>
      </w:tr>
      <w:tr w:rsidR="00F16B9D" w:rsidRPr="001C45C0" w14:paraId="6AD89B4B" w14:textId="77777777" w:rsidTr="00A44476">
        <w:trPr>
          <w:trHeight w:val="207"/>
        </w:trPr>
        <w:tc>
          <w:tcPr>
            <w:tcW w:w="1536" w:type="dxa"/>
          </w:tcPr>
          <w:p w14:paraId="6AD89B44" w14:textId="77777777" w:rsidR="00F16B9D" w:rsidRPr="00BF3A4E" w:rsidRDefault="00F16B9D" w:rsidP="00BF3A4E">
            <w:pPr>
              <w:rPr>
                <w:kern w:val="2"/>
                <w:sz w:val="20"/>
                <w:szCs w:val="20"/>
              </w:rPr>
            </w:pPr>
            <w:r w:rsidRPr="00BF3A4E">
              <w:rPr>
                <w:kern w:val="2"/>
                <w:sz w:val="20"/>
                <w:szCs w:val="20"/>
              </w:rPr>
              <w:t>Rat</w:t>
            </w:r>
          </w:p>
          <w:p w14:paraId="6AD89B45" w14:textId="77777777" w:rsidR="00F16B9D" w:rsidRPr="00BF3A4E" w:rsidRDefault="00F16B9D" w:rsidP="00BF3A4E">
            <w:pPr>
              <w:rPr>
                <w:kern w:val="2"/>
                <w:sz w:val="20"/>
                <w:szCs w:val="20"/>
              </w:rPr>
            </w:pPr>
            <w:r w:rsidRPr="00BF3A4E">
              <w:rPr>
                <w:kern w:val="2"/>
                <w:sz w:val="20"/>
                <w:szCs w:val="20"/>
              </w:rPr>
              <w:t>(SD)</w:t>
            </w:r>
          </w:p>
        </w:tc>
        <w:tc>
          <w:tcPr>
            <w:tcW w:w="1826" w:type="dxa"/>
          </w:tcPr>
          <w:p w14:paraId="6AD89B46" w14:textId="77777777" w:rsidR="00F16B9D" w:rsidRPr="00BF3A4E" w:rsidRDefault="00F16B9D" w:rsidP="00026D9A">
            <w:pPr>
              <w:ind w:left="0" w:right="0"/>
              <w:rPr>
                <w:kern w:val="2"/>
                <w:sz w:val="20"/>
                <w:szCs w:val="20"/>
              </w:rPr>
            </w:pPr>
            <w:r w:rsidRPr="00BF3A4E">
              <w:rPr>
                <w:kern w:val="2"/>
                <w:sz w:val="20"/>
                <w:szCs w:val="20"/>
              </w:rPr>
              <w:t>Embryo</w:t>
            </w:r>
            <w:r w:rsidR="00CE323A" w:rsidRPr="00BF3A4E">
              <w:rPr>
                <w:kern w:val="2"/>
                <w:sz w:val="20"/>
                <w:szCs w:val="20"/>
              </w:rPr>
              <w:t>fet</w:t>
            </w:r>
            <w:r w:rsidRPr="00BF3A4E">
              <w:rPr>
                <w:kern w:val="2"/>
                <w:sz w:val="20"/>
                <w:szCs w:val="20"/>
              </w:rPr>
              <w:t>al Development</w:t>
            </w:r>
          </w:p>
          <w:p w14:paraId="6AD89B47" w14:textId="77777777" w:rsidR="00F16B9D" w:rsidRPr="00BF3A4E" w:rsidRDefault="00F16B9D" w:rsidP="00026D9A">
            <w:pPr>
              <w:ind w:left="0" w:right="0"/>
              <w:rPr>
                <w:kern w:val="2"/>
                <w:sz w:val="20"/>
                <w:szCs w:val="20"/>
              </w:rPr>
            </w:pPr>
            <w:r w:rsidRPr="00BF3A4E">
              <w:rPr>
                <w:kern w:val="2"/>
                <w:sz w:val="20"/>
                <w:szCs w:val="20"/>
              </w:rPr>
              <w:t>RDS.03.SRE.12461</w:t>
            </w:r>
          </w:p>
        </w:tc>
        <w:tc>
          <w:tcPr>
            <w:tcW w:w="1435" w:type="dxa"/>
          </w:tcPr>
          <w:p w14:paraId="6AD89B48" w14:textId="77777777" w:rsidR="00F16B9D" w:rsidRPr="00BF3A4E" w:rsidRDefault="00F16B9D" w:rsidP="00BF3A4E">
            <w:pPr>
              <w:rPr>
                <w:kern w:val="2"/>
                <w:sz w:val="20"/>
                <w:szCs w:val="20"/>
              </w:rPr>
            </w:pPr>
            <w:r w:rsidRPr="00BF3A4E">
              <w:rPr>
                <w:kern w:val="2"/>
                <w:sz w:val="20"/>
                <w:szCs w:val="20"/>
              </w:rPr>
              <w:t>4</w:t>
            </w:r>
          </w:p>
        </w:tc>
        <w:tc>
          <w:tcPr>
            <w:tcW w:w="2088" w:type="dxa"/>
          </w:tcPr>
          <w:p w14:paraId="6AD89B49" w14:textId="77777777" w:rsidR="00F16B9D" w:rsidRPr="00BF3A4E" w:rsidRDefault="00F16B9D" w:rsidP="00026D9A">
            <w:pPr>
              <w:ind w:left="0" w:right="0"/>
              <w:rPr>
                <w:kern w:val="2"/>
                <w:sz w:val="20"/>
                <w:szCs w:val="20"/>
              </w:rPr>
            </w:pPr>
            <w:r w:rsidRPr="00BF3A4E">
              <w:rPr>
                <w:kern w:val="2"/>
                <w:sz w:val="20"/>
                <w:szCs w:val="20"/>
              </w:rPr>
              <w:t>25</w:t>
            </w:r>
            <w:r w:rsidR="00D560E3" w:rsidRPr="00BF3A4E">
              <w:rPr>
                <w:kern w:val="2"/>
                <w:sz w:val="20"/>
                <w:szCs w:val="20"/>
              </w:rPr>
              <w:t>,</w:t>
            </w:r>
            <w:r w:rsidRPr="00BF3A4E">
              <w:rPr>
                <w:kern w:val="2"/>
                <w:sz w:val="20"/>
                <w:szCs w:val="20"/>
              </w:rPr>
              <w:t>099</w:t>
            </w:r>
          </w:p>
        </w:tc>
        <w:tc>
          <w:tcPr>
            <w:tcW w:w="1686" w:type="dxa"/>
          </w:tcPr>
          <w:p w14:paraId="6AD89B4A" w14:textId="77777777" w:rsidR="00F16B9D" w:rsidRPr="00BF3A4E" w:rsidRDefault="00F16B9D" w:rsidP="00026D9A">
            <w:pPr>
              <w:ind w:left="0" w:right="0"/>
              <w:rPr>
                <w:kern w:val="2"/>
                <w:sz w:val="20"/>
                <w:szCs w:val="20"/>
              </w:rPr>
            </w:pPr>
            <w:r w:rsidRPr="00BF3A4E">
              <w:rPr>
                <w:kern w:val="2"/>
                <w:sz w:val="20"/>
                <w:szCs w:val="20"/>
              </w:rPr>
              <w:t>333.9</w:t>
            </w:r>
          </w:p>
        </w:tc>
      </w:tr>
      <w:tr w:rsidR="00F16B9D" w:rsidRPr="001C45C0" w14:paraId="6AD89B51" w14:textId="77777777" w:rsidTr="00A44476">
        <w:trPr>
          <w:trHeight w:val="207"/>
        </w:trPr>
        <w:tc>
          <w:tcPr>
            <w:tcW w:w="1536" w:type="dxa"/>
          </w:tcPr>
          <w:p w14:paraId="6AD89B4C" w14:textId="77777777" w:rsidR="00F16B9D" w:rsidRPr="00BF3A4E" w:rsidRDefault="00F16B9D" w:rsidP="00026D9A">
            <w:pPr>
              <w:ind w:left="0" w:right="0"/>
              <w:rPr>
                <w:color w:val="auto"/>
                <w:kern w:val="2"/>
                <w:sz w:val="20"/>
                <w:szCs w:val="20"/>
              </w:rPr>
            </w:pPr>
            <w:r w:rsidRPr="00BF3A4E">
              <w:rPr>
                <w:kern w:val="2"/>
                <w:sz w:val="20"/>
                <w:szCs w:val="20"/>
              </w:rPr>
              <w:t>Human</w:t>
            </w:r>
            <w:r w:rsidR="00AA66CB" w:rsidRPr="00BF3A4E">
              <w:rPr>
                <w:kern w:val="2"/>
                <w:sz w:val="20"/>
                <w:szCs w:val="20"/>
              </w:rPr>
              <w:t xml:space="preserve"> </w:t>
            </w:r>
            <w:r w:rsidRPr="00BF3A4E">
              <w:rPr>
                <w:kern w:val="2"/>
                <w:sz w:val="20"/>
                <w:szCs w:val="20"/>
              </w:rPr>
              <w:t xml:space="preserve">(Severe </w:t>
            </w:r>
            <w:proofErr w:type="spellStart"/>
            <w:r w:rsidR="00F475F1" w:rsidRPr="00BF3A4E">
              <w:rPr>
                <w:kern w:val="2"/>
                <w:sz w:val="20"/>
                <w:szCs w:val="20"/>
              </w:rPr>
              <w:t>papulo</w:t>
            </w:r>
            <w:proofErr w:type="spellEnd"/>
            <w:r w:rsidR="00F475F1" w:rsidRPr="00BF3A4E">
              <w:rPr>
                <w:kern w:val="2"/>
                <w:sz w:val="20"/>
                <w:szCs w:val="20"/>
              </w:rPr>
              <w:t>-pustular</w:t>
            </w:r>
            <w:r w:rsidRPr="00BF3A4E">
              <w:rPr>
                <w:kern w:val="2"/>
                <w:sz w:val="20"/>
                <w:szCs w:val="20"/>
              </w:rPr>
              <w:t xml:space="preserve"> rosacea under maximal use conditions)</w:t>
            </w:r>
          </w:p>
        </w:tc>
        <w:tc>
          <w:tcPr>
            <w:tcW w:w="1826" w:type="dxa"/>
          </w:tcPr>
          <w:p w14:paraId="6AD89B4D" w14:textId="77777777" w:rsidR="00F16B9D" w:rsidRPr="00BF3A4E" w:rsidRDefault="00F16B9D" w:rsidP="00026D9A">
            <w:pPr>
              <w:ind w:left="0" w:right="0"/>
              <w:rPr>
                <w:color w:val="auto"/>
                <w:kern w:val="2"/>
                <w:sz w:val="20"/>
                <w:szCs w:val="20"/>
              </w:rPr>
            </w:pPr>
            <w:r w:rsidRPr="00BF3A4E">
              <w:rPr>
                <w:kern w:val="2"/>
                <w:sz w:val="20"/>
                <w:szCs w:val="20"/>
              </w:rPr>
              <w:t>steady state (day 28)</w:t>
            </w:r>
          </w:p>
        </w:tc>
        <w:tc>
          <w:tcPr>
            <w:tcW w:w="1435" w:type="dxa"/>
          </w:tcPr>
          <w:p w14:paraId="6AD89B4E" w14:textId="77777777" w:rsidR="00F16B9D" w:rsidRPr="00BF3A4E" w:rsidRDefault="00F16B9D" w:rsidP="00BF3A4E">
            <w:pPr>
              <w:rPr>
                <w:color w:val="auto"/>
                <w:kern w:val="2"/>
                <w:sz w:val="20"/>
                <w:szCs w:val="20"/>
              </w:rPr>
            </w:pPr>
            <w:r w:rsidRPr="00BF3A4E">
              <w:rPr>
                <w:kern w:val="2"/>
                <w:sz w:val="20"/>
                <w:szCs w:val="20"/>
              </w:rPr>
              <w:t>10 mg/day</w:t>
            </w:r>
          </w:p>
        </w:tc>
        <w:tc>
          <w:tcPr>
            <w:tcW w:w="2088" w:type="dxa"/>
          </w:tcPr>
          <w:p w14:paraId="6AD89B4F" w14:textId="77777777" w:rsidR="00F16B9D" w:rsidRPr="00BF3A4E" w:rsidRDefault="00F16B9D" w:rsidP="00026D9A">
            <w:pPr>
              <w:ind w:left="0" w:right="0"/>
              <w:rPr>
                <w:color w:val="auto"/>
                <w:kern w:val="2"/>
                <w:sz w:val="20"/>
                <w:szCs w:val="20"/>
                <w:vertAlign w:val="superscript"/>
              </w:rPr>
            </w:pPr>
            <w:r w:rsidRPr="00BF3A4E">
              <w:rPr>
                <w:kern w:val="2"/>
                <w:sz w:val="20"/>
                <w:szCs w:val="20"/>
              </w:rPr>
              <w:t>75.16</w:t>
            </w:r>
            <w:r w:rsidRPr="00BF3A4E">
              <w:rPr>
                <w:kern w:val="2"/>
                <w:sz w:val="20"/>
                <w:szCs w:val="20"/>
                <w:vertAlign w:val="superscript"/>
              </w:rPr>
              <w:t>†</w:t>
            </w:r>
          </w:p>
        </w:tc>
        <w:tc>
          <w:tcPr>
            <w:tcW w:w="1686" w:type="dxa"/>
          </w:tcPr>
          <w:p w14:paraId="6AD89B50" w14:textId="77777777" w:rsidR="00F16B9D" w:rsidRPr="00BF3A4E" w:rsidRDefault="00F16B9D" w:rsidP="00026D9A">
            <w:pPr>
              <w:ind w:left="0" w:right="0"/>
              <w:rPr>
                <w:color w:val="auto"/>
                <w:kern w:val="2"/>
                <w:sz w:val="20"/>
                <w:szCs w:val="20"/>
              </w:rPr>
            </w:pPr>
            <w:r w:rsidRPr="00BF3A4E">
              <w:rPr>
                <w:kern w:val="2"/>
                <w:sz w:val="20"/>
                <w:szCs w:val="20"/>
              </w:rPr>
              <w:t>–</w:t>
            </w:r>
          </w:p>
        </w:tc>
      </w:tr>
    </w:tbl>
    <w:p w14:paraId="6AD89B52" w14:textId="77777777" w:rsidR="00F16B9D" w:rsidRPr="00F16B9D" w:rsidRDefault="00F16B9D" w:rsidP="00BF3A4E">
      <w:pPr>
        <w:pStyle w:val="TableDescription"/>
      </w:pPr>
      <w:bookmarkStart w:id="54" w:name="_Toc247691515"/>
      <w:bookmarkStart w:id="55" w:name="_Toc314842499"/>
      <w:r w:rsidRPr="00F16B9D">
        <w:t>§ = highest recorded mean (male o</w:t>
      </w:r>
      <w:r w:rsidR="00D560E3">
        <w:t>r female) during the experiment</w:t>
      </w:r>
      <w:r>
        <w:t xml:space="preserve"> </w:t>
      </w:r>
      <w:r w:rsidRPr="00F16B9D">
        <w:t xml:space="preserve"># = </w:t>
      </w:r>
      <w:r w:rsidR="00D560E3" w:rsidRPr="00F16B9D">
        <w:t>animal: human</w:t>
      </w:r>
      <w:r w:rsidRPr="00F16B9D">
        <w:t xml:space="preserve"> plasma AUC</w:t>
      </w:r>
      <w:r w:rsidR="00D560E3">
        <w:t xml:space="preserve"> </w:t>
      </w:r>
      <w:r w:rsidRPr="00D560E3">
        <w:rPr>
          <w:vertAlign w:val="subscript"/>
        </w:rPr>
        <w:t>0–24h</w:t>
      </w:r>
      <w:r w:rsidRPr="00F16B9D">
        <w:t xml:space="preserve"> • = due to retinopathy</w:t>
      </w:r>
      <w:r>
        <w:t xml:space="preserve"> </w:t>
      </w:r>
      <w:r w:rsidRPr="00F16B9D">
        <w:t xml:space="preserve">† = highest mean human </w:t>
      </w:r>
      <w:r w:rsidR="008B1EEB" w:rsidRPr="00F16B9D">
        <w:t>AUC</w:t>
      </w:r>
      <w:r w:rsidR="008B1EEB" w:rsidRPr="008B1EEB">
        <w:rPr>
          <w:vertAlign w:val="subscript"/>
        </w:rPr>
        <w:t>0-24</w:t>
      </w:r>
      <w:r w:rsidRPr="00F16B9D">
        <w:t xml:space="preserve"> observed (clinical </w:t>
      </w:r>
      <w:r w:rsidR="00F941D7">
        <w:t>Study</w:t>
      </w:r>
      <w:r w:rsidRPr="00F16B9D">
        <w:t xml:space="preserve"> RD.03.SRE.40064)</w:t>
      </w:r>
      <w:r w:rsidR="00AA66CB">
        <w:t xml:space="preserve"> m = male f = female</w:t>
      </w:r>
      <w:r w:rsidRPr="00F16B9D">
        <w:t>.</w:t>
      </w:r>
    </w:p>
    <w:p w14:paraId="6AD89B53" w14:textId="77777777" w:rsidR="00F16B9D" w:rsidRPr="00F16B9D" w:rsidRDefault="00F16B9D" w:rsidP="00F16B9D">
      <w:pPr>
        <w:pStyle w:val="Heading5"/>
      </w:pPr>
      <w:r w:rsidRPr="00F16B9D">
        <w:t>Major toxicities</w:t>
      </w:r>
    </w:p>
    <w:p w14:paraId="6AD89B54" w14:textId="77777777" w:rsidR="00F16B9D" w:rsidRPr="00F16B9D" w:rsidRDefault="00F16B9D" w:rsidP="00F16B9D">
      <w:r w:rsidRPr="00F16B9D">
        <w:t xml:space="preserve">Predictably, the major site of action of ivermectin toxicity is in the CNS GABA </w:t>
      </w:r>
      <w:proofErr w:type="gramStart"/>
      <w:r w:rsidRPr="00F16B9D">
        <w:t>A</w:t>
      </w:r>
      <w:proofErr w:type="gramEnd"/>
      <w:r w:rsidRPr="00F16B9D">
        <w:t xml:space="preserve"> systems</w:t>
      </w:r>
      <w:r w:rsidR="00902337">
        <w:t xml:space="preserve">. </w:t>
      </w:r>
      <w:r w:rsidRPr="00F16B9D">
        <w:t xml:space="preserve">Evidence of cumulative dermal irritancy was present in a number of the animal topical </w:t>
      </w:r>
      <w:r w:rsidRPr="00F16B9D">
        <w:lastRenderedPageBreak/>
        <w:t>exposure studies</w:t>
      </w:r>
      <w:r w:rsidR="00902337">
        <w:t xml:space="preserve">. </w:t>
      </w:r>
      <w:r w:rsidRPr="00F16B9D">
        <w:t>Dermal cumulative irritancy was most likely to be associated with the vehicle rather than ivermectin per se.</w:t>
      </w:r>
    </w:p>
    <w:p w14:paraId="6AD89B55" w14:textId="77777777" w:rsidR="00F16B9D" w:rsidRPr="00F16B9D" w:rsidRDefault="00F16B9D" w:rsidP="00F16B9D">
      <w:r w:rsidRPr="00F16B9D">
        <w:t>Retinal atrophy was noted in t</w:t>
      </w:r>
      <w:r w:rsidR="00AA66CB">
        <w:t xml:space="preserve">he non </w:t>
      </w:r>
      <w:r w:rsidR="00D560E3">
        <w:t xml:space="preserve">pivotal oral gavage near </w:t>
      </w:r>
      <w:r w:rsidRPr="00F16B9D">
        <w:t>lifetime exposure carcinogenesis study in rats</w:t>
      </w:r>
      <w:r w:rsidR="00902337">
        <w:t xml:space="preserve">. </w:t>
      </w:r>
      <w:r w:rsidRPr="00F16B9D">
        <w:t xml:space="preserve">The rat LOAEL for </w:t>
      </w:r>
      <w:r w:rsidR="00BD1775">
        <w:t>ivermectin induced</w:t>
      </w:r>
      <w:r w:rsidR="00140525">
        <w:t xml:space="preserve"> retinal atrophy was 1 </w:t>
      </w:r>
      <w:r w:rsidRPr="00F16B9D">
        <w:t xml:space="preserve">mg/kg BW/day (equivalent to and </w:t>
      </w:r>
      <w:r w:rsidR="008B1EEB" w:rsidRPr="00F16B9D">
        <w:t>AUC</w:t>
      </w:r>
      <w:r w:rsidR="008B1EEB" w:rsidRPr="008B1EEB">
        <w:rPr>
          <w:vertAlign w:val="subscript"/>
        </w:rPr>
        <w:t>0-24</w:t>
      </w:r>
      <w:r w:rsidRPr="00F16B9D">
        <w:t xml:space="preserve"> </w:t>
      </w:r>
      <w:r w:rsidRPr="00AA66CB">
        <w:rPr>
          <w:vertAlign w:val="subscript"/>
        </w:rPr>
        <w:t>Last</w:t>
      </w:r>
      <w:r w:rsidRPr="00F16B9D">
        <w:t xml:space="preserve"> of </w:t>
      </w:r>
      <w:proofErr w:type="gramStart"/>
      <w:r w:rsidRPr="00F16B9D">
        <w:t>5</w:t>
      </w:r>
      <w:r w:rsidR="00140525">
        <w:t>,</w:t>
      </w:r>
      <w:r w:rsidRPr="00F16B9D">
        <w:t xml:space="preserve">241.02 </w:t>
      </w:r>
      <w:proofErr w:type="spellStart"/>
      <w:r w:rsidRPr="00F16B9D">
        <w:t>ng∙h</w:t>
      </w:r>
      <w:proofErr w:type="spellEnd"/>
      <w:r w:rsidRPr="00F16B9D">
        <w:t>/mL</w:t>
      </w:r>
      <w:proofErr w:type="gramEnd"/>
      <w:r w:rsidRPr="00F16B9D">
        <w:t xml:space="preserve"> and 4</w:t>
      </w:r>
      <w:r w:rsidR="00140525">
        <w:t>,335.89 </w:t>
      </w:r>
      <w:proofErr w:type="spellStart"/>
      <w:r w:rsidRPr="00F16B9D">
        <w:t>ng∙h</w:t>
      </w:r>
      <w:proofErr w:type="spellEnd"/>
      <w:r w:rsidRPr="00F16B9D">
        <w:t>/mL in males and females respectively) due to the presence of an increased incidence of retinal atrophy at this dose rate</w:t>
      </w:r>
      <w:r w:rsidR="00902337">
        <w:t xml:space="preserve">. </w:t>
      </w:r>
      <w:r w:rsidRPr="00F16B9D">
        <w:t xml:space="preserve">The highest mean </w:t>
      </w:r>
      <w:r w:rsidR="008B1EEB" w:rsidRPr="00F16B9D">
        <w:t>AUC</w:t>
      </w:r>
      <w:r w:rsidR="008B1EEB" w:rsidRPr="008B1EEB">
        <w:rPr>
          <w:vertAlign w:val="subscript"/>
        </w:rPr>
        <w:t>0-24</w:t>
      </w:r>
      <w:r w:rsidRPr="00F16B9D">
        <w:t xml:space="preserve"> for Soolantra use in humans was </w:t>
      </w:r>
      <w:proofErr w:type="gramStart"/>
      <w:r w:rsidRPr="00F16B9D">
        <w:t xml:space="preserve">75.15 </w:t>
      </w:r>
      <w:proofErr w:type="spellStart"/>
      <w:r w:rsidRPr="00F16B9D">
        <w:t>ng∙h</w:t>
      </w:r>
      <w:proofErr w:type="spellEnd"/>
      <w:r w:rsidRPr="00F16B9D">
        <w:t>/mL (clinical Study 40064)</w:t>
      </w:r>
      <w:proofErr w:type="gramEnd"/>
      <w:r w:rsidRPr="00F16B9D">
        <w:t>, thus the systemic exposure at the LOAEL in rats is ≥ 57.7</w:t>
      </w:r>
      <w:r w:rsidR="00140525">
        <w:t xml:space="preserve"> times</w:t>
      </w:r>
      <w:r w:rsidRPr="00F16B9D">
        <w:t xml:space="preserve"> higher than the highest expected human systemic ivermectin exposure (based on </w:t>
      </w:r>
      <w:r w:rsidR="008B1EEB" w:rsidRPr="00F16B9D">
        <w:t>AUC</w:t>
      </w:r>
      <w:r w:rsidR="008B1EEB" w:rsidRPr="008B1EEB">
        <w:rPr>
          <w:vertAlign w:val="subscript"/>
        </w:rPr>
        <w:t>0-24</w:t>
      </w:r>
      <w:r w:rsidRPr="00F16B9D">
        <w:t xml:space="preserve"> ratio)</w:t>
      </w:r>
      <w:r w:rsidR="00902337">
        <w:t xml:space="preserve">. </w:t>
      </w:r>
      <w:r w:rsidR="00BD1775">
        <w:t>Ivermectin induced</w:t>
      </w:r>
      <w:r w:rsidRPr="00F16B9D">
        <w:t xml:space="preserve"> retinal atrophy is undoubtedly relevant to humans and has been noted in cases of overt ivermectin poisoning in dogs</w:t>
      </w:r>
      <w:proofErr w:type="gramStart"/>
      <w:r w:rsidRPr="00F16B9D">
        <w:t>.</w:t>
      </w:r>
      <w:r w:rsidRPr="00FC7051">
        <w:rPr>
          <w:vertAlign w:val="superscript"/>
        </w:rPr>
        <w:footnoteReference w:id="4"/>
      </w:r>
      <w:r w:rsidR="00A44476" w:rsidRPr="00A44476">
        <w:rPr>
          <w:vertAlign w:val="superscript"/>
        </w:rPr>
        <w:t>,</w:t>
      </w:r>
      <w:proofErr w:type="gramEnd"/>
      <w:r w:rsidR="00A44476" w:rsidRPr="00A44476">
        <w:rPr>
          <w:vertAlign w:val="superscript"/>
        </w:rPr>
        <w:t xml:space="preserve"> </w:t>
      </w:r>
      <w:r w:rsidR="00140525">
        <w:rPr>
          <w:rStyle w:val="FootnoteReference"/>
        </w:rPr>
        <w:footnoteReference w:id="5"/>
      </w:r>
    </w:p>
    <w:p w14:paraId="6AD89B56" w14:textId="77777777" w:rsidR="00F16B9D" w:rsidRPr="00F16B9D" w:rsidRDefault="00F16B9D" w:rsidP="00F16B9D">
      <w:pPr>
        <w:pStyle w:val="Heading4"/>
      </w:pPr>
      <w:bookmarkStart w:id="56" w:name="_Toc294861729"/>
      <w:r w:rsidRPr="00F16B9D">
        <w:t>Genotoxicity</w:t>
      </w:r>
      <w:bookmarkEnd w:id="56"/>
    </w:p>
    <w:p w14:paraId="6AD89B57" w14:textId="77777777" w:rsidR="00F16B9D" w:rsidRPr="00FC7051" w:rsidRDefault="00F16B9D" w:rsidP="00FC7051">
      <w:r w:rsidRPr="00FC7051">
        <w:t>Predictably ivermectin is not genotoxic in Tier 1 in vitro assays and in an in vivo rodent micronucleus test.</w:t>
      </w:r>
    </w:p>
    <w:p w14:paraId="6AD89B58" w14:textId="77777777" w:rsidR="00F16B9D" w:rsidRPr="00F16B9D" w:rsidRDefault="00F16B9D" w:rsidP="00F16B9D">
      <w:pPr>
        <w:pStyle w:val="Heading4"/>
      </w:pPr>
      <w:bookmarkStart w:id="57" w:name="_Toc294861730"/>
      <w:r w:rsidRPr="00F16B9D">
        <w:t>Carcinogenicity</w:t>
      </w:r>
      <w:bookmarkEnd w:id="57"/>
    </w:p>
    <w:p w14:paraId="6AD89B59" w14:textId="77777777" w:rsidR="00F16B9D" w:rsidRPr="00392970" w:rsidRDefault="00F16B9D" w:rsidP="00392970">
      <w:r w:rsidRPr="00392970">
        <w:t>As expe</w:t>
      </w:r>
      <w:r w:rsidR="00AA66CB">
        <w:t xml:space="preserve">cted, ivermectin is not a human </w:t>
      </w:r>
      <w:r w:rsidRPr="00392970">
        <w:t>relevant carcinogen</w:t>
      </w:r>
      <w:r w:rsidR="00902337" w:rsidRPr="00392970">
        <w:t xml:space="preserve">. </w:t>
      </w:r>
      <w:r w:rsidRPr="00392970">
        <w:t>The carcinogenesis package supplied by the sponsor consists of two pivotal dermal exposure studies in mice (including a photocarcinogenesis st</w:t>
      </w:r>
      <w:r w:rsidR="00AA66CB">
        <w:t xml:space="preserve">udy in hairless mice) and a non </w:t>
      </w:r>
      <w:r w:rsidRPr="00392970">
        <w:t>pivotal oral gavage study in rats</w:t>
      </w:r>
      <w:r w:rsidR="00902337" w:rsidRPr="00392970">
        <w:t xml:space="preserve">. </w:t>
      </w:r>
      <w:r w:rsidR="00AA66CB">
        <w:t xml:space="preserve">The doses used, dose </w:t>
      </w:r>
      <w:r w:rsidRPr="00392970">
        <w:t>ranging and other study parameters were acceptable and compliant with current guidelines.</w:t>
      </w:r>
    </w:p>
    <w:p w14:paraId="6AD89B5A" w14:textId="77777777" w:rsidR="00F16B9D" w:rsidRPr="00392970" w:rsidRDefault="00F16B9D" w:rsidP="00F16B9D">
      <w:r w:rsidRPr="00F16B9D">
        <w:t xml:space="preserve">Following topical exposure of mice, and with the exception of local site of first contact effects at the site of application, the NOAEL was ≥ 1% ivermectin cream, 1 mL/kg/day covering </w:t>
      </w:r>
      <w:r w:rsidR="006B3CF6">
        <w:t>approximately</w:t>
      </w:r>
      <w:r w:rsidRPr="00F16B9D">
        <w:t xml:space="preserve"> 10% body surface area, non-occlusive, chronic exposure (equivalent to </w:t>
      </w:r>
      <w:r w:rsidR="008B1EEB" w:rsidRPr="00F16B9D">
        <w:t>AUC</w:t>
      </w:r>
      <w:r w:rsidR="008B1EEB" w:rsidRPr="008B1EEB">
        <w:rPr>
          <w:vertAlign w:val="subscript"/>
        </w:rPr>
        <w:t>0-24</w:t>
      </w:r>
      <w:r w:rsidRPr="00F16B9D">
        <w:t xml:space="preserve"> 48519 </w:t>
      </w:r>
      <w:proofErr w:type="spellStart"/>
      <w:r w:rsidRPr="00F16B9D">
        <w:t>ng∙h</w:t>
      </w:r>
      <w:proofErr w:type="spellEnd"/>
      <w:r w:rsidRPr="00F16B9D">
        <w:t xml:space="preserve">/mL in males and 26461 </w:t>
      </w:r>
      <w:proofErr w:type="spellStart"/>
      <w:r w:rsidRPr="00F16B9D">
        <w:t>ng∙h</w:t>
      </w:r>
      <w:proofErr w:type="spellEnd"/>
      <w:r w:rsidRPr="00F16B9D">
        <w:t>/mL in females)</w:t>
      </w:r>
      <w:r w:rsidR="00902337">
        <w:t xml:space="preserve">. </w:t>
      </w:r>
      <w:r w:rsidRPr="00F16B9D">
        <w:t xml:space="preserve">The highest mean </w:t>
      </w:r>
      <w:r w:rsidR="008B1EEB" w:rsidRPr="00F16B9D">
        <w:t>AUC</w:t>
      </w:r>
      <w:r w:rsidR="008B1EEB" w:rsidRPr="008B1EEB">
        <w:rPr>
          <w:vertAlign w:val="subscript"/>
        </w:rPr>
        <w:t>0-24</w:t>
      </w:r>
      <w:r w:rsidRPr="00F16B9D">
        <w:t xml:space="preserve">hr for Soolantra use in humans was 75.16 </w:t>
      </w:r>
      <w:proofErr w:type="spellStart"/>
      <w:r w:rsidRPr="00F16B9D">
        <w:t>ng∙h</w:t>
      </w:r>
      <w:proofErr w:type="spellEnd"/>
      <w:r w:rsidRPr="00F16B9D">
        <w:t xml:space="preserve">/mL (clinical </w:t>
      </w:r>
      <w:r w:rsidR="00F941D7">
        <w:t>Study</w:t>
      </w:r>
      <w:r w:rsidRPr="00F16B9D">
        <w:t xml:space="preserve"> 40064); thus the male </w:t>
      </w:r>
      <w:proofErr w:type="gramStart"/>
      <w:r w:rsidRPr="00F16B9D">
        <w:t>animal NOAEL mean</w:t>
      </w:r>
      <w:proofErr w:type="gramEnd"/>
      <w:r w:rsidRPr="00F16B9D">
        <w:t xml:space="preserve"> </w:t>
      </w:r>
      <w:r w:rsidR="008B1EEB" w:rsidRPr="00F16B9D">
        <w:t>AUC</w:t>
      </w:r>
      <w:r w:rsidR="008B1EEB" w:rsidRPr="008B1EEB">
        <w:rPr>
          <w:vertAlign w:val="subscript"/>
        </w:rPr>
        <w:t>0-24</w:t>
      </w:r>
      <w:r w:rsidR="00392970" w:rsidRPr="00F16B9D">
        <w:t>: human</w:t>
      </w:r>
      <w:r w:rsidRPr="00F16B9D">
        <w:t xml:space="preserve"> highest </w:t>
      </w:r>
      <w:r w:rsidR="008B1EEB" w:rsidRPr="00F16B9D">
        <w:t>AUC</w:t>
      </w:r>
      <w:r w:rsidR="008B1EEB" w:rsidRPr="008B1EEB">
        <w:rPr>
          <w:vertAlign w:val="subscript"/>
        </w:rPr>
        <w:t>0-24</w:t>
      </w:r>
      <w:r w:rsidRPr="00F16B9D">
        <w:t xml:space="preserve"> exposure ratio under these conditions is ≥ 57.7 (not taking </w:t>
      </w:r>
      <w:proofErr w:type="spellStart"/>
      <w:r w:rsidRPr="00F16B9D">
        <w:t>allometric</w:t>
      </w:r>
      <w:proofErr w:type="spellEnd"/>
      <w:r w:rsidRPr="00F16B9D">
        <w:t xml:space="preserve"> scaling or relative surface area of application into account). The highest individual human </w:t>
      </w:r>
      <w:r w:rsidR="008B1EEB" w:rsidRPr="00F16B9D">
        <w:t>AUC</w:t>
      </w:r>
      <w:r w:rsidR="008B1EEB" w:rsidRPr="008B1EEB">
        <w:rPr>
          <w:vertAlign w:val="subscript"/>
        </w:rPr>
        <w:t>0-24</w:t>
      </w:r>
      <w:r w:rsidRPr="00F16B9D">
        <w:t xml:space="preserve"> at steady state under maximal use conditions was </w:t>
      </w:r>
      <w:proofErr w:type="gramStart"/>
      <w:r w:rsidRPr="00F16B9D">
        <w:t xml:space="preserve">75.16 </w:t>
      </w:r>
      <w:proofErr w:type="spellStart"/>
      <w:r w:rsidRPr="00F16B9D">
        <w:t>ng∙h</w:t>
      </w:r>
      <w:proofErr w:type="spellEnd"/>
      <w:r w:rsidRPr="00F16B9D">
        <w:t xml:space="preserve">/mL (clinical </w:t>
      </w:r>
      <w:r w:rsidR="00F941D7">
        <w:t>Study</w:t>
      </w:r>
      <w:r w:rsidRPr="00F16B9D">
        <w:t xml:space="preserve"> 40064)</w:t>
      </w:r>
      <w:proofErr w:type="gramEnd"/>
      <w:r w:rsidR="00902337">
        <w:t xml:space="preserve">. </w:t>
      </w:r>
      <w:r w:rsidRPr="00F16B9D">
        <w:t xml:space="preserve">Thus the male animal NOAEL mean </w:t>
      </w:r>
      <w:r w:rsidR="008B1EEB" w:rsidRPr="00F16B9D">
        <w:t>AUC</w:t>
      </w:r>
      <w:r w:rsidR="008B1EEB" w:rsidRPr="008B1EEB">
        <w:rPr>
          <w:vertAlign w:val="subscript"/>
        </w:rPr>
        <w:t>0-24</w:t>
      </w:r>
      <w:r w:rsidR="00392970" w:rsidRPr="00F16B9D">
        <w:t>: human</w:t>
      </w:r>
      <w:r w:rsidRPr="00F16B9D">
        <w:t xml:space="preserve"> mean </w:t>
      </w:r>
      <w:r w:rsidR="008B1EEB" w:rsidRPr="00F16B9D">
        <w:t>AUC</w:t>
      </w:r>
      <w:r w:rsidR="008B1EEB" w:rsidRPr="008B1EEB">
        <w:rPr>
          <w:vertAlign w:val="subscript"/>
        </w:rPr>
        <w:t>0-24</w:t>
      </w:r>
      <w:r w:rsidRPr="00F16B9D">
        <w:t xml:space="preserve"> exposure ratio under these health-protective conditions is ≥ 645.5</w:t>
      </w:r>
      <w:r w:rsidR="00902337">
        <w:t xml:space="preserve">. </w:t>
      </w:r>
      <w:r w:rsidRPr="00F16B9D">
        <w:t xml:space="preserve">When local site of first contact cumulative irritancy effects are taken </w:t>
      </w:r>
      <w:r w:rsidRPr="00392970">
        <w:t xml:space="preserve">into account, the NOAEL was 0.3% ivermectin cream, 1 mL/kg/day, covering </w:t>
      </w:r>
      <w:r w:rsidR="006B3CF6" w:rsidRPr="00392970">
        <w:t>approximately</w:t>
      </w:r>
      <w:r w:rsidR="00AA66CB">
        <w:t xml:space="preserve"> 10% body surface area, non </w:t>
      </w:r>
      <w:r w:rsidRPr="00392970">
        <w:t>occlusive, chronic exposure</w:t>
      </w:r>
      <w:r w:rsidR="00902337" w:rsidRPr="00392970">
        <w:t xml:space="preserve">. </w:t>
      </w:r>
      <w:r w:rsidRPr="00392970">
        <w:t xml:space="preserve">Since the likely major mode of action of is the </w:t>
      </w:r>
      <w:r w:rsidR="00BD1775" w:rsidRPr="00392970">
        <w:t>‘</w:t>
      </w:r>
      <w:r w:rsidRPr="00392970">
        <w:t>cell membrane effects</w:t>
      </w:r>
      <w:r w:rsidR="00BD1775" w:rsidRPr="00392970">
        <w:t>’</w:t>
      </w:r>
      <w:r w:rsidRPr="00392970">
        <w:t xml:space="preserve"> of the oil-in-water emulsion vehicle, the equivalent NOAEL for site of first contact effects in humans will be equivalent to that in</w:t>
      </w:r>
      <w:r w:rsidR="00392970">
        <w:t xml:space="preserve"> </w:t>
      </w:r>
      <w:r w:rsidRPr="00392970">
        <w:t xml:space="preserve">mice (the typical interspecies </w:t>
      </w:r>
      <w:proofErr w:type="spellStart"/>
      <w:r w:rsidRPr="00392970">
        <w:t>toxicodynamic</w:t>
      </w:r>
      <w:proofErr w:type="spellEnd"/>
      <w:r w:rsidRPr="00392970">
        <w:t xml:space="preserve"> and </w:t>
      </w:r>
      <w:proofErr w:type="spellStart"/>
      <w:r w:rsidRPr="00392970">
        <w:t>toxicokinetic</w:t>
      </w:r>
      <w:proofErr w:type="spellEnd"/>
      <w:r w:rsidRPr="00392970">
        <w:t xml:space="preserve"> adjustment factor for these types of effects by oil-based products is 1 </w:t>
      </w:r>
      <w:r w:rsidR="00F941D7" w:rsidRPr="00392970">
        <w:t xml:space="preserve">that is </w:t>
      </w:r>
      <w:r w:rsidRPr="00392970">
        <w:t>human sensitivity = animal sensitivity).</w:t>
      </w:r>
      <w:r w:rsidRPr="00392970">
        <w:rPr>
          <w:vertAlign w:val="superscript"/>
        </w:rPr>
        <w:footnoteReference w:id="6"/>
      </w:r>
      <w:r w:rsidRPr="00392970">
        <w:rPr>
          <w:vertAlign w:val="superscript"/>
        </w:rPr>
        <w:t xml:space="preserve"> </w:t>
      </w:r>
    </w:p>
    <w:p w14:paraId="6AD89B5B" w14:textId="77777777" w:rsidR="00F16B9D" w:rsidRPr="00F16B9D" w:rsidRDefault="00F16B9D" w:rsidP="00F16B9D">
      <w:r w:rsidRPr="00F16B9D">
        <w:t xml:space="preserve">Lymphoid hyperplasia was seen in the Peyer’s patches, the thymus, the spleen (recorded as </w:t>
      </w:r>
      <w:r w:rsidR="00BD1775">
        <w:t>‘</w:t>
      </w:r>
      <w:r w:rsidRPr="00F16B9D">
        <w:t>increased white pulp development</w:t>
      </w:r>
      <w:r w:rsidR="00BD1775">
        <w:t>’</w:t>
      </w:r>
      <w:r w:rsidRPr="00F16B9D">
        <w:t>), the mandibular and mesenteric lymph nodes as well as other lymph nodes sampled either because they showed necropsy abnormalities or because they were draining lymph nodes for masses</w:t>
      </w:r>
      <w:r w:rsidR="00902337">
        <w:t xml:space="preserve">. </w:t>
      </w:r>
      <w:r w:rsidRPr="00F16B9D">
        <w:t>Concern was raised in the study report because of apparent test article</w:t>
      </w:r>
      <w:r w:rsidR="00392970">
        <w:t xml:space="preserve"> </w:t>
      </w:r>
      <w:r w:rsidRPr="00F16B9D">
        <w:t>associated associations between reactive and focal lymphoid hyperplasia (most notably in the mandibular lymph node)</w:t>
      </w:r>
      <w:r w:rsidR="00902337">
        <w:t xml:space="preserve">. </w:t>
      </w:r>
      <w:r w:rsidRPr="00F16B9D">
        <w:t xml:space="preserve">The incidence of </w:t>
      </w:r>
      <w:r w:rsidRPr="00F16B9D">
        <w:lastRenderedPageBreak/>
        <w:t xml:space="preserve">lymph node hyperplasia (a change associated with aging that is more common in </w:t>
      </w:r>
      <w:r w:rsidRPr="00AA66CB">
        <w:rPr>
          <w:color w:val="000000" w:themeColor="text1"/>
        </w:rPr>
        <w:t>Crl</w:t>
      </w:r>
      <w:proofErr w:type="gramStart"/>
      <w:r w:rsidRPr="00AA66CB">
        <w:rPr>
          <w:color w:val="000000" w:themeColor="text1"/>
        </w:rPr>
        <w:t>:CD1</w:t>
      </w:r>
      <w:proofErr w:type="gramEnd"/>
      <w:r w:rsidRPr="00AA66CB">
        <w:rPr>
          <w:color w:val="000000" w:themeColor="text1"/>
        </w:rPr>
        <w:t xml:space="preserve"> (ICR) </w:t>
      </w:r>
      <w:r w:rsidRPr="00F16B9D">
        <w:t>mice older than 60 weeks) reported in the study is higher than the normal back ground incidence of these common lesions in the Crl:CD1 (ICR) mouse at the end of a 104 week carcinogenesis study (2.65%</w:t>
      </w:r>
      <w:r w:rsidR="00392970">
        <w:t>).</w:t>
      </w:r>
      <w:r w:rsidRPr="00FC7051">
        <w:rPr>
          <w:vertAlign w:val="superscript"/>
        </w:rPr>
        <w:footnoteReference w:id="7"/>
      </w:r>
      <w:r w:rsidR="00902337">
        <w:t xml:space="preserve"> </w:t>
      </w:r>
      <w:r w:rsidRPr="00F16B9D">
        <w:t>The background incidence of benign thymic lymphoid hyperplasia is known to be higher in the Crl</w:t>
      </w:r>
      <w:proofErr w:type="gramStart"/>
      <w:r w:rsidRPr="00F16B9D">
        <w:t>:CD1</w:t>
      </w:r>
      <w:proofErr w:type="gramEnd"/>
      <w:r w:rsidRPr="00F16B9D">
        <w:t xml:space="preserve"> (ICR) mouse compared with other laboratory mice strains</w:t>
      </w:r>
      <w:r w:rsidR="00BD1775">
        <w:t xml:space="preserve">. </w:t>
      </w:r>
      <w:r w:rsidRPr="00F16B9D">
        <w:t>The study authors regarded focal lymph node hyperplasia as a potentially pre-neoplastic condition</w:t>
      </w:r>
      <w:r w:rsidR="00902337">
        <w:t xml:space="preserve">. </w:t>
      </w:r>
      <w:r w:rsidRPr="00F16B9D">
        <w:t>However the current consensus is that this type of lesion in the lymph node is not a pre-neoplastic state and it is not a carcinoma in situ.</w:t>
      </w:r>
      <w:r w:rsidRPr="00FC7051">
        <w:rPr>
          <w:vertAlign w:val="superscript"/>
        </w:rPr>
        <w:footnoteReference w:id="8"/>
      </w:r>
      <w:r w:rsidRPr="00F16B9D">
        <w:t xml:space="preserve"> Lymph node hyperplasia is a relatively common background finding in near life-time oral exposure studies in mice.</w:t>
      </w:r>
      <w:r w:rsidRPr="00FC7051">
        <w:rPr>
          <w:vertAlign w:val="superscript"/>
        </w:rPr>
        <w:footnoteReference w:id="9"/>
      </w:r>
      <w:r w:rsidRPr="00F16B9D">
        <w:t xml:space="preserve"> A more likely explanation, particularly in the case of the mandibular lymph nodes (a component of mandibular </w:t>
      </w:r>
      <w:proofErr w:type="spellStart"/>
      <w:r w:rsidRPr="00F16B9D">
        <w:t>lymphocenter</w:t>
      </w:r>
      <w:proofErr w:type="spellEnd"/>
      <w:r w:rsidRPr="00F16B9D">
        <w:t xml:space="preserve"> that drains the lips, eyelids, auricular areas and tongue), is that these changes are reactive due to chronic ingestion of the test article following grooming</w:t>
      </w:r>
      <w:r w:rsidR="00902337">
        <w:t xml:space="preserve">. </w:t>
      </w:r>
      <w:r w:rsidRPr="00F16B9D">
        <w:t>Notably Elizabethan collars (to prevent grooming of test article application sites) were not used in the study.</w:t>
      </w:r>
    </w:p>
    <w:p w14:paraId="6AD89B5C" w14:textId="77777777" w:rsidR="00F16B9D" w:rsidRPr="00F16B9D" w:rsidRDefault="00F16B9D" w:rsidP="00F16B9D">
      <w:r w:rsidRPr="00F16B9D">
        <w:t>In mice, repeated daily application of the vehicle cream was generally well tolerated</w:t>
      </w:r>
      <w:r w:rsidR="00902337">
        <w:t xml:space="preserve">. </w:t>
      </w:r>
      <w:r w:rsidRPr="00F16B9D">
        <w:t>However as could be expected, there is some evidence (p &lt; 0.05) of cumulative irritancy associated with repeated topical exposure to the cream vehicle (epidermal hyperplasia: 80% in vehicle treated versus 14.1% in water treated controls; amyloidosis: 15% in vehicle-treated versus 0.8% in water treated controls; inflammation 14.2 % in vehicle-treated versus 5 % in water treated controls).</w:t>
      </w:r>
    </w:p>
    <w:p w14:paraId="6AD89B5D" w14:textId="77777777" w:rsidR="00F16B9D" w:rsidRPr="00F16B9D" w:rsidRDefault="00F16B9D" w:rsidP="00F16B9D">
      <w:r w:rsidRPr="00F16B9D">
        <w:t>Of greater concern is that the cream vehicle was associated with an increased incidence of sk</w:t>
      </w:r>
      <w:r w:rsidR="00C63F58">
        <w:t xml:space="preserve">in ulceration (10.8% in vehicle </w:t>
      </w:r>
      <w:r w:rsidRPr="00F16B9D">
        <w:t>treated versus 3.3% in water treated controls)</w:t>
      </w:r>
      <w:r w:rsidR="00902337">
        <w:t xml:space="preserve">. </w:t>
      </w:r>
      <w:r w:rsidRPr="00F16B9D">
        <w:t>N</w:t>
      </w:r>
      <w:r w:rsidR="00C63F58">
        <w:t xml:space="preserve">otably the incidence of vehicle </w:t>
      </w:r>
      <w:r w:rsidRPr="00F16B9D">
        <w:t>associated inflammation (12</w:t>
      </w:r>
      <w:r w:rsidR="00A44476">
        <w:t xml:space="preserve"> out of </w:t>
      </w:r>
      <w:r w:rsidRPr="00F16B9D">
        <w:t>60 in females versus 5</w:t>
      </w:r>
      <w:r w:rsidR="00A44476">
        <w:t xml:space="preserve"> out of </w:t>
      </w:r>
      <w:r w:rsidRPr="00F16B9D">
        <w:t>60 in</w:t>
      </w:r>
      <w:r w:rsidR="00A44476">
        <w:t xml:space="preserve"> males) and skin ulceration (11 out of 60 in females versus 2 out of </w:t>
      </w:r>
      <w:r w:rsidRPr="00F16B9D">
        <w:t>60 in males) was higher in females compared with males</w:t>
      </w:r>
      <w:r w:rsidR="00902337">
        <w:t xml:space="preserve">. </w:t>
      </w:r>
      <w:r w:rsidRPr="00F16B9D">
        <w:t xml:space="preserve">The incidence of pustule </w:t>
      </w:r>
      <w:r w:rsidR="00C63F58">
        <w:t xml:space="preserve">formation was higher in vehicle </w:t>
      </w:r>
      <w:r w:rsidRPr="00F16B9D">
        <w:t>treated animals versus the water control groups (14.2% in vehicle treated versus 3.3% in water treated)</w:t>
      </w:r>
      <w:r w:rsidR="00902337">
        <w:t xml:space="preserve">. </w:t>
      </w:r>
      <w:r w:rsidRPr="00F16B9D">
        <w:t>The incidence of pustule formation in vehicle treated females animals was almost twice that in vehicle treated males</w:t>
      </w:r>
      <w:r w:rsidR="00902337">
        <w:t xml:space="preserve">. </w:t>
      </w:r>
      <w:r w:rsidR="00C63F58">
        <w:t xml:space="preserve">Pustule formation with the oil in </w:t>
      </w:r>
      <w:r w:rsidRPr="00F16B9D">
        <w:t xml:space="preserve">water emulsion cream vehicle is an expected consequence of repeated application since such preparations are typically </w:t>
      </w:r>
      <w:proofErr w:type="spellStart"/>
      <w:r w:rsidRPr="00F16B9D">
        <w:t>comidomogenic</w:t>
      </w:r>
      <w:proofErr w:type="spellEnd"/>
      <w:r w:rsidR="00902337">
        <w:t xml:space="preserve">. </w:t>
      </w:r>
      <w:r w:rsidRPr="00F16B9D">
        <w:t>However, the rabbit ear is the classical animal model</w:t>
      </w:r>
      <w:r w:rsidR="00FC7051">
        <w:t xml:space="preserve"> used to evaluate such effects.</w:t>
      </w:r>
      <w:r w:rsidRPr="00FC7051">
        <w:rPr>
          <w:vertAlign w:val="superscript"/>
        </w:rPr>
        <w:footnoteReference w:id="10"/>
      </w:r>
    </w:p>
    <w:p w14:paraId="6AD89B5E" w14:textId="5EC842B3" w:rsidR="00F16B9D" w:rsidRPr="00F16B9D" w:rsidRDefault="00F16B9D" w:rsidP="00F16B9D">
      <w:r w:rsidRPr="00F16B9D">
        <w:t>The cream vehicle used in the mouse photo</w:t>
      </w:r>
      <w:r w:rsidR="00C63F58">
        <w:t xml:space="preserve"> </w:t>
      </w:r>
      <w:r w:rsidRPr="00F16B9D">
        <w:t>carcinogenesis study undoubtedly enhanced non-melanoma skin cancer developm</w:t>
      </w:r>
      <w:r w:rsidR="00C63F58">
        <w:t xml:space="preserve">ent (tumour potency factor 1.68 to </w:t>
      </w:r>
      <w:r w:rsidRPr="00F16B9D">
        <w:t>2.1)</w:t>
      </w:r>
      <w:r w:rsidR="00902337">
        <w:t xml:space="preserve">. </w:t>
      </w:r>
      <w:r w:rsidRPr="00F16B9D">
        <w:t>The NOAEL in the photo</w:t>
      </w:r>
      <w:r w:rsidR="00C63F58">
        <w:t xml:space="preserve"> </w:t>
      </w:r>
      <w:r w:rsidRPr="00F16B9D">
        <w:t>carcinogenesis study could not be determined because of these effects</w:t>
      </w:r>
      <w:r w:rsidR="00902337">
        <w:t xml:space="preserve">. </w:t>
      </w:r>
      <w:r w:rsidRPr="00F16B9D">
        <w:t xml:space="preserve">Notably 0.1% ivermectin co-exposure is no worse than exposure to the cream vehicle </w:t>
      </w:r>
      <w:r w:rsidR="00F941D7">
        <w:t xml:space="preserve">that is </w:t>
      </w:r>
      <w:r w:rsidRPr="00F16B9D">
        <w:t xml:space="preserve">the NOAEL relative to the control cream vehicle 0.1% ivermectin, 25 µL/kg BW/day, topical non-occlusive applied to </w:t>
      </w:r>
      <w:r w:rsidR="006B3CF6">
        <w:t>approximately</w:t>
      </w:r>
      <w:r w:rsidRPr="00F16B9D">
        <w:t xml:space="preserve"> 10% body surface area</w:t>
      </w:r>
      <w:r w:rsidR="00902337">
        <w:t xml:space="preserve">. </w:t>
      </w:r>
      <w:r w:rsidRPr="00F16B9D">
        <w:t xml:space="preserve">Repeated topical administration of the cream vehicle elicited primary irritation in the skin of male and female hairless mice that were also exposed to </w:t>
      </w:r>
      <w:r w:rsidR="00C63F58">
        <w:t>u</w:t>
      </w:r>
      <w:r w:rsidR="00C63F58" w:rsidRPr="00C63F58">
        <w:t xml:space="preserve">ltra violet radiation </w:t>
      </w:r>
      <w:r w:rsidR="00C63F58">
        <w:t>(</w:t>
      </w:r>
      <w:r w:rsidRPr="00F16B9D">
        <w:t>UVR</w:t>
      </w:r>
      <w:r w:rsidR="00C63F58">
        <w:t>)</w:t>
      </w:r>
      <w:r w:rsidRPr="00F16B9D">
        <w:t xml:space="preserve"> when compared with mice only exposed to an equivalent UVR dose. In addition, repeated topical administration of ivermectin at concentrations of 0.3% and 1% exacerbated the primary </w:t>
      </w:r>
      <w:r w:rsidRPr="00F16B9D">
        <w:lastRenderedPageBreak/>
        <w:t>irritation. Therefore, there was good concordance between this induction of cutaneous primary irritancy and the enhancement of photo</w:t>
      </w:r>
      <w:r w:rsidR="00C63F58">
        <w:t xml:space="preserve"> </w:t>
      </w:r>
      <w:r w:rsidRPr="00F16B9D">
        <w:t>carcinogenesis with topical placebo administration and t</w:t>
      </w:r>
      <w:r w:rsidR="00C63F58">
        <w:t xml:space="preserve">he amplification of the placebo </w:t>
      </w:r>
      <w:r w:rsidRPr="00F16B9D">
        <w:t>effect with test article formulation administration</w:t>
      </w:r>
      <w:r w:rsidR="00902337">
        <w:t xml:space="preserve">. </w:t>
      </w:r>
      <w:r w:rsidRPr="00F16B9D">
        <w:t>This implies that the mode of action of enhanced photo</w:t>
      </w:r>
      <w:r w:rsidR="00C63F58">
        <w:t xml:space="preserve"> </w:t>
      </w:r>
      <w:r w:rsidRPr="00F16B9D">
        <w:t>carcinogenesis observed with the cream vehicle and the ivermectin cream tes</w:t>
      </w:r>
      <w:r w:rsidR="00C63F58">
        <w:t xml:space="preserve">t articles was due to irritancy </w:t>
      </w:r>
      <w:r w:rsidRPr="00F16B9D">
        <w:t>associated stimulation of tumour promotion/progression</w:t>
      </w:r>
      <w:r w:rsidR="00902337">
        <w:t xml:space="preserve">. </w:t>
      </w:r>
      <w:r w:rsidRPr="00F16B9D">
        <w:t>Chronic skin inflammation is known to promote and/or stimulate the progression of UVR-induced non-melanoma skin cancer</w:t>
      </w:r>
      <w:proofErr w:type="gramStart"/>
      <w:r w:rsidRPr="00F16B9D">
        <w:t>.</w:t>
      </w:r>
      <w:r w:rsidRPr="00FC7051">
        <w:rPr>
          <w:vertAlign w:val="superscript"/>
        </w:rPr>
        <w:footnoteReference w:id="11"/>
      </w:r>
      <w:r w:rsidR="00CE323A">
        <w:rPr>
          <w:vertAlign w:val="superscript"/>
        </w:rPr>
        <w:t>,</w:t>
      </w:r>
      <w:proofErr w:type="gramEnd"/>
      <w:r w:rsidR="00CE323A">
        <w:rPr>
          <w:vertAlign w:val="superscript"/>
        </w:rPr>
        <w:t xml:space="preserve"> </w:t>
      </w:r>
      <w:r w:rsidR="00CB081B">
        <w:rPr>
          <w:rStyle w:val="FootnoteReference"/>
        </w:rPr>
        <w:footnoteReference w:id="12"/>
      </w:r>
    </w:p>
    <w:p w14:paraId="6AD89B5F" w14:textId="77777777" w:rsidR="00F16B9D" w:rsidRPr="00F16B9D" w:rsidRDefault="00F16B9D" w:rsidP="00F16B9D">
      <w:r w:rsidRPr="00F16B9D">
        <w:t xml:space="preserve">Neoplastic and pre-neoplastic lesions (hepatic </w:t>
      </w:r>
      <w:proofErr w:type="spellStart"/>
      <w:r w:rsidRPr="00F16B9D">
        <w:t>ademonas</w:t>
      </w:r>
      <w:proofErr w:type="spellEnd"/>
      <w:r w:rsidRPr="00F16B9D">
        <w:t xml:space="preserve">, pancreatic islet cell adenomas in male rats, female mammary </w:t>
      </w:r>
      <w:proofErr w:type="spellStart"/>
      <w:r w:rsidRPr="00F16B9D">
        <w:t>fibroadenomas</w:t>
      </w:r>
      <w:proofErr w:type="spellEnd"/>
      <w:r w:rsidRPr="00F16B9D">
        <w:t xml:space="preserve">, pituitary pars </w:t>
      </w:r>
      <w:proofErr w:type="spellStart"/>
      <w:r w:rsidRPr="00F16B9D">
        <w:t>distalis</w:t>
      </w:r>
      <w:proofErr w:type="spellEnd"/>
      <w:r w:rsidRPr="00F16B9D">
        <w:t xml:space="preserve"> adenomas, thyroid adenomas of doubtful human relevance were identified in the non-pivotal near-lifetime repeat gavage oral carcinogenesis study in rats</w:t>
      </w:r>
      <w:r w:rsidR="00FC7051">
        <w:t>.</w:t>
      </w:r>
    </w:p>
    <w:p w14:paraId="6AD89B60" w14:textId="77777777" w:rsidR="00F16B9D" w:rsidRPr="00F16B9D" w:rsidRDefault="00F16B9D" w:rsidP="00F16B9D">
      <w:r w:rsidRPr="00F16B9D">
        <w:t>Retinal atrophy was noted in the rat carcinogenesis study and this effect is likely to be human relevant. Ind</w:t>
      </w:r>
      <w:r w:rsidR="00CB081B">
        <w:t xml:space="preserve">ividuals with compromised blood retinal </w:t>
      </w:r>
      <w:r w:rsidRPr="00F16B9D">
        <w:t xml:space="preserve">barrier function will have an increased susceptibility for </w:t>
      </w:r>
      <w:r w:rsidR="00BD1775">
        <w:t>ivermectin induced</w:t>
      </w:r>
      <w:r w:rsidRPr="00F16B9D">
        <w:t xml:space="preserve"> adverse effects on the retina</w:t>
      </w:r>
      <w:r w:rsidR="00902337">
        <w:t xml:space="preserve">. </w:t>
      </w:r>
      <w:r w:rsidRPr="00F16B9D">
        <w:t xml:space="preserve">The rat LOAEL for retinal effects was 1 mg/kg BW/day (equivalent to and </w:t>
      </w:r>
      <w:r w:rsidR="008B1EEB" w:rsidRPr="00D653C0">
        <w:t>AUC</w:t>
      </w:r>
      <w:r w:rsidR="008B1EEB" w:rsidRPr="00D653C0">
        <w:rPr>
          <w:vertAlign w:val="subscript"/>
        </w:rPr>
        <w:t>0-24</w:t>
      </w:r>
      <w:r w:rsidRPr="00D653C0">
        <w:t xml:space="preserve"> </w:t>
      </w:r>
      <w:r w:rsidRPr="00D653C0">
        <w:rPr>
          <w:vertAlign w:val="subscript"/>
        </w:rPr>
        <w:t>Last</w:t>
      </w:r>
      <w:r w:rsidRPr="00D653C0">
        <w:t xml:space="preserve"> of </w:t>
      </w:r>
      <w:proofErr w:type="gramStart"/>
      <w:r w:rsidRPr="00F16B9D">
        <w:t>5</w:t>
      </w:r>
      <w:r w:rsidR="00CB081B">
        <w:t>,241.02 </w:t>
      </w:r>
      <w:proofErr w:type="spellStart"/>
      <w:r w:rsidRPr="00F16B9D">
        <w:t>ng∙h</w:t>
      </w:r>
      <w:proofErr w:type="spellEnd"/>
      <w:r w:rsidRPr="00F16B9D">
        <w:t>/mL</w:t>
      </w:r>
      <w:proofErr w:type="gramEnd"/>
      <w:r w:rsidRPr="00F16B9D">
        <w:t xml:space="preserve"> and 4</w:t>
      </w:r>
      <w:r w:rsidR="00CB081B">
        <w:t>,</w:t>
      </w:r>
      <w:r w:rsidRPr="00F16B9D">
        <w:t xml:space="preserve">335.89 </w:t>
      </w:r>
      <w:proofErr w:type="spellStart"/>
      <w:r w:rsidRPr="00F16B9D">
        <w:t>ng∙h</w:t>
      </w:r>
      <w:proofErr w:type="spellEnd"/>
      <w:r w:rsidRPr="00F16B9D">
        <w:t>/mL in males and females respectively)</w:t>
      </w:r>
      <w:r w:rsidR="00902337">
        <w:t xml:space="preserve">. </w:t>
      </w:r>
      <w:r w:rsidRPr="00F16B9D">
        <w:t xml:space="preserve">The highest </w:t>
      </w:r>
      <w:r w:rsidRPr="00F475F1">
        <w:t xml:space="preserve">mean </w:t>
      </w:r>
      <w:r w:rsidR="008B1EEB" w:rsidRPr="00F475F1">
        <w:t>AUC</w:t>
      </w:r>
      <w:r w:rsidR="008B1EEB" w:rsidRPr="00F475F1">
        <w:rPr>
          <w:vertAlign w:val="subscript"/>
        </w:rPr>
        <w:t>0-24</w:t>
      </w:r>
      <w:r w:rsidRPr="00F475F1">
        <w:t xml:space="preserve"> for </w:t>
      </w:r>
      <w:r w:rsidRPr="00F16B9D">
        <w:t xml:space="preserve">Soolantra use in humans was </w:t>
      </w:r>
      <w:proofErr w:type="gramStart"/>
      <w:r w:rsidRPr="00F16B9D">
        <w:t xml:space="preserve">75.16 </w:t>
      </w:r>
      <w:proofErr w:type="spellStart"/>
      <w:r w:rsidRPr="00F16B9D">
        <w:t>ng∙h</w:t>
      </w:r>
      <w:proofErr w:type="spellEnd"/>
      <w:r w:rsidRPr="00F16B9D">
        <w:t>/mL (clinical Study 40064)</w:t>
      </w:r>
      <w:proofErr w:type="gramEnd"/>
      <w:r w:rsidRPr="00F16B9D">
        <w:t>, thus the systemic exposure at the LOAEL in rats is ≥ 1</w:t>
      </w:r>
      <w:r w:rsidR="00CB081B">
        <w:t>,</w:t>
      </w:r>
      <w:r w:rsidRPr="00F16B9D">
        <w:t>342.5 higher than the expected huma</w:t>
      </w:r>
      <w:r w:rsidR="00FC7051">
        <w:t>n systemic ivermectin exposure.</w:t>
      </w:r>
    </w:p>
    <w:p w14:paraId="6AD89B61" w14:textId="77777777" w:rsidR="00F16B9D" w:rsidRPr="00F16B9D" w:rsidRDefault="00F16B9D" w:rsidP="00F16B9D">
      <w:r w:rsidRPr="00F16B9D">
        <w:t>The study dose and dose ranging for the oral rat carcinogenesis study was selected based on the maximum tolerated dose derived from the rat sub</w:t>
      </w:r>
      <w:r w:rsidR="00324D67">
        <w:t xml:space="preserve"> </w:t>
      </w:r>
      <w:r w:rsidRPr="00F16B9D">
        <w:t>chronic oral study</w:t>
      </w:r>
      <w:r w:rsidR="00902337">
        <w:t xml:space="preserve">. </w:t>
      </w:r>
      <w:r w:rsidRPr="00F16B9D">
        <w:t>Given that there were &gt; 25 animals/</w:t>
      </w:r>
      <w:r w:rsidR="00CE323A">
        <w:t>gender</w:t>
      </w:r>
      <w:r w:rsidRPr="00F16B9D">
        <w:t xml:space="preserve">/dose at the end of the study the highest </w:t>
      </w:r>
      <w:r w:rsidR="00CB081B">
        <w:t xml:space="preserve">dose was appropriate. The human </w:t>
      </w:r>
      <w:r w:rsidRPr="00F16B9D">
        <w:t xml:space="preserve">relevant LOAEL was 1 mg/kg BW/day (equivalent to and </w:t>
      </w:r>
      <w:r w:rsidR="008B1EEB" w:rsidRPr="00F16B9D">
        <w:t>AUC</w:t>
      </w:r>
      <w:r w:rsidR="008B1EEB" w:rsidRPr="008B1EEB">
        <w:rPr>
          <w:vertAlign w:val="subscript"/>
        </w:rPr>
        <w:t>0-24</w:t>
      </w:r>
      <w:r w:rsidRPr="00F16B9D">
        <w:t xml:space="preserve"> Last of </w:t>
      </w:r>
      <w:proofErr w:type="gramStart"/>
      <w:r w:rsidRPr="00F16B9D">
        <w:t>5</w:t>
      </w:r>
      <w:r w:rsidR="00CB081B">
        <w:t>,</w:t>
      </w:r>
      <w:r w:rsidRPr="00F16B9D">
        <w:t xml:space="preserve">241.02 </w:t>
      </w:r>
      <w:proofErr w:type="spellStart"/>
      <w:r w:rsidRPr="00F16B9D">
        <w:t>ng∙h</w:t>
      </w:r>
      <w:proofErr w:type="spellEnd"/>
      <w:r w:rsidRPr="00F16B9D">
        <w:t>/mL</w:t>
      </w:r>
      <w:proofErr w:type="gramEnd"/>
      <w:r w:rsidRPr="00F16B9D">
        <w:t xml:space="preserve"> and 4</w:t>
      </w:r>
      <w:r w:rsidR="00CB081B">
        <w:t>,</w:t>
      </w:r>
      <w:r w:rsidRPr="00F16B9D">
        <w:t xml:space="preserve">335.89 </w:t>
      </w:r>
      <w:proofErr w:type="spellStart"/>
      <w:r w:rsidRPr="00F16B9D">
        <w:t>ng∙h</w:t>
      </w:r>
      <w:proofErr w:type="spellEnd"/>
      <w:r w:rsidRPr="00F16B9D">
        <w:t>/mL in males and females respectively) due to the presence of an increased incidence of retinal atrophy at this dose rate</w:t>
      </w:r>
      <w:r w:rsidR="00902337">
        <w:t xml:space="preserve">. </w:t>
      </w:r>
      <w:r w:rsidRPr="00F16B9D">
        <w:t xml:space="preserve">The highest </w:t>
      </w:r>
      <w:r w:rsidRPr="00D653C0">
        <w:t xml:space="preserve">mean </w:t>
      </w:r>
      <w:r w:rsidR="008B1EEB" w:rsidRPr="00D653C0">
        <w:t>AUC</w:t>
      </w:r>
      <w:r w:rsidR="008B1EEB" w:rsidRPr="00D653C0">
        <w:rPr>
          <w:vertAlign w:val="subscript"/>
        </w:rPr>
        <w:t>0-24</w:t>
      </w:r>
      <w:r w:rsidRPr="00D653C0">
        <w:t xml:space="preserve"> for Soolantra </w:t>
      </w:r>
      <w:r w:rsidRPr="00F16B9D">
        <w:t xml:space="preserve">use in humans was </w:t>
      </w:r>
      <w:proofErr w:type="gramStart"/>
      <w:r w:rsidRPr="00F16B9D">
        <w:t xml:space="preserve">75.16 </w:t>
      </w:r>
      <w:proofErr w:type="spellStart"/>
      <w:r w:rsidRPr="00F16B9D">
        <w:t>ng∙h</w:t>
      </w:r>
      <w:proofErr w:type="spellEnd"/>
      <w:r w:rsidRPr="00F16B9D">
        <w:t>/mL (clinical Study 40064)</w:t>
      </w:r>
      <w:proofErr w:type="gramEnd"/>
      <w:r w:rsidRPr="00F16B9D">
        <w:t>, thus the systemic exp</w:t>
      </w:r>
      <w:r w:rsidR="00AA6658">
        <w:t>osure at the LOAEL in rats is ≥ </w:t>
      </w:r>
      <w:r w:rsidRPr="00F16B9D">
        <w:t>57.7 higher than the highest expected human systemic ivermectin exp</w:t>
      </w:r>
      <w:r w:rsidR="00FC7051">
        <w:t xml:space="preserve">osure (based on </w:t>
      </w:r>
      <w:r w:rsidR="008B1EEB" w:rsidRPr="00F16B9D">
        <w:t>AUC</w:t>
      </w:r>
      <w:r w:rsidR="008B1EEB" w:rsidRPr="008B1EEB">
        <w:rPr>
          <w:vertAlign w:val="subscript"/>
        </w:rPr>
        <w:t>0-24</w:t>
      </w:r>
      <w:r w:rsidR="00FC7051">
        <w:t xml:space="preserve"> ratio).</w:t>
      </w:r>
    </w:p>
    <w:p w14:paraId="6AD89B62" w14:textId="77777777" w:rsidR="00F16B9D" w:rsidRPr="00F16B9D" w:rsidRDefault="00F16B9D" w:rsidP="00F16B9D">
      <w:pPr>
        <w:pStyle w:val="Heading4"/>
      </w:pPr>
      <w:r w:rsidRPr="00F16B9D">
        <w:t>Reproductive toxicity</w:t>
      </w:r>
    </w:p>
    <w:p w14:paraId="6AD89B63" w14:textId="14B0BDC3" w:rsidR="00F16B9D" w:rsidRPr="00F16B9D" w:rsidRDefault="00F16B9D" w:rsidP="00F16B9D">
      <w:r w:rsidRPr="00F16B9D">
        <w:t>Unsurprisingly ivermectin is not a reproductive or developmental toxicant in animals with normal ABC B1 phenotype</w:t>
      </w:r>
      <w:r w:rsidR="00902337">
        <w:t xml:space="preserve">. </w:t>
      </w:r>
      <w:r w:rsidRPr="00F16B9D">
        <w:t xml:space="preserve">It should be noted that ivermectin is prevented from crossing the </w:t>
      </w:r>
      <w:r w:rsidR="00BD1775">
        <w:t>blood brain barrier</w:t>
      </w:r>
      <w:r w:rsidRPr="00F16B9D">
        <w:t xml:space="preserve"> by the actions of the ABC B1 (p-glycoprotein) efflux transporter</w:t>
      </w:r>
      <w:r w:rsidR="00902337">
        <w:t xml:space="preserve">. </w:t>
      </w:r>
      <w:r w:rsidRPr="00F16B9D">
        <w:t xml:space="preserve">In humans, ABC B1 expression in the </w:t>
      </w:r>
      <w:r w:rsidR="00BD1775">
        <w:t>blood brain barrier</w:t>
      </w:r>
      <w:r w:rsidRPr="00F16B9D">
        <w:t xml:space="preserve"> develops between 18 and 22 weeks of gestation with effective efflux transporter activity likely by mid-gestation.</w:t>
      </w:r>
      <w:r w:rsidRPr="00FC7051">
        <w:rPr>
          <w:vertAlign w:val="superscript"/>
        </w:rPr>
        <w:footnoteReference w:id="13"/>
      </w:r>
      <w:r w:rsidR="005F1306">
        <w:t xml:space="preserve"> </w:t>
      </w:r>
      <w:r w:rsidRPr="00F16B9D">
        <w:t xml:space="preserve">It is thus theoretically possible that </w:t>
      </w:r>
      <w:r w:rsidR="00CE323A">
        <w:t>fet</w:t>
      </w:r>
      <w:r w:rsidRPr="00F16B9D">
        <w:t>al CNS exposure prior to 18 and 22 weeks of gestation may occur</w:t>
      </w:r>
      <w:r w:rsidR="00902337">
        <w:t xml:space="preserve">. </w:t>
      </w:r>
      <w:r w:rsidRPr="00F16B9D">
        <w:t xml:space="preserve">However, the </w:t>
      </w:r>
      <w:r w:rsidR="00CE323A">
        <w:t>fet</w:t>
      </w:r>
      <w:r w:rsidRPr="00F16B9D">
        <w:t>us is substantially protected from ivermectin exposure by the substantial presence of ABC B1 efflux transporters in the placenta.</w:t>
      </w:r>
      <w:r w:rsidRPr="00FC7051">
        <w:rPr>
          <w:vertAlign w:val="superscript"/>
        </w:rPr>
        <w:footnoteReference w:id="14"/>
      </w:r>
      <w:r w:rsidR="00FC7051">
        <w:t xml:space="preserve"> </w:t>
      </w:r>
      <w:r w:rsidRPr="00F16B9D">
        <w:t xml:space="preserve">Animal studies have demonstrated that drug interactional conditions that reduce placental ABC B1 ivermectin efflux transporter activity increase </w:t>
      </w:r>
      <w:r w:rsidR="00CE323A">
        <w:t>fet</w:t>
      </w:r>
      <w:r w:rsidRPr="00F16B9D">
        <w:t xml:space="preserve">al ivermectin exposure and are associated with </w:t>
      </w:r>
      <w:r w:rsidR="00BD1775">
        <w:t>ivermectin induced</w:t>
      </w:r>
      <w:r w:rsidRPr="00F16B9D">
        <w:t xml:space="preserve"> adverse effects on </w:t>
      </w:r>
      <w:r w:rsidR="00CE323A">
        <w:t>fet</w:t>
      </w:r>
      <w:r w:rsidRPr="00F16B9D">
        <w:t>al development.</w:t>
      </w:r>
      <w:r w:rsidRPr="00FC7051">
        <w:rPr>
          <w:vertAlign w:val="superscript"/>
        </w:rPr>
        <w:footnoteReference w:id="15"/>
      </w:r>
    </w:p>
    <w:p w14:paraId="6AD89B64" w14:textId="12F15DF3" w:rsidR="00F16B9D" w:rsidRPr="00F16B9D" w:rsidRDefault="00C31095" w:rsidP="00D27167">
      <w:pPr>
        <w:pStyle w:val="TableTitle"/>
      </w:pPr>
      <w:proofErr w:type="gramStart"/>
      <w:r>
        <w:lastRenderedPageBreak/>
        <w:t>Table 3</w:t>
      </w:r>
      <w:r w:rsidR="00AF35D8">
        <w:t>.</w:t>
      </w:r>
      <w:proofErr w:type="gramEnd"/>
      <w:r>
        <w:t xml:space="preserve"> </w:t>
      </w:r>
      <w:r w:rsidR="00F16B9D" w:rsidRPr="00F16B9D">
        <w:t>Relative exposure</w:t>
      </w:r>
    </w:p>
    <w:tbl>
      <w:tblPr>
        <w:tblStyle w:val="TableTGAblue"/>
        <w:tblW w:w="8613" w:type="dxa"/>
        <w:tblLayout w:type="fixed"/>
        <w:tblLook w:val="01E0" w:firstRow="1" w:lastRow="1" w:firstColumn="1" w:lastColumn="1" w:noHBand="0" w:noVBand="0"/>
        <w:tblDescription w:val="Table 3. Relative exposure"/>
      </w:tblPr>
      <w:tblGrid>
        <w:gridCol w:w="1809"/>
        <w:gridCol w:w="1701"/>
        <w:gridCol w:w="1560"/>
        <w:gridCol w:w="1559"/>
        <w:gridCol w:w="1984"/>
      </w:tblGrid>
      <w:tr w:rsidR="00F16B9D" w:rsidRPr="00FC316F" w14:paraId="6AD89B6A" w14:textId="77777777" w:rsidTr="00D27167">
        <w:trPr>
          <w:cnfStyle w:val="100000000000" w:firstRow="1" w:lastRow="0" w:firstColumn="0" w:lastColumn="0" w:oddVBand="0" w:evenVBand="0" w:oddHBand="0" w:evenHBand="0" w:firstRowFirstColumn="0" w:firstRowLastColumn="0" w:lastRowFirstColumn="0" w:lastRowLastColumn="0"/>
        </w:trPr>
        <w:tc>
          <w:tcPr>
            <w:tcW w:w="1809" w:type="dxa"/>
          </w:tcPr>
          <w:p w14:paraId="6AD89B65"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Species</w:t>
            </w:r>
          </w:p>
        </w:tc>
        <w:tc>
          <w:tcPr>
            <w:tcW w:w="1701" w:type="dxa"/>
          </w:tcPr>
          <w:p w14:paraId="6AD89B66"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Study</w:t>
            </w:r>
          </w:p>
        </w:tc>
        <w:tc>
          <w:tcPr>
            <w:tcW w:w="1560" w:type="dxa"/>
          </w:tcPr>
          <w:p w14:paraId="6AD89B67" w14:textId="77777777" w:rsidR="00F16B9D" w:rsidRPr="00BF3A4E" w:rsidRDefault="00F16B9D" w:rsidP="00026D9A">
            <w:pPr>
              <w:ind w:left="0" w:right="0"/>
              <w:rPr>
                <w:rFonts w:asciiTheme="minorHAnsi" w:hAnsiTheme="minorHAnsi"/>
                <w:sz w:val="20"/>
                <w:szCs w:val="20"/>
              </w:rPr>
            </w:pPr>
            <w:r w:rsidRPr="00BF3A4E">
              <w:rPr>
                <w:rFonts w:asciiTheme="minorHAnsi" w:hAnsiTheme="minorHAnsi"/>
                <w:sz w:val="20"/>
                <w:szCs w:val="20"/>
              </w:rPr>
              <w:t>NOAEL</w:t>
            </w:r>
            <w:r w:rsidR="00D27167" w:rsidRPr="00BF3A4E">
              <w:rPr>
                <w:rFonts w:asciiTheme="minorHAnsi" w:hAnsiTheme="minorHAnsi"/>
                <w:sz w:val="20"/>
                <w:szCs w:val="20"/>
              </w:rPr>
              <w:t xml:space="preserve"> </w:t>
            </w:r>
            <w:r w:rsidRPr="00BF3A4E">
              <w:rPr>
                <w:rFonts w:asciiTheme="minorHAnsi" w:hAnsiTheme="minorHAnsi"/>
                <w:sz w:val="20"/>
                <w:szCs w:val="20"/>
              </w:rPr>
              <w:t>(mg/kg/day)</w:t>
            </w:r>
          </w:p>
        </w:tc>
        <w:tc>
          <w:tcPr>
            <w:tcW w:w="1559" w:type="dxa"/>
          </w:tcPr>
          <w:p w14:paraId="6AD89B68"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AUC</w:t>
            </w:r>
            <w:r w:rsidRPr="00BF3A4E">
              <w:rPr>
                <w:rFonts w:asciiTheme="minorHAnsi" w:hAnsiTheme="minorHAnsi"/>
                <w:sz w:val="20"/>
                <w:szCs w:val="20"/>
                <w:vertAlign w:val="subscript"/>
              </w:rPr>
              <w:t>0–24</w:t>
            </w:r>
            <w:r w:rsidRPr="00BF3A4E">
              <w:rPr>
                <w:rFonts w:asciiTheme="minorHAnsi" w:hAnsiTheme="minorHAnsi"/>
                <w:w w:val="50"/>
                <w:sz w:val="20"/>
                <w:szCs w:val="20"/>
                <w:vertAlign w:val="subscript"/>
              </w:rPr>
              <w:t> </w:t>
            </w:r>
            <w:r w:rsidRPr="00BF3A4E">
              <w:rPr>
                <w:rFonts w:asciiTheme="minorHAnsi" w:hAnsiTheme="minorHAnsi"/>
                <w:sz w:val="20"/>
                <w:szCs w:val="20"/>
                <w:vertAlign w:val="subscript"/>
              </w:rPr>
              <w:t>h</w:t>
            </w:r>
            <w:r w:rsidR="00D27167" w:rsidRPr="00BF3A4E">
              <w:rPr>
                <w:rFonts w:asciiTheme="minorHAnsi" w:hAnsiTheme="minorHAnsi"/>
                <w:sz w:val="20"/>
                <w:szCs w:val="20"/>
              </w:rPr>
              <w:t xml:space="preserve"> </w:t>
            </w:r>
            <w:r w:rsidRPr="00BF3A4E">
              <w:rPr>
                <w:rFonts w:asciiTheme="minorHAnsi" w:hAnsiTheme="minorHAnsi"/>
                <w:sz w:val="20"/>
                <w:szCs w:val="20"/>
              </w:rPr>
              <w:t>(</w:t>
            </w:r>
            <w:proofErr w:type="spellStart"/>
            <w:r w:rsidRPr="00BF3A4E">
              <w:rPr>
                <w:rFonts w:asciiTheme="minorHAnsi" w:hAnsiTheme="minorHAnsi"/>
                <w:sz w:val="20"/>
                <w:szCs w:val="20"/>
              </w:rPr>
              <w:t>ng∙h</w:t>
            </w:r>
            <w:proofErr w:type="spellEnd"/>
            <w:r w:rsidRPr="00BF3A4E">
              <w:rPr>
                <w:rFonts w:asciiTheme="minorHAnsi" w:hAnsiTheme="minorHAnsi"/>
                <w:sz w:val="20"/>
                <w:szCs w:val="20"/>
              </w:rPr>
              <w:t>/mL)</w:t>
            </w:r>
          </w:p>
        </w:tc>
        <w:tc>
          <w:tcPr>
            <w:tcW w:w="1984" w:type="dxa"/>
          </w:tcPr>
          <w:p w14:paraId="6AD89B69"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Exposure ratio</w:t>
            </w:r>
            <w:r w:rsidRPr="00BF3A4E">
              <w:rPr>
                <w:rFonts w:asciiTheme="minorHAnsi" w:hAnsiTheme="minorHAnsi"/>
                <w:sz w:val="20"/>
                <w:szCs w:val="20"/>
                <w:vertAlign w:val="superscript"/>
              </w:rPr>
              <w:t>#</w:t>
            </w:r>
          </w:p>
        </w:tc>
      </w:tr>
      <w:tr w:rsidR="00F16B9D" w:rsidRPr="00FC316F" w14:paraId="6AD89B70" w14:textId="77777777" w:rsidTr="00D27167">
        <w:trPr>
          <w:trHeight w:val="227"/>
        </w:trPr>
        <w:tc>
          <w:tcPr>
            <w:tcW w:w="1809" w:type="dxa"/>
            <w:vMerge w:val="restart"/>
          </w:tcPr>
          <w:p w14:paraId="6AD89B6B"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Rat</w:t>
            </w:r>
            <w:r w:rsidR="00877D68" w:rsidRPr="00BF3A4E">
              <w:rPr>
                <w:rFonts w:asciiTheme="minorHAnsi" w:hAnsiTheme="minorHAnsi"/>
                <w:kern w:val="2"/>
                <w:sz w:val="20"/>
                <w:szCs w:val="20"/>
              </w:rPr>
              <w:t xml:space="preserve"> </w:t>
            </w:r>
            <w:r w:rsidRPr="00BF3A4E">
              <w:rPr>
                <w:rFonts w:asciiTheme="minorHAnsi" w:hAnsiTheme="minorHAnsi"/>
                <w:kern w:val="2"/>
                <w:sz w:val="20"/>
                <w:szCs w:val="20"/>
              </w:rPr>
              <w:t>(SD)</w:t>
            </w:r>
          </w:p>
        </w:tc>
        <w:tc>
          <w:tcPr>
            <w:tcW w:w="1701" w:type="dxa"/>
            <w:vMerge w:val="restart"/>
          </w:tcPr>
          <w:p w14:paraId="6AD89B6C"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Fertility</w:t>
            </w:r>
          </w:p>
        </w:tc>
        <w:tc>
          <w:tcPr>
            <w:tcW w:w="1560" w:type="dxa"/>
          </w:tcPr>
          <w:p w14:paraId="6AD89B6D"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0.1</w:t>
            </w:r>
          </w:p>
        </w:tc>
        <w:tc>
          <w:tcPr>
            <w:tcW w:w="1559" w:type="dxa"/>
          </w:tcPr>
          <w:p w14:paraId="6AD89B6E" w14:textId="77777777" w:rsidR="00F16B9D" w:rsidRPr="00BF3A4E" w:rsidRDefault="00F16B9D" w:rsidP="00026D9A">
            <w:pPr>
              <w:ind w:left="0" w:right="0"/>
              <w:rPr>
                <w:rFonts w:asciiTheme="minorHAnsi" w:hAnsiTheme="minorHAnsi"/>
                <w:color w:val="auto"/>
                <w:sz w:val="20"/>
                <w:szCs w:val="20"/>
              </w:rPr>
            </w:pPr>
            <w:r w:rsidRPr="00BF3A4E">
              <w:rPr>
                <w:rFonts w:asciiTheme="minorHAnsi" w:hAnsiTheme="minorHAnsi"/>
                <w:sz w:val="20"/>
                <w:szCs w:val="20"/>
              </w:rPr>
              <w:t>130.95 (m)</w:t>
            </w:r>
          </w:p>
        </w:tc>
        <w:tc>
          <w:tcPr>
            <w:tcW w:w="1984" w:type="dxa"/>
          </w:tcPr>
          <w:p w14:paraId="6AD89B6F"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1.74</w:t>
            </w:r>
          </w:p>
        </w:tc>
      </w:tr>
      <w:tr w:rsidR="00F16B9D" w:rsidRPr="00FC316F" w14:paraId="6AD89B76" w14:textId="77777777" w:rsidTr="00D27167">
        <w:trPr>
          <w:trHeight w:val="227"/>
        </w:trPr>
        <w:tc>
          <w:tcPr>
            <w:tcW w:w="1809" w:type="dxa"/>
            <w:vMerge/>
          </w:tcPr>
          <w:p w14:paraId="6AD89B71" w14:textId="77777777" w:rsidR="00F16B9D" w:rsidRPr="00BF3A4E" w:rsidRDefault="00F16B9D" w:rsidP="00BF3A4E">
            <w:pPr>
              <w:rPr>
                <w:rFonts w:asciiTheme="minorHAnsi" w:hAnsiTheme="minorHAnsi"/>
                <w:kern w:val="2"/>
                <w:sz w:val="20"/>
                <w:szCs w:val="20"/>
              </w:rPr>
            </w:pPr>
          </w:p>
        </w:tc>
        <w:tc>
          <w:tcPr>
            <w:tcW w:w="1701" w:type="dxa"/>
            <w:vMerge/>
          </w:tcPr>
          <w:p w14:paraId="6AD89B72" w14:textId="77777777" w:rsidR="00F16B9D" w:rsidRPr="00BF3A4E" w:rsidRDefault="00F16B9D" w:rsidP="00026D9A">
            <w:pPr>
              <w:ind w:left="0" w:right="0"/>
              <w:rPr>
                <w:rFonts w:asciiTheme="minorHAnsi" w:hAnsiTheme="minorHAnsi"/>
                <w:kern w:val="2"/>
                <w:sz w:val="20"/>
                <w:szCs w:val="20"/>
              </w:rPr>
            </w:pPr>
          </w:p>
        </w:tc>
        <w:tc>
          <w:tcPr>
            <w:tcW w:w="1560" w:type="dxa"/>
          </w:tcPr>
          <w:p w14:paraId="6AD89B73"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w:t>
            </w:r>
          </w:p>
        </w:tc>
        <w:tc>
          <w:tcPr>
            <w:tcW w:w="1559" w:type="dxa"/>
          </w:tcPr>
          <w:p w14:paraId="6AD89B74" w14:textId="77777777" w:rsidR="00F16B9D" w:rsidRPr="00BF3A4E" w:rsidRDefault="00F16B9D" w:rsidP="00026D9A">
            <w:pPr>
              <w:ind w:left="0" w:right="0"/>
              <w:rPr>
                <w:rFonts w:asciiTheme="minorHAnsi" w:hAnsiTheme="minorHAnsi"/>
                <w:color w:val="auto"/>
                <w:sz w:val="20"/>
                <w:szCs w:val="20"/>
              </w:rPr>
            </w:pPr>
            <w:r w:rsidRPr="00BF3A4E">
              <w:rPr>
                <w:rFonts w:asciiTheme="minorHAnsi" w:hAnsiTheme="minorHAnsi"/>
                <w:sz w:val="20"/>
                <w:szCs w:val="20"/>
              </w:rPr>
              <w:t>2413.80 (m)</w:t>
            </w:r>
          </w:p>
        </w:tc>
        <w:tc>
          <w:tcPr>
            <w:tcW w:w="1984" w:type="dxa"/>
          </w:tcPr>
          <w:p w14:paraId="6AD89B75"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32.12</w:t>
            </w:r>
          </w:p>
        </w:tc>
      </w:tr>
      <w:tr w:rsidR="00F16B9D" w:rsidRPr="00FC316F" w14:paraId="6AD89B7C" w14:textId="77777777" w:rsidTr="00D27167">
        <w:trPr>
          <w:trHeight w:val="227"/>
        </w:trPr>
        <w:tc>
          <w:tcPr>
            <w:tcW w:w="1809" w:type="dxa"/>
            <w:vMerge/>
          </w:tcPr>
          <w:p w14:paraId="6AD89B77" w14:textId="77777777" w:rsidR="00F16B9D" w:rsidRPr="00BF3A4E" w:rsidRDefault="00F16B9D" w:rsidP="00BF3A4E">
            <w:pPr>
              <w:rPr>
                <w:rFonts w:asciiTheme="minorHAnsi" w:hAnsiTheme="minorHAnsi"/>
                <w:kern w:val="2"/>
                <w:sz w:val="20"/>
                <w:szCs w:val="20"/>
              </w:rPr>
            </w:pPr>
          </w:p>
        </w:tc>
        <w:tc>
          <w:tcPr>
            <w:tcW w:w="1701" w:type="dxa"/>
            <w:vMerge/>
          </w:tcPr>
          <w:p w14:paraId="6AD89B78" w14:textId="77777777" w:rsidR="00F16B9D" w:rsidRPr="00BF3A4E" w:rsidRDefault="00F16B9D" w:rsidP="00026D9A">
            <w:pPr>
              <w:ind w:left="0" w:right="0"/>
              <w:rPr>
                <w:rFonts w:asciiTheme="minorHAnsi" w:hAnsiTheme="minorHAnsi"/>
                <w:kern w:val="2"/>
                <w:sz w:val="20"/>
                <w:szCs w:val="20"/>
              </w:rPr>
            </w:pPr>
          </w:p>
        </w:tc>
        <w:tc>
          <w:tcPr>
            <w:tcW w:w="1560" w:type="dxa"/>
          </w:tcPr>
          <w:p w14:paraId="6AD89B79"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9</w:t>
            </w:r>
          </w:p>
        </w:tc>
        <w:tc>
          <w:tcPr>
            <w:tcW w:w="1559" w:type="dxa"/>
          </w:tcPr>
          <w:p w14:paraId="6AD89B7A" w14:textId="77777777" w:rsidR="00F16B9D" w:rsidRPr="00BF3A4E" w:rsidRDefault="00F16B9D" w:rsidP="00026D9A">
            <w:pPr>
              <w:ind w:left="0" w:right="0"/>
              <w:rPr>
                <w:rFonts w:asciiTheme="minorHAnsi" w:hAnsiTheme="minorHAnsi"/>
                <w:color w:val="auto"/>
                <w:sz w:val="20"/>
                <w:szCs w:val="20"/>
              </w:rPr>
            </w:pPr>
            <w:r w:rsidRPr="00BF3A4E">
              <w:rPr>
                <w:rFonts w:asciiTheme="minorHAnsi" w:hAnsiTheme="minorHAnsi"/>
                <w:sz w:val="20"/>
                <w:szCs w:val="20"/>
              </w:rPr>
              <w:t>36379.10 (m)</w:t>
            </w:r>
          </w:p>
        </w:tc>
        <w:tc>
          <w:tcPr>
            <w:tcW w:w="1984" w:type="dxa"/>
          </w:tcPr>
          <w:p w14:paraId="6AD89B7B"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484.02</w:t>
            </w:r>
          </w:p>
        </w:tc>
      </w:tr>
      <w:tr w:rsidR="00F16B9D" w:rsidRPr="00FC316F" w14:paraId="6AD89B82" w14:textId="77777777" w:rsidTr="00D27167">
        <w:trPr>
          <w:trHeight w:val="227"/>
        </w:trPr>
        <w:tc>
          <w:tcPr>
            <w:tcW w:w="1809" w:type="dxa"/>
            <w:vMerge/>
          </w:tcPr>
          <w:p w14:paraId="6AD89B7D" w14:textId="77777777" w:rsidR="00F16B9D" w:rsidRPr="00BF3A4E" w:rsidRDefault="00F16B9D" w:rsidP="00BF3A4E">
            <w:pPr>
              <w:rPr>
                <w:rFonts w:asciiTheme="minorHAnsi" w:hAnsiTheme="minorHAnsi"/>
                <w:kern w:val="2"/>
                <w:sz w:val="20"/>
                <w:szCs w:val="20"/>
              </w:rPr>
            </w:pPr>
          </w:p>
        </w:tc>
        <w:tc>
          <w:tcPr>
            <w:tcW w:w="1701" w:type="dxa"/>
            <w:vMerge w:val="restart"/>
          </w:tcPr>
          <w:p w14:paraId="6AD89B7E"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Embryo</w:t>
            </w:r>
            <w:r w:rsidR="00CE323A" w:rsidRPr="00BF3A4E">
              <w:rPr>
                <w:rFonts w:asciiTheme="minorHAnsi" w:hAnsiTheme="minorHAnsi"/>
                <w:kern w:val="2"/>
                <w:sz w:val="20"/>
                <w:szCs w:val="20"/>
              </w:rPr>
              <w:t>fet</w:t>
            </w:r>
            <w:r w:rsidRPr="00BF3A4E">
              <w:rPr>
                <w:rFonts w:asciiTheme="minorHAnsi" w:hAnsiTheme="minorHAnsi"/>
                <w:kern w:val="2"/>
                <w:sz w:val="20"/>
                <w:szCs w:val="20"/>
              </w:rPr>
              <w:t>al development</w:t>
            </w:r>
          </w:p>
        </w:tc>
        <w:tc>
          <w:tcPr>
            <w:tcW w:w="1560" w:type="dxa"/>
          </w:tcPr>
          <w:p w14:paraId="6AD89B7F"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1.5</w:t>
            </w:r>
          </w:p>
        </w:tc>
        <w:tc>
          <w:tcPr>
            <w:tcW w:w="1559" w:type="dxa"/>
          </w:tcPr>
          <w:p w14:paraId="6AD89B80" w14:textId="77777777" w:rsidR="00F16B9D" w:rsidRPr="00BF3A4E" w:rsidRDefault="00F16B9D" w:rsidP="00026D9A">
            <w:pPr>
              <w:ind w:left="0" w:right="0"/>
              <w:rPr>
                <w:rFonts w:asciiTheme="minorHAnsi" w:hAnsiTheme="minorHAnsi"/>
                <w:color w:val="auto"/>
                <w:kern w:val="2"/>
                <w:sz w:val="20"/>
                <w:szCs w:val="20"/>
              </w:rPr>
            </w:pPr>
            <w:r w:rsidRPr="00BF3A4E">
              <w:rPr>
                <w:rFonts w:asciiTheme="minorHAnsi" w:hAnsiTheme="minorHAnsi"/>
                <w:kern w:val="2"/>
                <w:sz w:val="20"/>
                <w:szCs w:val="20"/>
              </w:rPr>
              <w:t>7829</w:t>
            </w:r>
            <w:r w:rsidRPr="00BF3A4E">
              <w:rPr>
                <w:rFonts w:asciiTheme="minorHAnsi" w:hAnsiTheme="minorHAnsi"/>
                <w:kern w:val="2"/>
                <w:sz w:val="20"/>
                <w:szCs w:val="20"/>
                <w:vertAlign w:val="superscript"/>
              </w:rPr>
              <w:t>*</w:t>
            </w:r>
            <w:r w:rsidRPr="00BF3A4E">
              <w:rPr>
                <w:rFonts w:asciiTheme="minorHAnsi" w:hAnsiTheme="minorHAnsi"/>
                <w:kern w:val="2"/>
                <w:sz w:val="20"/>
                <w:szCs w:val="20"/>
              </w:rPr>
              <w:t xml:space="preserve"> </w:t>
            </w:r>
          </w:p>
        </w:tc>
        <w:tc>
          <w:tcPr>
            <w:tcW w:w="1984" w:type="dxa"/>
          </w:tcPr>
          <w:p w14:paraId="6AD89B81"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105.49</w:t>
            </w:r>
          </w:p>
        </w:tc>
      </w:tr>
      <w:tr w:rsidR="00F16B9D" w:rsidRPr="00FC316F" w14:paraId="6AD89B88" w14:textId="77777777" w:rsidTr="00D27167">
        <w:trPr>
          <w:trHeight w:val="227"/>
        </w:trPr>
        <w:tc>
          <w:tcPr>
            <w:tcW w:w="1809" w:type="dxa"/>
            <w:vMerge/>
          </w:tcPr>
          <w:p w14:paraId="6AD89B83" w14:textId="77777777" w:rsidR="00F16B9D" w:rsidRPr="00BF3A4E" w:rsidRDefault="00F16B9D" w:rsidP="00BF3A4E">
            <w:pPr>
              <w:rPr>
                <w:rFonts w:asciiTheme="minorHAnsi" w:hAnsiTheme="minorHAnsi"/>
                <w:kern w:val="2"/>
                <w:sz w:val="20"/>
                <w:szCs w:val="20"/>
              </w:rPr>
            </w:pPr>
          </w:p>
        </w:tc>
        <w:tc>
          <w:tcPr>
            <w:tcW w:w="1701" w:type="dxa"/>
            <w:vMerge/>
          </w:tcPr>
          <w:p w14:paraId="6AD89B84" w14:textId="77777777" w:rsidR="00F16B9D" w:rsidRPr="00BF3A4E" w:rsidRDefault="00F16B9D" w:rsidP="00026D9A">
            <w:pPr>
              <w:ind w:left="0" w:right="0"/>
              <w:rPr>
                <w:rFonts w:asciiTheme="minorHAnsi" w:hAnsiTheme="minorHAnsi"/>
                <w:kern w:val="2"/>
                <w:sz w:val="20"/>
                <w:szCs w:val="20"/>
              </w:rPr>
            </w:pPr>
          </w:p>
        </w:tc>
        <w:tc>
          <w:tcPr>
            <w:tcW w:w="1560" w:type="dxa"/>
          </w:tcPr>
          <w:p w14:paraId="6AD89B85"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4</w:t>
            </w:r>
          </w:p>
        </w:tc>
        <w:tc>
          <w:tcPr>
            <w:tcW w:w="1559" w:type="dxa"/>
          </w:tcPr>
          <w:p w14:paraId="6AD89B86"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25099</w:t>
            </w:r>
            <w:r w:rsidRPr="00BF3A4E">
              <w:rPr>
                <w:rFonts w:asciiTheme="minorHAnsi" w:hAnsiTheme="minorHAnsi"/>
                <w:kern w:val="2"/>
                <w:sz w:val="20"/>
                <w:szCs w:val="20"/>
                <w:vertAlign w:val="superscript"/>
              </w:rPr>
              <w:t>*</w:t>
            </w:r>
          </w:p>
        </w:tc>
        <w:tc>
          <w:tcPr>
            <w:tcW w:w="1984" w:type="dxa"/>
          </w:tcPr>
          <w:p w14:paraId="6AD89B87"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333.94</w:t>
            </w:r>
          </w:p>
        </w:tc>
      </w:tr>
      <w:tr w:rsidR="00F16B9D" w:rsidRPr="00FC316F" w14:paraId="6AD89B8E" w14:textId="77777777" w:rsidTr="00D27167">
        <w:trPr>
          <w:trHeight w:val="227"/>
        </w:trPr>
        <w:tc>
          <w:tcPr>
            <w:tcW w:w="1809" w:type="dxa"/>
            <w:vMerge/>
          </w:tcPr>
          <w:p w14:paraId="6AD89B89" w14:textId="77777777" w:rsidR="00F16B9D" w:rsidRPr="00BF3A4E" w:rsidRDefault="00F16B9D" w:rsidP="00BF3A4E">
            <w:pPr>
              <w:rPr>
                <w:rFonts w:asciiTheme="minorHAnsi" w:hAnsiTheme="minorHAnsi"/>
                <w:kern w:val="2"/>
                <w:sz w:val="20"/>
                <w:szCs w:val="20"/>
              </w:rPr>
            </w:pPr>
          </w:p>
        </w:tc>
        <w:tc>
          <w:tcPr>
            <w:tcW w:w="1701" w:type="dxa"/>
            <w:vMerge/>
          </w:tcPr>
          <w:p w14:paraId="6AD89B8A" w14:textId="77777777" w:rsidR="00F16B9D" w:rsidRPr="00BF3A4E" w:rsidRDefault="00F16B9D" w:rsidP="00026D9A">
            <w:pPr>
              <w:ind w:left="0" w:right="0"/>
              <w:rPr>
                <w:rFonts w:asciiTheme="minorHAnsi" w:hAnsiTheme="minorHAnsi"/>
                <w:kern w:val="2"/>
                <w:sz w:val="20"/>
                <w:szCs w:val="20"/>
              </w:rPr>
            </w:pPr>
          </w:p>
        </w:tc>
        <w:tc>
          <w:tcPr>
            <w:tcW w:w="1560" w:type="dxa"/>
          </w:tcPr>
          <w:p w14:paraId="6AD89B8B"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12</w:t>
            </w:r>
          </w:p>
        </w:tc>
        <w:tc>
          <w:tcPr>
            <w:tcW w:w="1559" w:type="dxa"/>
          </w:tcPr>
          <w:p w14:paraId="6AD89B8C"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67625</w:t>
            </w:r>
            <w:r w:rsidRPr="00BF3A4E">
              <w:rPr>
                <w:rFonts w:asciiTheme="minorHAnsi" w:hAnsiTheme="minorHAnsi"/>
                <w:kern w:val="2"/>
                <w:sz w:val="20"/>
                <w:szCs w:val="20"/>
                <w:vertAlign w:val="superscript"/>
              </w:rPr>
              <w:t>*</w:t>
            </w:r>
          </w:p>
        </w:tc>
        <w:tc>
          <w:tcPr>
            <w:tcW w:w="1984" w:type="dxa"/>
          </w:tcPr>
          <w:p w14:paraId="6AD89B8D"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899.75</w:t>
            </w:r>
          </w:p>
        </w:tc>
      </w:tr>
      <w:tr w:rsidR="00F16B9D" w:rsidRPr="00FC316F" w14:paraId="6AD89B94" w14:textId="77777777" w:rsidTr="00D27167">
        <w:trPr>
          <w:trHeight w:val="227"/>
        </w:trPr>
        <w:tc>
          <w:tcPr>
            <w:tcW w:w="1809" w:type="dxa"/>
            <w:vMerge w:val="restart"/>
          </w:tcPr>
          <w:p w14:paraId="6AD89B8F"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Rabbit</w:t>
            </w:r>
            <w:r w:rsidR="00877D68" w:rsidRPr="00BF3A4E">
              <w:rPr>
                <w:rFonts w:asciiTheme="minorHAnsi" w:hAnsiTheme="minorHAnsi"/>
                <w:kern w:val="2"/>
                <w:sz w:val="20"/>
                <w:szCs w:val="20"/>
              </w:rPr>
              <w:t xml:space="preserve"> </w:t>
            </w:r>
            <w:r w:rsidRPr="00BF3A4E">
              <w:rPr>
                <w:rFonts w:asciiTheme="minorHAnsi" w:hAnsiTheme="minorHAnsi"/>
                <w:kern w:val="2"/>
                <w:sz w:val="20"/>
                <w:szCs w:val="20"/>
              </w:rPr>
              <w:t>(NZW)</w:t>
            </w:r>
          </w:p>
        </w:tc>
        <w:tc>
          <w:tcPr>
            <w:tcW w:w="1701" w:type="dxa"/>
            <w:vMerge w:val="restart"/>
          </w:tcPr>
          <w:p w14:paraId="6AD89B90"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Embryo</w:t>
            </w:r>
            <w:r w:rsidR="00CE323A" w:rsidRPr="00BF3A4E">
              <w:rPr>
                <w:rFonts w:asciiTheme="minorHAnsi" w:hAnsiTheme="minorHAnsi"/>
                <w:kern w:val="2"/>
                <w:sz w:val="20"/>
                <w:szCs w:val="20"/>
              </w:rPr>
              <w:t>fet</w:t>
            </w:r>
            <w:r w:rsidRPr="00BF3A4E">
              <w:rPr>
                <w:rFonts w:asciiTheme="minorHAnsi" w:hAnsiTheme="minorHAnsi"/>
                <w:kern w:val="2"/>
                <w:sz w:val="20"/>
                <w:szCs w:val="20"/>
              </w:rPr>
              <w:t>al development</w:t>
            </w:r>
          </w:p>
        </w:tc>
        <w:tc>
          <w:tcPr>
            <w:tcW w:w="1560" w:type="dxa"/>
          </w:tcPr>
          <w:p w14:paraId="6AD89B91"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0.5</w:t>
            </w:r>
          </w:p>
        </w:tc>
        <w:tc>
          <w:tcPr>
            <w:tcW w:w="1559" w:type="dxa"/>
          </w:tcPr>
          <w:p w14:paraId="6AD89B92" w14:textId="77777777" w:rsidR="00F16B9D" w:rsidRPr="00BF3A4E" w:rsidRDefault="00F16B9D" w:rsidP="00026D9A">
            <w:pPr>
              <w:ind w:left="0" w:right="0"/>
              <w:rPr>
                <w:rFonts w:asciiTheme="minorHAnsi" w:hAnsiTheme="minorHAnsi"/>
                <w:kern w:val="2"/>
                <w:sz w:val="20"/>
                <w:szCs w:val="20"/>
                <w:vertAlign w:val="superscript"/>
              </w:rPr>
            </w:pPr>
            <w:r w:rsidRPr="00BF3A4E">
              <w:rPr>
                <w:rFonts w:asciiTheme="minorHAnsi" w:hAnsiTheme="minorHAnsi"/>
                <w:kern w:val="2"/>
                <w:sz w:val="20"/>
                <w:szCs w:val="20"/>
              </w:rPr>
              <w:t>403</w:t>
            </w:r>
            <w:r w:rsidRPr="00BF3A4E">
              <w:rPr>
                <w:rFonts w:asciiTheme="minorHAnsi" w:hAnsiTheme="minorHAnsi"/>
                <w:kern w:val="2"/>
                <w:sz w:val="20"/>
                <w:szCs w:val="20"/>
                <w:vertAlign w:val="superscript"/>
              </w:rPr>
              <w:t>‡</w:t>
            </w:r>
          </w:p>
        </w:tc>
        <w:tc>
          <w:tcPr>
            <w:tcW w:w="1984" w:type="dxa"/>
          </w:tcPr>
          <w:p w14:paraId="6AD89B93"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5.36</w:t>
            </w:r>
          </w:p>
        </w:tc>
      </w:tr>
      <w:tr w:rsidR="00F16B9D" w:rsidRPr="00FC316F" w14:paraId="6AD89B9A" w14:textId="77777777" w:rsidTr="00D27167">
        <w:trPr>
          <w:trHeight w:val="227"/>
        </w:trPr>
        <w:tc>
          <w:tcPr>
            <w:tcW w:w="1809" w:type="dxa"/>
            <w:vMerge/>
          </w:tcPr>
          <w:p w14:paraId="6AD89B95" w14:textId="77777777" w:rsidR="00F16B9D" w:rsidRPr="00BF3A4E" w:rsidRDefault="00F16B9D" w:rsidP="00BF3A4E">
            <w:pPr>
              <w:rPr>
                <w:rFonts w:asciiTheme="minorHAnsi" w:hAnsiTheme="minorHAnsi"/>
                <w:kern w:val="2"/>
                <w:sz w:val="20"/>
                <w:szCs w:val="20"/>
              </w:rPr>
            </w:pPr>
          </w:p>
        </w:tc>
        <w:tc>
          <w:tcPr>
            <w:tcW w:w="1701" w:type="dxa"/>
            <w:vMerge/>
          </w:tcPr>
          <w:p w14:paraId="6AD89B96" w14:textId="77777777" w:rsidR="00F16B9D" w:rsidRPr="00BF3A4E" w:rsidRDefault="00F16B9D" w:rsidP="00026D9A">
            <w:pPr>
              <w:ind w:left="0" w:right="0"/>
              <w:rPr>
                <w:rFonts w:asciiTheme="minorHAnsi" w:hAnsiTheme="minorHAnsi"/>
                <w:kern w:val="2"/>
                <w:sz w:val="20"/>
                <w:szCs w:val="20"/>
              </w:rPr>
            </w:pPr>
          </w:p>
        </w:tc>
        <w:tc>
          <w:tcPr>
            <w:tcW w:w="1560" w:type="dxa"/>
          </w:tcPr>
          <w:p w14:paraId="6AD89B97"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1.5</w:t>
            </w:r>
          </w:p>
        </w:tc>
        <w:tc>
          <w:tcPr>
            <w:tcW w:w="1559" w:type="dxa"/>
          </w:tcPr>
          <w:p w14:paraId="6AD89B98"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2766</w:t>
            </w:r>
            <w:r w:rsidRPr="00BF3A4E">
              <w:rPr>
                <w:rFonts w:asciiTheme="minorHAnsi" w:hAnsiTheme="minorHAnsi"/>
                <w:kern w:val="2"/>
                <w:sz w:val="20"/>
                <w:szCs w:val="20"/>
                <w:vertAlign w:val="superscript"/>
              </w:rPr>
              <w:t>‡</w:t>
            </w:r>
          </w:p>
        </w:tc>
        <w:tc>
          <w:tcPr>
            <w:tcW w:w="1984" w:type="dxa"/>
          </w:tcPr>
          <w:p w14:paraId="6AD89B99"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36.80</w:t>
            </w:r>
          </w:p>
        </w:tc>
      </w:tr>
      <w:tr w:rsidR="00F16B9D" w:rsidRPr="00FC316F" w14:paraId="6AD89BA0" w14:textId="77777777" w:rsidTr="00D27167">
        <w:trPr>
          <w:trHeight w:val="227"/>
        </w:trPr>
        <w:tc>
          <w:tcPr>
            <w:tcW w:w="1809" w:type="dxa"/>
            <w:vMerge/>
          </w:tcPr>
          <w:p w14:paraId="6AD89B9B" w14:textId="77777777" w:rsidR="00F16B9D" w:rsidRPr="00BF3A4E" w:rsidRDefault="00F16B9D" w:rsidP="00BF3A4E">
            <w:pPr>
              <w:rPr>
                <w:rFonts w:asciiTheme="minorHAnsi" w:hAnsiTheme="minorHAnsi"/>
                <w:kern w:val="2"/>
                <w:sz w:val="20"/>
                <w:szCs w:val="20"/>
              </w:rPr>
            </w:pPr>
          </w:p>
        </w:tc>
        <w:tc>
          <w:tcPr>
            <w:tcW w:w="1701" w:type="dxa"/>
            <w:vMerge/>
          </w:tcPr>
          <w:p w14:paraId="6AD89B9C" w14:textId="77777777" w:rsidR="00F16B9D" w:rsidRPr="00BF3A4E" w:rsidRDefault="00F16B9D" w:rsidP="00026D9A">
            <w:pPr>
              <w:ind w:left="0" w:right="0"/>
              <w:rPr>
                <w:rFonts w:asciiTheme="minorHAnsi" w:hAnsiTheme="minorHAnsi"/>
                <w:kern w:val="2"/>
                <w:sz w:val="20"/>
                <w:szCs w:val="20"/>
              </w:rPr>
            </w:pPr>
          </w:p>
        </w:tc>
        <w:tc>
          <w:tcPr>
            <w:tcW w:w="1560" w:type="dxa"/>
          </w:tcPr>
          <w:p w14:paraId="6AD89B9D"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4.5</w:t>
            </w:r>
          </w:p>
        </w:tc>
        <w:tc>
          <w:tcPr>
            <w:tcW w:w="1559" w:type="dxa"/>
          </w:tcPr>
          <w:p w14:paraId="6AD89B9E"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12556</w:t>
            </w:r>
            <w:r w:rsidRPr="00BF3A4E">
              <w:rPr>
                <w:rFonts w:asciiTheme="minorHAnsi" w:hAnsiTheme="minorHAnsi"/>
                <w:kern w:val="2"/>
                <w:sz w:val="20"/>
                <w:szCs w:val="20"/>
                <w:vertAlign w:val="superscript"/>
              </w:rPr>
              <w:t>‡</w:t>
            </w:r>
          </w:p>
        </w:tc>
        <w:tc>
          <w:tcPr>
            <w:tcW w:w="1984" w:type="dxa"/>
          </w:tcPr>
          <w:p w14:paraId="6AD89B9F"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167.06</w:t>
            </w:r>
          </w:p>
        </w:tc>
      </w:tr>
      <w:tr w:rsidR="00F16B9D" w:rsidRPr="00FC316F" w14:paraId="6AD89BA6" w14:textId="77777777" w:rsidTr="00D27167">
        <w:trPr>
          <w:trHeight w:val="277"/>
        </w:trPr>
        <w:tc>
          <w:tcPr>
            <w:tcW w:w="1809" w:type="dxa"/>
            <w:vMerge w:val="restart"/>
          </w:tcPr>
          <w:p w14:paraId="6AD89BA1" w14:textId="77777777" w:rsidR="00F16B9D" w:rsidRPr="00BF3A4E" w:rsidRDefault="00877D68" w:rsidP="00BF3A4E">
            <w:pPr>
              <w:rPr>
                <w:rFonts w:asciiTheme="minorHAnsi" w:hAnsiTheme="minorHAnsi"/>
                <w:kern w:val="2"/>
                <w:sz w:val="20"/>
                <w:szCs w:val="20"/>
              </w:rPr>
            </w:pPr>
            <w:r w:rsidRPr="00BF3A4E">
              <w:rPr>
                <w:rFonts w:asciiTheme="minorHAnsi" w:hAnsiTheme="minorHAnsi"/>
                <w:kern w:val="2"/>
                <w:sz w:val="20"/>
                <w:szCs w:val="20"/>
              </w:rPr>
              <w:t xml:space="preserve">Rabbit </w:t>
            </w:r>
            <w:r w:rsidR="00F16B9D" w:rsidRPr="00BF3A4E">
              <w:rPr>
                <w:rFonts w:asciiTheme="minorHAnsi" w:hAnsiTheme="minorHAnsi"/>
                <w:kern w:val="2"/>
                <w:sz w:val="20"/>
                <w:szCs w:val="20"/>
              </w:rPr>
              <w:t>(NZW)</w:t>
            </w:r>
          </w:p>
        </w:tc>
        <w:tc>
          <w:tcPr>
            <w:tcW w:w="1701" w:type="dxa"/>
            <w:vMerge w:val="restart"/>
          </w:tcPr>
          <w:p w14:paraId="6AD89BA2"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Embryo</w:t>
            </w:r>
            <w:r w:rsidR="00CE323A" w:rsidRPr="00BF3A4E">
              <w:rPr>
                <w:rFonts w:asciiTheme="minorHAnsi" w:hAnsiTheme="minorHAnsi"/>
                <w:kern w:val="2"/>
                <w:sz w:val="20"/>
                <w:szCs w:val="20"/>
              </w:rPr>
              <w:t>fet</w:t>
            </w:r>
            <w:r w:rsidRPr="00BF3A4E">
              <w:rPr>
                <w:rFonts w:asciiTheme="minorHAnsi" w:hAnsiTheme="minorHAnsi"/>
                <w:kern w:val="2"/>
                <w:sz w:val="20"/>
                <w:szCs w:val="20"/>
              </w:rPr>
              <w:t>al development</w:t>
            </w:r>
          </w:p>
        </w:tc>
        <w:tc>
          <w:tcPr>
            <w:tcW w:w="1560" w:type="dxa"/>
          </w:tcPr>
          <w:p w14:paraId="6AD89BA3"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2.5</w:t>
            </w:r>
          </w:p>
        </w:tc>
        <w:tc>
          <w:tcPr>
            <w:tcW w:w="1559" w:type="dxa"/>
          </w:tcPr>
          <w:p w14:paraId="6AD89BA4"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2545</w:t>
            </w:r>
            <w:r w:rsidRPr="00BF3A4E">
              <w:rPr>
                <w:rFonts w:asciiTheme="minorHAnsi" w:hAnsiTheme="minorHAnsi"/>
                <w:kern w:val="2"/>
                <w:sz w:val="20"/>
                <w:szCs w:val="20"/>
                <w:vertAlign w:val="superscript"/>
              </w:rPr>
              <w:t>‡</w:t>
            </w:r>
          </w:p>
        </w:tc>
        <w:tc>
          <w:tcPr>
            <w:tcW w:w="1984" w:type="dxa"/>
          </w:tcPr>
          <w:p w14:paraId="6AD89BA5"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33.86</w:t>
            </w:r>
          </w:p>
        </w:tc>
      </w:tr>
      <w:tr w:rsidR="00F16B9D" w:rsidRPr="00FC316F" w14:paraId="6AD89BAC" w14:textId="77777777" w:rsidTr="00D27167">
        <w:trPr>
          <w:trHeight w:val="277"/>
        </w:trPr>
        <w:tc>
          <w:tcPr>
            <w:tcW w:w="1809" w:type="dxa"/>
            <w:vMerge/>
          </w:tcPr>
          <w:p w14:paraId="6AD89BA7" w14:textId="77777777" w:rsidR="00F16B9D" w:rsidRPr="00BF3A4E" w:rsidRDefault="00F16B9D" w:rsidP="00BF3A4E">
            <w:pPr>
              <w:rPr>
                <w:rFonts w:asciiTheme="minorHAnsi" w:hAnsiTheme="minorHAnsi"/>
                <w:kern w:val="2"/>
                <w:sz w:val="20"/>
                <w:szCs w:val="20"/>
              </w:rPr>
            </w:pPr>
          </w:p>
        </w:tc>
        <w:tc>
          <w:tcPr>
            <w:tcW w:w="1701" w:type="dxa"/>
            <w:vMerge/>
          </w:tcPr>
          <w:p w14:paraId="6AD89BA8" w14:textId="77777777" w:rsidR="00F16B9D" w:rsidRPr="00BF3A4E" w:rsidRDefault="00F16B9D" w:rsidP="00026D9A">
            <w:pPr>
              <w:ind w:left="0" w:right="0"/>
              <w:rPr>
                <w:rFonts w:asciiTheme="minorHAnsi" w:hAnsiTheme="minorHAnsi"/>
                <w:kern w:val="2"/>
                <w:sz w:val="20"/>
                <w:szCs w:val="20"/>
              </w:rPr>
            </w:pPr>
          </w:p>
        </w:tc>
        <w:tc>
          <w:tcPr>
            <w:tcW w:w="1560" w:type="dxa"/>
          </w:tcPr>
          <w:p w14:paraId="6AD89BA9"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3.5</w:t>
            </w:r>
            <w:r w:rsidRPr="00BF3A4E">
              <w:rPr>
                <w:rFonts w:asciiTheme="minorHAnsi" w:hAnsiTheme="minorHAnsi"/>
                <w:kern w:val="2"/>
                <w:sz w:val="20"/>
                <w:szCs w:val="20"/>
                <w:vertAlign w:val="superscript"/>
              </w:rPr>
              <w:t>¤</w:t>
            </w:r>
          </w:p>
        </w:tc>
        <w:tc>
          <w:tcPr>
            <w:tcW w:w="1559" w:type="dxa"/>
          </w:tcPr>
          <w:p w14:paraId="6AD89BAA"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5159</w:t>
            </w:r>
            <w:r w:rsidRPr="00BF3A4E">
              <w:rPr>
                <w:rFonts w:asciiTheme="minorHAnsi" w:hAnsiTheme="minorHAnsi"/>
                <w:kern w:val="2"/>
                <w:sz w:val="20"/>
                <w:szCs w:val="20"/>
                <w:vertAlign w:val="superscript"/>
              </w:rPr>
              <w:t>‡</w:t>
            </w:r>
          </w:p>
        </w:tc>
        <w:tc>
          <w:tcPr>
            <w:tcW w:w="1984" w:type="dxa"/>
          </w:tcPr>
          <w:p w14:paraId="6AD89BAB"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68.64</w:t>
            </w:r>
          </w:p>
        </w:tc>
      </w:tr>
      <w:tr w:rsidR="00F16B9D" w:rsidRPr="00FC316F" w14:paraId="6AD89BB2" w14:textId="77777777" w:rsidTr="00D27167">
        <w:trPr>
          <w:trHeight w:val="227"/>
        </w:trPr>
        <w:tc>
          <w:tcPr>
            <w:tcW w:w="1809" w:type="dxa"/>
            <w:vMerge w:val="restart"/>
          </w:tcPr>
          <w:p w14:paraId="6AD89BAD" w14:textId="77777777" w:rsidR="00F16B9D" w:rsidRPr="00BF3A4E" w:rsidRDefault="00877D68" w:rsidP="00BF3A4E">
            <w:pPr>
              <w:rPr>
                <w:rFonts w:asciiTheme="minorHAnsi" w:hAnsiTheme="minorHAnsi"/>
                <w:kern w:val="2"/>
                <w:sz w:val="20"/>
                <w:szCs w:val="20"/>
              </w:rPr>
            </w:pPr>
            <w:r w:rsidRPr="00BF3A4E">
              <w:rPr>
                <w:rFonts w:asciiTheme="minorHAnsi" w:hAnsiTheme="minorHAnsi"/>
                <w:kern w:val="2"/>
                <w:sz w:val="20"/>
                <w:szCs w:val="20"/>
              </w:rPr>
              <w:t xml:space="preserve">Rabbit </w:t>
            </w:r>
            <w:r w:rsidR="00F16B9D" w:rsidRPr="00BF3A4E">
              <w:rPr>
                <w:rFonts w:asciiTheme="minorHAnsi" w:hAnsiTheme="minorHAnsi"/>
                <w:kern w:val="2"/>
                <w:sz w:val="20"/>
                <w:szCs w:val="20"/>
              </w:rPr>
              <w:t>(NZW)</w:t>
            </w:r>
          </w:p>
        </w:tc>
        <w:tc>
          <w:tcPr>
            <w:tcW w:w="1701" w:type="dxa"/>
            <w:vMerge w:val="restart"/>
          </w:tcPr>
          <w:p w14:paraId="6AD89BAE" w14:textId="0E79E4B9"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Embryo</w:t>
            </w:r>
            <w:r w:rsidR="00CE323A" w:rsidRPr="00BF3A4E">
              <w:rPr>
                <w:rFonts w:asciiTheme="minorHAnsi" w:hAnsiTheme="minorHAnsi"/>
                <w:kern w:val="2"/>
                <w:sz w:val="20"/>
                <w:szCs w:val="20"/>
              </w:rPr>
              <w:t>fet</w:t>
            </w:r>
            <w:r w:rsidRPr="00BF3A4E">
              <w:rPr>
                <w:rFonts w:asciiTheme="minorHAnsi" w:hAnsiTheme="minorHAnsi"/>
                <w:kern w:val="2"/>
                <w:sz w:val="20"/>
                <w:szCs w:val="20"/>
              </w:rPr>
              <w:t>al development</w:t>
            </w:r>
            <w:r w:rsidR="00FC316F">
              <w:rPr>
                <w:rFonts w:asciiTheme="minorHAnsi" w:hAnsiTheme="minorHAnsi"/>
                <w:kern w:val="2"/>
                <w:sz w:val="20"/>
                <w:szCs w:val="20"/>
              </w:rPr>
              <w:t xml:space="preserve"> </w:t>
            </w:r>
            <w:r w:rsidRPr="00BF3A4E">
              <w:rPr>
                <w:rFonts w:asciiTheme="minorHAnsi" w:hAnsiTheme="minorHAnsi"/>
                <w:kern w:val="2"/>
                <w:sz w:val="20"/>
                <w:szCs w:val="20"/>
              </w:rPr>
              <w:t>Dose-Ranging Study</w:t>
            </w:r>
          </w:p>
        </w:tc>
        <w:tc>
          <w:tcPr>
            <w:tcW w:w="1560" w:type="dxa"/>
          </w:tcPr>
          <w:p w14:paraId="6AD89BAF"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1.5</w:t>
            </w:r>
          </w:p>
        </w:tc>
        <w:tc>
          <w:tcPr>
            <w:tcW w:w="1559" w:type="dxa"/>
            <w:vMerge w:val="restart"/>
          </w:tcPr>
          <w:p w14:paraId="6AD89BB0"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No Data</w:t>
            </w:r>
          </w:p>
        </w:tc>
        <w:tc>
          <w:tcPr>
            <w:tcW w:w="1984" w:type="dxa"/>
            <w:vMerge w:val="restart"/>
          </w:tcPr>
          <w:p w14:paraId="6AD89BB1"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No Data</w:t>
            </w:r>
          </w:p>
        </w:tc>
      </w:tr>
      <w:tr w:rsidR="00F16B9D" w:rsidRPr="00FC316F" w14:paraId="6AD89BB8" w14:textId="77777777" w:rsidTr="00D27167">
        <w:trPr>
          <w:trHeight w:val="227"/>
        </w:trPr>
        <w:tc>
          <w:tcPr>
            <w:tcW w:w="1809" w:type="dxa"/>
            <w:vMerge/>
          </w:tcPr>
          <w:p w14:paraId="6AD89BB3" w14:textId="77777777" w:rsidR="00F16B9D" w:rsidRPr="00BF3A4E" w:rsidRDefault="00F16B9D" w:rsidP="00BF3A4E">
            <w:pPr>
              <w:rPr>
                <w:rFonts w:asciiTheme="minorHAnsi" w:hAnsiTheme="minorHAnsi"/>
                <w:kern w:val="2"/>
                <w:sz w:val="20"/>
                <w:szCs w:val="20"/>
              </w:rPr>
            </w:pPr>
          </w:p>
        </w:tc>
        <w:tc>
          <w:tcPr>
            <w:tcW w:w="1701" w:type="dxa"/>
            <w:vMerge/>
          </w:tcPr>
          <w:p w14:paraId="6AD89BB4" w14:textId="77777777" w:rsidR="00F16B9D" w:rsidRPr="00BF3A4E" w:rsidRDefault="00F16B9D" w:rsidP="00026D9A">
            <w:pPr>
              <w:ind w:left="0" w:right="0"/>
              <w:rPr>
                <w:rFonts w:asciiTheme="minorHAnsi" w:hAnsiTheme="minorHAnsi"/>
                <w:kern w:val="2"/>
                <w:sz w:val="20"/>
                <w:szCs w:val="20"/>
              </w:rPr>
            </w:pPr>
          </w:p>
        </w:tc>
        <w:tc>
          <w:tcPr>
            <w:tcW w:w="1560" w:type="dxa"/>
          </w:tcPr>
          <w:p w14:paraId="6AD89BB5"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3.0</w:t>
            </w:r>
          </w:p>
        </w:tc>
        <w:tc>
          <w:tcPr>
            <w:tcW w:w="1559" w:type="dxa"/>
            <w:vMerge/>
          </w:tcPr>
          <w:p w14:paraId="6AD89BB6" w14:textId="77777777" w:rsidR="00F16B9D" w:rsidRPr="00BF3A4E" w:rsidRDefault="00F16B9D" w:rsidP="00026D9A">
            <w:pPr>
              <w:ind w:left="0" w:right="0"/>
              <w:rPr>
                <w:rFonts w:asciiTheme="minorHAnsi" w:hAnsiTheme="minorHAnsi"/>
                <w:kern w:val="2"/>
                <w:sz w:val="20"/>
                <w:szCs w:val="20"/>
              </w:rPr>
            </w:pPr>
          </w:p>
        </w:tc>
        <w:tc>
          <w:tcPr>
            <w:tcW w:w="1984" w:type="dxa"/>
            <w:vMerge/>
          </w:tcPr>
          <w:p w14:paraId="6AD89BB7" w14:textId="77777777" w:rsidR="00F16B9D" w:rsidRPr="00BF3A4E" w:rsidRDefault="00F16B9D" w:rsidP="00BF3A4E">
            <w:pPr>
              <w:rPr>
                <w:rFonts w:asciiTheme="minorHAnsi" w:hAnsiTheme="minorHAnsi"/>
                <w:kern w:val="2"/>
                <w:sz w:val="20"/>
                <w:szCs w:val="20"/>
              </w:rPr>
            </w:pPr>
          </w:p>
        </w:tc>
      </w:tr>
      <w:tr w:rsidR="00F16B9D" w:rsidRPr="00FC316F" w14:paraId="6AD89BBE" w14:textId="77777777" w:rsidTr="00D27167">
        <w:trPr>
          <w:trHeight w:val="227"/>
        </w:trPr>
        <w:tc>
          <w:tcPr>
            <w:tcW w:w="1809" w:type="dxa"/>
            <w:vMerge/>
          </w:tcPr>
          <w:p w14:paraId="6AD89BB9" w14:textId="77777777" w:rsidR="00F16B9D" w:rsidRPr="00BF3A4E" w:rsidRDefault="00F16B9D" w:rsidP="00BF3A4E">
            <w:pPr>
              <w:rPr>
                <w:rFonts w:asciiTheme="minorHAnsi" w:hAnsiTheme="minorHAnsi"/>
                <w:kern w:val="2"/>
                <w:sz w:val="20"/>
                <w:szCs w:val="20"/>
              </w:rPr>
            </w:pPr>
          </w:p>
        </w:tc>
        <w:tc>
          <w:tcPr>
            <w:tcW w:w="1701" w:type="dxa"/>
            <w:vMerge/>
          </w:tcPr>
          <w:p w14:paraId="6AD89BBA" w14:textId="77777777" w:rsidR="00F16B9D" w:rsidRPr="00BF3A4E" w:rsidRDefault="00F16B9D" w:rsidP="00026D9A">
            <w:pPr>
              <w:ind w:left="0" w:right="0"/>
              <w:rPr>
                <w:rFonts w:asciiTheme="minorHAnsi" w:hAnsiTheme="minorHAnsi"/>
                <w:kern w:val="2"/>
                <w:sz w:val="20"/>
                <w:szCs w:val="20"/>
              </w:rPr>
            </w:pPr>
          </w:p>
        </w:tc>
        <w:tc>
          <w:tcPr>
            <w:tcW w:w="1560" w:type="dxa"/>
          </w:tcPr>
          <w:p w14:paraId="6AD89BBB" w14:textId="77777777" w:rsidR="00F16B9D" w:rsidRPr="00BF3A4E" w:rsidRDefault="00F16B9D" w:rsidP="00BF3A4E">
            <w:pPr>
              <w:rPr>
                <w:rFonts w:asciiTheme="minorHAnsi" w:hAnsiTheme="minorHAnsi"/>
                <w:sz w:val="20"/>
                <w:szCs w:val="20"/>
              </w:rPr>
            </w:pPr>
            <w:r w:rsidRPr="00BF3A4E">
              <w:rPr>
                <w:rFonts w:asciiTheme="minorHAnsi" w:hAnsiTheme="minorHAnsi"/>
                <w:sz w:val="20"/>
                <w:szCs w:val="20"/>
              </w:rPr>
              <w:t>6.0</w:t>
            </w:r>
          </w:p>
        </w:tc>
        <w:tc>
          <w:tcPr>
            <w:tcW w:w="1559" w:type="dxa"/>
            <w:vMerge/>
          </w:tcPr>
          <w:p w14:paraId="6AD89BBC" w14:textId="77777777" w:rsidR="00F16B9D" w:rsidRPr="00BF3A4E" w:rsidRDefault="00F16B9D" w:rsidP="00026D9A">
            <w:pPr>
              <w:ind w:left="0" w:right="0"/>
              <w:rPr>
                <w:rFonts w:asciiTheme="minorHAnsi" w:hAnsiTheme="minorHAnsi"/>
                <w:kern w:val="2"/>
                <w:sz w:val="20"/>
                <w:szCs w:val="20"/>
              </w:rPr>
            </w:pPr>
          </w:p>
        </w:tc>
        <w:tc>
          <w:tcPr>
            <w:tcW w:w="1984" w:type="dxa"/>
            <w:vMerge/>
          </w:tcPr>
          <w:p w14:paraId="6AD89BBD" w14:textId="77777777" w:rsidR="00F16B9D" w:rsidRPr="00BF3A4E" w:rsidRDefault="00F16B9D" w:rsidP="00BF3A4E">
            <w:pPr>
              <w:rPr>
                <w:rFonts w:asciiTheme="minorHAnsi" w:hAnsiTheme="minorHAnsi"/>
                <w:kern w:val="2"/>
                <w:sz w:val="20"/>
                <w:szCs w:val="20"/>
              </w:rPr>
            </w:pPr>
          </w:p>
        </w:tc>
      </w:tr>
      <w:tr w:rsidR="00F16B9D" w:rsidRPr="00FC316F" w14:paraId="6AD89BC4" w14:textId="77777777" w:rsidTr="00D27167">
        <w:trPr>
          <w:trHeight w:val="227"/>
        </w:trPr>
        <w:tc>
          <w:tcPr>
            <w:tcW w:w="1809" w:type="dxa"/>
          </w:tcPr>
          <w:p w14:paraId="6AD89BBF" w14:textId="77777777" w:rsidR="00F16B9D" w:rsidRPr="00BF3A4E" w:rsidRDefault="00877D68" w:rsidP="00BF3A4E">
            <w:pPr>
              <w:rPr>
                <w:rFonts w:asciiTheme="minorHAnsi" w:hAnsiTheme="minorHAnsi"/>
                <w:kern w:val="2"/>
                <w:sz w:val="20"/>
                <w:szCs w:val="20"/>
              </w:rPr>
            </w:pPr>
            <w:r w:rsidRPr="00BF3A4E">
              <w:rPr>
                <w:rFonts w:asciiTheme="minorHAnsi" w:hAnsiTheme="minorHAnsi"/>
                <w:kern w:val="2"/>
                <w:sz w:val="20"/>
                <w:szCs w:val="20"/>
              </w:rPr>
              <w:t xml:space="preserve">Rat </w:t>
            </w:r>
            <w:r w:rsidR="00F16B9D" w:rsidRPr="00BF3A4E">
              <w:rPr>
                <w:rFonts w:asciiTheme="minorHAnsi" w:hAnsiTheme="minorHAnsi"/>
                <w:kern w:val="2"/>
                <w:sz w:val="20"/>
                <w:szCs w:val="20"/>
              </w:rPr>
              <w:t>(SD)</w:t>
            </w:r>
          </w:p>
        </w:tc>
        <w:tc>
          <w:tcPr>
            <w:tcW w:w="1701" w:type="dxa"/>
          </w:tcPr>
          <w:p w14:paraId="6AD89BC0"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2 generation multigenerational study with cross fostering study</w:t>
            </w:r>
          </w:p>
        </w:tc>
        <w:tc>
          <w:tcPr>
            <w:tcW w:w="1560" w:type="dxa"/>
          </w:tcPr>
          <w:p w14:paraId="6AD89BC1"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sz w:val="18"/>
                <w:szCs w:val="18"/>
              </w:rPr>
              <w:t>0, 0.4, 1.2, 3.6</w:t>
            </w:r>
            <w:r w:rsidRPr="00BF3A4E">
              <w:rPr>
                <w:rFonts w:asciiTheme="minorHAnsi" w:hAnsiTheme="minorHAnsi"/>
                <w:sz w:val="20"/>
                <w:szCs w:val="20"/>
              </w:rPr>
              <w:t xml:space="preserve"> </w:t>
            </w:r>
            <w:r w:rsidRPr="00BF3A4E">
              <w:rPr>
                <w:rFonts w:asciiTheme="minorHAnsi" w:hAnsiTheme="minorHAnsi"/>
                <w:sz w:val="18"/>
                <w:szCs w:val="18"/>
              </w:rPr>
              <w:t>mg/kg/day PO gavage (experiment 1); 0, 0.05, 0.1, 0.4 (experiment 2).</w:t>
            </w:r>
          </w:p>
        </w:tc>
        <w:tc>
          <w:tcPr>
            <w:tcW w:w="1559" w:type="dxa"/>
          </w:tcPr>
          <w:p w14:paraId="6AD89BC2" w14:textId="77777777" w:rsidR="00F16B9D" w:rsidRPr="00BF3A4E" w:rsidRDefault="00F16B9D" w:rsidP="00026D9A">
            <w:pPr>
              <w:ind w:left="0" w:right="0"/>
              <w:rPr>
                <w:rFonts w:asciiTheme="minorHAnsi" w:hAnsiTheme="minorHAnsi"/>
                <w:kern w:val="2"/>
                <w:sz w:val="20"/>
                <w:szCs w:val="20"/>
              </w:rPr>
            </w:pPr>
            <w:r w:rsidRPr="00BF3A4E">
              <w:rPr>
                <w:rFonts w:asciiTheme="minorHAnsi" w:hAnsiTheme="minorHAnsi"/>
                <w:kern w:val="2"/>
                <w:sz w:val="20"/>
                <w:szCs w:val="20"/>
              </w:rPr>
              <w:t>No Data</w:t>
            </w:r>
          </w:p>
        </w:tc>
        <w:tc>
          <w:tcPr>
            <w:tcW w:w="1984" w:type="dxa"/>
          </w:tcPr>
          <w:p w14:paraId="6AD89BC3"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No Data</w:t>
            </w:r>
          </w:p>
        </w:tc>
      </w:tr>
      <w:tr w:rsidR="00F16B9D" w:rsidRPr="00FC316F" w14:paraId="6AD89BCA" w14:textId="77777777" w:rsidTr="00D27167">
        <w:trPr>
          <w:trHeight w:val="227"/>
        </w:trPr>
        <w:tc>
          <w:tcPr>
            <w:tcW w:w="1809" w:type="dxa"/>
          </w:tcPr>
          <w:p w14:paraId="6AD89BC5" w14:textId="77777777" w:rsidR="00F16B9D" w:rsidRPr="00BF3A4E" w:rsidRDefault="00D27167" w:rsidP="00026D9A">
            <w:pPr>
              <w:ind w:left="0" w:right="0"/>
              <w:rPr>
                <w:rFonts w:asciiTheme="minorHAnsi" w:hAnsiTheme="minorHAnsi"/>
                <w:kern w:val="2"/>
                <w:sz w:val="20"/>
                <w:szCs w:val="20"/>
              </w:rPr>
            </w:pPr>
            <w:r w:rsidRPr="00BF3A4E">
              <w:rPr>
                <w:rFonts w:asciiTheme="minorHAnsi" w:hAnsiTheme="minorHAnsi"/>
                <w:kern w:val="2"/>
                <w:sz w:val="20"/>
                <w:szCs w:val="20"/>
              </w:rPr>
              <w:t xml:space="preserve">Human </w:t>
            </w:r>
            <w:r w:rsidR="00F16B9D" w:rsidRPr="00BF3A4E">
              <w:rPr>
                <w:rFonts w:asciiTheme="minorHAnsi" w:hAnsiTheme="minorHAnsi"/>
                <w:kern w:val="2"/>
                <w:sz w:val="20"/>
                <w:szCs w:val="20"/>
              </w:rPr>
              <w:t xml:space="preserve">(Severe </w:t>
            </w:r>
            <w:proofErr w:type="spellStart"/>
            <w:r w:rsidR="00F475F1" w:rsidRPr="00BF3A4E">
              <w:rPr>
                <w:rFonts w:asciiTheme="minorHAnsi" w:hAnsiTheme="minorHAnsi"/>
                <w:kern w:val="2"/>
                <w:sz w:val="20"/>
                <w:szCs w:val="20"/>
              </w:rPr>
              <w:t>papulo</w:t>
            </w:r>
            <w:proofErr w:type="spellEnd"/>
            <w:r w:rsidR="00F475F1" w:rsidRPr="00BF3A4E">
              <w:rPr>
                <w:rFonts w:asciiTheme="minorHAnsi" w:hAnsiTheme="minorHAnsi"/>
                <w:kern w:val="2"/>
                <w:sz w:val="20"/>
                <w:szCs w:val="20"/>
              </w:rPr>
              <w:t>-pustular</w:t>
            </w:r>
            <w:r w:rsidR="00F16B9D" w:rsidRPr="00BF3A4E">
              <w:rPr>
                <w:rFonts w:asciiTheme="minorHAnsi" w:hAnsiTheme="minorHAnsi"/>
                <w:kern w:val="2"/>
                <w:sz w:val="20"/>
                <w:szCs w:val="20"/>
              </w:rPr>
              <w:t xml:space="preserve"> rosacea under maximal use conditions)</w:t>
            </w:r>
          </w:p>
        </w:tc>
        <w:tc>
          <w:tcPr>
            <w:tcW w:w="1701" w:type="dxa"/>
          </w:tcPr>
          <w:p w14:paraId="6AD89BC6"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steady state</w:t>
            </w:r>
          </w:p>
        </w:tc>
        <w:tc>
          <w:tcPr>
            <w:tcW w:w="1560" w:type="dxa"/>
          </w:tcPr>
          <w:p w14:paraId="6AD89BC7"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10 mg</w:t>
            </w:r>
          </w:p>
        </w:tc>
        <w:tc>
          <w:tcPr>
            <w:tcW w:w="1559" w:type="dxa"/>
          </w:tcPr>
          <w:p w14:paraId="6AD89BC8" w14:textId="77777777" w:rsidR="00F16B9D" w:rsidRPr="00BF3A4E" w:rsidRDefault="00F16B9D" w:rsidP="00BF3A4E">
            <w:pPr>
              <w:rPr>
                <w:rFonts w:asciiTheme="minorHAnsi" w:hAnsiTheme="minorHAnsi"/>
                <w:kern w:val="2"/>
                <w:sz w:val="20"/>
                <w:szCs w:val="20"/>
                <w:vertAlign w:val="superscript"/>
              </w:rPr>
            </w:pPr>
            <w:r w:rsidRPr="00BF3A4E">
              <w:rPr>
                <w:rFonts w:asciiTheme="minorHAnsi" w:hAnsiTheme="minorHAnsi"/>
                <w:kern w:val="2"/>
                <w:sz w:val="20"/>
                <w:szCs w:val="20"/>
              </w:rPr>
              <w:t>75.16</w:t>
            </w:r>
            <w:r w:rsidRPr="00BF3A4E">
              <w:rPr>
                <w:rFonts w:asciiTheme="minorHAnsi" w:hAnsiTheme="minorHAnsi"/>
                <w:kern w:val="2"/>
                <w:sz w:val="20"/>
                <w:szCs w:val="20"/>
                <w:vertAlign w:val="superscript"/>
              </w:rPr>
              <w:t>†</w:t>
            </w:r>
          </w:p>
        </w:tc>
        <w:tc>
          <w:tcPr>
            <w:tcW w:w="1984" w:type="dxa"/>
          </w:tcPr>
          <w:p w14:paraId="6AD89BC9" w14:textId="77777777" w:rsidR="00F16B9D" w:rsidRPr="00BF3A4E" w:rsidRDefault="00F16B9D" w:rsidP="00BF3A4E">
            <w:pPr>
              <w:rPr>
                <w:rFonts w:asciiTheme="minorHAnsi" w:hAnsiTheme="minorHAnsi"/>
                <w:kern w:val="2"/>
                <w:sz w:val="20"/>
                <w:szCs w:val="20"/>
              </w:rPr>
            </w:pPr>
            <w:r w:rsidRPr="00BF3A4E">
              <w:rPr>
                <w:rFonts w:asciiTheme="minorHAnsi" w:hAnsiTheme="minorHAnsi"/>
                <w:kern w:val="2"/>
                <w:sz w:val="20"/>
                <w:szCs w:val="20"/>
              </w:rPr>
              <w:t>–</w:t>
            </w:r>
          </w:p>
        </w:tc>
      </w:tr>
    </w:tbl>
    <w:p w14:paraId="6AD89BCB" w14:textId="77777777" w:rsidR="00F16B9D" w:rsidRPr="00F16B9D" w:rsidRDefault="00F16B9D" w:rsidP="00BF3A4E">
      <w:pPr>
        <w:pStyle w:val="TableDescription"/>
      </w:pPr>
      <w:r w:rsidRPr="00F16B9D">
        <w:t xml:space="preserve"># = </w:t>
      </w:r>
      <w:r w:rsidR="00F9355A" w:rsidRPr="00F16B9D">
        <w:t>animal: human</w:t>
      </w:r>
      <w:r w:rsidRPr="00F16B9D">
        <w:t xml:space="preserve"> plasma AUC</w:t>
      </w:r>
      <w:r w:rsidRPr="0018587B">
        <w:rPr>
          <w:vertAlign w:val="subscript"/>
        </w:rPr>
        <w:t>0–24</w:t>
      </w:r>
      <w:r w:rsidR="0018587B" w:rsidRPr="0018587B">
        <w:rPr>
          <w:vertAlign w:val="subscript"/>
        </w:rPr>
        <w:t> h</w:t>
      </w:r>
      <w:r>
        <w:t xml:space="preserve"> </w:t>
      </w:r>
      <w:r w:rsidRPr="00F16B9D">
        <w:t>* = at gestation day 17</w:t>
      </w:r>
      <w:r>
        <w:t xml:space="preserve"> </w:t>
      </w:r>
      <w:r w:rsidRPr="00F16B9D">
        <w:t>‡ = at gestation day 20</w:t>
      </w:r>
      <w:r>
        <w:t xml:space="preserve"> </w:t>
      </w:r>
      <w:r w:rsidRPr="00F16B9D">
        <w:t>¤ = NOAEL for embryo</w:t>
      </w:r>
      <w:r w:rsidR="00CE323A">
        <w:t>fet</w:t>
      </w:r>
      <w:r w:rsidRPr="00F16B9D">
        <w:t>al development</w:t>
      </w:r>
      <w:r>
        <w:t xml:space="preserve"> </w:t>
      </w:r>
      <w:r w:rsidRPr="00F16B9D">
        <w:t xml:space="preserve">† = highest mean </w:t>
      </w:r>
      <w:r w:rsidR="008B1EEB" w:rsidRPr="00F16B9D">
        <w:t>AUC</w:t>
      </w:r>
      <w:r w:rsidR="008B1EEB" w:rsidRPr="008B1EEB">
        <w:rPr>
          <w:vertAlign w:val="subscript"/>
        </w:rPr>
        <w:t>0-24</w:t>
      </w:r>
      <w:r w:rsidRPr="00F16B9D">
        <w:t xml:space="preserve"> observed</w:t>
      </w:r>
    </w:p>
    <w:p w14:paraId="6AD89BCC" w14:textId="77777777" w:rsidR="00F16B9D" w:rsidRPr="00F16B9D" w:rsidRDefault="00F16B9D" w:rsidP="00F16B9D">
      <w:r w:rsidRPr="00F16B9D">
        <w:t xml:space="preserve">The reproductive and developmental NOAEL is derived from the rat fertility study: 1.0 mg/kg/day (equivalent to </w:t>
      </w:r>
      <w:r w:rsidR="008B1EEB" w:rsidRPr="00F16B9D">
        <w:t>AUC</w:t>
      </w:r>
      <w:r w:rsidR="008B1EEB" w:rsidRPr="008B1EEB">
        <w:rPr>
          <w:vertAlign w:val="subscript"/>
        </w:rPr>
        <w:t>0-24</w:t>
      </w:r>
      <w:r w:rsidRPr="00F16B9D">
        <w:t xml:space="preserve"> in males of 2</w:t>
      </w:r>
      <w:r w:rsidR="0018587B">
        <w:t>,</w:t>
      </w:r>
      <w:r w:rsidRPr="00F16B9D">
        <w:t xml:space="preserve">413.8 </w:t>
      </w:r>
      <w:proofErr w:type="spellStart"/>
      <w:r w:rsidRPr="00F16B9D">
        <w:t>ng∙h</w:t>
      </w:r>
      <w:proofErr w:type="spellEnd"/>
      <w:r w:rsidRPr="00F16B9D">
        <w:t>/mL and 2</w:t>
      </w:r>
      <w:r w:rsidR="0018587B">
        <w:t>,</w:t>
      </w:r>
      <w:r w:rsidRPr="00F16B9D">
        <w:t xml:space="preserve">887.32 </w:t>
      </w:r>
      <w:proofErr w:type="spellStart"/>
      <w:r w:rsidRPr="00F16B9D">
        <w:t>ng∙h</w:t>
      </w:r>
      <w:proofErr w:type="spellEnd"/>
      <w:r w:rsidRPr="00F16B9D">
        <w:t>/mL in females); oral; gavage due to parental mortality and elon</w:t>
      </w:r>
      <w:r w:rsidR="0018587B">
        <w:t xml:space="preserve">gated </w:t>
      </w:r>
      <w:proofErr w:type="spellStart"/>
      <w:r w:rsidR="0018587B">
        <w:t>precoital</w:t>
      </w:r>
      <w:proofErr w:type="spellEnd"/>
      <w:r w:rsidR="0018587B">
        <w:t xml:space="preserve"> period in the 9 </w:t>
      </w:r>
      <w:r w:rsidRPr="00F16B9D">
        <w:t>mg/kg BW/day group</w:t>
      </w:r>
      <w:r w:rsidR="00902337">
        <w:t xml:space="preserve">. </w:t>
      </w:r>
      <w:r w:rsidRPr="00F16B9D">
        <w:t xml:space="preserve">This provides an exposure ratio in humans of </w:t>
      </w:r>
      <w:r w:rsidR="006B3CF6">
        <w:t>approximately</w:t>
      </w:r>
      <w:r w:rsidRPr="00F16B9D">
        <w:t xml:space="preserve"> 32</w:t>
      </w:r>
      <w:r w:rsidR="00FC7051">
        <w:t xml:space="preserve"> to </w:t>
      </w:r>
      <w:r w:rsidRPr="00F16B9D">
        <w:t>38.</w:t>
      </w:r>
    </w:p>
    <w:p w14:paraId="6AD89BCD" w14:textId="77777777" w:rsidR="00F16B9D" w:rsidRPr="00F16B9D" w:rsidRDefault="00CE323A" w:rsidP="00F16B9D">
      <w:r>
        <w:t>The sponsor’s data</w:t>
      </w:r>
      <w:r w:rsidR="00F16B9D" w:rsidRPr="00F16B9D">
        <w:t xml:space="preserve"> demonstrate that under normal conditions (</w:t>
      </w:r>
      <w:r w:rsidR="00F941D7">
        <w:t xml:space="preserve">that is </w:t>
      </w:r>
      <w:r w:rsidR="00F16B9D" w:rsidRPr="00F16B9D">
        <w:t xml:space="preserve">no inhibition of ABC B1 or ABC B1 low functional phenotype) </w:t>
      </w:r>
      <w:r>
        <w:t>fet</w:t>
      </w:r>
      <w:r w:rsidR="00F16B9D" w:rsidRPr="00F16B9D">
        <w:t>al exposure to ivermectin in rats following oral dosing is low</w:t>
      </w:r>
      <w:r w:rsidR="00902337">
        <w:t xml:space="preserve">. </w:t>
      </w:r>
      <w:r w:rsidR="00F16B9D" w:rsidRPr="00F16B9D">
        <w:t>These data are consistent with other species</w:t>
      </w:r>
      <w:r w:rsidR="00902337">
        <w:t xml:space="preserve">. </w:t>
      </w:r>
      <w:r w:rsidR="00F16B9D" w:rsidRPr="00F16B9D">
        <w:t xml:space="preserve">Studies in sheep indicate that </w:t>
      </w:r>
      <w:proofErr w:type="spellStart"/>
      <w:r w:rsidR="00F16B9D" w:rsidRPr="00F16B9D">
        <w:lastRenderedPageBreak/>
        <w:t>mat</w:t>
      </w:r>
      <w:r w:rsidR="0018587B">
        <w:t>erno</w:t>
      </w:r>
      <w:proofErr w:type="spellEnd"/>
      <w:r w:rsidR="0018587B">
        <w:t xml:space="preserve"> </w:t>
      </w:r>
      <w:proofErr w:type="spellStart"/>
      <w:r>
        <w:t>fet</w:t>
      </w:r>
      <w:r w:rsidR="00F16B9D" w:rsidRPr="00F16B9D">
        <w:t>al</w:t>
      </w:r>
      <w:proofErr w:type="spellEnd"/>
      <w:r w:rsidR="00F16B9D" w:rsidRPr="00F16B9D">
        <w:t xml:space="preserve"> placental transfer of ivermectin following IV maternal injection is relatively limited (</w:t>
      </w:r>
      <w:r>
        <w:t>fet</w:t>
      </w:r>
      <w:r w:rsidR="00F16B9D" w:rsidRPr="00F16B9D">
        <w:t>al AUC</w:t>
      </w:r>
      <w:r w:rsidR="00F16B9D" w:rsidRPr="00082D46">
        <w:rPr>
          <w:vertAlign w:val="subscript"/>
        </w:rPr>
        <w:t>0-τ</w:t>
      </w:r>
      <w:r w:rsidR="00F16B9D" w:rsidRPr="00F16B9D">
        <w:t xml:space="preserve"> 89.1 ± 11.4 </w:t>
      </w:r>
      <w:proofErr w:type="spellStart"/>
      <w:r w:rsidR="00F16B9D" w:rsidRPr="00F16B9D">
        <w:t>ng.h⁄mL</w:t>
      </w:r>
      <w:proofErr w:type="spellEnd"/>
      <w:r w:rsidR="00F16B9D" w:rsidRPr="00F16B9D">
        <w:t xml:space="preserve"> versus maternal </w:t>
      </w:r>
      <w:r w:rsidR="00D653C0">
        <w:t>a</w:t>
      </w:r>
      <w:r w:rsidR="00D653C0" w:rsidRPr="00D653C0">
        <w:t>rea under the curve time 0 to tau (last measurable concentration point</w:t>
      </w:r>
      <w:r w:rsidR="00D653C0">
        <w:t>)</w:t>
      </w:r>
      <w:r w:rsidR="00D653C0" w:rsidRPr="00D653C0">
        <w:t xml:space="preserve"> (</w:t>
      </w:r>
      <w:r w:rsidR="00F16B9D" w:rsidRPr="00D653C0">
        <w:t>AUC</w:t>
      </w:r>
      <w:r w:rsidR="00F16B9D" w:rsidRPr="00D653C0">
        <w:rPr>
          <w:vertAlign w:val="subscript"/>
        </w:rPr>
        <w:t>0-τ</w:t>
      </w:r>
      <w:r w:rsidR="00D653C0" w:rsidRPr="00D653C0">
        <w:t xml:space="preserve">) </w:t>
      </w:r>
      <w:r w:rsidR="00F16B9D" w:rsidRPr="00D653C0">
        <w:t>2</w:t>
      </w:r>
      <w:r w:rsidR="0018587B" w:rsidRPr="00D653C0">
        <w:t>,</w:t>
      </w:r>
      <w:r w:rsidR="00F16B9D" w:rsidRPr="00D653C0">
        <w:t>925.2 ± 1</w:t>
      </w:r>
      <w:r w:rsidR="0018587B" w:rsidRPr="00D653C0">
        <w:t>,</w:t>
      </w:r>
      <w:r w:rsidR="00F16B9D" w:rsidRPr="00D653C0">
        <w:t>076.0).</w:t>
      </w:r>
      <w:r w:rsidR="00F16B9D" w:rsidRPr="00D653C0">
        <w:rPr>
          <w:vertAlign w:val="superscript"/>
        </w:rPr>
        <w:footnoteReference w:id="16"/>
      </w:r>
      <w:r w:rsidR="0018587B" w:rsidRPr="00D653C0">
        <w:t xml:space="preserve"> </w:t>
      </w:r>
      <w:r w:rsidR="00F16B9D" w:rsidRPr="00D653C0">
        <w:t xml:space="preserve">Similar results have been reported in cattle where the </w:t>
      </w:r>
      <w:proofErr w:type="spellStart"/>
      <w:r w:rsidR="00F16B9D" w:rsidRPr="00F16B9D">
        <w:t>materno-</w:t>
      </w:r>
      <w:r>
        <w:t>fet</w:t>
      </w:r>
      <w:r w:rsidR="00F16B9D" w:rsidRPr="00F16B9D">
        <w:t>al</w:t>
      </w:r>
      <w:proofErr w:type="spellEnd"/>
      <w:r w:rsidR="00F16B9D" w:rsidRPr="00F16B9D">
        <w:t xml:space="preserve"> placental transfer of ivermectin was below the level of detection.</w:t>
      </w:r>
      <w:r w:rsidR="00F16B9D" w:rsidRPr="00FC7051">
        <w:rPr>
          <w:vertAlign w:val="superscript"/>
        </w:rPr>
        <w:footnoteReference w:id="17"/>
      </w:r>
    </w:p>
    <w:p w14:paraId="6AD89BCE" w14:textId="77777777" w:rsidR="00F16B9D" w:rsidRPr="00F16B9D" w:rsidRDefault="00F16B9D" w:rsidP="00F16B9D">
      <w:r w:rsidRPr="00F16B9D">
        <w:t xml:space="preserve">The mechanistic explanation for these effects is the presence of the ABC B1 efflux transporter in the placenta which actively pumps ivermectin back to the maternal circulation thus limiting </w:t>
      </w:r>
      <w:proofErr w:type="gramStart"/>
      <w:r w:rsidR="007A3A5C" w:rsidRPr="00F16B9D">
        <w:t>trans</w:t>
      </w:r>
      <w:proofErr w:type="gramEnd"/>
      <w:r w:rsidR="007A3A5C" w:rsidRPr="00F16B9D">
        <w:t xml:space="preserve"> placental</w:t>
      </w:r>
      <w:r w:rsidRPr="00F16B9D">
        <w:t xml:space="preserve"> exposure of the </w:t>
      </w:r>
      <w:r w:rsidR="00CE323A">
        <w:t>fet</w:t>
      </w:r>
      <w:r w:rsidRPr="00F16B9D">
        <w:t>us.</w:t>
      </w:r>
      <w:r w:rsidRPr="00FC7051">
        <w:rPr>
          <w:vertAlign w:val="superscript"/>
        </w:rPr>
        <w:footnoteReference w:id="18"/>
      </w:r>
      <w:r w:rsidR="00FC7051">
        <w:t xml:space="preserve"> </w:t>
      </w:r>
      <w:r w:rsidRPr="00F16B9D">
        <w:t xml:space="preserve">Animal studies have demonstrated that drug interactional conditions that reduce placental ABC B1 ivermectin efflux transporter activity increase </w:t>
      </w:r>
      <w:r w:rsidR="00CE323A">
        <w:t>fet</w:t>
      </w:r>
      <w:r w:rsidRPr="00F16B9D">
        <w:t xml:space="preserve">al ivermectin exposure and are associated with </w:t>
      </w:r>
      <w:r w:rsidR="00BD1775">
        <w:t>ivermectin induced</w:t>
      </w:r>
      <w:r w:rsidRPr="00F16B9D">
        <w:t xml:space="preserve"> adverse effects on </w:t>
      </w:r>
      <w:r w:rsidR="00CE323A">
        <w:t>fet</w:t>
      </w:r>
      <w:r w:rsidRPr="00F16B9D">
        <w:t>al development.</w:t>
      </w:r>
      <w:r w:rsidRPr="00FC7051">
        <w:rPr>
          <w:vertAlign w:val="superscript"/>
        </w:rPr>
        <w:footnoteReference w:id="19"/>
      </w:r>
    </w:p>
    <w:p w14:paraId="6AD89BCF" w14:textId="77777777" w:rsidR="00F16B9D" w:rsidRPr="00F16B9D" w:rsidRDefault="00F16B9D" w:rsidP="00F16B9D">
      <w:r w:rsidRPr="00F16B9D">
        <w:t>Critically, protection of neonates from the adverse developmental effects of</w:t>
      </w:r>
      <w:r w:rsidR="0018587B">
        <w:t xml:space="preserve"> </w:t>
      </w:r>
      <w:proofErr w:type="gramStart"/>
      <w:r w:rsidR="0018587B">
        <w:t>trans</w:t>
      </w:r>
      <w:proofErr w:type="gramEnd"/>
      <w:r w:rsidR="0018587B">
        <w:t xml:space="preserve"> </w:t>
      </w:r>
      <w:r w:rsidRPr="00F16B9D">
        <w:t xml:space="preserve">mammary ivermectin is dependent on the presence of an </w:t>
      </w:r>
      <w:r w:rsidRPr="00BD2E00">
        <w:t xml:space="preserve">intact </w:t>
      </w:r>
      <w:r w:rsidR="00BD2E00" w:rsidRPr="00BD2E00">
        <w:t>blood brain barrier</w:t>
      </w:r>
      <w:r w:rsidR="00902337" w:rsidRPr="00BD2E00">
        <w:t xml:space="preserve">. </w:t>
      </w:r>
      <w:r w:rsidRPr="00BD2E00">
        <w:t xml:space="preserve">In </w:t>
      </w:r>
      <w:r w:rsidRPr="00F16B9D">
        <w:t xml:space="preserve">rats, maternal oral ivermectin exposure of ≥ 0.4 mg/kg BW/day substantially increases neonatal mortality and induced developmental delay prior to maturation of the neonatal </w:t>
      </w:r>
      <w:r w:rsidR="00BD2E00" w:rsidRPr="00BD2E00">
        <w:t>blood brain barrier</w:t>
      </w:r>
      <w:r w:rsidRPr="00F16B9D">
        <w:t xml:space="preserve"> due</w:t>
      </w:r>
      <w:r w:rsidR="0018587B">
        <w:t xml:space="preserve"> to trans </w:t>
      </w:r>
      <w:r w:rsidRPr="00F16B9D">
        <w:t>mammary transfer</w:t>
      </w:r>
      <w:r w:rsidR="00902337">
        <w:t xml:space="preserve">. </w:t>
      </w:r>
      <w:r w:rsidRPr="00F16B9D">
        <w:t>The effect is exacerbated with chronic maternal exposure (higher mobil</w:t>
      </w:r>
      <w:r w:rsidR="00D9155F">
        <w:t>isa</w:t>
      </w:r>
      <w:r w:rsidRPr="00F16B9D">
        <w:t>tion of body fat sequestered ivermectin into milk)</w:t>
      </w:r>
      <w:r w:rsidR="00902337">
        <w:t xml:space="preserve">. </w:t>
      </w:r>
      <w:r w:rsidRPr="00F16B9D">
        <w:t>In r</w:t>
      </w:r>
      <w:r w:rsidR="0018587B">
        <w:t xml:space="preserve">ats the period of highest </w:t>
      </w:r>
      <w:proofErr w:type="gramStart"/>
      <w:r w:rsidR="0018587B">
        <w:t>trans</w:t>
      </w:r>
      <w:proofErr w:type="gramEnd"/>
      <w:r w:rsidR="0018587B">
        <w:t xml:space="preserve"> </w:t>
      </w:r>
      <w:r w:rsidRPr="00F16B9D">
        <w:t xml:space="preserve">mammary exposure correlates with low neonatal </w:t>
      </w:r>
      <w:r w:rsidR="00BD2E00" w:rsidRPr="00BD2E00">
        <w:t>blood brain barrier</w:t>
      </w:r>
      <w:r w:rsidRPr="00F16B9D">
        <w:t xml:space="preserve"> ABC B1 function, resulting in high neonatal brain exposures</w:t>
      </w:r>
      <w:r w:rsidR="00902337">
        <w:t xml:space="preserve">. </w:t>
      </w:r>
      <w:r w:rsidRPr="00F16B9D">
        <w:t xml:space="preserve">Critically, human </w:t>
      </w:r>
      <w:r w:rsidR="00BD2E00" w:rsidRPr="00BD2E00">
        <w:t>blood brain barrier</w:t>
      </w:r>
      <w:r w:rsidRPr="00F16B9D">
        <w:t xml:space="preserve"> A</w:t>
      </w:r>
      <w:r w:rsidR="0018587B">
        <w:t>BC B1 function develops at ≥ 12 </w:t>
      </w:r>
      <w:r w:rsidRPr="00F16B9D">
        <w:t>weeks gestation, not after birth</w:t>
      </w:r>
      <w:r w:rsidR="00BD1775">
        <w:t xml:space="preserve">. </w:t>
      </w:r>
      <w:r w:rsidRPr="00F16B9D">
        <w:t>Human neonates are therefore resistant to these effects.</w:t>
      </w:r>
    </w:p>
    <w:p w14:paraId="6AD89BD0" w14:textId="77777777" w:rsidR="00F16B9D" w:rsidRPr="00F16B9D" w:rsidRDefault="00F16B9D" w:rsidP="00F16B9D">
      <w:r w:rsidRPr="00F16B9D">
        <w:t>Ivermectin is detectable in human milk following oral dosing; however milk steady state levels are low following single acute exposures</w:t>
      </w:r>
      <w:r w:rsidR="00902337">
        <w:t xml:space="preserve">. </w:t>
      </w:r>
      <w:r w:rsidRPr="00F16B9D">
        <w:t>However rodent data indicates that chronic maternal ivermectin exposure will result in mi</w:t>
      </w:r>
      <w:r w:rsidR="0018587B">
        <w:t xml:space="preserve">lk ivermectin levels at least 3 to </w:t>
      </w:r>
      <w:r w:rsidRPr="00F16B9D">
        <w:t>4</w:t>
      </w:r>
      <w:r w:rsidR="0018587B">
        <w:t xml:space="preserve"> times</w:t>
      </w:r>
      <w:r w:rsidRPr="00F16B9D">
        <w:t xml:space="preserve"> higher than those observed with single acute exposures due to greater mobil</w:t>
      </w:r>
      <w:r w:rsidR="00D9155F">
        <w:t>isa</w:t>
      </w:r>
      <w:r w:rsidRPr="00F16B9D">
        <w:t>tion of body fat sequestered ivermectin</w:t>
      </w:r>
      <w:r w:rsidR="00902337">
        <w:t xml:space="preserve">. </w:t>
      </w:r>
      <w:r w:rsidRPr="00F16B9D">
        <w:t>This effect is greatest during early lactation when mobil</w:t>
      </w:r>
      <w:r w:rsidR="00D9155F">
        <w:t>isa</w:t>
      </w:r>
      <w:r w:rsidRPr="00F16B9D">
        <w:t>tion of maternal body fat is highest.</w:t>
      </w:r>
    </w:p>
    <w:p w14:paraId="6AD89BD1" w14:textId="77777777" w:rsidR="00F16B9D" w:rsidRPr="00F16B9D" w:rsidRDefault="00F16B9D" w:rsidP="00F16B9D">
      <w:pPr>
        <w:pStyle w:val="Heading4"/>
      </w:pPr>
      <w:r w:rsidRPr="00F16B9D">
        <w:t>Pregnancy classification</w:t>
      </w:r>
    </w:p>
    <w:p w14:paraId="6AD89BD2" w14:textId="77777777" w:rsidR="00F16B9D" w:rsidRPr="00F16B9D" w:rsidRDefault="00F16B9D" w:rsidP="00F16B9D">
      <w:r w:rsidRPr="00F16B9D">
        <w:t>The sponsor has proposed Category B3</w:t>
      </w:r>
      <w:r w:rsidR="00902337">
        <w:t>.</w:t>
      </w:r>
      <w:r w:rsidR="00657A9F">
        <w:rPr>
          <w:rStyle w:val="FootnoteReference"/>
        </w:rPr>
        <w:footnoteReference w:id="20"/>
      </w:r>
      <w:r w:rsidR="00902337">
        <w:t xml:space="preserve"> </w:t>
      </w:r>
      <w:r w:rsidRPr="00F16B9D">
        <w:t xml:space="preserve">This </w:t>
      </w:r>
      <w:r w:rsidR="00324D67">
        <w:t xml:space="preserve">is </w:t>
      </w:r>
      <w:r w:rsidRPr="00F16B9D">
        <w:t>acceptable</w:t>
      </w:r>
      <w:r w:rsidR="00902337">
        <w:t xml:space="preserve">. </w:t>
      </w:r>
      <w:r w:rsidRPr="00F16B9D">
        <w:t>The Australian pregnancy category (</w:t>
      </w:r>
      <w:proofErr w:type="spellStart"/>
      <w:r w:rsidRPr="00F16B9D">
        <w:t>Stromectol</w:t>
      </w:r>
      <w:proofErr w:type="spellEnd"/>
      <w:r w:rsidRPr="00F16B9D">
        <w:t>) is currently B3. The USA category for Soolantra is C</w:t>
      </w:r>
      <w:r w:rsidR="00CE323A">
        <w:rPr>
          <w:rStyle w:val="FootnoteReference"/>
        </w:rPr>
        <w:footnoteReference w:id="21"/>
      </w:r>
      <w:r w:rsidR="00902337">
        <w:t xml:space="preserve">. </w:t>
      </w:r>
      <w:r w:rsidR="00324D67">
        <w:t xml:space="preserve">There are no adequate and well </w:t>
      </w:r>
      <w:r w:rsidRPr="00F16B9D">
        <w:t>controlled studies in pregnant women</w:t>
      </w:r>
      <w:r w:rsidR="00902337">
        <w:t xml:space="preserve">. </w:t>
      </w:r>
      <w:r w:rsidRPr="00F16B9D">
        <w:t>However pregnant women have undoubtedly been exposed to ivermectin over the course of global parasitism control programs</w:t>
      </w:r>
      <w:r w:rsidR="00902337">
        <w:t xml:space="preserve">. </w:t>
      </w:r>
      <w:r w:rsidRPr="00F16B9D">
        <w:t>Soolantra should be used during pregnancy only if the potential benefit justifies th</w:t>
      </w:r>
      <w:r w:rsidR="00FC7051">
        <w:t xml:space="preserve">e potential risk to the </w:t>
      </w:r>
      <w:r w:rsidR="00CE323A">
        <w:t>fet</w:t>
      </w:r>
      <w:r w:rsidR="00FC7051">
        <w:t>us.</w:t>
      </w:r>
    </w:p>
    <w:p w14:paraId="6AD89BD3" w14:textId="77777777" w:rsidR="00F16B9D" w:rsidRPr="00F16B9D" w:rsidRDefault="00F16B9D" w:rsidP="00F16B9D">
      <w:r w:rsidRPr="00F16B9D">
        <w:t xml:space="preserve">Co-exposure to drugs that compete with ivermectin at placental ABC B1 efflux transporters or inhibit these transporters will likely increase </w:t>
      </w:r>
      <w:r w:rsidR="00CE323A">
        <w:t>fet</w:t>
      </w:r>
      <w:r w:rsidRPr="00F16B9D">
        <w:t>al exposure</w:t>
      </w:r>
      <w:r w:rsidR="00902337">
        <w:t xml:space="preserve">. </w:t>
      </w:r>
      <w:r w:rsidRPr="00F16B9D">
        <w:t xml:space="preserve">Such effects </w:t>
      </w:r>
      <w:r w:rsidRPr="00F16B9D">
        <w:lastRenderedPageBreak/>
        <w:t>have been de</w:t>
      </w:r>
      <w:r w:rsidR="007A3A5C">
        <w:t xml:space="preserve">monstrated to cause ivermectin </w:t>
      </w:r>
      <w:r w:rsidRPr="00F16B9D">
        <w:t>induced adverse effects on development in animal models.</w:t>
      </w:r>
    </w:p>
    <w:p w14:paraId="6AD89BD4" w14:textId="77777777" w:rsidR="00F16B9D" w:rsidRPr="00F16B9D" w:rsidRDefault="00F16B9D" w:rsidP="00F16B9D">
      <w:r w:rsidRPr="00F16B9D">
        <w:t xml:space="preserve">Oral </w:t>
      </w:r>
      <w:proofErr w:type="spellStart"/>
      <w:r w:rsidRPr="00F16B9D">
        <w:t>terate</w:t>
      </w:r>
      <w:r w:rsidR="007A3A5C">
        <w:t>-</w:t>
      </w:r>
      <w:r w:rsidRPr="00F16B9D">
        <w:t>genotoxicity</w:t>
      </w:r>
      <w:proofErr w:type="spellEnd"/>
      <w:r w:rsidRPr="00F16B9D">
        <w:t xml:space="preserve"> studies in the rabbit demonstrated maternal toxicity and carpal flexures of doubtful human relevance in the fetus at a dose of 4.5</w:t>
      </w:r>
      <w:r w:rsidR="007A3A5C">
        <w:t xml:space="preserve"> </w:t>
      </w:r>
      <w:r w:rsidRPr="00F16B9D">
        <w:t>mg/kg/day. The NOAEL was established at 3.5 mg/kg/day, a dose corresponding to plasma levels 68 times higher than those obtained at the maximum recommended human dose by topical route (1</w:t>
      </w:r>
      <w:r w:rsidR="00247D8A">
        <w:t xml:space="preserve"> </w:t>
      </w:r>
      <w:r w:rsidRPr="00F16B9D">
        <w:t xml:space="preserve">g application of </w:t>
      </w:r>
      <w:r w:rsidR="00356678">
        <w:t>Soolantra</w:t>
      </w:r>
      <w:r w:rsidRPr="00F16B9D">
        <w:t xml:space="preserve"> once daily). In the rat, cleft palates were observed at the </w:t>
      </w:r>
      <w:proofErr w:type="spellStart"/>
      <w:r w:rsidRPr="00F16B9D">
        <w:t>maternotoxic</w:t>
      </w:r>
      <w:proofErr w:type="spellEnd"/>
      <w:r w:rsidRPr="00F16B9D">
        <w:t xml:space="preserve"> oral dose of 12 mg/kg/day. The dose of 4 mg/kg/day was the NOAEL for maternal toxicity and embryofetal development, a dose corresponding to plasma levels 334 times higher than those obtained at the maximum recommended human dose by topical route (1</w:t>
      </w:r>
      <w:r w:rsidR="007A3A5C">
        <w:t xml:space="preserve"> </w:t>
      </w:r>
      <w:r w:rsidRPr="00F16B9D">
        <w:t xml:space="preserve">g application of </w:t>
      </w:r>
      <w:r w:rsidR="00356678">
        <w:t>Soolantra</w:t>
      </w:r>
      <w:r w:rsidRPr="00F16B9D">
        <w:t xml:space="preserve"> once daily).</w:t>
      </w:r>
    </w:p>
    <w:p w14:paraId="6AD89BD5" w14:textId="77777777" w:rsidR="00F16B9D" w:rsidRPr="00F16B9D" w:rsidRDefault="00FC7051" w:rsidP="00F16B9D">
      <w:pPr>
        <w:pStyle w:val="Heading4"/>
      </w:pPr>
      <w:r>
        <w:t>Local tolerance</w:t>
      </w:r>
    </w:p>
    <w:p w14:paraId="6AD89BD6" w14:textId="77777777" w:rsidR="00F16B9D" w:rsidRPr="00F16B9D" w:rsidRDefault="00F16B9D" w:rsidP="00F16B9D">
      <w:r w:rsidRPr="00F16B9D">
        <w:t>Soolantra is a mild primary skin irritant in rabbits and it displays cumulative contact irritancy properties in guinea pigs</w:t>
      </w:r>
      <w:r w:rsidR="00902337">
        <w:t xml:space="preserve">. </w:t>
      </w:r>
      <w:r w:rsidRPr="00F16B9D">
        <w:t xml:space="preserve">Exposure to the cream vehicle was undoubtedly cumulatively </w:t>
      </w:r>
      <w:proofErr w:type="gramStart"/>
      <w:r w:rsidRPr="00F16B9D">
        <w:t>irritant</w:t>
      </w:r>
      <w:proofErr w:type="gramEnd"/>
      <w:r w:rsidRPr="00F16B9D">
        <w:t xml:space="preserve"> in many of the animal topical exposure studies</w:t>
      </w:r>
      <w:r w:rsidR="00BD1775">
        <w:t xml:space="preserve">. </w:t>
      </w:r>
      <w:r w:rsidRPr="00F16B9D">
        <w:t>Critically the presence of ivermectin did not exacerbate the more severe forms of the cumulative irritancy reaction (inflammation and ulceration) or pustule formation.</w:t>
      </w:r>
    </w:p>
    <w:p w14:paraId="6AD89BD7" w14:textId="77777777" w:rsidR="00F16B9D" w:rsidRPr="00F16B9D" w:rsidRDefault="00F16B9D" w:rsidP="00F16B9D">
      <w:r w:rsidRPr="00F16B9D">
        <w:t>Soolantra is not an acute eye irritant in rabbits</w:t>
      </w:r>
      <w:r w:rsidR="00902337">
        <w:t xml:space="preserve">. </w:t>
      </w:r>
      <w:r w:rsidRPr="00F16B9D">
        <w:t>However it does display contact hypersensitivity properties under strong sensitising conditions in guinea pigs and it may be a contact sensit</w:t>
      </w:r>
      <w:r w:rsidR="00603F07">
        <w:t>ise</w:t>
      </w:r>
      <w:r w:rsidRPr="00F16B9D">
        <w:t>r in some people</w:t>
      </w:r>
      <w:r w:rsidR="00FC7051">
        <w:t>.</w:t>
      </w:r>
    </w:p>
    <w:p w14:paraId="6AD89BD8" w14:textId="77777777" w:rsidR="00F16B9D" w:rsidRPr="00F16B9D" w:rsidRDefault="007A3A5C" w:rsidP="00F16B9D">
      <w:r>
        <w:t xml:space="preserve">Long </w:t>
      </w:r>
      <w:r w:rsidR="00F16B9D" w:rsidRPr="00F16B9D">
        <w:t xml:space="preserve">term, repeated exposure to the cream vehicle may be </w:t>
      </w:r>
      <w:proofErr w:type="spellStart"/>
      <w:r w:rsidR="00F16B9D" w:rsidRPr="00F16B9D">
        <w:t>comedomogenic</w:t>
      </w:r>
      <w:proofErr w:type="spellEnd"/>
      <w:r w:rsidR="00902337">
        <w:t xml:space="preserve">. </w:t>
      </w:r>
      <w:r w:rsidR="00F16B9D" w:rsidRPr="00F16B9D">
        <w:t>This potential effect was not examined in the most appropriate animal model (rabbit ear model).</w:t>
      </w:r>
    </w:p>
    <w:p w14:paraId="6AD89BD9" w14:textId="77777777" w:rsidR="00F16B9D" w:rsidRPr="00F16B9D" w:rsidRDefault="00F16B9D" w:rsidP="00F16B9D">
      <w:r w:rsidRPr="00F16B9D">
        <w:t>Exposure to the cream vehicle undoubtedly enhances photo</w:t>
      </w:r>
      <w:r w:rsidR="00BD2E00">
        <w:t xml:space="preserve"> </w:t>
      </w:r>
      <w:r w:rsidRPr="00F16B9D">
        <w:t>carcinogenesis in the hairless model of human Fitzpatrick Type II skin</w:t>
      </w:r>
      <w:r w:rsidR="00902337">
        <w:t xml:space="preserve">. </w:t>
      </w:r>
      <w:r w:rsidRPr="00F16B9D">
        <w:t>The mode of action of this effect is most probably cumulative irritancy stimulation of tumour promotion/tumour outgrowth</w:t>
      </w:r>
      <w:r w:rsidR="00FC7051">
        <w:t>.</w:t>
      </w:r>
    </w:p>
    <w:p w14:paraId="6AD89BDA" w14:textId="77777777" w:rsidR="00F16B9D" w:rsidRDefault="00F16B9D" w:rsidP="00F16B9D">
      <w:r w:rsidRPr="00F16B9D">
        <w:t>Soolantra is not an acute ocular irritant, a skin sensit</w:t>
      </w:r>
      <w:r w:rsidR="00603F07">
        <w:t>ise</w:t>
      </w:r>
      <w:r w:rsidRPr="00F16B9D">
        <w:t>r or a photo</w:t>
      </w:r>
      <w:r w:rsidR="00BD2E00">
        <w:t xml:space="preserve"> </w:t>
      </w:r>
      <w:r w:rsidRPr="00F16B9D">
        <w:t>allergen.</w:t>
      </w:r>
    </w:p>
    <w:p w14:paraId="6AD89BDB" w14:textId="77777777" w:rsidR="00F16B9D" w:rsidRPr="00F16B9D" w:rsidRDefault="00F16B9D" w:rsidP="00F16B9D">
      <w:pPr>
        <w:pStyle w:val="Heading4"/>
      </w:pPr>
      <w:r w:rsidRPr="00F16B9D">
        <w:t>Impurities</w:t>
      </w:r>
    </w:p>
    <w:p w14:paraId="6AD89BDC" w14:textId="77777777" w:rsidR="00F16B9D" w:rsidRPr="00F16B9D" w:rsidRDefault="00F16B9D" w:rsidP="00F16B9D">
      <w:r w:rsidRPr="00F16B9D">
        <w:t>The proposed specifications for impurities/</w:t>
      </w:r>
      <w:proofErr w:type="spellStart"/>
      <w:r w:rsidRPr="00F16B9D">
        <w:t>degradants</w:t>
      </w:r>
      <w:proofErr w:type="spellEnd"/>
      <w:r w:rsidRPr="00F16B9D">
        <w:t xml:space="preserve"> in </w:t>
      </w:r>
      <w:proofErr w:type="spellStart"/>
      <w:r w:rsidRPr="00F16B9D">
        <w:t>ivermectin</w:t>
      </w:r>
      <w:proofErr w:type="spellEnd"/>
      <w:r w:rsidRPr="00F16B9D">
        <w:t xml:space="preserve"> are consistent with those already evaluated and approved for </w:t>
      </w:r>
      <w:proofErr w:type="spellStart"/>
      <w:r w:rsidRPr="00F16B9D">
        <w:t>Stromectol</w:t>
      </w:r>
      <w:proofErr w:type="spellEnd"/>
      <w:r w:rsidRPr="00F16B9D">
        <w:t xml:space="preserve"> and have been adequately qualified.</w:t>
      </w:r>
    </w:p>
    <w:p w14:paraId="6AD89BDD" w14:textId="77777777" w:rsidR="00F16B9D" w:rsidRPr="00F16B9D" w:rsidRDefault="00F16B9D" w:rsidP="00F16B9D">
      <w:pPr>
        <w:pStyle w:val="Heading4"/>
      </w:pPr>
      <w:r w:rsidRPr="00F16B9D">
        <w:t>Paediatric use</w:t>
      </w:r>
    </w:p>
    <w:p w14:paraId="6AD89BDE" w14:textId="77777777" w:rsidR="00F16B9D" w:rsidRPr="00F16B9D" w:rsidRDefault="00F16B9D" w:rsidP="00F16B9D">
      <w:r w:rsidRPr="00F16B9D">
        <w:t>Soolantra is not proposed for paediatric use and no specific studies in juvenile animals were submitted.</w:t>
      </w:r>
    </w:p>
    <w:p w14:paraId="6AD89BDF" w14:textId="77777777" w:rsidR="008E7846" w:rsidRDefault="008E7846" w:rsidP="008E7846">
      <w:pPr>
        <w:pStyle w:val="Heading3"/>
      </w:pPr>
      <w:bookmarkStart w:id="58" w:name="_Toc437418390"/>
      <w:r>
        <w:t>Nonclinical summary and conclusions</w:t>
      </w:r>
      <w:bookmarkEnd w:id="54"/>
      <w:bookmarkEnd w:id="55"/>
      <w:bookmarkEnd w:id="58"/>
    </w:p>
    <w:p w14:paraId="6AD89BE0" w14:textId="77777777" w:rsidR="00D357B1" w:rsidRPr="00D357B1" w:rsidRDefault="00D357B1" w:rsidP="00D357B1">
      <w:pPr>
        <w:pStyle w:val="Heading4"/>
      </w:pPr>
      <w:r>
        <w:t>Summary</w:t>
      </w:r>
    </w:p>
    <w:p w14:paraId="6AD89BE1" w14:textId="77777777" w:rsidR="009D71DA" w:rsidRPr="009D71DA" w:rsidRDefault="009D71DA" w:rsidP="009D71DA">
      <w:pPr>
        <w:pStyle w:val="ListBullet"/>
      </w:pPr>
      <w:r w:rsidRPr="009D71DA">
        <w:t xml:space="preserve">Overall there are no </w:t>
      </w:r>
      <w:r w:rsidR="009D6CCA">
        <w:t>nonclinical</w:t>
      </w:r>
      <w:r w:rsidRPr="009D71DA">
        <w:t xml:space="preserve"> objections to registration.</w:t>
      </w:r>
    </w:p>
    <w:p w14:paraId="6AD89BE2" w14:textId="08515A3A" w:rsidR="009D71DA" w:rsidRPr="009D71DA" w:rsidRDefault="009D71DA" w:rsidP="009D71DA">
      <w:pPr>
        <w:pStyle w:val="ListBullet"/>
      </w:pPr>
      <w:r w:rsidRPr="009D71DA">
        <w:t>Topical Soolantra undoubtedly enhances non-melanoma skin photo</w:t>
      </w:r>
      <w:r w:rsidR="00BD2E00">
        <w:t xml:space="preserve"> carcinogenesis in a human relevant mouse model. Long </w:t>
      </w:r>
      <w:r w:rsidRPr="009D71DA">
        <w:t>term, repeated topical application of Soolantra in sun exposed areas should be avoided or sun protection strategies should be used.</w:t>
      </w:r>
    </w:p>
    <w:p w14:paraId="6AD89BE3" w14:textId="77777777" w:rsidR="009D71DA" w:rsidRPr="009D71DA" w:rsidRDefault="009D71DA" w:rsidP="009D71DA">
      <w:pPr>
        <w:pStyle w:val="ListBullet"/>
      </w:pPr>
      <w:r w:rsidRPr="009D71DA">
        <w:t>Active elimination of systemically absorbed ivermectin into the gut raises concerns regarding induction of anthelmintic resistance to ivermectin. No data was provided on this issue</w:t>
      </w:r>
      <w:r w:rsidR="00FC7051">
        <w:t>.</w:t>
      </w:r>
    </w:p>
    <w:p w14:paraId="6AD89BE4" w14:textId="77777777" w:rsidR="009D71DA" w:rsidRPr="009D71DA" w:rsidRDefault="009D71DA" w:rsidP="009D71DA">
      <w:pPr>
        <w:pStyle w:val="ListBullet"/>
      </w:pPr>
      <w:r w:rsidRPr="009D71DA">
        <w:lastRenderedPageBreak/>
        <w:t>The local tolerance of topical Soolantra is ge</w:t>
      </w:r>
      <w:r w:rsidR="00BD2E00">
        <w:t xml:space="preserve">nerally acceptable; however sub </w:t>
      </w:r>
      <w:r w:rsidRPr="009D71DA">
        <w:t>chronic to chronic cumulative skin irritancy (due to the vehicle) occurs in laboratory animals</w:t>
      </w:r>
      <w:r w:rsidR="00902337">
        <w:t xml:space="preserve">. </w:t>
      </w:r>
      <w:r w:rsidRPr="009D71DA">
        <w:t>Soolantra is also a mild primary skin irritant in rabbits an</w:t>
      </w:r>
      <w:r w:rsidR="00BD2E00">
        <w:t>d displays contact hyper sensitis</w:t>
      </w:r>
      <w:r w:rsidRPr="009D71DA">
        <w:t>ing properties under strong</w:t>
      </w:r>
      <w:r w:rsidR="00BD2E00">
        <w:t xml:space="preserve">ly sensitising conditions. Long </w:t>
      </w:r>
      <w:r w:rsidRPr="009D71DA">
        <w:t xml:space="preserve">term, repeated exposure to the cream vehicle may be </w:t>
      </w:r>
      <w:proofErr w:type="spellStart"/>
      <w:r w:rsidRPr="009D71DA">
        <w:t>comedomogenic</w:t>
      </w:r>
      <w:proofErr w:type="spellEnd"/>
      <w:r w:rsidRPr="009D71DA">
        <w:t xml:space="preserve"> however no relevant </w:t>
      </w:r>
      <w:r w:rsidR="009D6CCA">
        <w:t>nonclinical</w:t>
      </w:r>
      <w:r w:rsidRPr="009D71DA">
        <w:t xml:space="preserve"> data was supplied</w:t>
      </w:r>
      <w:r w:rsidR="00902337">
        <w:t xml:space="preserve">. </w:t>
      </w:r>
      <w:r w:rsidRPr="009D71DA">
        <w:t>The proposed PI adequately addresses these issues</w:t>
      </w:r>
      <w:r w:rsidR="00FC7051">
        <w:t>.</w:t>
      </w:r>
    </w:p>
    <w:p w14:paraId="6AD89BE5" w14:textId="77777777" w:rsidR="009D71DA" w:rsidRPr="009D71DA" w:rsidRDefault="009D71DA" w:rsidP="009D71DA">
      <w:pPr>
        <w:pStyle w:val="ListBullet"/>
      </w:pPr>
      <w:r w:rsidRPr="009D71DA">
        <w:t xml:space="preserve">Competitive substrates and/or inhibitors of ABC B1 can substantially affect the safety properties of ivermectin. No </w:t>
      </w:r>
      <w:r w:rsidR="009D6CCA">
        <w:t>nonclinical</w:t>
      </w:r>
      <w:r w:rsidRPr="009D71DA">
        <w:t xml:space="preserve"> data was provided on these issues</w:t>
      </w:r>
      <w:r w:rsidR="00902337">
        <w:t xml:space="preserve">. </w:t>
      </w:r>
      <w:r w:rsidRPr="009D71DA">
        <w:t>These interactions have resulted in unexpected animal deaths and other severe effects in veterin</w:t>
      </w:r>
      <w:r w:rsidR="00BD2E00">
        <w:t xml:space="preserve">ary medicine (notably </w:t>
      </w:r>
      <w:proofErr w:type="spellStart"/>
      <w:r w:rsidR="00BD2E00">
        <w:t>spinosad</w:t>
      </w:r>
      <w:proofErr w:type="spellEnd"/>
      <w:r w:rsidR="00BD2E00">
        <w:t xml:space="preserve"> with</w:t>
      </w:r>
      <w:r w:rsidRPr="009D71DA">
        <w:t xml:space="preserve"> </w:t>
      </w:r>
      <w:proofErr w:type="spellStart"/>
      <w:r w:rsidRPr="009D71DA">
        <w:t>ivermectin</w:t>
      </w:r>
      <w:proofErr w:type="spellEnd"/>
      <w:r w:rsidRPr="009D71DA">
        <w:t>)</w:t>
      </w:r>
      <w:r w:rsidR="00902337">
        <w:t xml:space="preserve">. </w:t>
      </w:r>
      <w:r w:rsidRPr="009D71DA">
        <w:t>The pharmacokinetic properties of Soolantra will tend to exacerbate these effects</w:t>
      </w:r>
      <w:r w:rsidR="00902337">
        <w:t xml:space="preserve">. </w:t>
      </w:r>
      <w:r w:rsidRPr="009D71DA">
        <w:t xml:space="preserve">However, Soolantra generally has relatively high </w:t>
      </w:r>
      <w:r w:rsidR="00BD2E00" w:rsidRPr="009D71DA">
        <w:t>animal: human</w:t>
      </w:r>
      <w:r w:rsidRPr="009D71DA">
        <w:t xml:space="preserve"> AUC ratios at the NOAEL and given the topical route of exposure and relatively low systemic exposure, the risks of these types of effects with ivermectin use are greatly reduced.</w:t>
      </w:r>
    </w:p>
    <w:p w14:paraId="6AD89BE6" w14:textId="77777777" w:rsidR="009D71DA" w:rsidRPr="009D71DA" w:rsidRDefault="009D71DA" w:rsidP="009D71DA">
      <w:pPr>
        <w:pStyle w:val="ListBullet"/>
      </w:pPr>
      <w:r w:rsidRPr="009D71DA">
        <w:t xml:space="preserve">The </w:t>
      </w:r>
      <w:r w:rsidR="00BD2E00">
        <w:t>presence of an intact blood brain barrier</w:t>
      </w:r>
      <w:r w:rsidRPr="009D71DA">
        <w:t xml:space="preserve"> critically affects the safety properties of ivermectin</w:t>
      </w:r>
      <w:r w:rsidR="00902337">
        <w:t xml:space="preserve">. </w:t>
      </w:r>
      <w:r w:rsidRPr="009D71DA">
        <w:t>No nonclinical data was provided on these issues</w:t>
      </w:r>
      <w:r w:rsidR="00902337">
        <w:t xml:space="preserve">. </w:t>
      </w:r>
      <w:r w:rsidRPr="009D71DA">
        <w:t xml:space="preserve">Pharmacogenetic effects on ABC B1 in the </w:t>
      </w:r>
      <w:r w:rsidR="00BD2E00" w:rsidRPr="00BD2E00">
        <w:t>blood brain barrier</w:t>
      </w:r>
      <w:r w:rsidRPr="009D71DA">
        <w:t xml:space="preserve">, the </w:t>
      </w:r>
      <w:r w:rsidR="00BD1775">
        <w:t>blood testis barrier</w:t>
      </w:r>
      <w:r w:rsidRPr="009D71DA">
        <w:t xml:space="preserve">, placenta and the intestinal </w:t>
      </w:r>
      <w:proofErr w:type="spellStart"/>
      <w:r w:rsidRPr="009D71DA">
        <w:t>enterothelium</w:t>
      </w:r>
      <w:proofErr w:type="spellEnd"/>
      <w:r w:rsidRPr="009D71DA">
        <w:t>, substantially increase the risk of ivermectin toxicity (including fertility, reproductive and developmental toxicity) in animals</w:t>
      </w:r>
      <w:r w:rsidR="00902337">
        <w:t xml:space="preserve">. </w:t>
      </w:r>
      <w:r w:rsidRPr="009D71DA">
        <w:t>These pharmacogenetic differences are poorly documented in humans</w:t>
      </w:r>
      <w:r w:rsidR="00902337">
        <w:t xml:space="preserve">. </w:t>
      </w:r>
      <w:r w:rsidRPr="009D71DA">
        <w:t xml:space="preserve">The lethal pharmacogenetic phenotype in dogs (complete loss of </w:t>
      </w:r>
      <w:r w:rsidR="00BD2E00" w:rsidRPr="00BD2E00">
        <w:t>blood brain barrier</w:t>
      </w:r>
      <w:r w:rsidRPr="009D71DA">
        <w:t xml:space="preserve"> ABC B1 function) has not been documented in humans (only small populations evaluated)</w:t>
      </w:r>
      <w:r w:rsidR="00902337">
        <w:t xml:space="preserve">. </w:t>
      </w:r>
      <w:r w:rsidR="00BD2E00" w:rsidRPr="00BD2E00">
        <w:t>Blood brain barrier</w:t>
      </w:r>
      <w:r w:rsidRPr="009D71DA">
        <w:t xml:space="preserve"> abnormalities due to disease or other processes will also affect the safety properties of ivermectin. The pharmacokinetic properties of Soolantra will tend to exacerbate these effects</w:t>
      </w:r>
      <w:r w:rsidR="00902337">
        <w:t xml:space="preserve">. </w:t>
      </w:r>
      <w:r w:rsidRPr="009D71DA">
        <w:t xml:space="preserve">However Soolantra generally has relatively high </w:t>
      </w:r>
      <w:r w:rsidR="003B2FAD" w:rsidRPr="009D71DA">
        <w:t>animal: human</w:t>
      </w:r>
      <w:r w:rsidRPr="009D71DA">
        <w:t xml:space="preserve"> AUC ratios at the NOAEL and given the topical route of exposure and relatively low systemic exposure, the risks of these types of effects with ivermectin use are greatly reduced.</w:t>
      </w:r>
    </w:p>
    <w:p w14:paraId="6AD89BE7" w14:textId="77777777" w:rsidR="009D71DA" w:rsidRPr="009D71DA" w:rsidRDefault="009D71DA" w:rsidP="009D71DA">
      <w:pPr>
        <w:pStyle w:val="ListBullet"/>
      </w:pPr>
      <w:r w:rsidRPr="009D71DA">
        <w:t>There are no acceptable animal models of human rosacea</w:t>
      </w:r>
      <w:r w:rsidR="00902337">
        <w:t xml:space="preserve">. </w:t>
      </w:r>
      <w:r w:rsidRPr="009D71DA">
        <w:t>The primary pharmacology mode of action is unknown</w:t>
      </w:r>
      <w:r w:rsidR="00902337">
        <w:t xml:space="preserve">. </w:t>
      </w:r>
      <w:r w:rsidR="003B2FAD">
        <w:t xml:space="preserve">Ivermectin mediated down </w:t>
      </w:r>
      <w:r w:rsidRPr="009D71DA">
        <w:t>regulation of acute inflammation in vitro and in various in vivo animal models was demonstrated</w:t>
      </w:r>
      <w:r w:rsidR="00902337">
        <w:t xml:space="preserve">. </w:t>
      </w:r>
      <w:r w:rsidRPr="009D71DA">
        <w:t xml:space="preserve">No data on the </w:t>
      </w:r>
      <w:proofErr w:type="spellStart"/>
      <w:r w:rsidRPr="009D71DA">
        <w:t>mitocidal</w:t>
      </w:r>
      <w:proofErr w:type="spellEnd"/>
      <w:r w:rsidRPr="009D71DA">
        <w:t xml:space="preserve"> </w:t>
      </w:r>
      <w:r w:rsidR="003B2FAD" w:rsidRPr="003B2FAD">
        <w:t>mode of action</w:t>
      </w:r>
      <w:r w:rsidRPr="009D71DA">
        <w:t xml:space="preserve"> was provided.</w:t>
      </w:r>
    </w:p>
    <w:p w14:paraId="6AD89BE8" w14:textId="77777777" w:rsidR="009D71DA" w:rsidRPr="009D71DA" w:rsidRDefault="009D71DA" w:rsidP="009D71DA">
      <w:pPr>
        <w:pStyle w:val="ListBullet"/>
      </w:pPr>
      <w:r w:rsidRPr="009D71DA">
        <w:t xml:space="preserve">Other than the concerns described above, there are no other </w:t>
      </w:r>
      <w:r w:rsidR="009D6CCA">
        <w:t>nonclinical</w:t>
      </w:r>
      <w:r w:rsidRPr="009D71DA">
        <w:t xml:space="preserve"> secondary or safety pharmacological properties that preclude registration</w:t>
      </w:r>
      <w:r w:rsidR="00FC7051">
        <w:t>.</w:t>
      </w:r>
    </w:p>
    <w:p w14:paraId="6AD89BE9" w14:textId="77777777" w:rsidR="009D71DA" w:rsidRPr="009D71DA" w:rsidRDefault="009D71DA" w:rsidP="009D71DA">
      <w:pPr>
        <w:pStyle w:val="ListBullet"/>
      </w:pPr>
      <w:r w:rsidRPr="009D71DA">
        <w:t>Retinal atrophy was noted in rats (probably due to overwhelmi</w:t>
      </w:r>
      <w:r w:rsidR="003B2FAD">
        <w:t xml:space="preserve">ng of blood retinal </w:t>
      </w:r>
      <w:r w:rsidRPr="009D71DA">
        <w:t>barrier ABC B1). This effect is undoubtedly human relevant but is not a practical concern for</w:t>
      </w:r>
      <w:r w:rsidR="00D9155F">
        <w:t xml:space="preserve"> Soolantra.</w:t>
      </w:r>
    </w:p>
    <w:p w14:paraId="6AD89BEA" w14:textId="77777777" w:rsidR="009D71DA" w:rsidRPr="009D71DA" w:rsidRDefault="003B2FAD" w:rsidP="009D71DA">
      <w:pPr>
        <w:pStyle w:val="ListBullet"/>
      </w:pPr>
      <w:r>
        <w:t xml:space="preserve">Questionably test article </w:t>
      </w:r>
      <w:r w:rsidR="009D71DA" w:rsidRPr="009D71DA">
        <w:t xml:space="preserve">related reductions of blood neutrophils were noted in 3 human subjects in clinical </w:t>
      </w:r>
      <w:r w:rsidR="00F941D7">
        <w:t>Study</w:t>
      </w:r>
      <w:r w:rsidR="009D71DA" w:rsidRPr="009D71DA">
        <w:t xml:space="preserve"> RD.03.SRE.40051</w:t>
      </w:r>
      <w:r w:rsidR="00902337">
        <w:t xml:space="preserve">. </w:t>
      </w:r>
      <w:r w:rsidR="009D71DA" w:rsidRPr="009D71DA">
        <w:t xml:space="preserve">While effects on CFU-GM formation, reductions of neutrophil oxidative burst activity, increased pulmonary alveolar </w:t>
      </w:r>
      <w:proofErr w:type="spellStart"/>
      <w:r w:rsidR="009D71DA" w:rsidRPr="009D71DA">
        <w:t>histiocytosis</w:t>
      </w:r>
      <w:proofErr w:type="spellEnd"/>
      <w:r w:rsidR="009D71DA" w:rsidRPr="009D71DA">
        <w:t xml:space="preserve"> in rats and increased incidence of spontaneous interstitial pneumonia in rats was observed these issues do not appear to be a practical concern for Soolantra under normal conditions of use.</w:t>
      </w:r>
    </w:p>
    <w:p w14:paraId="6AD89BEB" w14:textId="77777777" w:rsidR="009D71DA" w:rsidRPr="009D71DA" w:rsidRDefault="009D71DA" w:rsidP="009D71DA">
      <w:pPr>
        <w:pStyle w:val="ListBullet"/>
      </w:pPr>
      <w:r w:rsidRPr="009D71DA">
        <w:t xml:space="preserve">Predictably, topically applied ivermectin largely partitions into the lipophilic skin compartments. Steady state (SS) systemic ivermectin exposure following repeated topical application of Soolantra is low (crudely approximated </w:t>
      </w:r>
      <w:proofErr w:type="spellStart"/>
      <w:r w:rsidRPr="009D71DA">
        <w:t>F</w:t>
      </w:r>
      <w:r w:rsidRPr="003B2FAD">
        <w:rPr>
          <w:vertAlign w:val="subscript"/>
        </w:rPr>
        <w:t>Absolute</w:t>
      </w:r>
      <w:proofErr w:type="spellEnd"/>
      <w:r w:rsidRPr="009D71DA">
        <w:t xml:space="preserve"> (Dermal:</w:t>
      </w:r>
      <w:r w:rsidR="003B2FAD">
        <w:t xml:space="preserve"> </w:t>
      </w:r>
      <w:r w:rsidRPr="009D71DA">
        <w:t xml:space="preserve">IV) </w:t>
      </w:r>
      <w:r w:rsidR="006B3CF6">
        <w:t>approximately</w:t>
      </w:r>
      <w:r w:rsidRPr="009D71DA">
        <w:t xml:space="preserve"> 8%): </w:t>
      </w:r>
      <w:r w:rsidR="006B3CF6">
        <w:t>approximately</w:t>
      </w:r>
      <w:r w:rsidR="00FC7051">
        <w:t xml:space="preserve"> </w:t>
      </w:r>
      <w:r w:rsidRPr="009D71DA">
        <w:t xml:space="preserve">7.5 </w:t>
      </w:r>
      <w:r w:rsidR="003B2FAD">
        <w:t>times</w:t>
      </w:r>
      <w:r w:rsidRPr="009D71DA">
        <w:t xml:space="preserve"> lower than th</w:t>
      </w:r>
      <w:r w:rsidR="003B2FAD">
        <w:t>at associated with a single 200 </w:t>
      </w:r>
      <w:r w:rsidRPr="009D71DA">
        <w:t xml:space="preserve">µg/kg BW oral dose of </w:t>
      </w:r>
      <w:proofErr w:type="spellStart"/>
      <w:r w:rsidRPr="009D71DA">
        <w:t>Stromectol</w:t>
      </w:r>
      <w:proofErr w:type="spellEnd"/>
      <w:r w:rsidRPr="00FC7051">
        <w:rPr>
          <w:vertAlign w:val="superscript"/>
        </w:rPr>
        <w:footnoteReference w:id="22"/>
      </w:r>
      <w:r w:rsidRPr="009D71DA">
        <w:t xml:space="preserve"> in humans)</w:t>
      </w:r>
      <w:r w:rsidR="00902337">
        <w:t xml:space="preserve">. </w:t>
      </w:r>
      <w:r w:rsidRPr="009D71DA">
        <w:t xml:space="preserve">However there are very </w:t>
      </w:r>
      <w:r w:rsidRPr="009D71DA">
        <w:lastRenderedPageBreak/>
        <w:t xml:space="preserve">substantial pharmacokinetic differences between chronic repeated topical Soolantra application and episodic single exposures to </w:t>
      </w:r>
      <w:proofErr w:type="spellStart"/>
      <w:r w:rsidRPr="009D71DA">
        <w:t>Stromectol</w:t>
      </w:r>
      <w:proofErr w:type="spellEnd"/>
      <w:r w:rsidRPr="009D71DA">
        <w:t xml:space="preserve"> (absorption kinetics of Soolantra result in a greatly extended ivermectin T</w:t>
      </w:r>
      <w:r w:rsidRPr="00F73A7E">
        <w:rPr>
          <w:vertAlign w:val="subscript"/>
        </w:rPr>
        <w:t>½</w:t>
      </w:r>
      <w:r w:rsidRPr="009D71DA">
        <w:t>, much slower whole body clearance and duration of systemic exposure).</w:t>
      </w:r>
    </w:p>
    <w:p w14:paraId="6AD89BEC" w14:textId="77777777" w:rsidR="009D71DA" w:rsidRPr="009D71DA" w:rsidRDefault="009D71DA" w:rsidP="009D71DA">
      <w:pPr>
        <w:pStyle w:val="ListBullet"/>
      </w:pPr>
      <w:r w:rsidRPr="009D71DA">
        <w:t>Predictably, ivermectin displays tissue sequestration (adipose tissues, particularly brown fat)</w:t>
      </w:r>
      <w:r w:rsidR="00902337">
        <w:t xml:space="preserve">. </w:t>
      </w:r>
      <w:r w:rsidRPr="009D71DA">
        <w:t xml:space="preserve">Topical ivermectin application consistently displays flip-flop, absorption-limited pharmacokinetics resulting in </w:t>
      </w:r>
      <w:r w:rsidRPr="00D653C0">
        <w:t>high T</w:t>
      </w:r>
      <w:r w:rsidRPr="00D9155F">
        <w:rPr>
          <w:vertAlign w:val="subscript"/>
        </w:rPr>
        <w:t>SS</w:t>
      </w:r>
      <w:r w:rsidRPr="00D653C0">
        <w:t>, high T</w:t>
      </w:r>
      <w:r w:rsidRPr="00D653C0">
        <w:rPr>
          <w:vertAlign w:val="subscript"/>
        </w:rPr>
        <w:t>½</w:t>
      </w:r>
      <w:r w:rsidRPr="00D653C0">
        <w:t xml:space="preserve"> and </w:t>
      </w:r>
      <w:r w:rsidRPr="009D71DA">
        <w:t>slow whole body clearance (multiple days to weeks).</w:t>
      </w:r>
    </w:p>
    <w:p w14:paraId="6AD89BED" w14:textId="77777777" w:rsidR="009D71DA" w:rsidRPr="009D71DA" w:rsidRDefault="009D71DA" w:rsidP="009D71DA">
      <w:pPr>
        <w:pStyle w:val="ListBullet"/>
      </w:pPr>
      <w:r w:rsidRPr="009D71DA">
        <w:t>Ivermectin is modestly toxic following single (acute) oral gavage dosing in ABC B1 phenotypically normal rats and mice; however acute toxicity thresholds will be greatly affected by ABC B1 efflux transporter dysfunction. All of the animal topical repeat exposure studies were confounded by ingestion exposure. Excluding local application</w:t>
      </w:r>
      <w:r w:rsidR="00F73A7E">
        <w:t xml:space="preserve"> site effects, the chronic near </w:t>
      </w:r>
      <w:r w:rsidRPr="009D71DA">
        <w:t>lifetime exposure topic</w:t>
      </w:r>
      <w:r w:rsidR="00F73A7E">
        <w:t>al exposure NOAEL in mice was ≥ </w:t>
      </w:r>
      <w:r w:rsidRPr="009D71DA">
        <w:t xml:space="preserve">1% (W/W) ivermectin cream, 1 mL/kg/day covering </w:t>
      </w:r>
      <w:r w:rsidR="006B3CF6">
        <w:t>approximately</w:t>
      </w:r>
      <w:r w:rsidRPr="009D71DA">
        <w:t xml:space="preserve"> 10% body su</w:t>
      </w:r>
      <w:r w:rsidR="00F73A7E">
        <w:t xml:space="preserve">rface area, non </w:t>
      </w:r>
      <w:r w:rsidRPr="009D71DA">
        <w:t xml:space="preserve">occlusive (animal NOAEL mean </w:t>
      </w:r>
      <w:r w:rsidR="008B1EEB" w:rsidRPr="00F16B9D">
        <w:t>AUC</w:t>
      </w:r>
      <w:r w:rsidR="00F73A7E">
        <w:rPr>
          <w:vertAlign w:val="subscript"/>
        </w:rPr>
        <w:t>0</w:t>
      </w:r>
      <w:r w:rsidR="00F73A7E">
        <w:rPr>
          <w:vertAlign w:val="subscript"/>
        </w:rPr>
        <w:noBreakHyphen/>
      </w:r>
      <w:r w:rsidR="008B1EEB" w:rsidRPr="008B1EEB">
        <w:rPr>
          <w:vertAlign w:val="subscript"/>
        </w:rPr>
        <w:t>24</w:t>
      </w:r>
      <w:r w:rsidRPr="009D71DA">
        <w:t xml:space="preserve">:human mean </w:t>
      </w:r>
      <w:r w:rsidR="008B1EEB" w:rsidRPr="00F16B9D">
        <w:t>AUC</w:t>
      </w:r>
      <w:r w:rsidR="008B1EEB" w:rsidRPr="008B1EEB">
        <w:rPr>
          <w:vertAlign w:val="subscript"/>
        </w:rPr>
        <w:t>0-24</w:t>
      </w:r>
      <w:r w:rsidRPr="009D71DA">
        <w:t xml:space="preserve"> exposure ratio is ≥ 645.5)</w:t>
      </w:r>
      <w:r w:rsidR="00FC7051">
        <w:t>.</w:t>
      </w:r>
    </w:p>
    <w:p w14:paraId="6AD89BEE" w14:textId="77777777" w:rsidR="009D71DA" w:rsidRPr="009D71DA" w:rsidRDefault="009D71DA" w:rsidP="009D71DA">
      <w:pPr>
        <w:pStyle w:val="ListBullet"/>
      </w:pPr>
      <w:r w:rsidRPr="009D71DA">
        <w:t>Ivermectin is n</w:t>
      </w:r>
      <w:r w:rsidR="00F73A7E">
        <w:t xml:space="preserve">ot mutagenic and is not a human </w:t>
      </w:r>
      <w:r w:rsidRPr="009D71DA">
        <w:t>relevant carcinogen (</w:t>
      </w:r>
      <w:r w:rsidR="00D653C0">
        <w:t xml:space="preserve">see carcinogenicity section above for </w:t>
      </w:r>
      <w:r w:rsidRPr="009D71DA">
        <w:t>a discussion on the lack of human relevancy of the observed rodent neoplasms); nor is it a reproductive and prenata</w:t>
      </w:r>
      <w:r w:rsidR="00F73A7E">
        <w:t xml:space="preserve">l developmental toxicant at sub </w:t>
      </w:r>
      <w:proofErr w:type="spellStart"/>
      <w:r w:rsidRPr="009D71DA">
        <w:t>materno</w:t>
      </w:r>
      <w:proofErr w:type="spellEnd"/>
      <w:r w:rsidR="00F73A7E">
        <w:t xml:space="preserve"> </w:t>
      </w:r>
      <w:r w:rsidRPr="009D71DA">
        <w:t>toxic doses</w:t>
      </w:r>
      <w:r w:rsidR="00902337">
        <w:t xml:space="preserve">. </w:t>
      </w:r>
      <w:r w:rsidRPr="009D71DA">
        <w:t>Critically, prevention of prenatal developmental toxicity is dependent on intact placental ABC B1 function</w:t>
      </w:r>
      <w:r w:rsidR="00902337">
        <w:t xml:space="preserve">. </w:t>
      </w:r>
      <w:r w:rsidRPr="009D71DA">
        <w:t xml:space="preserve">Ivermectin is potentially a male reproductive toxicant if the </w:t>
      </w:r>
      <w:r w:rsidR="00BD1775">
        <w:t>blood testis barrier</w:t>
      </w:r>
      <w:r w:rsidRPr="009D71DA">
        <w:t xml:space="preserve"> ABC B1 is compromised</w:t>
      </w:r>
      <w:r w:rsidR="00902337">
        <w:t xml:space="preserve">. </w:t>
      </w:r>
      <w:r w:rsidRPr="009D71DA">
        <w:t>Again, given the topical route of exposure and relatively low systemic exposure, the risks of these types of effects with ivermectin use are greatly reduced.</w:t>
      </w:r>
    </w:p>
    <w:p w14:paraId="6AD89BEF" w14:textId="77777777" w:rsidR="009D71DA" w:rsidRPr="009D71DA" w:rsidRDefault="009D71DA" w:rsidP="009D71DA">
      <w:pPr>
        <w:pStyle w:val="ListBullet"/>
      </w:pPr>
      <w:r w:rsidRPr="009D71DA">
        <w:t>Critically, protection of neonates from the adverse</w:t>
      </w:r>
      <w:r w:rsidR="00F73A7E">
        <w:t xml:space="preserve"> developmental effects of </w:t>
      </w:r>
      <w:proofErr w:type="gramStart"/>
      <w:r w:rsidR="00F73A7E">
        <w:t>trans</w:t>
      </w:r>
      <w:proofErr w:type="gramEnd"/>
      <w:r w:rsidR="00F73A7E">
        <w:t xml:space="preserve"> </w:t>
      </w:r>
      <w:r w:rsidRPr="009D71DA">
        <w:t xml:space="preserve">mammary ivermectin is dependent on the presence of an intact </w:t>
      </w:r>
      <w:r w:rsidR="00F73A7E">
        <w:t>blood brain barrier</w:t>
      </w:r>
      <w:r w:rsidR="00902337">
        <w:t xml:space="preserve">. </w:t>
      </w:r>
      <w:r w:rsidRPr="009D71DA">
        <w:t xml:space="preserve">In rats the period of highest trans-mammary exposure correlates with low neonatal rat </w:t>
      </w:r>
      <w:r w:rsidR="00F73A7E" w:rsidRPr="00F73A7E">
        <w:t>blood brain barrier</w:t>
      </w:r>
      <w:r w:rsidRPr="009D71DA">
        <w:t xml:space="preserve"> ABC B1 function, resulting in high neonatal rat brain exposures</w:t>
      </w:r>
      <w:r w:rsidR="00902337">
        <w:t xml:space="preserve">. </w:t>
      </w:r>
      <w:r w:rsidRPr="009D71DA">
        <w:t xml:space="preserve">Critically, human </w:t>
      </w:r>
      <w:r w:rsidR="00CA7EEF">
        <w:t>blood brain barrier</w:t>
      </w:r>
      <w:r w:rsidRPr="009D71DA">
        <w:t xml:space="preserve"> ABC B1 function develops at ≥ 12 weeks gestation, not after birth.</w:t>
      </w:r>
      <w:r w:rsidRPr="00F73A7E">
        <w:rPr>
          <w:vertAlign w:val="superscript"/>
        </w:rPr>
        <w:footnoteReference w:id="23"/>
      </w:r>
      <w:r w:rsidR="00F73A7E">
        <w:t xml:space="preserve"> </w:t>
      </w:r>
      <w:r w:rsidRPr="009D71DA">
        <w:t>Human neonates are therefore resistant to these effects and are protected in utero by placental ABC B1 efflux transporters</w:t>
      </w:r>
      <w:r w:rsidR="00902337">
        <w:t xml:space="preserve">. </w:t>
      </w:r>
      <w:r w:rsidRPr="009D71DA">
        <w:t>Again, given the topical route of exposure and relatively low systemic exposure, the risks of these types of effects with ivermectin use are greatly reduced.</w:t>
      </w:r>
    </w:p>
    <w:p w14:paraId="6AD89BF0" w14:textId="77777777" w:rsidR="009D71DA" w:rsidRPr="009D71DA" w:rsidRDefault="009D71DA" w:rsidP="009D71DA">
      <w:pPr>
        <w:pStyle w:val="ListBullet"/>
      </w:pPr>
      <w:r w:rsidRPr="009D71DA">
        <w:t>Ivermectin is detectable in human milk following oral dosing; however milk steady state levels are low following single acute exposures</w:t>
      </w:r>
      <w:r w:rsidR="00902337">
        <w:t xml:space="preserve">. </w:t>
      </w:r>
      <w:r w:rsidRPr="009D71DA">
        <w:t>However rodent data indicates that chronic maternal ivermectin exposure will result in mi</w:t>
      </w:r>
      <w:r w:rsidR="000522CF">
        <w:t>lk ivermectin levels at least 3 to 4 times</w:t>
      </w:r>
      <w:r w:rsidRPr="009D71DA">
        <w:t xml:space="preserve"> higher than those observed with single acute exposures due to greater </w:t>
      </w:r>
      <w:r w:rsidR="00D9155F">
        <w:t>mobilis</w:t>
      </w:r>
      <w:r w:rsidRPr="009D71DA">
        <w:t>ation of body fat sequestered ivermectin</w:t>
      </w:r>
      <w:r w:rsidR="00902337">
        <w:t xml:space="preserve">. </w:t>
      </w:r>
      <w:r w:rsidRPr="009D71DA">
        <w:t>This effect is greatest durin</w:t>
      </w:r>
      <w:r w:rsidR="00D9155F">
        <w:t>g early lactation when mobilis</w:t>
      </w:r>
      <w:r w:rsidRPr="009D71DA">
        <w:t>ation of maternal body fat is highest.</w:t>
      </w:r>
    </w:p>
    <w:p w14:paraId="6AD89BF1" w14:textId="77777777" w:rsidR="009D71DA" w:rsidRDefault="009D71DA" w:rsidP="009D71DA">
      <w:pPr>
        <w:pStyle w:val="ListBullet"/>
      </w:pPr>
      <w:r w:rsidRPr="009D71DA">
        <w:t>Soolantra is not an acute eye irritant in rabbits and ivermectin is not a photo</w:t>
      </w:r>
      <w:r w:rsidR="00F73A7E">
        <w:t xml:space="preserve"> </w:t>
      </w:r>
      <w:r w:rsidRPr="009D71DA">
        <w:t>allergen.</w:t>
      </w:r>
    </w:p>
    <w:p w14:paraId="6AD89BF2" w14:textId="77777777" w:rsidR="00D357B1" w:rsidRDefault="00D357B1" w:rsidP="00D357B1">
      <w:pPr>
        <w:pStyle w:val="Heading4"/>
      </w:pPr>
      <w:r>
        <w:t xml:space="preserve">Conclusions and recommendation </w:t>
      </w:r>
    </w:p>
    <w:p w14:paraId="6AD89BF3" w14:textId="77777777" w:rsidR="00D357B1" w:rsidRPr="00D357B1" w:rsidRDefault="00D357B1" w:rsidP="00D357B1">
      <w:pPr>
        <w:pStyle w:val="ListBullet"/>
      </w:pPr>
      <w:r w:rsidRPr="00D357B1">
        <w:t xml:space="preserve">There are no </w:t>
      </w:r>
      <w:r w:rsidR="009D6CCA">
        <w:t>nonclinical</w:t>
      </w:r>
      <w:r w:rsidRPr="00D357B1">
        <w:t xml:space="preserve"> objections to registration.</w:t>
      </w:r>
    </w:p>
    <w:p w14:paraId="6AD89BF4" w14:textId="77777777" w:rsidR="00D357B1" w:rsidRPr="00D357B1" w:rsidRDefault="00D357B1" w:rsidP="00D357B1">
      <w:pPr>
        <w:pStyle w:val="ListBullet"/>
      </w:pPr>
      <w:r w:rsidRPr="00D357B1">
        <w:t>Soolantra should be used in conjunction with sunscreens and other solar UV protection methods.</w:t>
      </w:r>
    </w:p>
    <w:p w14:paraId="6AD89BF5" w14:textId="518B3598" w:rsidR="00D357B1" w:rsidRPr="00D357B1" w:rsidRDefault="00D357B1" w:rsidP="00D357B1">
      <w:pPr>
        <w:pStyle w:val="ListBullet"/>
      </w:pPr>
      <w:r w:rsidRPr="00D357B1">
        <w:lastRenderedPageBreak/>
        <w:t xml:space="preserve">Because of the lack </w:t>
      </w:r>
      <w:r w:rsidR="00D9155F">
        <w:t>of nonclinical drug interaction</w:t>
      </w:r>
      <w:r w:rsidRPr="00D357B1">
        <w:t xml:space="preserve"> data, some care should be exercised when drugs that are known to completely block or very substantially i</w:t>
      </w:r>
      <w:r w:rsidR="000522CF">
        <w:t>nhibit ABC B1 (P</w:t>
      </w:r>
      <w:r w:rsidRPr="00D357B1">
        <w:t>-glycoprotein) efflux transporters are used concurrently with Soolantra</w:t>
      </w:r>
      <w:r w:rsidR="00902337">
        <w:t xml:space="preserve">. </w:t>
      </w:r>
      <w:r w:rsidRPr="00D357B1">
        <w:t>Theoretically drug interactions at ABC B1 (p-glycoprotein) efflux transporters will</w:t>
      </w:r>
      <w:r w:rsidR="005F1306">
        <w:t xml:space="preserve"> </w:t>
      </w:r>
      <w:r w:rsidRPr="00D357B1">
        <w:t xml:space="preserve">affect the safety properties of Soolantra and adverse drug interactions may occur via these mechanisms that could affect human CNS function (particularly level of consciousness), human retinal function, human </w:t>
      </w:r>
      <w:proofErr w:type="spellStart"/>
      <w:r w:rsidR="00CE323A">
        <w:t>fet</w:t>
      </w:r>
      <w:r w:rsidRPr="00D357B1">
        <w:t>al</w:t>
      </w:r>
      <w:proofErr w:type="spellEnd"/>
      <w:r w:rsidRPr="00D357B1">
        <w:t xml:space="preserve"> development,</w:t>
      </w:r>
      <w:r w:rsidR="005F1306">
        <w:t xml:space="preserve"> </w:t>
      </w:r>
      <w:r w:rsidRPr="00D357B1">
        <w:t>human neonatal development and male fertility</w:t>
      </w:r>
      <w:r w:rsidR="00902337">
        <w:t xml:space="preserve">. </w:t>
      </w:r>
      <w:r w:rsidRPr="00D357B1">
        <w:t xml:space="preserve">However, Soolantra appears to have adequate </w:t>
      </w:r>
      <w:r w:rsidR="000522CF">
        <w:t>animal: </w:t>
      </w:r>
      <w:r w:rsidR="000522CF" w:rsidRPr="00D357B1">
        <w:t>human</w:t>
      </w:r>
      <w:r w:rsidRPr="00D357B1">
        <w:t xml:space="preserve"> AUC ratios at the relevant </w:t>
      </w:r>
      <w:r w:rsidR="009D6CCA">
        <w:t>nonclinical</w:t>
      </w:r>
      <w:r w:rsidRPr="00D357B1">
        <w:t xml:space="preserve"> NOAELs</w:t>
      </w:r>
      <w:r w:rsidR="00902337">
        <w:t xml:space="preserve">. </w:t>
      </w:r>
      <w:r w:rsidRPr="00D357B1">
        <w:t>Given the topical route of exposure and relatively low systemic exposure, the risks of these types of effects with ivermectin use are greatly reduced.</w:t>
      </w:r>
    </w:p>
    <w:p w14:paraId="6AD89BF6" w14:textId="77777777" w:rsidR="00D357B1" w:rsidRPr="00D357B1" w:rsidRDefault="00D357B1" w:rsidP="00D357B1">
      <w:pPr>
        <w:pStyle w:val="ListBullet"/>
      </w:pPr>
      <w:r w:rsidRPr="00D357B1">
        <w:t xml:space="preserve">There is potential for Soolantra use to contribute to the induction of anthelmintic resistance to ivermectin and other members of the </w:t>
      </w:r>
      <w:proofErr w:type="spellStart"/>
      <w:r w:rsidRPr="00D357B1">
        <w:t>avermectin</w:t>
      </w:r>
      <w:proofErr w:type="spellEnd"/>
      <w:r w:rsidRPr="00D357B1">
        <w:t xml:space="preserve"> </w:t>
      </w:r>
      <w:proofErr w:type="spellStart"/>
      <w:r w:rsidRPr="00D357B1">
        <w:t>parasiticidal</w:t>
      </w:r>
      <w:proofErr w:type="spellEnd"/>
      <w:r w:rsidRPr="00D357B1">
        <w:t xml:space="preserve"> drug class because an important pathway of excretion is active transport in to the gut via </w:t>
      </w:r>
      <w:proofErr w:type="spellStart"/>
      <w:r w:rsidRPr="00D357B1">
        <w:t>enterothelial</w:t>
      </w:r>
      <w:proofErr w:type="spellEnd"/>
      <w:r w:rsidRPr="00D357B1">
        <w:t xml:space="preserve"> ABC B1 efflux transporters.</w:t>
      </w:r>
    </w:p>
    <w:p w14:paraId="6AD89BF7" w14:textId="77777777" w:rsidR="00D357B1" w:rsidRPr="00D357B1" w:rsidRDefault="00D357B1" w:rsidP="00D357B1">
      <w:pPr>
        <w:pStyle w:val="ListBullet"/>
      </w:pPr>
      <w:r w:rsidRPr="00D357B1">
        <w:t xml:space="preserve">The </w:t>
      </w:r>
      <w:r w:rsidR="000522CF">
        <w:t>mode of action</w:t>
      </w:r>
      <w:r w:rsidRPr="00D357B1">
        <w:t xml:space="preserve"> of ivermectin treatment of rosacea is not fully established</w:t>
      </w:r>
      <w:r w:rsidR="00902337">
        <w:t xml:space="preserve">. </w:t>
      </w:r>
      <w:r w:rsidRPr="00D357B1">
        <w:t xml:space="preserve">Possible </w:t>
      </w:r>
      <w:r w:rsidR="000522CF" w:rsidRPr="000522CF">
        <w:t>mode</w:t>
      </w:r>
      <w:r w:rsidR="000522CF">
        <w:t>s</w:t>
      </w:r>
      <w:r w:rsidR="000522CF" w:rsidRPr="000522CF">
        <w:t xml:space="preserve"> of action</w:t>
      </w:r>
      <w:r w:rsidRPr="00D357B1">
        <w:t xml:space="preserve"> include suppression of inflammation a </w:t>
      </w:r>
      <w:proofErr w:type="spellStart"/>
      <w:r w:rsidRPr="00D357B1">
        <w:t>mitocidal</w:t>
      </w:r>
      <w:proofErr w:type="spellEnd"/>
      <w:r w:rsidRPr="00D357B1">
        <w:t xml:space="preserve"> effects on </w:t>
      </w:r>
      <w:proofErr w:type="spellStart"/>
      <w:r w:rsidRPr="00D357B1">
        <w:t>Demodex</w:t>
      </w:r>
      <w:proofErr w:type="spellEnd"/>
      <w:r w:rsidRPr="00D357B1">
        <w:t xml:space="preserve"> sp</w:t>
      </w:r>
      <w:r w:rsidR="000522CF">
        <w:t>ecies</w:t>
      </w:r>
      <w:r w:rsidR="00902337">
        <w:t xml:space="preserve">. </w:t>
      </w:r>
      <w:r w:rsidRPr="00D357B1">
        <w:t xml:space="preserve">Notably ivermectin has often been combined with a </w:t>
      </w:r>
      <w:proofErr w:type="spellStart"/>
      <w:r w:rsidRPr="00D357B1">
        <w:t>pyrethroid</w:t>
      </w:r>
      <w:proofErr w:type="spellEnd"/>
      <w:r w:rsidRPr="00D357B1">
        <w:t xml:space="preserve"> or neonicotinoid </w:t>
      </w:r>
      <w:proofErr w:type="spellStart"/>
      <w:r w:rsidRPr="00D357B1">
        <w:t>arthrocide</w:t>
      </w:r>
      <w:proofErr w:type="spellEnd"/>
      <w:r w:rsidRPr="00D357B1">
        <w:t xml:space="preserve"> when used to treat </w:t>
      </w:r>
      <w:proofErr w:type="spellStart"/>
      <w:r w:rsidRPr="00D357B1">
        <w:t>demodicosis</w:t>
      </w:r>
      <w:proofErr w:type="spellEnd"/>
      <w:r w:rsidRPr="00D357B1">
        <w:t>, presumably in the hope of increased efficacy</w:t>
      </w:r>
      <w:r w:rsidR="00FC7051">
        <w:t>.</w:t>
      </w:r>
    </w:p>
    <w:p w14:paraId="6AD89BF8" w14:textId="77777777" w:rsidR="00D357B1" w:rsidRPr="00D357B1" w:rsidRDefault="00D357B1" w:rsidP="00D357B1">
      <w:pPr>
        <w:pStyle w:val="ListBullet"/>
      </w:pPr>
      <w:r w:rsidRPr="00D357B1">
        <w:t>Long term, repeated topical application of Soolantra may result in cumulative skin irritancy an</w:t>
      </w:r>
      <w:r w:rsidR="000522CF">
        <w:t>d (rarely) skin contact sensitis</w:t>
      </w:r>
      <w:r w:rsidRPr="00D357B1">
        <w:t>ation</w:t>
      </w:r>
      <w:r w:rsidR="00902337">
        <w:t xml:space="preserve">. </w:t>
      </w:r>
      <w:r w:rsidRPr="00D357B1">
        <w:t>However, these issues are adequately dealt with in the PI.</w:t>
      </w:r>
    </w:p>
    <w:p w14:paraId="6AD89BF9" w14:textId="77777777" w:rsidR="00D357B1" w:rsidRPr="00D357B1" w:rsidRDefault="00D357B1" w:rsidP="00D357B1">
      <w:pPr>
        <w:pStyle w:val="ListBullet"/>
      </w:pPr>
      <w:r w:rsidRPr="00D357B1">
        <w:t>Overall, Soolantra does not present any particularly overt safety pharmacology concerns with the proposed pattern of use</w:t>
      </w:r>
      <w:r w:rsidR="00FC7051">
        <w:t>.</w:t>
      </w:r>
    </w:p>
    <w:p w14:paraId="6AD89BFA" w14:textId="77777777" w:rsidR="00D357B1" w:rsidRPr="00D357B1" w:rsidRDefault="00D357B1" w:rsidP="00D357B1">
      <w:pPr>
        <w:pStyle w:val="ListBullet"/>
      </w:pPr>
      <w:r w:rsidRPr="00D357B1">
        <w:t xml:space="preserve">Because of the pharmacokinetic and dosing pattern differences between </w:t>
      </w:r>
      <w:proofErr w:type="spellStart"/>
      <w:r w:rsidRPr="00D357B1">
        <w:t>Stromectol</w:t>
      </w:r>
      <w:proofErr w:type="spellEnd"/>
      <w:r w:rsidRPr="00D357B1">
        <w:t xml:space="preserve"> (</w:t>
      </w:r>
      <w:r w:rsidR="00F941D7">
        <w:t xml:space="preserve">that is </w:t>
      </w:r>
      <w:r w:rsidRPr="00D357B1">
        <w:t xml:space="preserve">occasional single </w:t>
      </w:r>
      <w:r w:rsidR="000522CF">
        <w:t xml:space="preserve">dose oral </w:t>
      </w:r>
      <w:proofErr w:type="spellStart"/>
      <w:r w:rsidR="000522CF">
        <w:t>parasiticide</w:t>
      </w:r>
      <w:proofErr w:type="spellEnd"/>
      <w:r w:rsidR="000522CF">
        <w:t xml:space="preserve"> use) and</w:t>
      </w:r>
      <w:r w:rsidRPr="00D357B1">
        <w:t xml:space="preserve"> </w:t>
      </w:r>
      <w:proofErr w:type="spellStart"/>
      <w:r w:rsidRPr="00D357B1">
        <w:t>Soolantra</w:t>
      </w:r>
      <w:proofErr w:type="spellEnd"/>
      <w:r w:rsidRPr="00D357B1">
        <w:t>, some degree of caution should be applied if Soolantra is used during pregnancy (particularly during brain development) and substantial compromise (</w:t>
      </w:r>
      <w:r w:rsidR="004079D0">
        <w:t>for example</w:t>
      </w:r>
      <w:r w:rsidRPr="00D357B1">
        <w:t xml:space="preserve"> complete blocking) of placental ABC B1 function is likely</w:t>
      </w:r>
      <w:r w:rsidR="00BD1775">
        <w:t xml:space="preserve">. </w:t>
      </w:r>
      <w:r w:rsidRPr="00D357B1">
        <w:t>Again because of the topical route of exposure and relatively low systemic absorption, the risks of these types of effects with ivermectin are substantially reduced.</w:t>
      </w:r>
    </w:p>
    <w:p w14:paraId="6AD89BFB" w14:textId="77777777" w:rsidR="00D357B1" w:rsidRPr="00D357B1" w:rsidRDefault="00D357B1" w:rsidP="00D357B1">
      <w:pPr>
        <w:pStyle w:val="ListBullet"/>
      </w:pPr>
      <w:r w:rsidRPr="00D357B1">
        <w:t>Ivermectin is detectable in human milk following oral dosing; however milk steady state levels are low following single acute exposures</w:t>
      </w:r>
      <w:r w:rsidR="00902337">
        <w:t xml:space="preserve">. </w:t>
      </w:r>
      <w:r w:rsidRPr="00D357B1">
        <w:t>Unlike the single episodic use of ivermectin for treatment of parasitic diseases, the chronic use of Soolantra will res</w:t>
      </w:r>
      <w:r w:rsidR="000522CF">
        <w:t xml:space="preserve">ult in sustained neonatal </w:t>
      </w:r>
      <w:proofErr w:type="gramStart"/>
      <w:r w:rsidR="000522CF">
        <w:t>trans</w:t>
      </w:r>
      <w:proofErr w:type="gramEnd"/>
      <w:r w:rsidR="000522CF">
        <w:t xml:space="preserve"> </w:t>
      </w:r>
      <w:r w:rsidRPr="00D357B1">
        <w:t>mammary exposure</w:t>
      </w:r>
      <w:r w:rsidR="00902337">
        <w:t xml:space="preserve">. </w:t>
      </w:r>
      <w:r w:rsidRPr="00D357B1">
        <w:t>Based on rodent studies, chronic maternal exposure will result in milk ivermectin le</w:t>
      </w:r>
      <w:r w:rsidR="000522CF">
        <w:t>vels at least 3</w:t>
      </w:r>
      <w:r w:rsidR="00D9155F">
        <w:t xml:space="preserve"> </w:t>
      </w:r>
      <w:r w:rsidR="000522CF">
        <w:t>to 4 times</w:t>
      </w:r>
      <w:r w:rsidRPr="00D357B1">
        <w:t xml:space="preserve"> higher than those observed with single acute </w:t>
      </w:r>
      <w:r w:rsidR="000522CF" w:rsidRPr="00D357B1">
        <w:t>ivermectin</w:t>
      </w:r>
      <w:r w:rsidRPr="00D357B1">
        <w:t xml:space="preserve"> exposures</w:t>
      </w:r>
      <w:r w:rsidR="00902337">
        <w:t xml:space="preserve">. </w:t>
      </w:r>
      <w:r w:rsidRPr="00D357B1">
        <w:t xml:space="preserve">Provided that the human neonatal </w:t>
      </w:r>
      <w:r w:rsidR="000522CF">
        <w:t>blood brain barrier</w:t>
      </w:r>
      <w:r w:rsidRPr="00D357B1">
        <w:t xml:space="preserve"> ABC B1 function remains intact, these phenomena should not adversely effect on human neonatal development</w:t>
      </w:r>
      <w:r w:rsidR="00902337">
        <w:t xml:space="preserve">. </w:t>
      </w:r>
      <w:proofErr w:type="gramStart"/>
      <w:r w:rsidR="000522CF">
        <w:t>Trans</w:t>
      </w:r>
      <w:proofErr w:type="gramEnd"/>
      <w:r w:rsidR="000522CF">
        <w:t xml:space="preserve"> </w:t>
      </w:r>
      <w:r w:rsidRPr="00D357B1">
        <w:t xml:space="preserve">mammary ivermectin exposures should probably be avoided in situations where human neonatal </w:t>
      </w:r>
      <w:r w:rsidR="000522CF">
        <w:t>blood brain barrier</w:t>
      </w:r>
      <w:r w:rsidRPr="00D357B1">
        <w:t xml:space="preserve"> ABC B1 function may be substantially compromised</w:t>
      </w:r>
      <w:r w:rsidR="00902337">
        <w:t xml:space="preserve">. </w:t>
      </w:r>
      <w:r w:rsidRPr="00D357B1">
        <w:t>Again because of the topical route of exposure and relatively low systemic absorption, the risks of these types of effects with ivermectin are substantially reduced.</w:t>
      </w:r>
    </w:p>
    <w:p w14:paraId="6AD89BFC" w14:textId="77777777" w:rsidR="00D357B1" w:rsidRPr="00D357B1" w:rsidRDefault="000522CF" w:rsidP="00D357B1">
      <w:pPr>
        <w:pStyle w:val="ListBullet"/>
      </w:pPr>
      <w:r>
        <w:t xml:space="preserve">Recommendations with regard </w:t>
      </w:r>
      <w:r w:rsidR="00D9155F">
        <w:t>to the PI have been made but th</w:t>
      </w:r>
      <w:r>
        <w:t>ese are beyond the scope of this AusPAR.</w:t>
      </w:r>
    </w:p>
    <w:p w14:paraId="6AD89BFD" w14:textId="77777777" w:rsidR="008E7846" w:rsidRPr="00254787" w:rsidRDefault="008E7846" w:rsidP="008E7846">
      <w:pPr>
        <w:pStyle w:val="Heading2"/>
      </w:pPr>
      <w:bookmarkStart w:id="59" w:name="_Toc196046462"/>
      <w:bookmarkStart w:id="60" w:name="_Toc247691516"/>
      <w:bookmarkStart w:id="61" w:name="_Toc314842500"/>
      <w:bookmarkStart w:id="62" w:name="_Toc437418391"/>
      <w:bookmarkStart w:id="63" w:name="_Toc163441353"/>
      <w:bookmarkStart w:id="64" w:name="_Toc163441348"/>
      <w:r>
        <w:lastRenderedPageBreak/>
        <w:t xml:space="preserve">IV. </w:t>
      </w:r>
      <w:r w:rsidRPr="00254787">
        <w:t>Clinical</w:t>
      </w:r>
      <w:bookmarkEnd w:id="59"/>
      <w:r>
        <w:t xml:space="preserve"> </w:t>
      </w:r>
      <w:r w:rsidR="003A7F6C">
        <w:t>f</w:t>
      </w:r>
      <w:r>
        <w:t>indings</w:t>
      </w:r>
      <w:bookmarkEnd w:id="60"/>
      <w:bookmarkEnd w:id="61"/>
      <w:bookmarkEnd w:id="62"/>
    </w:p>
    <w:p w14:paraId="6AD89BFE" w14:textId="77777777" w:rsidR="00C80137" w:rsidRDefault="00C80137" w:rsidP="00D425BB">
      <w:bookmarkStart w:id="65"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6AD89BFF" w14:textId="77777777" w:rsidR="008E7846" w:rsidRDefault="008E7846" w:rsidP="008E7846">
      <w:pPr>
        <w:pStyle w:val="Heading3"/>
      </w:pPr>
      <w:bookmarkStart w:id="66" w:name="_Toc247691517"/>
      <w:bookmarkStart w:id="67" w:name="_Toc314842501"/>
      <w:bookmarkStart w:id="68" w:name="_Toc437418392"/>
      <w:r w:rsidRPr="00254787">
        <w:t>Introduction</w:t>
      </w:r>
      <w:bookmarkEnd w:id="65"/>
      <w:bookmarkEnd w:id="66"/>
      <w:bookmarkEnd w:id="67"/>
      <w:bookmarkEnd w:id="68"/>
    </w:p>
    <w:p w14:paraId="6AD89C00" w14:textId="77777777" w:rsidR="00605AD4" w:rsidRDefault="00605AD4" w:rsidP="00605AD4">
      <w:pPr>
        <w:pStyle w:val="Heading4"/>
      </w:pPr>
      <w:bookmarkStart w:id="69" w:name="_Toc196046464"/>
      <w:bookmarkStart w:id="70" w:name="_Toc247691518"/>
      <w:bookmarkStart w:id="71" w:name="_Toc314842502"/>
      <w:r w:rsidRPr="00605AD4">
        <w:t>Clinical Rationale</w:t>
      </w:r>
    </w:p>
    <w:p w14:paraId="6AD89C01" w14:textId="77777777" w:rsidR="001930BB" w:rsidRPr="001930BB" w:rsidRDefault="001930BB" w:rsidP="001930BB">
      <w:r w:rsidRPr="001930BB">
        <w:t xml:space="preserve">The sponsor explains that the efficacy of ivermectin in human and animal </w:t>
      </w:r>
      <w:proofErr w:type="spellStart"/>
      <w:r w:rsidRPr="001930BB">
        <w:t>demodicidosis</w:t>
      </w:r>
      <w:proofErr w:type="spellEnd"/>
      <w:r w:rsidRPr="001930BB">
        <w:t xml:space="preserve"> and its anti-inflammatory properties suggested that ivermectin could also be effective in the treatment of inflammatory lesions of rosacea. Th</w:t>
      </w:r>
      <w:r w:rsidR="00D9155F">
        <w:t>is prompted the development of</w:t>
      </w:r>
      <w:r w:rsidRPr="001930BB">
        <w:t xml:space="preserve"> Soolantra. Note that no particular evidence is offered in the present clinical dossier that the mode of action of Soolantra in the indication for which approval is now sought depends upon its antiparasitic properties.</w:t>
      </w:r>
    </w:p>
    <w:p w14:paraId="6AD89C02" w14:textId="77777777" w:rsidR="00605AD4" w:rsidRDefault="00605AD4" w:rsidP="00605AD4">
      <w:pPr>
        <w:pStyle w:val="Heading4"/>
      </w:pPr>
      <w:r w:rsidRPr="00605AD4">
        <w:t>Contents of the clinical dossier</w:t>
      </w:r>
    </w:p>
    <w:p w14:paraId="6AD89C03" w14:textId="77777777" w:rsidR="00D653C0" w:rsidRPr="00620B63" w:rsidRDefault="00D653C0" w:rsidP="00D653C0">
      <w:r>
        <w:t>The clinical dossier included;</w:t>
      </w:r>
    </w:p>
    <w:p w14:paraId="6AD89C04" w14:textId="77777777" w:rsidR="00D653C0" w:rsidRPr="00D9155F" w:rsidRDefault="00D653C0" w:rsidP="00D9155F">
      <w:pPr>
        <w:pStyle w:val="ListBullet"/>
      </w:pPr>
      <w:r w:rsidRPr="00D9155F">
        <w:t>2 clinical pharmacology studies, including 2 that provided pharmacokinetic data.</w:t>
      </w:r>
    </w:p>
    <w:p w14:paraId="6AD89C05" w14:textId="77777777" w:rsidR="00D653C0" w:rsidRPr="00D9155F" w:rsidRDefault="00D653C0" w:rsidP="00D9155F">
      <w:pPr>
        <w:pStyle w:val="ListBullet"/>
      </w:pPr>
      <w:r w:rsidRPr="00D9155F">
        <w:t>2 pivotal efficacy/safety studies.</w:t>
      </w:r>
    </w:p>
    <w:p w14:paraId="6AD89C06" w14:textId="77777777" w:rsidR="00D653C0" w:rsidRPr="00D9155F" w:rsidRDefault="00D653C0" w:rsidP="00D9155F">
      <w:pPr>
        <w:pStyle w:val="ListBullet"/>
      </w:pPr>
      <w:r w:rsidRPr="00D9155F">
        <w:t>1 dose finding study.</w:t>
      </w:r>
    </w:p>
    <w:p w14:paraId="6AD89C07" w14:textId="77777777" w:rsidR="00D653C0" w:rsidRPr="00D9155F" w:rsidRDefault="00D653C0" w:rsidP="00D9155F">
      <w:pPr>
        <w:pStyle w:val="ListBullet"/>
      </w:pPr>
      <w:r w:rsidRPr="00D9155F">
        <w:t>10 other efficacy/safety studies.</w:t>
      </w:r>
    </w:p>
    <w:p w14:paraId="6AD89C08" w14:textId="77777777" w:rsidR="00D653C0" w:rsidRPr="00620B63" w:rsidRDefault="00D653C0" w:rsidP="00D653C0">
      <w:r>
        <w:t>The submission also contained;</w:t>
      </w:r>
    </w:p>
    <w:p w14:paraId="6AD89C09" w14:textId="77777777" w:rsidR="00D653C0" w:rsidRDefault="00D653C0" w:rsidP="00D9155F">
      <w:pPr>
        <w:pStyle w:val="ListBullet"/>
      </w:pPr>
      <w:r w:rsidRPr="00D9155F">
        <w:t>Clinical Overview, Summary of Clinical Efficacy, Summary of Clinical Safety and literature references.</w:t>
      </w:r>
    </w:p>
    <w:p w14:paraId="6AD89C0A" w14:textId="77777777" w:rsidR="00D9155F" w:rsidRPr="00D9155F" w:rsidRDefault="00D9155F" w:rsidP="00D9155F">
      <w:r>
        <w:t>Table 4 summarises the studies that were submitted.</w:t>
      </w:r>
    </w:p>
    <w:p w14:paraId="6AD89C0B" w14:textId="77777777" w:rsidR="00D653C0" w:rsidRPr="00D653C0" w:rsidRDefault="00D653C0" w:rsidP="00D653C0">
      <w:pPr>
        <w:pStyle w:val="TableTitle"/>
      </w:pPr>
      <w:proofErr w:type="gramStart"/>
      <w:r>
        <w:t>Table 4</w:t>
      </w:r>
      <w:r w:rsidRPr="00D653C0">
        <w:t>.</w:t>
      </w:r>
      <w:proofErr w:type="gramEnd"/>
      <w:r w:rsidRPr="00D653C0">
        <w:t xml:space="preserve"> Studies presented in the dossier, not previously evaluated.</w:t>
      </w:r>
    </w:p>
    <w:tbl>
      <w:tblPr>
        <w:tblStyle w:val="TableTGAblue"/>
        <w:tblW w:w="0" w:type="auto"/>
        <w:tblLook w:val="04A0" w:firstRow="1" w:lastRow="0" w:firstColumn="1" w:lastColumn="0" w:noHBand="0" w:noVBand="1"/>
        <w:tblDescription w:val="Table 4. Studies presented in the dossier, not previously evaluated."/>
      </w:tblPr>
      <w:tblGrid>
        <w:gridCol w:w="2050"/>
        <w:gridCol w:w="6497"/>
      </w:tblGrid>
      <w:tr w:rsidR="00D653C0" w:rsidRPr="00686209" w14:paraId="6AD89C0E" w14:textId="77777777" w:rsidTr="00545886">
        <w:trPr>
          <w:cnfStyle w:val="100000000000" w:firstRow="1" w:lastRow="0" w:firstColumn="0" w:lastColumn="0" w:oddVBand="0" w:evenVBand="0" w:oddHBand="0" w:evenHBand="0" w:firstRowFirstColumn="0" w:firstRowLastColumn="0" w:lastRowFirstColumn="0" w:lastRowLastColumn="0"/>
        </w:trPr>
        <w:tc>
          <w:tcPr>
            <w:tcW w:w="1975" w:type="dxa"/>
          </w:tcPr>
          <w:p w14:paraId="6AD89C0C" w14:textId="77777777" w:rsidR="00D653C0" w:rsidRPr="00BF3A4E" w:rsidRDefault="00D653C0" w:rsidP="00BF3A4E">
            <w:pPr>
              <w:rPr>
                <w:sz w:val="20"/>
                <w:szCs w:val="20"/>
              </w:rPr>
            </w:pPr>
            <w:r w:rsidRPr="00BF3A4E">
              <w:rPr>
                <w:sz w:val="20"/>
                <w:szCs w:val="20"/>
              </w:rPr>
              <w:t>Study no.</w:t>
            </w:r>
          </w:p>
        </w:tc>
        <w:tc>
          <w:tcPr>
            <w:tcW w:w="6497" w:type="dxa"/>
          </w:tcPr>
          <w:p w14:paraId="6AD89C0D" w14:textId="77777777" w:rsidR="00D653C0" w:rsidRPr="00BF3A4E" w:rsidRDefault="00D653C0" w:rsidP="00BF3A4E">
            <w:pPr>
              <w:rPr>
                <w:sz w:val="20"/>
                <w:szCs w:val="20"/>
              </w:rPr>
            </w:pPr>
            <w:r w:rsidRPr="00BF3A4E">
              <w:rPr>
                <w:sz w:val="20"/>
                <w:szCs w:val="20"/>
              </w:rPr>
              <w:t>Title</w:t>
            </w:r>
          </w:p>
        </w:tc>
      </w:tr>
      <w:tr w:rsidR="00D653C0" w:rsidRPr="00686209" w14:paraId="6AD89C11" w14:textId="77777777" w:rsidTr="00545886">
        <w:tc>
          <w:tcPr>
            <w:tcW w:w="1975" w:type="dxa"/>
          </w:tcPr>
          <w:p w14:paraId="6AD89C0F" w14:textId="77777777" w:rsidR="00D653C0" w:rsidRPr="00BF3A4E" w:rsidRDefault="00D653C0" w:rsidP="00BF3A4E">
            <w:pPr>
              <w:rPr>
                <w:sz w:val="20"/>
                <w:szCs w:val="20"/>
              </w:rPr>
            </w:pPr>
            <w:r w:rsidRPr="00BF3A4E">
              <w:rPr>
                <w:sz w:val="20"/>
                <w:szCs w:val="20"/>
              </w:rPr>
              <w:t>RD.03.SRE.19055</w:t>
            </w:r>
          </w:p>
        </w:tc>
        <w:tc>
          <w:tcPr>
            <w:tcW w:w="6497" w:type="dxa"/>
          </w:tcPr>
          <w:p w14:paraId="6AD89C10" w14:textId="77777777" w:rsidR="00D653C0" w:rsidRPr="00BF3A4E" w:rsidRDefault="00D653C0" w:rsidP="00BF3A4E">
            <w:pPr>
              <w:rPr>
                <w:sz w:val="20"/>
                <w:szCs w:val="20"/>
              </w:rPr>
            </w:pPr>
            <w:r w:rsidRPr="00BF3A4E">
              <w:rPr>
                <w:sz w:val="20"/>
                <w:szCs w:val="20"/>
              </w:rPr>
              <w:t>Evaluation of the cumulative irritancy potential of Ivermectin 1% cream compared to vehicle in healthy volunteers</w:t>
            </w:r>
          </w:p>
        </w:tc>
      </w:tr>
      <w:tr w:rsidR="00D653C0" w:rsidRPr="00686209" w14:paraId="6AD89C14" w14:textId="77777777" w:rsidTr="00545886">
        <w:tc>
          <w:tcPr>
            <w:tcW w:w="1975" w:type="dxa"/>
          </w:tcPr>
          <w:p w14:paraId="6AD89C12" w14:textId="77777777" w:rsidR="00D653C0" w:rsidRPr="00BF3A4E" w:rsidRDefault="00D653C0" w:rsidP="00BF3A4E">
            <w:pPr>
              <w:rPr>
                <w:sz w:val="20"/>
                <w:szCs w:val="20"/>
              </w:rPr>
            </w:pPr>
            <w:r w:rsidRPr="00BF3A4E">
              <w:rPr>
                <w:sz w:val="20"/>
                <w:szCs w:val="20"/>
              </w:rPr>
              <w:t>RD.03.SRE.19081</w:t>
            </w:r>
          </w:p>
        </w:tc>
        <w:tc>
          <w:tcPr>
            <w:tcW w:w="6497" w:type="dxa"/>
          </w:tcPr>
          <w:p w14:paraId="6AD89C13" w14:textId="77777777" w:rsidR="00D653C0" w:rsidRPr="00BF3A4E" w:rsidRDefault="00D653C0" w:rsidP="00BF3A4E">
            <w:pPr>
              <w:rPr>
                <w:sz w:val="20"/>
                <w:szCs w:val="20"/>
              </w:rPr>
            </w:pPr>
            <w:r w:rsidRPr="00BF3A4E">
              <w:rPr>
                <w:sz w:val="20"/>
                <w:szCs w:val="20"/>
              </w:rPr>
              <w:t>Evaluation of the cumulative irritancy potential of different vehicle prototypes of Ivermectin after repeated applications in healthy subjects</w:t>
            </w:r>
          </w:p>
        </w:tc>
      </w:tr>
      <w:tr w:rsidR="00D653C0" w:rsidRPr="00686209" w14:paraId="6AD89C17" w14:textId="77777777" w:rsidTr="00545886">
        <w:tc>
          <w:tcPr>
            <w:tcW w:w="1975" w:type="dxa"/>
          </w:tcPr>
          <w:p w14:paraId="6AD89C15" w14:textId="77777777" w:rsidR="00D653C0" w:rsidRPr="00BF3A4E" w:rsidRDefault="00D653C0" w:rsidP="00BF3A4E">
            <w:pPr>
              <w:rPr>
                <w:sz w:val="20"/>
                <w:szCs w:val="20"/>
              </w:rPr>
            </w:pPr>
            <w:r w:rsidRPr="00BF3A4E">
              <w:rPr>
                <w:sz w:val="20"/>
                <w:szCs w:val="20"/>
              </w:rPr>
              <w:t>RD.03.SRE.40023</w:t>
            </w:r>
          </w:p>
        </w:tc>
        <w:tc>
          <w:tcPr>
            <w:tcW w:w="6497" w:type="dxa"/>
          </w:tcPr>
          <w:p w14:paraId="6AD89C16" w14:textId="77777777" w:rsidR="00D653C0" w:rsidRPr="00BF3A4E" w:rsidRDefault="00D653C0" w:rsidP="00BF3A4E">
            <w:pPr>
              <w:rPr>
                <w:sz w:val="20"/>
                <w:szCs w:val="20"/>
              </w:rPr>
            </w:pPr>
            <w:r w:rsidRPr="00BF3A4E">
              <w:rPr>
                <w:sz w:val="20"/>
                <w:szCs w:val="20"/>
              </w:rPr>
              <w:t>Evaluation of the irritation and sensit</w:t>
            </w:r>
            <w:r w:rsidR="00D9155F" w:rsidRPr="00BF3A4E">
              <w:rPr>
                <w:sz w:val="20"/>
                <w:szCs w:val="20"/>
              </w:rPr>
              <w:t>isa</w:t>
            </w:r>
            <w:r w:rsidRPr="00BF3A4E">
              <w:rPr>
                <w:sz w:val="20"/>
                <w:szCs w:val="20"/>
              </w:rPr>
              <w:t>tion potential of 4 concentrations of CD5024 cream 0.03%, 0.1%, 0.3%, 1% and of its vehicles following repeated applications to the skin of healthy subjects</w:t>
            </w:r>
          </w:p>
        </w:tc>
      </w:tr>
      <w:tr w:rsidR="00D653C0" w:rsidRPr="00686209" w14:paraId="6AD89C1A" w14:textId="77777777" w:rsidTr="00545886">
        <w:tc>
          <w:tcPr>
            <w:tcW w:w="1975" w:type="dxa"/>
          </w:tcPr>
          <w:p w14:paraId="6AD89C18" w14:textId="77777777" w:rsidR="00D653C0" w:rsidRPr="00BF3A4E" w:rsidRDefault="00D653C0" w:rsidP="00BF3A4E">
            <w:pPr>
              <w:rPr>
                <w:sz w:val="20"/>
                <w:szCs w:val="20"/>
              </w:rPr>
            </w:pPr>
            <w:r w:rsidRPr="00BF3A4E">
              <w:rPr>
                <w:sz w:val="20"/>
                <w:szCs w:val="20"/>
              </w:rPr>
              <w:t>RD.03.SRE.40007</w:t>
            </w:r>
          </w:p>
        </w:tc>
        <w:tc>
          <w:tcPr>
            <w:tcW w:w="6497" w:type="dxa"/>
          </w:tcPr>
          <w:p w14:paraId="6AD89C19" w14:textId="77777777" w:rsidR="00D653C0" w:rsidRPr="00BF3A4E" w:rsidRDefault="00D653C0" w:rsidP="00BF3A4E">
            <w:pPr>
              <w:rPr>
                <w:sz w:val="20"/>
                <w:szCs w:val="20"/>
              </w:rPr>
            </w:pPr>
            <w:r w:rsidRPr="00BF3A4E">
              <w:rPr>
                <w:sz w:val="20"/>
                <w:szCs w:val="20"/>
              </w:rPr>
              <w:t>Plasma pharmacokinetics of CD5024 (1%) cream following single and repeated topical applications in healthy subjects</w:t>
            </w:r>
          </w:p>
        </w:tc>
      </w:tr>
      <w:tr w:rsidR="00D653C0" w:rsidRPr="00686209" w14:paraId="6AD89C1D" w14:textId="77777777" w:rsidTr="00545886">
        <w:tc>
          <w:tcPr>
            <w:tcW w:w="1975" w:type="dxa"/>
          </w:tcPr>
          <w:p w14:paraId="6AD89C1B" w14:textId="77777777" w:rsidR="00D653C0" w:rsidRPr="00BF3A4E" w:rsidRDefault="00D653C0" w:rsidP="00BF3A4E">
            <w:pPr>
              <w:rPr>
                <w:sz w:val="20"/>
                <w:szCs w:val="20"/>
              </w:rPr>
            </w:pPr>
            <w:r w:rsidRPr="00BF3A4E">
              <w:rPr>
                <w:sz w:val="20"/>
                <w:szCs w:val="20"/>
              </w:rPr>
              <w:t>RD.03.SRE.40064</w:t>
            </w:r>
          </w:p>
        </w:tc>
        <w:tc>
          <w:tcPr>
            <w:tcW w:w="6497" w:type="dxa"/>
          </w:tcPr>
          <w:p w14:paraId="6AD89C1C" w14:textId="77777777" w:rsidR="00D653C0" w:rsidRPr="00BF3A4E" w:rsidRDefault="00D653C0" w:rsidP="00BF3A4E">
            <w:pPr>
              <w:rPr>
                <w:sz w:val="20"/>
                <w:szCs w:val="20"/>
              </w:rPr>
            </w:pPr>
            <w:r w:rsidRPr="00BF3A4E">
              <w:rPr>
                <w:sz w:val="20"/>
                <w:szCs w:val="20"/>
              </w:rPr>
              <w:t xml:space="preserve">Plasma pharmacokinetics study of CD5024 1% cream in subjects with </w:t>
            </w:r>
            <w:proofErr w:type="spellStart"/>
            <w:r w:rsidRPr="00BF3A4E">
              <w:rPr>
                <w:sz w:val="20"/>
                <w:szCs w:val="20"/>
              </w:rPr>
              <w:t>papulo</w:t>
            </w:r>
            <w:proofErr w:type="spellEnd"/>
            <w:r w:rsidRPr="00BF3A4E">
              <w:rPr>
                <w:sz w:val="20"/>
                <w:szCs w:val="20"/>
              </w:rPr>
              <w:t>-pustular rosacea</w:t>
            </w:r>
          </w:p>
        </w:tc>
      </w:tr>
      <w:tr w:rsidR="00D653C0" w:rsidRPr="00686209" w14:paraId="6AD89C20" w14:textId="77777777" w:rsidTr="00545886">
        <w:tc>
          <w:tcPr>
            <w:tcW w:w="1975" w:type="dxa"/>
          </w:tcPr>
          <w:p w14:paraId="6AD89C1E" w14:textId="77777777" w:rsidR="00D653C0" w:rsidRPr="00BF3A4E" w:rsidRDefault="00D653C0" w:rsidP="00BF3A4E">
            <w:pPr>
              <w:rPr>
                <w:sz w:val="20"/>
                <w:szCs w:val="20"/>
              </w:rPr>
            </w:pPr>
            <w:r w:rsidRPr="00BF3A4E">
              <w:rPr>
                <w:sz w:val="20"/>
                <w:szCs w:val="20"/>
              </w:rPr>
              <w:t>RD.03.SRE.40006</w:t>
            </w:r>
          </w:p>
        </w:tc>
        <w:tc>
          <w:tcPr>
            <w:tcW w:w="6497" w:type="dxa"/>
          </w:tcPr>
          <w:p w14:paraId="6AD89C1F" w14:textId="77777777" w:rsidR="00D653C0" w:rsidRPr="00BF3A4E" w:rsidRDefault="00D653C0" w:rsidP="00BF3A4E">
            <w:pPr>
              <w:rPr>
                <w:sz w:val="20"/>
                <w:szCs w:val="20"/>
              </w:rPr>
            </w:pPr>
            <w:r w:rsidRPr="00BF3A4E">
              <w:rPr>
                <w:sz w:val="20"/>
                <w:szCs w:val="20"/>
              </w:rPr>
              <w:t xml:space="preserve">Exploratory clinical study comparing the efficacy of a twice-daily application of Ivermectin 1% cream versus its vehicle and </w:t>
            </w:r>
            <w:r w:rsidRPr="00BF3A4E">
              <w:rPr>
                <w:sz w:val="20"/>
                <w:szCs w:val="20"/>
              </w:rPr>
              <w:lastRenderedPageBreak/>
              <w:t>metronidazole 0.75% cream (</w:t>
            </w:r>
            <w:proofErr w:type="spellStart"/>
            <w:r w:rsidRPr="00BF3A4E">
              <w:rPr>
                <w:sz w:val="20"/>
                <w:szCs w:val="20"/>
              </w:rPr>
              <w:t>Rozex</w:t>
            </w:r>
            <w:proofErr w:type="spellEnd"/>
            <w:r w:rsidRPr="00BF3A4E">
              <w:rPr>
                <w:sz w:val="20"/>
                <w:szCs w:val="20"/>
              </w:rPr>
              <w:t xml:space="preserve"> ) in subjects with </w:t>
            </w:r>
            <w:proofErr w:type="spellStart"/>
            <w:r w:rsidRPr="00BF3A4E">
              <w:rPr>
                <w:sz w:val="20"/>
                <w:szCs w:val="20"/>
              </w:rPr>
              <w:t>papulo</w:t>
            </w:r>
            <w:proofErr w:type="spellEnd"/>
            <w:r w:rsidRPr="00BF3A4E">
              <w:rPr>
                <w:sz w:val="20"/>
                <w:szCs w:val="20"/>
              </w:rPr>
              <w:t>-pustular rosacea</w:t>
            </w:r>
          </w:p>
        </w:tc>
      </w:tr>
      <w:tr w:rsidR="00D653C0" w:rsidRPr="00686209" w14:paraId="6AD89C23" w14:textId="77777777" w:rsidTr="00545886">
        <w:tc>
          <w:tcPr>
            <w:tcW w:w="1975" w:type="dxa"/>
          </w:tcPr>
          <w:p w14:paraId="6AD89C21" w14:textId="77777777" w:rsidR="00D653C0" w:rsidRPr="00BF3A4E" w:rsidRDefault="00D653C0" w:rsidP="00BF3A4E">
            <w:pPr>
              <w:rPr>
                <w:sz w:val="20"/>
                <w:szCs w:val="20"/>
              </w:rPr>
            </w:pPr>
            <w:r w:rsidRPr="00BF3A4E">
              <w:rPr>
                <w:sz w:val="20"/>
                <w:szCs w:val="20"/>
              </w:rPr>
              <w:lastRenderedPageBreak/>
              <w:t>RD.03.SRE.40027</w:t>
            </w:r>
          </w:p>
        </w:tc>
        <w:tc>
          <w:tcPr>
            <w:tcW w:w="6497" w:type="dxa"/>
          </w:tcPr>
          <w:p w14:paraId="6AD89C22" w14:textId="77777777" w:rsidR="00D653C0" w:rsidRPr="00BF3A4E" w:rsidRDefault="00D653C0" w:rsidP="00BF3A4E">
            <w:pPr>
              <w:rPr>
                <w:sz w:val="20"/>
                <w:szCs w:val="20"/>
              </w:rPr>
            </w:pPr>
            <w:r w:rsidRPr="00BF3A4E">
              <w:rPr>
                <w:sz w:val="20"/>
                <w:szCs w:val="20"/>
              </w:rPr>
              <w:t xml:space="preserve">Assessment of the efficacy and safety of three concentrations: 1%, 0.3%, 0.1% of CD5024 cream once daily and CD5024 1% cream twice daily, versus its vehicle and versus Metronidazole (0.75% cream </w:t>
            </w:r>
            <w:proofErr w:type="spellStart"/>
            <w:r w:rsidRPr="00BF3A4E">
              <w:rPr>
                <w:sz w:val="20"/>
                <w:szCs w:val="20"/>
              </w:rPr>
              <w:t>Rozex</w:t>
            </w:r>
            <w:proofErr w:type="spellEnd"/>
            <w:r w:rsidRPr="00BF3A4E">
              <w:rPr>
                <w:sz w:val="20"/>
                <w:szCs w:val="20"/>
              </w:rPr>
              <w:t xml:space="preserve"> ), in patients with </w:t>
            </w:r>
            <w:proofErr w:type="spellStart"/>
            <w:r w:rsidRPr="00BF3A4E">
              <w:rPr>
                <w:sz w:val="20"/>
                <w:szCs w:val="20"/>
              </w:rPr>
              <w:t>papulo</w:t>
            </w:r>
            <w:proofErr w:type="spellEnd"/>
            <w:r w:rsidRPr="00BF3A4E">
              <w:rPr>
                <w:sz w:val="20"/>
                <w:szCs w:val="20"/>
              </w:rPr>
              <w:t>-pustular rosacea over 12 weeks</w:t>
            </w:r>
          </w:p>
        </w:tc>
      </w:tr>
      <w:tr w:rsidR="00D653C0" w:rsidRPr="00686209" w14:paraId="6AD89C26" w14:textId="77777777" w:rsidTr="00545886">
        <w:tc>
          <w:tcPr>
            <w:tcW w:w="1975" w:type="dxa"/>
          </w:tcPr>
          <w:p w14:paraId="6AD89C24" w14:textId="77777777" w:rsidR="00D653C0" w:rsidRPr="00BF3A4E" w:rsidRDefault="00D653C0" w:rsidP="00BF3A4E">
            <w:pPr>
              <w:rPr>
                <w:sz w:val="20"/>
                <w:szCs w:val="20"/>
              </w:rPr>
            </w:pPr>
            <w:r w:rsidRPr="00BF3A4E">
              <w:rPr>
                <w:sz w:val="20"/>
                <w:szCs w:val="20"/>
              </w:rPr>
              <w:t>RD.03.SRE.40106</w:t>
            </w:r>
          </w:p>
        </w:tc>
        <w:tc>
          <w:tcPr>
            <w:tcW w:w="6497" w:type="dxa"/>
          </w:tcPr>
          <w:p w14:paraId="6AD89C25" w14:textId="77777777" w:rsidR="00D653C0" w:rsidRPr="00BF3A4E" w:rsidRDefault="00D653C0" w:rsidP="00BF3A4E">
            <w:pPr>
              <w:rPr>
                <w:sz w:val="20"/>
                <w:szCs w:val="20"/>
              </w:rPr>
            </w:pPr>
            <w:r w:rsidRPr="00BF3A4E">
              <w:rPr>
                <w:sz w:val="20"/>
                <w:szCs w:val="20"/>
              </w:rPr>
              <w:t xml:space="preserve">A double-blind, vehicle-controlled, parallel group study assessing the activity of CD5024 1% cream in subjects with </w:t>
            </w:r>
            <w:proofErr w:type="spellStart"/>
            <w:r w:rsidRPr="00BF3A4E">
              <w:rPr>
                <w:sz w:val="20"/>
                <w:szCs w:val="20"/>
              </w:rPr>
              <w:t>papulopustular</w:t>
            </w:r>
            <w:proofErr w:type="spellEnd"/>
            <w:r w:rsidRPr="00BF3A4E">
              <w:rPr>
                <w:sz w:val="20"/>
                <w:szCs w:val="20"/>
              </w:rPr>
              <w:t xml:space="preserve"> rosacea over 12 weeks treatment</w:t>
            </w:r>
          </w:p>
        </w:tc>
      </w:tr>
      <w:tr w:rsidR="00D653C0" w:rsidRPr="00686209" w14:paraId="6AD89C29" w14:textId="77777777" w:rsidTr="00545886">
        <w:tc>
          <w:tcPr>
            <w:tcW w:w="1975" w:type="dxa"/>
          </w:tcPr>
          <w:p w14:paraId="6AD89C27" w14:textId="77777777" w:rsidR="00D653C0" w:rsidRPr="00BF3A4E" w:rsidRDefault="00D653C0" w:rsidP="00BF3A4E">
            <w:pPr>
              <w:rPr>
                <w:sz w:val="20"/>
                <w:szCs w:val="20"/>
              </w:rPr>
            </w:pPr>
            <w:r w:rsidRPr="00BF3A4E">
              <w:rPr>
                <w:sz w:val="20"/>
                <w:szCs w:val="20"/>
              </w:rPr>
              <w:t>RD.03.SRE.40173</w:t>
            </w:r>
          </w:p>
        </w:tc>
        <w:tc>
          <w:tcPr>
            <w:tcW w:w="6497" w:type="dxa"/>
          </w:tcPr>
          <w:p w14:paraId="6AD89C28" w14:textId="77777777" w:rsidR="00D653C0" w:rsidRPr="00BF3A4E" w:rsidRDefault="00D653C0" w:rsidP="00BF3A4E">
            <w:pPr>
              <w:rPr>
                <w:sz w:val="20"/>
                <w:szCs w:val="20"/>
              </w:rPr>
            </w:pPr>
            <w:r w:rsidRPr="00BF3A4E">
              <w:rPr>
                <w:sz w:val="20"/>
                <w:szCs w:val="20"/>
              </w:rPr>
              <w:t xml:space="preserve">Efficacy and safety of CD5024 1% cream versus metronidazole 0.75% cream in subjects with </w:t>
            </w:r>
            <w:proofErr w:type="spellStart"/>
            <w:r w:rsidRPr="00BF3A4E">
              <w:rPr>
                <w:sz w:val="20"/>
                <w:szCs w:val="20"/>
              </w:rPr>
              <w:t>papulo</w:t>
            </w:r>
            <w:proofErr w:type="spellEnd"/>
            <w:r w:rsidRPr="00BF3A4E">
              <w:rPr>
                <w:sz w:val="20"/>
                <w:szCs w:val="20"/>
              </w:rPr>
              <w:t>-pustular rosacea over 16 weeks treatment, followed by a 36-week extension period</w:t>
            </w:r>
          </w:p>
        </w:tc>
      </w:tr>
      <w:tr w:rsidR="00D653C0" w:rsidRPr="00686209" w14:paraId="6AD89C2C" w14:textId="77777777" w:rsidTr="00545886">
        <w:tc>
          <w:tcPr>
            <w:tcW w:w="1975" w:type="dxa"/>
          </w:tcPr>
          <w:p w14:paraId="6AD89C2A" w14:textId="77777777" w:rsidR="00D653C0" w:rsidRPr="00BF3A4E" w:rsidRDefault="00D653C0" w:rsidP="00BF3A4E">
            <w:pPr>
              <w:rPr>
                <w:sz w:val="20"/>
                <w:szCs w:val="20"/>
              </w:rPr>
            </w:pPr>
            <w:r w:rsidRPr="00BF3A4E">
              <w:rPr>
                <w:sz w:val="20"/>
                <w:szCs w:val="20"/>
              </w:rPr>
              <w:t>RD.06.SRE.18170</w:t>
            </w:r>
          </w:p>
        </w:tc>
        <w:tc>
          <w:tcPr>
            <w:tcW w:w="6497" w:type="dxa"/>
          </w:tcPr>
          <w:p w14:paraId="6AD89C2B" w14:textId="77777777" w:rsidR="00D653C0" w:rsidRPr="00BF3A4E" w:rsidRDefault="00D653C0" w:rsidP="00BF3A4E">
            <w:pPr>
              <w:rPr>
                <w:sz w:val="20"/>
                <w:szCs w:val="20"/>
              </w:rPr>
            </w:pPr>
            <w:r w:rsidRPr="00BF3A4E">
              <w:rPr>
                <w:sz w:val="20"/>
                <w:szCs w:val="20"/>
              </w:rPr>
              <w:t>A Phase III random</w:t>
            </w:r>
            <w:r w:rsidR="00603F07" w:rsidRPr="00BF3A4E">
              <w:rPr>
                <w:sz w:val="20"/>
                <w:szCs w:val="20"/>
              </w:rPr>
              <w:t>ise</w:t>
            </w:r>
            <w:r w:rsidRPr="00BF3A4E">
              <w:rPr>
                <w:sz w:val="20"/>
                <w:szCs w:val="20"/>
              </w:rPr>
              <w:t xml:space="preserve">d, double-blind, 12-week vehicle-controlled, parallel-group study assessing the efficacy and safety of CD5024 1 % cream versus vehicle cream in subjects with </w:t>
            </w:r>
            <w:proofErr w:type="spellStart"/>
            <w:r w:rsidRPr="00BF3A4E">
              <w:rPr>
                <w:sz w:val="20"/>
                <w:szCs w:val="20"/>
              </w:rPr>
              <w:t>papulo</w:t>
            </w:r>
            <w:proofErr w:type="spellEnd"/>
            <w:r w:rsidRPr="00BF3A4E">
              <w:rPr>
                <w:sz w:val="20"/>
                <w:szCs w:val="20"/>
              </w:rPr>
              <w:t xml:space="preserve">-pustular rosacea, followed by a 40-week investigator-blinded extension comparing the long-term safety of CD5024 1% cream versus </w:t>
            </w:r>
            <w:proofErr w:type="spellStart"/>
            <w:r w:rsidRPr="00BF3A4E">
              <w:rPr>
                <w:sz w:val="20"/>
                <w:szCs w:val="20"/>
              </w:rPr>
              <w:t>azelaic</w:t>
            </w:r>
            <w:proofErr w:type="spellEnd"/>
            <w:r w:rsidRPr="00BF3A4E">
              <w:rPr>
                <w:sz w:val="20"/>
                <w:szCs w:val="20"/>
              </w:rPr>
              <w:t xml:space="preserve"> acid 15% gel</w:t>
            </w:r>
          </w:p>
        </w:tc>
      </w:tr>
      <w:tr w:rsidR="00D653C0" w:rsidRPr="00686209" w14:paraId="6AD89C2F" w14:textId="77777777" w:rsidTr="00545886">
        <w:tc>
          <w:tcPr>
            <w:tcW w:w="1975" w:type="dxa"/>
          </w:tcPr>
          <w:p w14:paraId="6AD89C2D" w14:textId="77777777" w:rsidR="00D653C0" w:rsidRPr="00BF3A4E" w:rsidRDefault="00D653C0" w:rsidP="00BF3A4E">
            <w:pPr>
              <w:rPr>
                <w:sz w:val="20"/>
                <w:szCs w:val="20"/>
              </w:rPr>
            </w:pPr>
            <w:r w:rsidRPr="00BF3A4E">
              <w:rPr>
                <w:sz w:val="20"/>
                <w:szCs w:val="20"/>
              </w:rPr>
              <w:t>RD.06.SRE.18171</w:t>
            </w:r>
          </w:p>
        </w:tc>
        <w:tc>
          <w:tcPr>
            <w:tcW w:w="6497" w:type="dxa"/>
          </w:tcPr>
          <w:p w14:paraId="6AD89C2E" w14:textId="77777777" w:rsidR="00D653C0" w:rsidRPr="00BF3A4E" w:rsidRDefault="00D653C0" w:rsidP="00BF3A4E">
            <w:pPr>
              <w:rPr>
                <w:sz w:val="20"/>
                <w:szCs w:val="20"/>
              </w:rPr>
            </w:pPr>
            <w:r w:rsidRPr="00BF3A4E">
              <w:rPr>
                <w:sz w:val="20"/>
                <w:szCs w:val="20"/>
              </w:rPr>
              <w:t>A Phase III random</w:t>
            </w:r>
            <w:r w:rsidR="00603F07" w:rsidRPr="00BF3A4E">
              <w:rPr>
                <w:sz w:val="20"/>
                <w:szCs w:val="20"/>
              </w:rPr>
              <w:t>ise</w:t>
            </w:r>
            <w:r w:rsidRPr="00BF3A4E">
              <w:rPr>
                <w:sz w:val="20"/>
                <w:szCs w:val="20"/>
              </w:rPr>
              <w:t xml:space="preserve">d, double-blind, 12-week vehicle-controlled, parallel-group study assessing the efficacy and safety of CD5024 1 % cream versus vehicle cream in subjects with </w:t>
            </w:r>
            <w:proofErr w:type="spellStart"/>
            <w:r w:rsidRPr="00BF3A4E">
              <w:rPr>
                <w:sz w:val="20"/>
                <w:szCs w:val="20"/>
              </w:rPr>
              <w:t>papulopustular</w:t>
            </w:r>
            <w:proofErr w:type="spellEnd"/>
            <w:r w:rsidRPr="00BF3A4E">
              <w:rPr>
                <w:sz w:val="20"/>
                <w:szCs w:val="20"/>
              </w:rPr>
              <w:t xml:space="preserve"> rosacea, followed by a 40-week investigator-blinded extension comparing the long-term safety of CD5024 1% cream versus </w:t>
            </w:r>
            <w:proofErr w:type="spellStart"/>
            <w:r w:rsidRPr="00BF3A4E">
              <w:rPr>
                <w:sz w:val="20"/>
                <w:szCs w:val="20"/>
              </w:rPr>
              <w:t>azelaic</w:t>
            </w:r>
            <w:proofErr w:type="spellEnd"/>
            <w:r w:rsidRPr="00BF3A4E">
              <w:rPr>
                <w:sz w:val="20"/>
                <w:szCs w:val="20"/>
              </w:rPr>
              <w:t xml:space="preserve"> acid 15% gel</w:t>
            </w:r>
          </w:p>
        </w:tc>
      </w:tr>
      <w:tr w:rsidR="00D653C0" w:rsidRPr="00686209" w14:paraId="6AD89C32" w14:textId="77777777" w:rsidTr="00545886">
        <w:tc>
          <w:tcPr>
            <w:tcW w:w="1975" w:type="dxa"/>
          </w:tcPr>
          <w:p w14:paraId="6AD89C30" w14:textId="77777777" w:rsidR="00D653C0" w:rsidRPr="00BF3A4E" w:rsidRDefault="00D653C0" w:rsidP="00BF3A4E">
            <w:pPr>
              <w:rPr>
                <w:sz w:val="20"/>
                <w:szCs w:val="20"/>
              </w:rPr>
            </w:pPr>
            <w:r w:rsidRPr="00BF3A4E">
              <w:rPr>
                <w:sz w:val="20"/>
                <w:szCs w:val="20"/>
              </w:rPr>
              <w:t>RD.03.SRE.40051</w:t>
            </w:r>
          </w:p>
        </w:tc>
        <w:tc>
          <w:tcPr>
            <w:tcW w:w="6497" w:type="dxa"/>
          </w:tcPr>
          <w:p w14:paraId="6AD89C31" w14:textId="77777777" w:rsidR="00D653C0" w:rsidRPr="00BF3A4E" w:rsidRDefault="00D653C0" w:rsidP="00BF3A4E">
            <w:pPr>
              <w:rPr>
                <w:sz w:val="20"/>
                <w:szCs w:val="20"/>
              </w:rPr>
            </w:pPr>
            <w:r w:rsidRPr="00BF3A4E">
              <w:rPr>
                <w:sz w:val="20"/>
                <w:szCs w:val="20"/>
              </w:rPr>
              <w:t xml:space="preserve">A multicentre, open-label study to evaluate the long-term safety and efficacy of CD5024 1% cream treatment for up to 52 weeks in subjects with </w:t>
            </w:r>
            <w:proofErr w:type="spellStart"/>
            <w:r w:rsidRPr="00BF3A4E">
              <w:rPr>
                <w:sz w:val="20"/>
                <w:szCs w:val="20"/>
              </w:rPr>
              <w:t>papulo</w:t>
            </w:r>
            <w:proofErr w:type="spellEnd"/>
            <w:r w:rsidRPr="00BF3A4E">
              <w:rPr>
                <w:sz w:val="20"/>
                <w:szCs w:val="20"/>
              </w:rPr>
              <w:t xml:space="preserve"> pustular rosacea</w:t>
            </w:r>
          </w:p>
        </w:tc>
      </w:tr>
      <w:tr w:rsidR="00D653C0" w:rsidRPr="00686209" w14:paraId="6AD89C35" w14:textId="77777777" w:rsidTr="00545886">
        <w:tc>
          <w:tcPr>
            <w:tcW w:w="1975" w:type="dxa"/>
          </w:tcPr>
          <w:p w14:paraId="6AD89C33" w14:textId="77777777" w:rsidR="00D653C0" w:rsidRPr="00BF3A4E" w:rsidRDefault="00D653C0" w:rsidP="00BF3A4E">
            <w:pPr>
              <w:rPr>
                <w:sz w:val="20"/>
                <w:szCs w:val="20"/>
              </w:rPr>
            </w:pPr>
            <w:r w:rsidRPr="00BF3A4E">
              <w:rPr>
                <w:sz w:val="20"/>
                <w:szCs w:val="20"/>
              </w:rPr>
              <w:t>RD.06.SRE.18120</w:t>
            </w:r>
          </w:p>
        </w:tc>
        <w:tc>
          <w:tcPr>
            <w:tcW w:w="6497" w:type="dxa"/>
          </w:tcPr>
          <w:p w14:paraId="6AD89C34" w14:textId="77777777" w:rsidR="00D653C0" w:rsidRPr="00BF3A4E" w:rsidRDefault="00D653C0" w:rsidP="00BF3A4E">
            <w:pPr>
              <w:rPr>
                <w:sz w:val="20"/>
                <w:szCs w:val="20"/>
              </w:rPr>
            </w:pPr>
            <w:r w:rsidRPr="00BF3A4E">
              <w:rPr>
                <w:sz w:val="20"/>
                <w:szCs w:val="20"/>
              </w:rPr>
              <w:t xml:space="preserve">A positive and placebo controlled, double-blind, parallel, single dose, thorough </w:t>
            </w:r>
            <w:proofErr w:type="spellStart"/>
            <w:r w:rsidRPr="00BF3A4E">
              <w:rPr>
                <w:sz w:val="20"/>
                <w:szCs w:val="20"/>
              </w:rPr>
              <w:t>QTc</w:t>
            </w:r>
            <w:proofErr w:type="spellEnd"/>
            <w:r w:rsidRPr="00BF3A4E">
              <w:rPr>
                <w:sz w:val="20"/>
                <w:szCs w:val="20"/>
              </w:rPr>
              <w:t xml:space="preserve"> study of oral Ivermectin at a supra-therapeutic dose in healthy subjects</w:t>
            </w:r>
          </w:p>
        </w:tc>
      </w:tr>
      <w:tr w:rsidR="00D653C0" w:rsidRPr="00686209" w14:paraId="6AD89C38" w14:textId="77777777" w:rsidTr="00545886">
        <w:tc>
          <w:tcPr>
            <w:tcW w:w="1975" w:type="dxa"/>
          </w:tcPr>
          <w:p w14:paraId="6AD89C36" w14:textId="77777777" w:rsidR="00D653C0" w:rsidRPr="00BF3A4E" w:rsidRDefault="00D653C0" w:rsidP="00BF3A4E">
            <w:pPr>
              <w:rPr>
                <w:sz w:val="20"/>
                <w:szCs w:val="20"/>
              </w:rPr>
            </w:pPr>
            <w:r w:rsidRPr="00BF3A4E">
              <w:rPr>
                <w:sz w:val="20"/>
                <w:szCs w:val="20"/>
              </w:rPr>
              <w:t>RD.03.SRE.40037</w:t>
            </w:r>
          </w:p>
        </w:tc>
        <w:tc>
          <w:tcPr>
            <w:tcW w:w="6497" w:type="dxa"/>
          </w:tcPr>
          <w:p w14:paraId="6AD89C37" w14:textId="77777777" w:rsidR="00D653C0" w:rsidRPr="00BF3A4E" w:rsidRDefault="00D653C0" w:rsidP="00BF3A4E">
            <w:pPr>
              <w:rPr>
                <w:sz w:val="20"/>
                <w:szCs w:val="20"/>
              </w:rPr>
            </w:pPr>
            <w:r w:rsidRPr="00BF3A4E">
              <w:rPr>
                <w:sz w:val="20"/>
                <w:szCs w:val="20"/>
              </w:rPr>
              <w:t xml:space="preserve">An exploratory study to evaluate relapses following an initial 12 weeks dose-range study with CD5024 cream versus its vehicle and versus </w:t>
            </w:r>
            <w:proofErr w:type="spellStart"/>
            <w:r w:rsidRPr="00BF3A4E">
              <w:rPr>
                <w:sz w:val="20"/>
                <w:szCs w:val="20"/>
              </w:rPr>
              <w:t>metronidaxzole</w:t>
            </w:r>
            <w:proofErr w:type="spellEnd"/>
            <w:r w:rsidRPr="00BF3A4E">
              <w:rPr>
                <w:sz w:val="20"/>
                <w:szCs w:val="20"/>
              </w:rPr>
              <w:t xml:space="preserve"> 0.75% cream in </w:t>
            </w:r>
            <w:proofErr w:type="spellStart"/>
            <w:r w:rsidRPr="00BF3A4E">
              <w:rPr>
                <w:sz w:val="20"/>
                <w:szCs w:val="20"/>
              </w:rPr>
              <w:t>papulo</w:t>
            </w:r>
            <w:proofErr w:type="spellEnd"/>
            <w:r w:rsidRPr="00BF3A4E">
              <w:rPr>
                <w:sz w:val="20"/>
                <w:szCs w:val="20"/>
              </w:rPr>
              <w:t>-pustular rosacea − a 6 month follow-up treatment-free study</w:t>
            </w:r>
          </w:p>
        </w:tc>
      </w:tr>
      <w:tr w:rsidR="00D653C0" w:rsidRPr="00686209" w14:paraId="6AD89C3B" w14:textId="77777777" w:rsidTr="00545886">
        <w:tc>
          <w:tcPr>
            <w:tcW w:w="1975" w:type="dxa"/>
          </w:tcPr>
          <w:p w14:paraId="6AD89C39" w14:textId="77777777" w:rsidR="00D653C0" w:rsidRPr="00BF3A4E" w:rsidRDefault="00D653C0" w:rsidP="00BF3A4E">
            <w:pPr>
              <w:rPr>
                <w:sz w:val="20"/>
                <w:szCs w:val="20"/>
              </w:rPr>
            </w:pPr>
            <w:r w:rsidRPr="00BF3A4E">
              <w:rPr>
                <w:sz w:val="20"/>
                <w:szCs w:val="20"/>
              </w:rPr>
              <w:t>RD.03.SRE.2894</w:t>
            </w:r>
          </w:p>
        </w:tc>
        <w:tc>
          <w:tcPr>
            <w:tcW w:w="6497" w:type="dxa"/>
          </w:tcPr>
          <w:p w14:paraId="6AD89C3A" w14:textId="77777777" w:rsidR="00D653C0" w:rsidRPr="00BF3A4E" w:rsidRDefault="00D653C0" w:rsidP="00BF3A4E">
            <w:pPr>
              <w:rPr>
                <w:sz w:val="20"/>
                <w:szCs w:val="20"/>
              </w:rPr>
            </w:pPr>
            <w:r w:rsidRPr="00BF3A4E">
              <w:rPr>
                <w:sz w:val="20"/>
                <w:szCs w:val="20"/>
              </w:rPr>
              <w:t>Clinical study comparing the efficacy of a twice daily application of Ivermectin 1% cream versus its vehicle and metronidazole 0,75% emulsion (</w:t>
            </w:r>
            <w:proofErr w:type="spellStart"/>
            <w:r w:rsidRPr="00BF3A4E">
              <w:rPr>
                <w:sz w:val="20"/>
                <w:szCs w:val="20"/>
              </w:rPr>
              <w:t>Rozex</w:t>
            </w:r>
            <w:proofErr w:type="spellEnd"/>
            <w:r w:rsidRPr="00BF3A4E">
              <w:rPr>
                <w:sz w:val="20"/>
                <w:szCs w:val="20"/>
              </w:rPr>
              <w:t xml:space="preserve">) in subjects with </w:t>
            </w:r>
            <w:proofErr w:type="spellStart"/>
            <w:r w:rsidRPr="00BF3A4E">
              <w:rPr>
                <w:sz w:val="20"/>
                <w:szCs w:val="20"/>
              </w:rPr>
              <w:t>papulo</w:t>
            </w:r>
            <w:proofErr w:type="spellEnd"/>
            <w:r w:rsidRPr="00BF3A4E">
              <w:rPr>
                <w:sz w:val="20"/>
                <w:szCs w:val="20"/>
              </w:rPr>
              <w:t>-pustular rosacea</w:t>
            </w:r>
          </w:p>
        </w:tc>
      </w:tr>
    </w:tbl>
    <w:p w14:paraId="6AD89C3C" w14:textId="77777777" w:rsidR="00605AD4" w:rsidRDefault="00605AD4" w:rsidP="00605AD4">
      <w:pPr>
        <w:pStyle w:val="Heading4"/>
      </w:pPr>
      <w:r w:rsidRPr="00605AD4">
        <w:t>Paediatric data</w:t>
      </w:r>
    </w:p>
    <w:p w14:paraId="6AD89C3D" w14:textId="77777777" w:rsidR="001930BB" w:rsidRPr="001930BB" w:rsidRDefault="001930BB" w:rsidP="001930BB">
      <w:r w:rsidRPr="001930BB">
        <w:t>The submission did not include paediatric data.</w:t>
      </w:r>
    </w:p>
    <w:p w14:paraId="6AD89C3E" w14:textId="77777777" w:rsidR="00605AD4" w:rsidRDefault="00605AD4" w:rsidP="00605AD4">
      <w:pPr>
        <w:pStyle w:val="Heading4"/>
      </w:pPr>
      <w:r w:rsidRPr="00605AD4">
        <w:t>Good clinical practice</w:t>
      </w:r>
    </w:p>
    <w:p w14:paraId="6AD89C3F" w14:textId="77777777" w:rsidR="001930BB" w:rsidRPr="001930BB" w:rsidRDefault="001930BB" w:rsidP="001930BB">
      <w:r w:rsidRPr="001930BB">
        <w:t>Good clinical practice (GCP) compliance was asserted for all studies included in the dossier.</w:t>
      </w:r>
    </w:p>
    <w:p w14:paraId="6AD89C40" w14:textId="77777777" w:rsidR="008E7846" w:rsidRDefault="008E7846" w:rsidP="00605AD4">
      <w:pPr>
        <w:pStyle w:val="Heading3"/>
      </w:pPr>
      <w:bookmarkStart w:id="72" w:name="_Toc437418393"/>
      <w:r w:rsidRPr="00254787">
        <w:lastRenderedPageBreak/>
        <w:t>Pharmacokinetics</w:t>
      </w:r>
      <w:bookmarkEnd w:id="63"/>
      <w:bookmarkEnd w:id="69"/>
      <w:bookmarkEnd w:id="70"/>
      <w:bookmarkEnd w:id="71"/>
      <w:bookmarkEnd w:id="72"/>
    </w:p>
    <w:p w14:paraId="6AD89C41" w14:textId="77777777" w:rsidR="009F0B24" w:rsidRDefault="009F0B24" w:rsidP="009F0B24">
      <w:r w:rsidRPr="00620B63">
        <w:t xml:space="preserve">Summaries of the pharmacokinetic studies </w:t>
      </w:r>
      <w:r>
        <w:t xml:space="preserve">were </w:t>
      </w:r>
      <w:r w:rsidRPr="00D27167">
        <w:t xml:space="preserve">provided. Table </w:t>
      </w:r>
      <w:r w:rsidR="00D653C0">
        <w:t>5</w:t>
      </w:r>
      <w:r w:rsidRPr="00D27167">
        <w:t xml:space="preserve"> shows the studies </w:t>
      </w:r>
      <w:r w:rsidRPr="00620B63">
        <w:t>relating to each pharmacokinetic topic.</w:t>
      </w:r>
    </w:p>
    <w:p w14:paraId="6AD89C42" w14:textId="77777777" w:rsidR="00EC463D" w:rsidRPr="00D27167" w:rsidRDefault="00D653C0" w:rsidP="009F0B24">
      <w:pPr>
        <w:pStyle w:val="TableTitle"/>
      </w:pPr>
      <w:proofErr w:type="gramStart"/>
      <w:r>
        <w:t>Table 5</w:t>
      </w:r>
      <w:r w:rsidR="009F0B24" w:rsidRPr="00D27167">
        <w:t>.</w:t>
      </w:r>
      <w:proofErr w:type="gramEnd"/>
      <w:r w:rsidR="009F0B24" w:rsidRPr="00D27167">
        <w:t xml:space="preserve"> </w:t>
      </w:r>
      <w:proofErr w:type="gramStart"/>
      <w:r w:rsidR="009F0B24" w:rsidRPr="00D27167">
        <w:t>Submitted pharmacokinetic studies.</w:t>
      </w:r>
      <w:proofErr w:type="gramEnd"/>
    </w:p>
    <w:tbl>
      <w:tblPr>
        <w:tblStyle w:val="TableTGAblue"/>
        <w:tblW w:w="8755" w:type="dxa"/>
        <w:tblLayout w:type="fixed"/>
        <w:tblLook w:val="04A0" w:firstRow="1" w:lastRow="0" w:firstColumn="1" w:lastColumn="0" w:noHBand="0" w:noVBand="1"/>
        <w:tblDescription w:val="Table 5. Submitted pharmacokinetic studies."/>
      </w:tblPr>
      <w:tblGrid>
        <w:gridCol w:w="2518"/>
        <w:gridCol w:w="3686"/>
        <w:gridCol w:w="2551"/>
      </w:tblGrid>
      <w:tr w:rsidR="001930BB" w:rsidRPr="00686209" w14:paraId="6AD89C46" w14:textId="77777777" w:rsidTr="001930BB">
        <w:trPr>
          <w:cnfStyle w:val="100000000000" w:firstRow="1" w:lastRow="0" w:firstColumn="0" w:lastColumn="0" w:oddVBand="0" w:evenVBand="0" w:oddHBand="0" w:evenHBand="0" w:firstRowFirstColumn="0" w:firstRowLastColumn="0" w:lastRowFirstColumn="0" w:lastRowLastColumn="0"/>
        </w:trPr>
        <w:tc>
          <w:tcPr>
            <w:tcW w:w="2518" w:type="dxa"/>
          </w:tcPr>
          <w:p w14:paraId="6AD89C43" w14:textId="77777777" w:rsidR="001930BB" w:rsidRPr="00BF3A4E" w:rsidRDefault="001930BB" w:rsidP="00BF3A4E">
            <w:pPr>
              <w:rPr>
                <w:rFonts w:asciiTheme="minorHAnsi" w:hAnsiTheme="minorHAnsi"/>
                <w:b w:val="0"/>
                <w:sz w:val="20"/>
                <w:szCs w:val="20"/>
              </w:rPr>
            </w:pPr>
            <w:r w:rsidRPr="00BF3A4E">
              <w:rPr>
                <w:rFonts w:asciiTheme="minorHAnsi" w:hAnsiTheme="minorHAnsi"/>
                <w:sz w:val="20"/>
                <w:szCs w:val="20"/>
              </w:rPr>
              <w:t>PK topic</w:t>
            </w:r>
          </w:p>
        </w:tc>
        <w:tc>
          <w:tcPr>
            <w:tcW w:w="3686" w:type="dxa"/>
          </w:tcPr>
          <w:p w14:paraId="6AD89C44" w14:textId="77777777" w:rsidR="001930BB" w:rsidRPr="00BF3A4E" w:rsidRDefault="001930BB" w:rsidP="00BF3A4E">
            <w:pPr>
              <w:rPr>
                <w:rFonts w:asciiTheme="minorHAnsi" w:hAnsiTheme="minorHAnsi"/>
                <w:b w:val="0"/>
                <w:sz w:val="20"/>
                <w:szCs w:val="20"/>
              </w:rPr>
            </w:pPr>
            <w:r w:rsidRPr="00BF3A4E">
              <w:rPr>
                <w:rFonts w:asciiTheme="minorHAnsi" w:hAnsiTheme="minorHAnsi"/>
                <w:sz w:val="20"/>
                <w:szCs w:val="20"/>
              </w:rPr>
              <w:t>Subtopic</w:t>
            </w:r>
          </w:p>
        </w:tc>
        <w:tc>
          <w:tcPr>
            <w:tcW w:w="2551" w:type="dxa"/>
          </w:tcPr>
          <w:p w14:paraId="6AD89C45" w14:textId="77777777" w:rsidR="001930BB" w:rsidRPr="00BF3A4E" w:rsidRDefault="001930BB" w:rsidP="00BF3A4E">
            <w:pPr>
              <w:rPr>
                <w:rFonts w:asciiTheme="minorHAnsi" w:hAnsiTheme="minorHAnsi"/>
                <w:b w:val="0"/>
                <w:sz w:val="20"/>
                <w:szCs w:val="20"/>
              </w:rPr>
            </w:pPr>
            <w:r w:rsidRPr="00BF3A4E">
              <w:rPr>
                <w:rFonts w:asciiTheme="minorHAnsi" w:hAnsiTheme="minorHAnsi"/>
                <w:sz w:val="20"/>
                <w:szCs w:val="20"/>
              </w:rPr>
              <w:t>Study ID</w:t>
            </w:r>
          </w:p>
        </w:tc>
      </w:tr>
      <w:tr w:rsidR="001930BB" w:rsidRPr="00686209" w14:paraId="6AD89C4B" w14:textId="77777777" w:rsidTr="001930BB">
        <w:tc>
          <w:tcPr>
            <w:tcW w:w="2518" w:type="dxa"/>
            <w:vMerge w:val="restart"/>
          </w:tcPr>
          <w:p w14:paraId="6AD89C47"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 xml:space="preserve">PK in healthy </w:t>
            </w:r>
          </w:p>
          <w:p w14:paraId="6AD89C48"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adults</w:t>
            </w:r>
          </w:p>
        </w:tc>
        <w:tc>
          <w:tcPr>
            <w:tcW w:w="3686" w:type="dxa"/>
          </w:tcPr>
          <w:p w14:paraId="6AD89C49"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General PK</w:t>
            </w:r>
          </w:p>
        </w:tc>
        <w:tc>
          <w:tcPr>
            <w:tcW w:w="2551" w:type="dxa"/>
          </w:tcPr>
          <w:p w14:paraId="6AD89C4A" w14:textId="77777777" w:rsidR="001930BB" w:rsidRPr="00BF3A4E" w:rsidRDefault="001930BB" w:rsidP="00BF3A4E">
            <w:pPr>
              <w:rPr>
                <w:rFonts w:asciiTheme="minorHAnsi" w:hAnsiTheme="minorHAnsi"/>
                <w:sz w:val="20"/>
                <w:szCs w:val="20"/>
              </w:rPr>
            </w:pPr>
          </w:p>
        </w:tc>
      </w:tr>
      <w:tr w:rsidR="001930BB" w:rsidRPr="00686209" w14:paraId="6AD89C4F" w14:textId="77777777" w:rsidTr="001930BB">
        <w:tc>
          <w:tcPr>
            <w:tcW w:w="2518" w:type="dxa"/>
            <w:vMerge/>
          </w:tcPr>
          <w:p w14:paraId="6AD89C4C" w14:textId="77777777" w:rsidR="001930BB" w:rsidRPr="00BF3A4E" w:rsidRDefault="001930BB" w:rsidP="00BF3A4E">
            <w:pPr>
              <w:rPr>
                <w:rFonts w:asciiTheme="minorHAnsi" w:hAnsiTheme="minorHAnsi"/>
                <w:sz w:val="20"/>
                <w:szCs w:val="20"/>
              </w:rPr>
            </w:pPr>
          </w:p>
        </w:tc>
        <w:tc>
          <w:tcPr>
            <w:tcW w:w="3686" w:type="dxa"/>
          </w:tcPr>
          <w:p w14:paraId="6AD89C4D"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Single dose</w:t>
            </w:r>
          </w:p>
        </w:tc>
        <w:tc>
          <w:tcPr>
            <w:tcW w:w="2551" w:type="dxa"/>
          </w:tcPr>
          <w:p w14:paraId="6AD89C4E"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RD.03.SRE.40007</w:t>
            </w:r>
          </w:p>
        </w:tc>
      </w:tr>
      <w:tr w:rsidR="001930BB" w:rsidRPr="00686209" w14:paraId="6AD89C53" w14:textId="77777777" w:rsidTr="001930BB">
        <w:tc>
          <w:tcPr>
            <w:tcW w:w="2518" w:type="dxa"/>
            <w:vMerge/>
          </w:tcPr>
          <w:p w14:paraId="6AD89C50" w14:textId="77777777" w:rsidR="001930BB" w:rsidRPr="00BF3A4E" w:rsidRDefault="001930BB" w:rsidP="00BF3A4E">
            <w:pPr>
              <w:rPr>
                <w:rFonts w:asciiTheme="minorHAnsi" w:hAnsiTheme="minorHAnsi"/>
                <w:sz w:val="20"/>
                <w:szCs w:val="20"/>
              </w:rPr>
            </w:pPr>
          </w:p>
        </w:tc>
        <w:tc>
          <w:tcPr>
            <w:tcW w:w="3686" w:type="dxa"/>
          </w:tcPr>
          <w:p w14:paraId="6AD89C51"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Multi-dose</w:t>
            </w:r>
          </w:p>
        </w:tc>
        <w:tc>
          <w:tcPr>
            <w:tcW w:w="2551" w:type="dxa"/>
          </w:tcPr>
          <w:p w14:paraId="6AD89C52"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RD.03.SRE.40007</w:t>
            </w:r>
          </w:p>
        </w:tc>
      </w:tr>
      <w:tr w:rsidR="001930BB" w:rsidRPr="00686209" w14:paraId="6AD89C57" w14:textId="77777777" w:rsidTr="001930BB">
        <w:tc>
          <w:tcPr>
            <w:tcW w:w="2518" w:type="dxa"/>
            <w:vMerge/>
          </w:tcPr>
          <w:p w14:paraId="6AD89C54" w14:textId="77777777" w:rsidR="001930BB" w:rsidRPr="00BF3A4E" w:rsidRDefault="001930BB" w:rsidP="00BF3A4E">
            <w:pPr>
              <w:rPr>
                <w:rFonts w:asciiTheme="minorHAnsi" w:hAnsiTheme="minorHAnsi"/>
                <w:sz w:val="20"/>
                <w:szCs w:val="20"/>
              </w:rPr>
            </w:pPr>
          </w:p>
        </w:tc>
        <w:tc>
          <w:tcPr>
            <w:tcW w:w="3686" w:type="dxa"/>
          </w:tcPr>
          <w:p w14:paraId="6AD89C55"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Bioequivalence</w:t>
            </w:r>
          </w:p>
        </w:tc>
        <w:tc>
          <w:tcPr>
            <w:tcW w:w="2551" w:type="dxa"/>
          </w:tcPr>
          <w:p w14:paraId="6AD89C56" w14:textId="77777777" w:rsidR="001930BB" w:rsidRPr="00BF3A4E" w:rsidRDefault="001930BB" w:rsidP="00BF3A4E">
            <w:pPr>
              <w:rPr>
                <w:rFonts w:asciiTheme="minorHAnsi" w:hAnsiTheme="minorHAnsi"/>
                <w:sz w:val="20"/>
                <w:szCs w:val="20"/>
              </w:rPr>
            </w:pPr>
          </w:p>
        </w:tc>
      </w:tr>
      <w:tr w:rsidR="001930BB" w:rsidRPr="00686209" w14:paraId="6AD89C5B" w14:textId="77777777" w:rsidTr="001930BB">
        <w:tc>
          <w:tcPr>
            <w:tcW w:w="2518" w:type="dxa"/>
            <w:vMerge/>
          </w:tcPr>
          <w:p w14:paraId="6AD89C58" w14:textId="77777777" w:rsidR="001930BB" w:rsidRPr="00BF3A4E" w:rsidRDefault="001930BB" w:rsidP="00BF3A4E">
            <w:pPr>
              <w:rPr>
                <w:rFonts w:asciiTheme="minorHAnsi" w:hAnsiTheme="minorHAnsi"/>
                <w:sz w:val="20"/>
                <w:szCs w:val="20"/>
              </w:rPr>
            </w:pPr>
          </w:p>
        </w:tc>
        <w:tc>
          <w:tcPr>
            <w:tcW w:w="3686" w:type="dxa"/>
          </w:tcPr>
          <w:p w14:paraId="6AD89C59"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Single dose</w:t>
            </w:r>
          </w:p>
        </w:tc>
        <w:tc>
          <w:tcPr>
            <w:tcW w:w="2551" w:type="dxa"/>
          </w:tcPr>
          <w:p w14:paraId="6AD89C5A"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5F" w14:textId="77777777" w:rsidTr="001930BB">
        <w:tc>
          <w:tcPr>
            <w:tcW w:w="2518" w:type="dxa"/>
            <w:vMerge/>
          </w:tcPr>
          <w:p w14:paraId="6AD89C5C" w14:textId="77777777" w:rsidR="001930BB" w:rsidRPr="00BF3A4E" w:rsidRDefault="001930BB" w:rsidP="00BF3A4E">
            <w:pPr>
              <w:rPr>
                <w:rFonts w:asciiTheme="minorHAnsi" w:hAnsiTheme="minorHAnsi"/>
                <w:sz w:val="20"/>
                <w:szCs w:val="20"/>
              </w:rPr>
            </w:pPr>
          </w:p>
        </w:tc>
        <w:tc>
          <w:tcPr>
            <w:tcW w:w="3686" w:type="dxa"/>
          </w:tcPr>
          <w:p w14:paraId="6AD89C5D"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Multi-dose</w:t>
            </w:r>
          </w:p>
        </w:tc>
        <w:tc>
          <w:tcPr>
            <w:tcW w:w="2551" w:type="dxa"/>
          </w:tcPr>
          <w:p w14:paraId="6AD89C5E"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63" w14:textId="77777777" w:rsidTr="001930BB">
        <w:tc>
          <w:tcPr>
            <w:tcW w:w="2518" w:type="dxa"/>
            <w:vMerge/>
          </w:tcPr>
          <w:p w14:paraId="6AD89C60" w14:textId="77777777" w:rsidR="001930BB" w:rsidRPr="00BF3A4E" w:rsidRDefault="001930BB" w:rsidP="00BF3A4E">
            <w:pPr>
              <w:rPr>
                <w:rFonts w:asciiTheme="minorHAnsi" w:hAnsiTheme="minorHAnsi"/>
                <w:sz w:val="20"/>
                <w:szCs w:val="20"/>
              </w:rPr>
            </w:pPr>
          </w:p>
        </w:tc>
        <w:tc>
          <w:tcPr>
            <w:tcW w:w="3686" w:type="dxa"/>
          </w:tcPr>
          <w:p w14:paraId="6AD89C61"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Food effect</w:t>
            </w:r>
          </w:p>
        </w:tc>
        <w:tc>
          <w:tcPr>
            <w:tcW w:w="2551" w:type="dxa"/>
          </w:tcPr>
          <w:p w14:paraId="6AD89C62"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Not relevant</w:t>
            </w:r>
          </w:p>
        </w:tc>
      </w:tr>
      <w:tr w:rsidR="001930BB" w:rsidRPr="00686209" w14:paraId="6AD89C67" w14:textId="77777777" w:rsidTr="001930BB">
        <w:tc>
          <w:tcPr>
            <w:tcW w:w="2518" w:type="dxa"/>
            <w:vMerge w:val="restart"/>
          </w:tcPr>
          <w:p w14:paraId="6AD89C64" w14:textId="77777777" w:rsidR="001930BB" w:rsidRPr="00BF3A4E" w:rsidRDefault="00D653C0" w:rsidP="00BF3A4E">
            <w:pPr>
              <w:rPr>
                <w:rFonts w:asciiTheme="minorHAnsi" w:hAnsiTheme="minorHAnsi"/>
                <w:sz w:val="20"/>
                <w:szCs w:val="20"/>
              </w:rPr>
            </w:pPr>
            <w:r w:rsidRPr="00BF3A4E">
              <w:rPr>
                <w:rFonts w:asciiTheme="minorHAnsi" w:hAnsiTheme="minorHAnsi"/>
                <w:sz w:val="20"/>
                <w:szCs w:val="20"/>
              </w:rPr>
              <w:t xml:space="preserve">PK in special </w:t>
            </w:r>
            <w:r w:rsidR="001930BB" w:rsidRPr="00BF3A4E">
              <w:rPr>
                <w:rFonts w:asciiTheme="minorHAnsi" w:hAnsiTheme="minorHAnsi"/>
                <w:sz w:val="20"/>
                <w:szCs w:val="20"/>
              </w:rPr>
              <w:t>populations</w:t>
            </w:r>
          </w:p>
        </w:tc>
        <w:tc>
          <w:tcPr>
            <w:tcW w:w="3686" w:type="dxa"/>
          </w:tcPr>
          <w:p w14:paraId="6AD89C65" w14:textId="77777777" w:rsidR="001930BB" w:rsidRPr="00BF3A4E" w:rsidRDefault="00D27167" w:rsidP="00BF3A4E">
            <w:pPr>
              <w:rPr>
                <w:rFonts w:asciiTheme="minorHAnsi" w:hAnsiTheme="minorHAnsi"/>
                <w:sz w:val="20"/>
                <w:szCs w:val="20"/>
              </w:rPr>
            </w:pPr>
            <w:r w:rsidRPr="00BF3A4E">
              <w:rPr>
                <w:rFonts w:asciiTheme="minorHAnsi" w:hAnsiTheme="minorHAnsi"/>
                <w:sz w:val="20"/>
                <w:szCs w:val="20"/>
              </w:rPr>
              <w:t>Target population</w:t>
            </w:r>
          </w:p>
        </w:tc>
        <w:tc>
          <w:tcPr>
            <w:tcW w:w="2551" w:type="dxa"/>
          </w:tcPr>
          <w:p w14:paraId="6AD89C66" w14:textId="77777777" w:rsidR="001930BB" w:rsidRPr="00BF3A4E" w:rsidRDefault="001930BB" w:rsidP="00BF3A4E">
            <w:pPr>
              <w:rPr>
                <w:rFonts w:asciiTheme="minorHAnsi" w:hAnsiTheme="minorHAnsi"/>
                <w:sz w:val="20"/>
                <w:szCs w:val="20"/>
              </w:rPr>
            </w:pPr>
          </w:p>
        </w:tc>
      </w:tr>
      <w:tr w:rsidR="001930BB" w:rsidRPr="00686209" w14:paraId="6AD89C6B" w14:textId="77777777" w:rsidTr="001930BB">
        <w:tc>
          <w:tcPr>
            <w:tcW w:w="2518" w:type="dxa"/>
            <w:vMerge/>
          </w:tcPr>
          <w:p w14:paraId="6AD89C68" w14:textId="77777777" w:rsidR="001930BB" w:rsidRPr="00BF3A4E" w:rsidRDefault="001930BB" w:rsidP="00BF3A4E">
            <w:pPr>
              <w:rPr>
                <w:rFonts w:asciiTheme="minorHAnsi" w:hAnsiTheme="minorHAnsi"/>
                <w:sz w:val="20"/>
                <w:szCs w:val="20"/>
              </w:rPr>
            </w:pPr>
          </w:p>
        </w:tc>
        <w:tc>
          <w:tcPr>
            <w:tcW w:w="3686" w:type="dxa"/>
          </w:tcPr>
          <w:p w14:paraId="6AD89C69"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Single dose</w:t>
            </w:r>
          </w:p>
        </w:tc>
        <w:tc>
          <w:tcPr>
            <w:tcW w:w="2551" w:type="dxa"/>
          </w:tcPr>
          <w:p w14:paraId="6AD89C6A"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RD.03.SRE.40064</w:t>
            </w:r>
          </w:p>
        </w:tc>
      </w:tr>
      <w:tr w:rsidR="001930BB" w:rsidRPr="00686209" w14:paraId="6AD89C70" w14:textId="77777777" w:rsidTr="001930BB">
        <w:trPr>
          <w:trHeight w:val="970"/>
        </w:trPr>
        <w:tc>
          <w:tcPr>
            <w:tcW w:w="2518" w:type="dxa"/>
            <w:vMerge/>
          </w:tcPr>
          <w:p w14:paraId="6AD89C6C" w14:textId="77777777" w:rsidR="001930BB" w:rsidRPr="00BF3A4E" w:rsidRDefault="001930BB" w:rsidP="00BF3A4E">
            <w:pPr>
              <w:rPr>
                <w:rFonts w:asciiTheme="minorHAnsi" w:hAnsiTheme="minorHAnsi"/>
                <w:sz w:val="20"/>
                <w:szCs w:val="20"/>
              </w:rPr>
            </w:pPr>
          </w:p>
        </w:tc>
        <w:tc>
          <w:tcPr>
            <w:tcW w:w="3686" w:type="dxa"/>
          </w:tcPr>
          <w:p w14:paraId="6AD89C6D"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Multi-dose</w:t>
            </w:r>
          </w:p>
        </w:tc>
        <w:tc>
          <w:tcPr>
            <w:tcW w:w="2551" w:type="dxa"/>
          </w:tcPr>
          <w:p w14:paraId="6AD89C6E"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RD.03.SRE.40064</w:t>
            </w:r>
          </w:p>
          <w:p w14:paraId="6AD89C6F"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RD.03.SRE.40027</w:t>
            </w:r>
          </w:p>
        </w:tc>
      </w:tr>
      <w:tr w:rsidR="001930BB" w:rsidRPr="00686209" w14:paraId="6AD89C74" w14:textId="77777777" w:rsidTr="001930BB">
        <w:tc>
          <w:tcPr>
            <w:tcW w:w="2518" w:type="dxa"/>
            <w:vMerge/>
          </w:tcPr>
          <w:p w14:paraId="6AD89C71" w14:textId="77777777" w:rsidR="001930BB" w:rsidRPr="00BF3A4E" w:rsidRDefault="001930BB" w:rsidP="00BF3A4E">
            <w:pPr>
              <w:rPr>
                <w:rFonts w:asciiTheme="minorHAnsi" w:hAnsiTheme="minorHAnsi"/>
                <w:sz w:val="20"/>
                <w:szCs w:val="20"/>
              </w:rPr>
            </w:pPr>
          </w:p>
        </w:tc>
        <w:tc>
          <w:tcPr>
            <w:tcW w:w="3686" w:type="dxa"/>
          </w:tcPr>
          <w:p w14:paraId="6AD89C72"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Renal impairment</w:t>
            </w:r>
          </w:p>
        </w:tc>
        <w:tc>
          <w:tcPr>
            <w:tcW w:w="2551" w:type="dxa"/>
          </w:tcPr>
          <w:p w14:paraId="6AD89C73"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78" w14:textId="77777777" w:rsidTr="001930BB">
        <w:tc>
          <w:tcPr>
            <w:tcW w:w="2518" w:type="dxa"/>
            <w:vMerge/>
          </w:tcPr>
          <w:p w14:paraId="6AD89C75" w14:textId="77777777" w:rsidR="001930BB" w:rsidRPr="00BF3A4E" w:rsidRDefault="001930BB" w:rsidP="00BF3A4E">
            <w:pPr>
              <w:rPr>
                <w:rFonts w:asciiTheme="minorHAnsi" w:hAnsiTheme="minorHAnsi"/>
                <w:sz w:val="20"/>
                <w:szCs w:val="20"/>
              </w:rPr>
            </w:pPr>
          </w:p>
        </w:tc>
        <w:tc>
          <w:tcPr>
            <w:tcW w:w="3686" w:type="dxa"/>
          </w:tcPr>
          <w:p w14:paraId="6AD89C76"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Neonates/infants/children/adolescents</w:t>
            </w:r>
          </w:p>
        </w:tc>
        <w:tc>
          <w:tcPr>
            <w:tcW w:w="2551" w:type="dxa"/>
          </w:tcPr>
          <w:p w14:paraId="6AD89C77"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7C" w14:textId="77777777" w:rsidTr="001930BB">
        <w:tc>
          <w:tcPr>
            <w:tcW w:w="2518" w:type="dxa"/>
            <w:vMerge/>
          </w:tcPr>
          <w:p w14:paraId="6AD89C79" w14:textId="77777777" w:rsidR="001930BB" w:rsidRPr="00BF3A4E" w:rsidRDefault="001930BB" w:rsidP="00BF3A4E">
            <w:pPr>
              <w:rPr>
                <w:rFonts w:asciiTheme="minorHAnsi" w:hAnsiTheme="minorHAnsi"/>
                <w:sz w:val="20"/>
                <w:szCs w:val="20"/>
              </w:rPr>
            </w:pPr>
          </w:p>
        </w:tc>
        <w:tc>
          <w:tcPr>
            <w:tcW w:w="3686" w:type="dxa"/>
          </w:tcPr>
          <w:p w14:paraId="6AD89C7A"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Elderly</w:t>
            </w:r>
          </w:p>
        </w:tc>
        <w:tc>
          <w:tcPr>
            <w:tcW w:w="2551" w:type="dxa"/>
          </w:tcPr>
          <w:p w14:paraId="6AD89C7B"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80" w14:textId="77777777" w:rsidTr="001930BB">
        <w:tc>
          <w:tcPr>
            <w:tcW w:w="2518" w:type="dxa"/>
          </w:tcPr>
          <w:p w14:paraId="6AD89C7D"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Genetic/gender-related PK</w:t>
            </w:r>
          </w:p>
        </w:tc>
        <w:tc>
          <w:tcPr>
            <w:tcW w:w="3686" w:type="dxa"/>
          </w:tcPr>
          <w:p w14:paraId="6AD89C7E"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 xml:space="preserve">Males </w:t>
            </w:r>
            <w:r w:rsidR="00660239" w:rsidRPr="00BF3A4E">
              <w:rPr>
                <w:rFonts w:asciiTheme="minorHAnsi" w:hAnsiTheme="minorHAnsi"/>
                <w:sz w:val="20"/>
                <w:szCs w:val="20"/>
              </w:rPr>
              <w:t>versus</w:t>
            </w:r>
            <w:r w:rsidRPr="00BF3A4E">
              <w:rPr>
                <w:rFonts w:asciiTheme="minorHAnsi" w:hAnsiTheme="minorHAnsi"/>
                <w:sz w:val="20"/>
                <w:szCs w:val="20"/>
              </w:rPr>
              <w:t>. females</w:t>
            </w:r>
          </w:p>
        </w:tc>
        <w:tc>
          <w:tcPr>
            <w:tcW w:w="2551" w:type="dxa"/>
          </w:tcPr>
          <w:p w14:paraId="6AD89C7F"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84" w14:textId="77777777" w:rsidTr="001930BB">
        <w:tc>
          <w:tcPr>
            <w:tcW w:w="2518" w:type="dxa"/>
          </w:tcPr>
          <w:p w14:paraId="6AD89C81"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PK interactions</w:t>
            </w:r>
          </w:p>
        </w:tc>
        <w:tc>
          <w:tcPr>
            <w:tcW w:w="3686" w:type="dxa"/>
          </w:tcPr>
          <w:p w14:paraId="6AD89C82" w14:textId="77777777" w:rsidR="001930BB" w:rsidRPr="00BF3A4E" w:rsidRDefault="001930BB" w:rsidP="00BF3A4E">
            <w:pPr>
              <w:rPr>
                <w:rFonts w:asciiTheme="minorHAnsi" w:hAnsiTheme="minorHAnsi"/>
                <w:sz w:val="20"/>
                <w:szCs w:val="20"/>
              </w:rPr>
            </w:pPr>
          </w:p>
        </w:tc>
        <w:tc>
          <w:tcPr>
            <w:tcW w:w="2551" w:type="dxa"/>
          </w:tcPr>
          <w:p w14:paraId="6AD89C83"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89" w14:textId="77777777" w:rsidTr="001930BB">
        <w:tc>
          <w:tcPr>
            <w:tcW w:w="2518" w:type="dxa"/>
            <w:vMerge w:val="restart"/>
          </w:tcPr>
          <w:p w14:paraId="6AD89C85"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 xml:space="preserve">Population PK </w:t>
            </w:r>
          </w:p>
          <w:p w14:paraId="6AD89C86"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analyses</w:t>
            </w:r>
          </w:p>
        </w:tc>
        <w:tc>
          <w:tcPr>
            <w:tcW w:w="3686" w:type="dxa"/>
          </w:tcPr>
          <w:p w14:paraId="6AD89C87"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Healthy subjects</w:t>
            </w:r>
          </w:p>
        </w:tc>
        <w:tc>
          <w:tcPr>
            <w:tcW w:w="2551" w:type="dxa"/>
          </w:tcPr>
          <w:p w14:paraId="6AD89C88"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r w:rsidR="001930BB" w:rsidRPr="00686209" w14:paraId="6AD89C8D" w14:textId="77777777" w:rsidTr="001930BB">
        <w:tc>
          <w:tcPr>
            <w:tcW w:w="2518" w:type="dxa"/>
            <w:vMerge/>
          </w:tcPr>
          <w:p w14:paraId="6AD89C8A" w14:textId="77777777" w:rsidR="001930BB" w:rsidRPr="00BF3A4E" w:rsidRDefault="001930BB" w:rsidP="00BF3A4E">
            <w:pPr>
              <w:rPr>
                <w:rFonts w:asciiTheme="minorHAnsi" w:hAnsiTheme="minorHAnsi"/>
                <w:sz w:val="20"/>
                <w:szCs w:val="20"/>
              </w:rPr>
            </w:pPr>
          </w:p>
        </w:tc>
        <w:tc>
          <w:tcPr>
            <w:tcW w:w="3686" w:type="dxa"/>
          </w:tcPr>
          <w:p w14:paraId="6AD89C8B"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Target population</w:t>
            </w:r>
          </w:p>
        </w:tc>
        <w:tc>
          <w:tcPr>
            <w:tcW w:w="2551" w:type="dxa"/>
          </w:tcPr>
          <w:p w14:paraId="6AD89C8C" w14:textId="77777777" w:rsidR="001930BB" w:rsidRPr="00BF3A4E" w:rsidRDefault="001930BB" w:rsidP="00BF3A4E">
            <w:pPr>
              <w:rPr>
                <w:rFonts w:asciiTheme="minorHAnsi" w:hAnsiTheme="minorHAnsi"/>
                <w:sz w:val="20"/>
                <w:szCs w:val="20"/>
              </w:rPr>
            </w:pPr>
            <w:r w:rsidRPr="00BF3A4E">
              <w:rPr>
                <w:rFonts w:asciiTheme="minorHAnsi" w:hAnsiTheme="minorHAnsi"/>
                <w:sz w:val="20"/>
                <w:szCs w:val="20"/>
              </w:rPr>
              <w:t>None</w:t>
            </w:r>
          </w:p>
        </w:tc>
      </w:tr>
    </w:tbl>
    <w:p w14:paraId="6AD89C8E" w14:textId="4237CD6D" w:rsidR="00605AD4" w:rsidRDefault="00605AD4" w:rsidP="00605AD4">
      <w:pPr>
        <w:pStyle w:val="Heading4"/>
      </w:pPr>
      <w:r>
        <w:t>Studies</w:t>
      </w:r>
      <w:r w:rsidR="004553BB">
        <w:t xml:space="preserve"> providing pharmacokinetic data</w:t>
      </w:r>
    </w:p>
    <w:p w14:paraId="6AD89C8F" w14:textId="77777777" w:rsidR="009F0B24" w:rsidRPr="005C1A8F" w:rsidRDefault="009F0B24" w:rsidP="009F0B24">
      <w:r w:rsidRPr="00620B63">
        <w:t>The information in the following summary is derived from conventional pharmacokinetic studies unless otherwise stated.</w:t>
      </w:r>
    </w:p>
    <w:p w14:paraId="6AD89C90" w14:textId="77777777" w:rsidR="009F0B24" w:rsidRPr="009F0B24" w:rsidRDefault="009F0B24" w:rsidP="009F0B24">
      <w:pPr>
        <w:pStyle w:val="Heading5"/>
      </w:pPr>
      <w:bookmarkStart w:id="73" w:name="_Ref271189106"/>
      <w:bookmarkStart w:id="74" w:name="_Ref271189143"/>
      <w:bookmarkStart w:id="75" w:name="_Toc272414618"/>
      <w:bookmarkStart w:id="76" w:name="_Toc290846241"/>
      <w:bookmarkStart w:id="77" w:name="_Toc403416475"/>
      <w:r w:rsidRPr="009F0B24">
        <w:t>Pharmacokinetics in healthy subjects</w:t>
      </w:r>
      <w:bookmarkEnd w:id="73"/>
      <w:bookmarkEnd w:id="74"/>
      <w:bookmarkEnd w:id="75"/>
      <w:bookmarkEnd w:id="76"/>
      <w:bookmarkEnd w:id="77"/>
    </w:p>
    <w:p w14:paraId="6AD89C91" w14:textId="77777777" w:rsidR="009F0B24" w:rsidRPr="009F0B24" w:rsidRDefault="009F0B24" w:rsidP="009F0B24">
      <w:r w:rsidRPr="009F0B24">
        <w:t>No reports were presented of the PK in healthy subjects using the formulation to be marketed.</w:t>
      </w:r>
    </w:p>
    <w:p w14:paraId="6AD89C92" w14:textId="77777777" w:rsidR="009F0B24" w:rsidRPr="009F0B24" w:rsidRDefault="009F0B24" w:rsidP="009F0B24">
      <w:pPr>
        <w:pStyle w:val="Heading5"/>
      </w:pPr>
      <w:bookmarkStart w:id="78" w:name="_Toc241374292"/>
      <w:bookmarkStart w:id="79" w:name="_Ref271189131"/>
      <w:bookmarkStart w:id="80" w:name="_Ref271189136"/>
      <w:bookmarkStart w:id="81" w:name="_Toc272414625"/>
      <w:bookmarkStart w:id="82" w:name="_Toc290846248"/>
      <w:bookmarkStart w:id="83" w:name="_Toc403416476"/>
      <w:r w:rsidRPr="009F0B24">
        <w:lastRenderedPageBreak/>
        <w:t>Pharmacokinetics in the target population</w:t>
      </w:r>
      <w:bookmarkEnd w:id="78"/>
      <w:bookmarkEnd w:id="79"/>
      <w:bookmarkEnd w:id="80"/>
      <w:bookmarkEnd w:id="81"/>
      <w:bookmarkEnd w:id="82"/>
      <w:bookmarkEnd w:id="83"/>
    </w:p>
    <w:p w14:paraId="6AD89C93" w14:textId="77777777" w:rsidR="009F0B24" w:rsidRPr="009F0B24" w:rsidRDefault="009F0B24" w:rsidP="009F0B24">
      <w:pPr>
        <w:pStyle w:val="Heading6"/>
      </w:pPr>
      <w:bookmarkStart w:id="84" w:name="_Toc272414619"/>
      <w:bookmarkStart w:id="85" w:name="_Toc290846242"/>
      <w:bookmarkStart w:id="86" w:name="_Toc401437944"/>
      <w:bookmarkStart w:id="87" w:name="_Toc403416477"/>
      <w:r w:rsidRPr="009F0B24">
        <w:t>Absorption</w:t>
      </w:r>
      <w:bookmarkEnd w:id="84"/>
      <w:bookmarkEnd w:id="85"/>
      <w:bookmarkEnd w:id="86"/>
      <w:bookmarkEnd w:id="87"/>
    </w:p>
    <w:p w14:paraId="6AD89C94" w14:textId="77777777" w:rsidR="009F0B24" w:rsidRPr="009F0B24" w:rsidRDefault="009F0B24" w:rsidP="009F0B24">
      <w:r w:rsidRPr="009F0B24">
        <w:t xml:space="preserve">PK following single and repeated dosage in patients with severe </w:t>
      </w:r>
      <w:proofErr w:type="spellStart"/>
      <w:r w:rsidR="00545886">
        <w:t>p</w:t>
      </w:r>
      <w:r w:rsidR="00545886" w:rsidRPr="00545886">
        <w:t>apulo</w:t>
      </w:r>
      <w:proofErr w:type="spellEnd"/>
      <w:r w:rsidR="00545886" w:rsidRPr="00545886">
        <w:t xml:space="preserve">-pustular rosacea </w:t>
      </w:r>
      <w:r w:rsidR="00545886">
        <w:t>(</w:t>
      </w:r>
      <w:r w:rsidRPr="009F0B24">
        <w:t>PPR</w:t>
      </w:r>
      <w:r w:rsidR="00545886">
        <w:t>)</w:t>
      </w:r>
      <w:r w:rsidRPr="009F0B24">
        <w:t xml:space="preserve"> </w:t>
      </w:r>
      <w:proofErr w:type="gramStart"/>
      <w:r w:rsidRPr="009F0B24">
        <w:t>were</w:t>
      </w:r>
      <w:proofErr w:type="gramEnd"/>
      <w:r w:rsidRPr="009F0B24">
        <w:t xml:space="preserve"> examined in Study RD.03.SRE.40064 (see Table </w:t>
      </w:r>
      <w:r w:rsidR="00D653C0">
        <w:t>6</w:t>
      </w:r>
      <w:r w:rsidRPr="009F0B24">
        <w:t xml:space="preserve">). AUCs were similar at Weeks 2 and 4, suggesting that steady state conditions were achieved by Week 2. Ivermectin measurements were also made during chronic dosing in Studies RD.03.SRE.40027, RD.03.SRE.40106, RD.03.SRE.40051, RD.06.SRE.18170 and RD.06.SRE.18171, and </w:t>
      </w:r>
      <w:r w:rsidR="00D653C0">
        <w:t>results are shown in the Table 7</w:t>
      </w:r>
      <w:r w:rsidRPr="009F0B24">
        <w:t xml:space="preserve"> below.</w:t>
      </w:r>
    </w:p>
    <w:p w14:paraId="6AD89C95" w14:textId="77777777" w:rsidR="009F0B24" w:rsidRPr="009F0B24" w:rsidRDefault="00D653C0" w:rsidP="00AF35D8">
      <w:pPr>
        <w:pStyle w:val="TableTitle"/>
      </w:pPr>
      <w:proofErr w:type="gramStart"/>
      <w:r>
        <w:t>Table 6</w:t>
      </w:r>
      <w:r w:rsidR="00692CE1">
        <w:t>.</w:t>
      </w:r>
      <w:proofErr w:type="gramEnd"/>
      <w:r w:rsidR="009F0B24" w:rsidRPr="009F0B24">
        <w:t xml:space="preserve"> Study RD.03.SRE.40064 PK results.</w:t>
      </w:r>
    </w:p>
    <w:tbl>
      <w:tblPr>
        <w:tblStyle w:val="TableTGAblue"/>
        <w:tblW w:w="0" w:type="auto"/>
        <w:tblLook w:val="00A0" w:firstRow="1" w:lastRow="0" w:firstColumn="1" w:lastColumn="0" w:noHBand="0" w:noVBand="0"/>
        <w:tblDescription w:val="Table 6. Study RD.03.SRE.40064 PK results."/>
      </w:tblPr>
      <w:tblGrid>
        <w:gridCol w:w="1987"/>
        <w:gridCol w:w="1335"/>
        <w:gridCol w:w="1248"/>
        <w:gridCol w:w="1518"/>
        <w:gridCol w:w="1191"/>
        <w:gridCol w:w="1441"/>
      </w:tblGrid>
      <w:tr w:rsidR="009F0B24" w:rsidRPr="00686209" w14:paraId="6AD89C9C" w14:textId="77777777" w:rsidTr="009F0B24">
        <w:trPr>
          <w:cnfStyle w:val="100000000000" w:firstRow="1" w:lastRow="0" w:firstColumn="0" w:lastColumn="0" w:oddVBand="0" w:evenVBand="0" w:oddHBand="0" w:evenHBand="0" w:firstRowFirstColumn="0" w:firstRowLastColumn="0" w:lastRowFirstColumn="0" w:lastRowLastColumn="0"/>
        </w:trPr>
        <w:tc>
          <w:tcPr>
            <w:tcW w:w="1987" w:type="dxa"/>
          </w:tcPr>
          <w:p w14:paraId="6AD89C96" w14:textId="77777777" w:rsidR="009F0B24" w:rsidRPr="00BF3A4E" w:rsidRDefault="009F0B24" w:rsidP="00BF3A4E">
            <w:pPr>
              <w:rPr>
                <w:sz w:val="20"/>
                <w:szCs w:val="20"/>
              </w:rPr>
            </w:pPr>
            <w:r w:rsidRPr="00BF3A4E">
              <w:rPr>
                <w:sz w:val="20"/>
                <w:szCs w:val="20"/>
              </w:rPr>
              <w:t xml:space="preserve">Parameter </w:t>
            </w:r>
          </w:p>
        </w:tc>
        <w:tc>
          <w:tcPr>
            <w:tcW w:w="1335" w:type="dxa"/>
          </w:tcPr>
          <w:p w14:paraId="6AD89C97" w14:textId="77777777" w:rsidR="009F0B24" w:rsidRPr="00BF3A4E" w:rsidRDefault="009F0B24" w:rsidP="00BF3A4E">
            <w:pPr>
              <w:rPr>
                <w:sz w:val="20"/>
                <w:szCs w:val="20"/>
              </w:rPr>
            </w:pPr>
            <w:r w:rsidRPr="00BF3A4E">
              <w:rPr>
                <w:sz w:val="20"/>
                <w:szCs w:val="20"/>
              </w:rPr>
              <w:t>Day 0</w:t>
            </w:r>
            <w:r w:rsidRPr="00BF3A4E">
              <w:rPr>
                <w:sz w:val="20"/>
                <w:szCs w:val="20"/>
                <w:vertAlign w:val="superscript"/>
              </w:rPr>
              <w:t>2</w:t>
            </w:r>
          </w:p>
        </w:tc>
        <w:tc>
          <w:tcPr>
            <w:tcW w:w="1248" w:type="dxa"/>
          </w:tcPr>
          <w:p w14:paraId="6AD89C98" w14:textId="77777777" w:rsidR="009F0B24" w:rsidRPr="00BF3A4E" w:rsidRDefault="009F0B24" w:rsidP="00BF3A4E">
            <w:pPr>
              <w:rPr>
                <w:sz w:val="20"/>
                <w:szCs w:val="20"/>
              </w:rPr>
            </w:pPr>
            <w:r w:rsidRPr="00BF3A4E">
              <w:rPr>
                <w:sz w:val="20"/>
                <w:szCs w:val="20"/>
              </w:rPr>
              <w:t>Day 7</w:t>
            </w:r>
            <w:r w:rsidRPr="00BF3A4E">
              <w:rPr>
                <w:sz w:val="20"/>
                <w:szCs w:val="20"/>
                <w:vertAlign w:val="superscript"/>
              </w:rPr>
              <w:t>3</w:t>
            </w:r>
          </w:p>
        </w:tc>
        <w:tc>
          <w:tcPr>
            <w:tcW w:w="1518" w:type="dxa"/>
          </w:tcPr>
          <w:p w14:paraId="6AD89C99" w14:textId="77777777" w:rsidR="009F0B24" w:rsidRPr="00BF3A4E" w:rsidRDefault="009F0B24" w:rsidP="00BF3A4E">
            <w:pPr>
              <w:rPr>
                <w:sz w:val="20"/>
                <w:szCs w:val="20"/>
              </w:rPr>
            </w:pPr>
            <w:r w:rsidRPr="00BF3A4E">
              <w:rPr>
                <w:sz w:val="20"/>
                <w:szCs w:val="20"/>
              </w:rPr>
              <w:t>Day 14</w:t>
            </w:r>
            <w:r w:rsidRPr="00BF3A4E">
              <w:rPr>
                <w:sz w:val="20"/>
                <w:szCs w:val="20"/>
                <w:vertAlign w:val="superscript"/>
              </w:rPr>
              <w:t>4</w:t>
            </w:r>
          </w:p>
        </w:tc>
        <w:tc>
          <w:tcPr>
            <w:tcW w:w="1191" w:type="dxa"/>
          </w:tcPr>
          <w:p w14:paraId="6AD89C9A" w14:textId="77777777" w:rsidR="009F0B24" w:rsidRPr="00BF3A4E" w:rsidRDefault="009F0B24" w:rsidP="00BF3A4E">
            <w:pPr>
              <w:rPr>
                <w:sz w:val="20"/>
                <w:szCs w:val="20"/>
              </w:rPr>
            </w:pPr>
            <w:r w:rsidRPr="00BF3A4E">
              <w:rPr>
                <w:sz w:val="20"/>
                <w:szCs w:val="20"/>
              </w:rPr>
              <w:t>Day 21</w:t>
            </w:r>
          </w:p>
        </w:tc>
        <w:tc>
          <w:tcPr>
            <w:tcW w:w="1441" w:type="dxa"/>
          </w:tcPr>
          <w:p w14:paraId="6AD89C9B" w14:textId="77777777" w:rsidR="009F0B24" w:rsidRPr="00BF3A4E" w:rsidRDefault="009F0B24" w:rsidP="00BF3A4E">
            <w:pPr>
              <w:rPr>
                <w:sz w:val="20"/>
                <w:szCs w:val="20"/>
              </w:rPr>
            </w:pPr>
            <w:r w:rsidRPr="00BF3A4E">
              <w:rPr>
                <w:sz w:val="20"/>
                <w:szCs w:val="20"/>
              </w:rPr>
              <w:t>Day 28</w:t>
            </w:r>
          </w:p>
        </w:tc>
      </w:tr>
      <w:tr w:rsidR="009F0B24" w:rsidRPr="00686209" w14:paraId="6AD89CA3" w14:textId="77777777" w:rsidTr="009F0B24">
        <w:tc>
          <w:tcPr>
            <w:tcW w:w="1987" w:type="dxa"/>
          </w:tcPr>
          <w:p w14:paraId="6AD89C9D" w14:textId="77777777" w:rsidR="009F0B24" w:rsidRPr="00BF3A4E" w:rsidRDefault="009F0B24" w:rsidP="00BF3A4E">
            <w:pPr>
              <w:rPr>
                <w:sz w:val="20"/>
                <w:szCs w:val="20"/>
              </w:rPr>
            </w:pPr>
            <w:proofErr w:type="spellStart"/>
            <w:r w:rsidRPr="00BF3A4E">
              <w:rPr>
                <w:sz w:val="20"/>
                <w:szCs w:val="20"/>
              </w:rPr>
              <w:t>C</w:t>
            </w:r>
            <w:r w:rsidRPr="00BF3A4E">
              <w:rPr>
                <w:sz w:val="20"/>
                <w:szCs w:val="20"/>
                <w:vertAlign w:val="subscript"/>
              </w:rPr>
              <w:t>min</w:t>
            </w:r>
            <w:proofErr w:type="spellEnd"/>
            <w:r w:rsidRPr="00BF3A4E">
              <w:rPr>
                <w:sz w:val="20"/>
                <w:szCs w:val="20"/>
              </w:rPr>
              <w:t xml:space="preserve"> </w:t>
            </w:r>
            <w:r w:rsidRPr="00BF3A4E">
              <w:rPr>
                <w:sz w:val="20"/>
                <w:szCs w:val="20"/>
                <w:vertAlign w:val="superscript"/>
              </w:rPr>
              <w:t>1</w:t>
            </w:r>
            <w:r w:rsidRPr="00BF3A4E">
              <w:rPr>
                <w:sz w:val="20"/>
                <w:szCs w:val="20"/>
              </w:rPr>
              <w:t>: Mean (</w:t>
            </w:r>
            <w:proofErr w:type="spellStart"/>
            <w:r w:rsidRPr="00BF3A4E">
              <w:rPr>
                <w:sz w:val="20"/>
                <w:szCs w:val="20"/>
              </w:rPr>
              <w:t>sd</w:t>
            </w:r>
            <w:proofErr w:type="spellEnd"/>
            <w:r w:rsidRPr="00BF3A4E">
              <w:rPr>
                <w:sz w:val="20"/>
                <w:szCs w:val="20"/>
              </w:rPr>
              <w:t>) (ng/mL)</w:t>
            </w:r>
          </w:p>
        </w:tc>
        <w:tc>
          <w:tcPr>
            <w:tcW w:w="1335" w:type="dxa"/>
          </w:tcPr>
          <w:p w14:paraId="6AD89C9E" w14:textId="77777777" w:rsidR="009F0B24" w:rsidRPr="00BF3A4E" w:rsidRDefault="009F0B24" w:rsidP="004553BB">
            <w:pPr>
              <w:ind w:left="0" w:right="0"/>
              <w:rPr>
                <w:sz w:val="20"/>
                <w:szCs w:val="20"/>
              </w:rPr>
            </w:pPr>
            <w:r w:rsidRPr="00BF3A4E">
              <w:rPr>
                <w:sz w:val="20"/>
                <w:szCs w:val="20"/>
              </w:rPr>
              <w:t>0.37 (0.21)</w:t>
            </w:r>
          </w:p>
        </w:tc>
        <w:tc>
          <w:tcPr>
            <w:tcW w:w="1248" w:type="dxa"/>
          </w:tcPr>
          <w:p w14:paraId="6AD89C9F" w14:textId="77777777" w:rsidR="009F0B24" w:rsidRPr="00BF3A4E" w:rsidRDefault="009F0B24" w:rsidP="00BF3A4E">
            <w:pPr>
              <w:rPr>
                <w:sz w:val="20"/>
                <w:szCs w:val="20"/>
              </w:rPr>
            </w:pPr>
            <w:r w:rsidRPr="00BF3A4E">
              <w:rPr>
                <w:sz w:val="20"/>
                <w:szCs w:val="20"/>
              </w:rPr>
              <w:t>1.17 (0.88)</w:t>
            </w:r>
          </w:p>
        </w:tc>
        <w:tc>
          <w:tcPr>
            <w:tcW w:w="1518" w:type="dxa"/>
          </w:tcPr>
          <w:p w14:paraId="6AD89CA0" w14:textId="77777777" w:rsidR="009F0B24" w:rsidRPr="00BF3A4E" w:rsidRDefault="009F0B24" w:rsidP="004553BB">
            <w:pPr>
              <w:ind w:left="0" w:right="0"/>
              <w:rPr>
                <w:sz w:val="20"/>
                <w:szCs w:val="20"/>
              </w:rPr>
            </w:pPr>
            <w:r w:rsidRPr="00BF3A4E">
              <w:rPr>
                <w:sz w:val="20"/>
                <w:szCs w:val="20"/>
              </w:rPr>
              <w:t>1.26 (0.53)</w:t>
            </w:r>
          </w:p>
        </w:tc>
        <w:tc>
          <w:tcPr>
            <w:tcW w:w="1191" w:type="dxa"/>
          </w:tcPr>
          <w:p w14:paraId="6AD89CA1" w14:textId="77777777" w:rsidR="009F0B24" w:rsidRPr="00BF3A4E" w:rsidRDefault="009F0B24" w:rsidP="00BF3A4E">
            <w:pPr>
              <w:rPr>
                <w:sz w:val="20"/>
                <w:szCs w:val="20"/>
              </w:rPr>
            </w:pPr>
            <w:r w:rsidRPr="00BF3A4E">
              <w:rPr>
                <w:sz w:val="20"/>
                <w:szCs w:val="20"/>
              </w:rPr>
              <w:t>1.36 (0.66)</w:t>
            </w:r>
          </w:p>
        </w:tc>
        <w:tc>
          <w:tcPr>
            <w:tcW w:w="1441" w:type="dxa"/>
          </w:tcPr>
          <w:p w14:paraId="6AD89CA2" w14:textId="77777777" w:rsidR="009F0B24" w:rsidRPr="00BF3A4E" w:rsidRDefault="009F0B24" w:rsidP="004553BB">
            <w:pPr>
              <w:ind w:left="0" w:right="0"/>
              <w:rPr>
                <w:sz w:val="20"/>
                <w:szCs w:val="20"/>
              </w:rPr>
            </w:pPr>
            <w:r w:rsidRPr="00BF3A4E">
              <w:rPr>
                <w:sz w:val="20"/>
                <w:szCs w:val="20"/>
              </w:rPr>
              <w:t>1.36 (0.63)</w:t>
            </w:r>
          </w:p>
        </w:tc>
      </w:tr>
      <w:tr w:rsidR="009F0B24" w:rsidRPr="00686209" w14:paraId="6AD89CAA" w14:textId="77777777" w:rsidTr="009F0B24">
        <w:tc>
          <w:tcPr>
            <w:tcW w:w="1987" w:type="dxa"/>
          </w:tcPr>
          <w:p w14:paraId="6AD89CA4" w14:textId="77777777" w:rsidR="009F0B24" w:rsidRPr="00BF3A4E" w:rsidRDefault="009F0B24" w:rsidP="00BF3A4E">
            <w:pPr>
              <w:rPr>
                <w:sz w:val="20"/>
                <w:szCs w:val="20"/>
              </w:rPr>
            </w:pPr>
            <w:proofErr w:type="spellStart"/>
            <w:r w:rsidRPr="00BF3A4E">
              <w:rPr>
                <w:sz w:val="20"/>
                <w:szCs w:val="20"/>
              </w:rPr>
              <w:t>C</w:t>
            </w:r>
            <w:r w:rsidRPr="00BF3A4E">
              <w:rPr>
                <w:sz w:val="20"/>
                <w:szCs w:val="20"/>
                <w:vertAlign w:val="subscript"/>
              </w:rPr>
              <w:t>max</w:t>
            </w:r>
            <w:proofErr w:type="spellEnd"/>
            <w:r w:rsidRPr="00BF3A4E">
              <w:rPr>
                <w:sz w:val="20"/>
                <w:szCs w:val="20"/>
              </w:rPr>
              <w:t xml:space="preserve"> : Mean (</w:t>
            </w:r>
            <w:proofErr w:type="spellStart"/>
            <w:r w:rsidRPr="00BF3A4E">
              <w:rPr>
                <w:sz w:val="20"/>
                <w:szCs w:val="20"/>
              </w:rPr>
              <w:t>sd</w:t>
            </w:r>
            <w:proofErr w:type="spellEnd"/>
            <w:r w:rsidRPr="00BF3A4E">
              <w:rPr>
                <w:sz w:val="20"/>
                <w:szCs w:val="20"/>
              </w:rPr>
              <w:t>) (ng/mL)</w:t>
            </w:r>
          </w:p>
        </w:tc>
        <w:tc>
          <w:tcPr>
            <w:tcW w:w="1335" w:type="dxa"/>
          </w:tcPr>
          <w:p w14:paraId="6AD89CA5" w14:textId="77777777" w:rsidR="009F0B24" w:rsidRPr="00BF3A4E" w:rsidRDefault="009F0B24" w:rsidP="004553BB">
            <w:pPr>
              <w:ind w:left="0" w:right="0"/>
              <w:rPr>
                <w:sz w:val="20"/>
                <w:szCs w:val="20"/>
              </w:rPr>
            </w:pPr>
            <w:r w:rsidRPr="00BF3A4E">
              <w:rPr>
                <w:sz w:val="20"/>
                <w:szCs w:val="20"/>
              </w:rPr>
              <w:t>0.69 (0.49)</w:t>
            </w:r>
          </w:p>
        </w:tc>
        <w:tc>
          <w:tcPr>
            <w:tcW w:w="1248" w:type="dxa"/>
          </w:tcPr>
          <w:p w14:paraId="6AD89CA6" w14:textId="77777777" w:rsidR="009F0B24" w:rsidRPr="00BF3A4E" w:rsidRDefault="009F0B24" w:rsidP="00BF3A4E">
            <w:pPr>
              <w:rPr>
                <w:sz w:val="20"/>
                <w:szCs w:val="20"/>
              </w:rPr>
            </w:pPr>
          </w:p>
        </w:tc>
        <w:tc>
          <w:tcPr>
            <w:tcW w:w="1518" w:type="dxa"/>
          </w:tcPr>
          <w:p w14:paraId="6AD89CA7" w14:textId="77777777" w:rsidR="009F0B24" w:rsidRPr="00BF3A4E" w:rsidRDefault="009F0B24" w:rsidP="004553BB">
            <w:pPr>
              <w:ind w:left="0" w:right="0"/>
              <w:rPr>
                <w:sz w:val="20"/>
                <w:szCs w:val="20"/>
              </w:rPr>
            </w:pPr>
            <w:r w:rsidRPr="00BF3A4E">
              <w:rPr>
                <w:sz w:val="20"/>
                <w:szCs w:val="20"/>
              </w:rPr>
              <w:t>2.10 (1.04)</w:t>
            </w:r>
          </w:p>
        </w:tc>
        <w:tc>
          <w:tcPr>
            <w:tcW w:w="1191" w:type="dxa"/>
          </w:tcPr>
          <w:p w14:paraId="6AD89CA8" w14:textId="77777777" w:rsidR="009F0B24" w:rsidRPr="00BF3A4E" w:rsidRDefault="009F0B24" w:rsidP="00BF3A4E">
            <w:pPr>
              <w:rPr>
                <w:sz w:val="20"/>
                <w:szCs w:val="20"/>
              </w:rPr>
            </w:pPr>
          </w:p>
        </w:tc>
        <w:tc>
          <w:tcPr>
            <w:tcW w:w="1441" w:type="dxa"/>
          </w:tcPr>
          <w:p w14:paraId="6AD89CA9" w14:textId="77777777" w:rsidR="009F0B24" w:rsidRPr="00BF3A4E" w:rsidRDefault="009F0B24" w:rsidP="004553BB">
            <w:pPr>
              <w:ind w:left="0" w:right="0"/>
              <w:rPr>
                <w:sz w:val="20"/>
                <w:szCs w:val="20"/>
              </w:rPr>
            </w:pPr>
            <w:r w:rsidRPr="00BF3A4E">
              <w:rPr>
                <w:sz w:val="20"/>
                <w:szCs w:val="20"/>
              </w:rPr>
              <w:t>1.74 (0.77)</w:t>
            </w:r>
          </w:p>
        </w:tc>
      </w:tr>
      <w:tr w:rsidR="009F0B24" w:rsidRPr="00686209" w14:paraId="6AD89CB1" w14:textId="77777777" w:rsidTr="009F0B24">
        <w:tc>
          <w:tcPr>
            <w:tcW w:w="1987" w:type="dxa"/>
          </w:tcPr>
          <w:p w14:paraId="6AD89CAB" w14:textId="77777777" w:rsidR="009F0B24" w:rsidRPr="00BF3A4E" w:rsidRDefault="009F0B24" w:rsidP="00BF3A4E">
            <w:pPr>
              <w:rPr>
                <w:sz w:val="20"/>
                <w:szCs w:val="20"/>
              </w:rPr>
            </w:pPr>
            <w:proofErr w:type="spellStart"/>
            <w:r w:rsidRPr="00BF3A4E">
              <w:rPr>
                <w:sz w:val="20"/>
                <w:szCs w:val="20"/>
              </w:rPr>
              <w:t>C</w:t>
            </w:r>
            <w:r w:rsidRPr="00BF3A4E">
              <w:rPr>
                <w:sz w:val="20"/>
                <w:szCs w:val="20"/>
                <w:vertAlign w:val="subscript"/>
              </w:rPr>
              <w:t>max</w:t>
            </w:r>
            <w:proofErr w:type="spellEnd"/>
            <w:r w:rsidRPr="00BF3A4E">
              <w:rPr>
                <w:sz w:val="20"/>
                <w:szCs w:val="20"/>
              </w:rPr>
              <w:t xml:space="preserve"> : Range (ng/mL)</w:t>
            </w:r>
          </w:p>
        </w:tc>
        <w:tc>
          <w:tcPr>
            <w:tcW w:w="1335" w:type="dxa"/>
          </w:tcPr>
          <w:p w14:paraId="6AD89CAC" w14:textId="77777777" w:rsidR="009F0B24" w:rsidRPr="00BF3A4E" w:rsidRDefault="009F0B24" w:rsidP="004553BB">
            <w:pPr>
              <w:ind w:left="0" w:right="0"/>
              <w:rPr>
                <w:sz w:val="20"/>
                <w:szCs w:val="20"/>
              </w:rPr>
            </w:pPr>
            <w:r w:rsidRPr="00BF3A4E">
              <w:rPr>
                <w:sz w:val="20"/>
                <w:szCs w:val="20"/>
              </w:rPr>
              <w:t>0.19 to 1.76</w:t>
            </w:r>
          </w:p>
        </w:tc>
        <w:tc>
          <w:tcPr>
            <w:tcW w:w="1248" w:type="dxa"/>
          </w:tcPr>
          <w:p w14:paraId="6AD89CAD" w14:textId="77777777" w:rsidR="009F0B24" w:rsidRPr="00BF3A4E" w:rsidRDefault="009F0B24" w:rsidP="00BF3A4E">
            <w:pPr>
              <w:rPr>
                <w:sz w:val="20"/>
                <w:szCs w:val="20"/>
              </w:rPr>
            </w:pPr>
          </w:p>
        </w:tc>
        <w:tc>
          <w:tcPr>
            <w:tcW w:w="1518" w:type="dxa"/>
          </w:tcPr>
          <w:p w14:paraId="6AD89CAE" w14:textId="77777777" w:rsidR="009F0B24" w:rsidRPr="00BF3A4E" w:rsidRDefault="009F0B24" w:rsidP="004553BB">
            <w:pPr>
              <w:ind w:left="0" w:right="0"/>
              <w:rPr>
                <w:sz w:val="20"/>
                <w:szCs w:val="20"/>
              </w:rPr>
            </w:pPr>
            <w:r w:rsidRPr="00BF3A4E">
              <w:rPr>
                <w:sz w:val="20"/>
                <w:szCs w:val="20"/>
              </w:rPr>
              <w:t>0.69 to 4.02</w:t>
            </w:r>
          </w:p>
        </w:tc>
        <w:tc>
          <w:tcPr>
            <w:tcW w:w="1191" w:type="dxa"/>
          </w:tcPr>
          <w:p w14:paraId="6AD89CAF" w14:textId="77777777" w:rsidR="009F0B24" w:rsidRPr="00BF3A4E" w:rsidRDefault="009F0B24" w:rsidP="00BF3A4E">
            <w:pPr>
              <w:rPr>
                <w:sz w:val="20"/>
                <w:szCs w:val="20"/>
              </w:rPr>
            </w:pPr>
          </w:p>
        </w:tc>
        <w:tc>
          <w:tcPr>
            <w:tcW w:w="1441" w:type="dxa"/>
          </w:tcPr>
          <w:p w14:paraId="6AD89CB0" w14:textId="77777777" w:rsidR="009F0B24" w:rsidRPr="00BF3A4E" w:rsidRDefault="009F0B24" w:rsidP="004553BB">
            <w:pPr>
              <w:ind w:left="0" w:right="0"/>
              <w:rPr>
                <w:sz w:val="20"/>
                <w:szCs w:val="20"/>
              </w:rPr>
            </w:pPr>
            <w:r w:rsidRPr="00BF3A4E">
              <w:rPr>
                <w:sz w:val="20"/>
                <w:szCs w:val="20"/>
              </w:rPr>
              <w:t>0.58 to 3.36</w:t>
            </w:r>
          </w:p>
        </w:tc>
      </w:tr>
      <w:tr w:rsidR="009F0B24" w:rsidRPr="00686209" w14:paraId="6AD89CB8" w14:textId="77777777" w:rsidTr="009F0B24">
        <w:tc>
          <w:tcPr>
            <w:tcW w:w="1987" w:type="dxa"/>
          </w:tcPr>
          <w:p w14:paraId="6AD89CB2" w14:textId="77777777" w:rsidR="009F0B24" w:rsidRPr="00BF3A4E" w:rsidRDefault="009F0B24" w:rsidP="00BF3A4E">
            <w:pPr>
              <w:rPr>
                <w:sz w:val="20"/>
                <w:szCs w:val="20"/>
              </w:rPr>
            </w:pPr>
            <w:proofErr w:type="spellStart"/>
            <w:r w:rsidRPr="00BF3A4E">
              <w:rPr>
                <w:sz w:val="20"/>
                <w:szCs w:val="20"/>
              </w:rPr>
              <w:t>T</w:t>
            </w:r>
            <w:r w:rsidRPr="00BF3A4E">
              <w:rPr>
                <w:sz w:val="20"/>
                <w:szCs w:val="20"/>
                <w:vertAlign w:val="subscript"/>
              </w:rPr>
              <w:t>max</w:t>
            </w:r>
            <w:proofErr w:type="spellEnd"/>
            <w:r w:rsidRPr="00BF3A4E">
              <w:rPr>
                <w:sz w:val="20"/>
                <w:szCs w:val="20"/>
              </w:rPr>
              <w:t xml:space="preserve"> : Mean (</w:t>
            </w:r>
            <w:proofErr w:type="spellStart"/>
            <w:r w:rsidRPr="00BF3A4E">
              <w:rPr>
                <w:sz w:val="20"/>
                <w:szCs w:val="20"/>
              </w:rPr>
              <w:t>sd</w:t>
            </w:r>
            <w:proofErr w:type="spellEnd"/>
            <w:r w:rsidRPr="00BF3A4E">
              <w:rPr>
                <w:sz w:val="20"/>
                <w:szCs w:val="20"/>
              </w:rPr>
              <w:t>) (h)</w:t>
            </w:r>
          </w:p>
        </w:tc>
        <w:tc>
          <w:tcPr>
            <w:tcW w:w="1335" w:type="dxa"/>
          </w:tcPr>
          <w:p w14:paraId="6AD89CB3" w14:textId="77777777" w:rsidR="009F0B24" w:rsidRPr="00BF3A4E" w:rsidRDefault="009F0B24" w:rsidP="004553BB">
            <w:pPr>
              <w:ind w:left="0" w:right="0"/>
              <w:rPr>
                <w:sz w:val="20"/>
                <w:szCs w:val="20"/>
              </w:rPr>
            </w:pPr>
            <w:r w:rsidRPr="00BF3A4E">
              <w:rPr>
                <w:sz w:val="20"/>
                <w:szCs w:val="20"/>
              </w:rPr>
              <w:t>9 (6)</w:t>
            </w:r>
          </w:p>
        </w:tc>
        <w:tc>
          <w:tcPr>
            <w:tcW w:w="1248" w:type="dxa"/>
          </w:tcPr>
          <w:p w14:paraId="6AD89CB4" w14:textId="77777777" w:rsidR="009F0B24" w:rsidRPr="00BF3A4E" w:rsidRDefault="009F0B24" w:rsidP="00BF3A4E">
            <w:pPr>
              <w:rPr>
                <w:sz w:val="20"/>
                <w:szCs w:val="20"/>
              </w:rPr>
            </w:pPr>
          </w:p>
        </w:tc>
        <w:tc>
          <w:tcPr>
            <w:tcW w:w="1518" w:type="dxa"/>
          </w:tcPr>
          <w:p w14:paraId="6AD89CB5" w14:textId="77777777" w:rsidR="009F0B24" w:rsidRPr="00BF3A4E" w:rsidRDefault="009F0B24" w:rsidP="004553BB">
            <w:pPr>
              <w:ind w:left="0" w:right="0"/>
              <w:rPr>
                <w:sz w:val="20"/>
                <w:szCs w:val="20"/>
              </w:rPr>
            </w:pPr>
            <w:r w:rsidRPr="00BF3A4E">
              <w:rPr>
                <w:sz w:val="20"/>
                <w:szCs w:val="20"/>
              </w:rPr>
              <w:t>10 (8)</w:t>
            </w:r>
          </w:p>
        </w:tc>
        <w:tc>
          <w:tcPr>
            <w:tcW w:w="1191" w:type="dxa"/>
          </w:tcPr>
          <w:p w14:paraId="6AD89CB6" w14:textId="77777777" w:rsidR="009F0B24" w:rsidRPr="00BF3A4E" w:rsidRDefault="009F0B24" w:rsidP="00BF3A4E">
            <w:pPr>
              <w:rPr>
                <w:sz w:val="20"/>
                <w:szCs w:val="20"/>
              </w:rPr>
            </w:pPr>
          </w:p>
        </w:tc>
        <w:tc>
          <w:tcPr>
            <w:tcW w:w="1441" w:type="dxa"/>
          </w:tcPr>
          <w:p w14:paraId="6AD89CB7" w14:textId="77777777" w:rsidR="009F0B24" w:rsidRPr="00BF3A4E" w:rsidRDefault="009F0B24" w:rsidP="004553BB">
            <w:pPr>
              <w:ind w:left="0" w:right="0"/>
              <w:rPr>
                <w:sz w:val="20"/>
                <w:szCs w:val="20"/>
              </w:rPr>
            </w:pPr>
            <w:r w:rsidRPr="00BF3A4E">
              <w:rPr>
                <w:sz w:val="20"/>
                <w:szCs w:val="20"/>
              </w:rPr>
              <w:t>11 (4)</w:t>
            </w:r>
          </w:p>
        </w:tc>
      </w:tr>
      <w:tr w:rsidR="009F0B24" w:rsidRPr="00686209" w14:paraId="6AD89CBF" w14:textId="77777777" w:rsidTr="009F0B24">
        <w:tc>
          <w:tcPr>
            <w:tcW w:w="1987" w:type="dxa"/>
          </w:tcPr>
          <w:p w14:paraId="6AD89CB9" w14:textId="77777777" w:rsidR="009F0B24" w:rsidRPr="00BF3A4E" w:rsidRDefault="008B1EEB" w:rsidP="00BF3A4E">
            <w:pPr>
              <w:rPr>
                <w:sz w:val="20"/>
                <w:szCs w:val="20"/>
              </w:rPr>
            </w:pPr>
            <w:r w:rsidRPr="00BF3A4E">
              <w:rPr>
                <w:sz w:val="20"/>
                <w:szCs w:val="20"/>
              </w:rPr>
              <w:t>AUC</w:t>
            </w:r>
            <w:r w:rsidRPr="00BF3A4E">
              <w:rPr>
                <w:sz w:val="20"/>
                <w:szCs w:val="20"/>
                <w:vertAlign w:val="subscript"/>
              </w:rPr>
              <w:t>0-24</w:t>
            </w:r>
            <w:r w:rsidR="009F0B24" w:rsidRPr="00BF3A4E">
              <w:rPr>
                <w:sz w:val="20"/>
                <w:szCs w:val="20"/>
                <w:vertAlign w:val="subscript"/>
              </w:rPr>
              <w:t>h</w:t>
            </w:r>
            <w:r w:rsidR="009F0B24" w:rsidRPr="00BF3A4E">
              <w:rPr>
                <w:sz w:val="20"/>
                <w:szCs w:val="20"/>
              </w:rPr>
              <w:t xml:space="preserve"> : Mean (</w:t>
            </w:r>
            <w:proofErr w:type="spellStart"/>
            <w:r w:rsidR="009F0B24" w:rsidRPr="00BF3A4E">
              <w:rPr>
                <w:sz w:val="20"/>
                <w:szCs w:val="20"/>
              </w:rPr>
              <w:t>sd</w:t>
            </w:r>
            <w:proofErr w:type="spellEnd"/>
            <w:r w:rsidR="009F0B24" w:rsidRPr="00BF3A4E">
              <w:rPr>
                <w:sz w:val="20"/>
                <w:szCs w:val="20"/>
              </w:rPr>
              <w:t>) (h.ng/mL)</w:t>
            </w:r>
          </w:p>
        </w:tc>
        <w:tc>
          <w:tcPr>
            <w:tcW w:w="1335" w:type="dxa"/>
          </w:tcPr>
          <w:p w14:paraId="6AD89CBA" w14:textId="77777777" w:rsidR="009F0B24" w:rsidRPr="00BF3A4E" w:rsidRDefault="009F0B24" w:rsidP="004553BB">
            <w:pPr>
              <w:ind w:left="0" w:right="0"/>
              <w:rPr>
                <w:sz w:val="20"/>
                <w:szCs w:val="20"/>
              </w:rPr>
            </w:pPr>
            <w:r w:rsidRPr="00BF3A4E">
              <w:rPr>
                <w:sz w:val="20"/>
                <w:szCs w:val="20"/>
              </w:rPr>
              <w:t>9.29 (5.40)</w:t>
            </w:r>
          </w:p>
        </w:tc>
        <w:tc>
          <w:tcPr>
            <w:tcW w:w="1248" w:type="dxa"/>
          </w:tcPr>
          <w:p w14:paraId="6AD89CBB" w14:textId="77777777" w:rsidR="009F0B24" w:rsidRPr="00BF3A4E" w:rsidRDefault="009F0B24" w:rsidP="00BF3A4E">
            <w:pPr>
              <w:rPr>
                <w:sz w:val="20"/>
                <w:szCs w:val="20"/>
              </w:rPr>
            </w:pPr>
          </w:p>
        </w:tc>
        <w:tc>
          <w:tcPr>
            <w:tcW w:w="1518" w:type="dxa"/>
          </w:tcPr>
          <w:p w14:paraId="6AD89CBC" w14:textId="77777777" w:rsidR="009F0B24" w:rsidRPr="00BF3A4E" w:rsidRDefault="009F0B24" w:rsidP="004553BB">
            <w:pPr>
              <w:ind w:left="0" w:right="0"/>
              <w:rPr>
                <w:sz w:val="20"/>
                <w:szCs w:val="20"/>
              </w:rPr>
            </w:pPr>
            <w:r w:rsidRPr="00BF3A4E">
              <w:rPr>
                <w:sz w:val="20"/>
                <w:szCs w:val="20"/>
              </w:rPr>
              <w:t>36.14 (15.56)</w:t>
            </w:r>
          </w:p>
        </w:tc>
        <w:tc>
          <w:tcPr>
            <w:tcW w:w="1191" w:type="dxa"/>
          </w:tcPr>
          <w:p w14:paraId="6AD89CBD" w14:textId="77777777" w:rsidR="009F0B24" w:rsidRPr="00BF3A4E" w:rsidRDefault="009F0B24" w:rsidP="00BF3A4E">
            <w:pPr>
              <w:rPr>
                <w:sz w:val="20"/>
                <w:szCs w:val="20"/>
              </w:rPr>
            </w:pPr>
          </w:p>
        </w:tc>
        <w:tc>
          <w:tcPr>
            <w:tcW w:w="1441" w:type="dxa"/>
          </w:tcPr>
          <w:p w14:paraId="6AD89CBE" w14:textId="77777777" w:rsidR="009F0B24" w:rsidRPr="00BF3A4E" w:rsidRDefault="009F0B24" w:rsidP="004553BB">
            <w:pPr>
              <w:ind w:left="0" w:right="0"/>
              <w:rPr>
                <w:sz w:val="20"/>
                <w:szCs w:val="20"/>
              </w:rPr>
            </w:pPr>
            <w:r w:rsidRPr="00BF3A4E">
              <w:rPr>
                <w:sz w:val="20"/>
                <w:szCs w:val="20"/>
              </w:rPr>
              <w:t>35.43 (14.42)</w:t>
            </w:r>
          </w:p>
        </w:tc>
      </w:tr>
      <w:tr w:rsidR="009F0B24" w:rsidRPr="00686209" w14:paraId="6AD89CC6" w14:textId="77777777" w:rsidTr="009F0B24">
        <w:tc>
          <w:tcPr>
            <w:tcW w:w="1987" w:type="dxa"/>
          </w:tcPr>
          <w:p w14:paraId="6AD89CC0" w14:textId="77777777" w:rsidR="009F0B24" w:rsidRPr="00BF3A4E" w:rsidRDefault="008B1EEB" w:rsidP="00BF3A4E">
            <w:pPr>
              <w:rPr>
                <w:sz w:val="20"/>
                <w:szCs w:val="20"/>
              </w:rPr>
            </w:pPr>
            <w:r w:rsidRPr="00BF3A4E">
              <w:rPr>
                <w:sz w:val="20"/>
                <w:szCs w:val="20"/>
              </w:rPr>
              <w:t>AUC</w:t>
            </w:r>
            <w:r w:rsidRPr="00BF3A4E">
              <w:rPr>
                <w:sz w:val="20"/>
                <w:szCs w:val="20"/>
                <w:vertAlign w:val="subscript"/>
              </w:rPr>
              <w:t>0-24</w:t>
            </w:r>
            <w:r w:rsidR="009F0B24" w:rsidRPr="00BF3A4E">
              <w:rPr>
                <w:sz w:val="20"/>
                <w:szCs w:val="20"/>
                <w:vertAlign w:val="subscript"/>
              </w:rPr>
              <w:t>h</w:t>
            </w:r>
            <w:r w:rsidR="009F0B24" w:rsidRPr="00BF3A4E">
              <w:rPr>
                <w:sz w:val="20"/>
                <w:szCs w:val="20"/>
              </w:rPr>
              <w:t xml:space="preserve"> : Range (h.ng/mL)</w:t>
            </w:r>
          </w:p>
        </w:tc>
        <w:tc>
          <w:tcPr>
            <w:tcW w:w="1335" w:type="dxa"/>
          </w:tcPr>
          <w:p w14:paraId="6AD89CC1" w14:textId="77777777" w:rsidR="009F0B24" w:rsidRPr="00BF3A4E" w:rsidRDefault="009F0B24" w:rsidP="004553BB">
            <w:pPr>
              <w:ind w:left="0" w:right="0"/>
              <w:rPr>
                <w:sz w:val="20"/>
                <w:szCs w:val="20"/>
              </w:rPr>
            </w:pPr>
            <w:r w:rsidRPr="00BF3A4E">
              <w:rPr>
                <w:sz w:val="20"/>
                <w:szCs w:val="20"/>
              </w:rPr>
              <w:t>3.16 to 21.28</w:t>
            </w:r>
          </w:p>
        </w:tc>
        <w:tc>
          <w:tcPr>
            <w:tcW w:w="1248" w:type="dxa"/>
          </w:tcPr>
          <w:p w14:paraId="6AD89CC2" w14:textId="77777777" w:rsidR="009F0B24" w:rsidRPr="00BF3A4E" w:rsidRDefault="009F0B24" w:rsidP="00BF3A4E">
            <w:pPr>
              <w:rPr>
                <w:sz w:val="20"/>
                <w:szCs w:val="20"/>
              </w:rPr>
            </w:pPr>
          </w:p>
        </w:tc>
        <w:tc>
          <w:tcPr>
            <w:tcW w:w="1518" w:type="dxa"/>
          </w:tcPr>
          <w:p w14:paraId="6AD89CC3" w14:textId="77777777" w:rsidR="009F0B24" w:rsidRPr="00BF3A4E" w:rsidRDefault="009F0B24" w:rsidP="004553BB">
            <w:pPr>
              <w:ind w:left="0" w:right="0"/>
              <w:rPr>
                <w:sz w:val="20"/>
                <w:szCs w:val="20"/>
              </w:rPr>
            </w:pPr>
            <w:r w:rsidRPr="00BF3A4E">
              <w:rPr>
                <w:sz w:val="20"/>
                <w:szCs w:val="20"/>
              </w:rPr>
              <w:t>13.69 to 75.16</w:t>
            </w:r>
          </w:p>
        </w:tc>
        <w:tc>
          <w:tcPr>
            <w:tcW w:w="1191" w:type="dxa"/>
          </w:tcPr>
          <w:p w14:paraId="6AD89CC4" w14:textId="77777777" w:rsidR="009F0B24" w:rsidRPr="00BF3A4E" w:rsidRDefault="009F0B24" w:rsidP="00BF3A4E">
            <w:pPr>
              <w:rPr>
                <w:sz w:val="20"/>
                <w:szCs w:val="20"/>
              </w:rPr>
            </w:pPr>
          </w:p>
        </w:tc>
        <w:tc>
          <w:tcPr>
            <w:tcW w:w="1441" w:type="dxa"/>
          </w:tcPr>
          <w:p w14:paraId="6AD89CC5" w14:textId="77777777" w:rsidR="009F0B24" w:rsidRPr="00BF3A4E" w:rsidRDefault="009F0B24" w:rsidP="004553BB">
            <w:pPr>
              <w:ind w:left="0" w:right="0"/>
              <w:rPr>
                <w:sz w:val="20"/>
                <w:szCs w:val="20"/>
              </w:rPr>
            </w:pPr>
            <w:r w:rsidRPr="00BF3A4E">
              <w:rPr>
                <w:sz w:val="20"/>
                <w:szCs w:val="20"/>
              </w:rPr>
              <w:t>12.89 to 70.08</w:t>
            </w:r>
          </w:p>
        </w:tc>
      </w:tr>
    </w:tbl>
    <w:p w14:paraId="6AD89CC7" w14:textId="77777777" w:rsidR="00545886" w:rsidRPr="006E4644" w:rsidRDefault="00545886" w:rsidP="00AF35D8">
      <w:pPr>
        <w:pStyle w:val="TableCaption"/>
        <w:rPr>
          <w:lang w:val="es-ES_tradnl"/>
        </w:rPr>
      </w:pPr>
      <w:r w:rsidRPr="006E4644">
        <w:rPr>
          <w:vertAlign w:val="superscript"/>
          <w:lang w:val="es-ES_tradnl"/>
        </w:rPr>
        <w:t>1</w:t>
      </w:r>
      <w:r w:rsidRPr="006E4644">
        <w:rPr>
          <w:lang w:val="es-ES_tradnl"/>
        </w:rPr>
        <w:t xml:space="preserve"> Pre-</w:t>
      </w:r>
      <w:proofErr w:type="spellStart"/>
      <w:r w:rsidRPr="006E4644">
        <w:rPr>
          <w:lang w:val="es-ES_tradnl"/>
        </w:rPr>
        <w:t>dose</w:t>
      </w:r>
      <w:proofErr w:type="spellEnd"/>
      <w:r w:rsidRPr="006E4644">
        <w:rPr>
          <w:lang w:val="es-ES_tradnl"/>
        </w:rPr>
        <w:t xml:space="preserve">, </w:t>
      </w:r>
      <w:r w:rsidRPr="006E4644">
        <w:rPr>
          <w:vertAlign w:val="superscript"/>
          <w:lang w:val="es-ES_tradnl"/>
        </w:rPr>
        <w:t>2</w:t>
      </w:r>
      <w:r w:rsidRPr="006E4644">
        <w:rPr>
          <w:lang w:val="es-ES_tradnl"/>
        </w:rPr>
        <w:t xml:space="preserve"> N=17, </w:t>
      </w:r>
      <w:r w:rsidRPr="006E4644">
        <w:rPr>
          <w:vertAlign w:val="superscript"/>
          <w:lang w:val="es-ES_tradnl"/>
        </w:rPr>
        <w:t>3</w:t>
      </w:r>
      <w:r w:rsidRPr="006E4644">
        <w:rPr>
          <w:lang w:val="es-ES_tradnl"/>
        </w:rPr>
        <w:t xml:space="preserve"> N=13, </w:t>
      </w:r>
      <w:r w:rsidRPr="006E4644">
        <w:rPr>
          <w:vertAlign w:val="superscript"/>
          <w:lang w:val="es-ES_tradnl"/>
        </w:rPr>
        <w:t>4</w:t>
      </w:r>
      <w:r w:rsidRPr="006E4644">
        <w:rPr>
          <w:lang w:val="es-ES_tradnl"/>
        </w:rPr>
        <w:t xml:space="preserve"> N=14</w:t>
      </w:r>
    </w:p>
    <w:p w14:paraId="6AD89CC8" w14:textId="77777777" w:rsidR="009F0B24" w:rsidRPr="009F0B24" w:rsidRDefault="00D653C0" w:rsidP="009F0B24">
      <w:pPr>
        <w:pStyle w:val="TableTitle"/>
      </w:pPr>
      <w:proofErr w:type="gramStart"/>
      <w:r>
        <w:t>Table 7</w:t>
      </w:r>
      <w:r w:rsidR="009F0B24" w:rsidRPr="009F0B24">
        <w:t>.</w:t>
      </w:r>
      <w:proofErr w:type="gramEnd"/>
      <w:r w:rsidR="009F0B24" w:rsidRPr="009F0B24">
        <w:t xml:space="preserve"> </w:t>
      </w:r>
      <w:proofErr w:type="gramStart"/>
      <w:r w:rsidR="00D27167" w:rsidRPr="009F0B24">
        <w:t>Ivermectin</w:t>
      </w:r>
      <w:r w:rsidR="009F0B24" w:rsidRPr="009F0B24">
        <w:t xml:space="preserve"> measurements during chronic dosing in Studies RD.03.SRE.40027, RD.03.SRE.40106, RD.03.SRE.40051, RD.06.SRE.18170 and RD.06.SRE.18171.</w:t>
      </w:r>
      <w:proofErr w:type="gramEnd"/>
    </w:p>
    <w:tbl>
      <w:tblPr>
        <w:tblStyle w:val="TableTGAblue"/>
        <w:tblW w:w="0" w:type="auto"/>
        <w:tblLayout w:type="fixed"/>
        <w:tblLook w:val="04A0" w:firstRow="1" w:lastRow="0" w:firstColumn="1" w:lastColumn="0" w:noHBand="0" w:noVBand="1"/>
        <w:tblDescription w:val="Table 7. Ivermectin measurements during chronic dosing in Studies RD.03.SRE.40027, RD.03.SRE.40106, RD.03.SRE.40051, RD.06.SRE.18170 and RD.06.SRE.18171."/>
      </w:tblPr>
      <w:tblGrid>
        <w:gridCol w:w="1242"/>
        <w:gridCol w:w="1276"/>
        <w:gridCol w:w="1276"/>
        <w:gridCol w:w="1134"/>
        <w:gridCol w:w="1276"/>
        <w:gridCol w:w="1229"/>
        <w:gridCol w:w="1287"/>
      </w:tblGrid>
      <w:tr w:rsidR="009F0B24" w:rsidRPr="00686209" w14:paraId="6AD89CCC" w14:textId="77777777" w:rsidTr="00BF3A4E">
        <w:trPr>
          <w:cnfStyle w:val="100000000000" w:firstRow="1" w:lastRow="0" w:firstColumn="0" w:lastColumn="0" w:oddVBand="0" w:evenVBand="0" w:oddHBand="0" w:evenHBand="0" w:firstRowFirstColumn="0" w:firstRowLastColumn="0" w:lastRowFirstColumn="0" w:lastRowLastColumn="0"/>
          <w:trHeight w:val="616"/>
        </w:trPr>
        <w:tc>
          <w:tcPr>
            <w:tcW w:w="1242" w:type="dxa"/>
            <w:vMerge w:val="restart"/>
          </w:tcPr>
          <w:p w14:paraId="6AD89CC9" w14:textId="77777777" w:rsidR="009F0B24" w:rsidRPr="00BF3A4E" w:rsidRDefault="009F0B24" w:rsidP="004553BB">
            <w:pPr>
              <w:ind w:left="0" w:right="0"/>
              <w:rPr>
                <w:b w:val="0"/>
                <w:sz w:val="20"/>
                <w:szCs w:val="20"/>
              </w:rPr>
            </w:pPr>
            <w:r w:rsidRPr="00BF3A4E">
              <w:rPr>
                <w:sz w:val="20"/>
                <w:szCs w:val="20"/>
              </w:rPr>
              <w:t>Treatment duration</w:t>
            </w:r>
          </w:p>
        </w:tc>
        <w:tc>
          <w:tcPr>
            <w:tcW w:w="7478" w:type="dxa"/>
            <w:gridSpan w:val="6"/>
            <w:tcBorders>
              <w:bottom w:val="single" w:sz="4" w:space="0" w:color="FFFFFF" w:themeColor="background1"/>
            </w:tcBorders>
          </w:tcPr>
          <w:p w14:paraId="6AD89CCB" w14:textId="6145BF97" w:rsidR="00D27167" w:rsidRPr="00BF3A4E" w:rsidRDefault="009F0B24" w:rsidP="004553BB">
            <w:pPr>
              <w:ind w:left="0" w:right="0"/>
              <w:rPr>
                <w:b w:val="0"/>
                <w:sz w:val="20"/>
                <w:szCs w:val="20"/>
              </w:rPr>
            </w:pPr>
            <w:r w:rsidRPr="00BF3A4E">
              <w:rPr>
                <w:sz w:val="20"/>
                <w:szCs w:val="20"/>
              </w:rPr>
              <w:t>Ivermectin concentration (ng/mL): mean</w:t>
            </w:r>
            <w:r w:rsidR="00D653C0" w:rsidRPr="00BF3A4E">
              <w:rPr>
                <w:sz w:val="20"/>
                <w:szCs w:val="20"/>
              </w:rPr>
              <w:t xml:space="preserve"> </w:t>
            </w:r>
            <w:r w:rsidRPr="00BF3A4E">
              <w:rPr>
                <w:sz w:val="20"/>
                <w:szCs w:val="20"/>
              </w:rPr>
              <w:t>±</w:t>
            </w:r>
            <w:r w:rsidR="00D653C0" w:rsidRPr="00BF3A4E">
              <w:rPr>
                <w:sz w:val="20"/>
                <w:szCs w:val="20"/>
              </w:rPr>
              <w:t xml:space="preserve"> </w:t>
            </w:r>
            <w:r w:rsidR="00F8356E" w:rsidRPr="00BF3A4E">
              <w:rPr>
                <w:sz w:val="20"/>
                <w:szCs w:val="20"/>
              </w:rPr>
              <w:t>SD</w:t>
            </w:r>
            <w:r w:rsidRPr="00BF3A4E">
              <w:rPr>
                <w:sz w:val="20"/>
                <w:szCs w:val="20"/>
              </w:rPr>
              <w:t xml:space="preserve"> (range</w:t>
            </w:r>
            <w:r w:rsidR="00686209">
              <w:rPr>
                <w:b w:val="0"/>
                <w:sz w:val="20"/>
                <w:szCs w:val="20"/>
              </w:rPr>
              <w:t>)</w:t>
            </w:r>
          </w:p>
        </w:tc>
      </w:tr>
      <w:tr w:rsidR="009F0B24" w:rsidRPr="00686209" w14:paraId="6AD89CD8" w14:textId="77777777" w:rsidTr="00BF3A4E">
        <w:tc>
          <w:tcPr>
            <w:tcW w:w="1242" w:type="dxa"/>
            <w:vMerge/>
            <w:tcBorders>
              <w:right w:val="single" w:sz="4" w:space="0" w:color="FFFFFF" w:themeColor="background1"/>
            </w:tcBorders>
          </w:tcPr>
          <w:p w14:paraId="6AD89CCD" w14:textId="77777777" w:rsidR="009F0B24" w:rsidRPr="00BF3A4E" w:rsidRDefault="009F0B24" w:rsidP="004553BB">
            <w:pPr>
              <w:ind w:left="0" w:right="0"/>
              <w:rPr>
                <w:sz w:val="20"/>
                <w:szCs w:val="20"/>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CE" w14:textId="77777777" w:rsidR="009F0B24" w:rsidRPr="004553BB" w:rsidRDefault="009F0B24" w:rsidP="004553BB">
            <w:pPr>
              <w:ind w:left="0" w:right="0"/>
              <w:rPr>
                <w:color w:val="FFFFFF" w:themeColor="background1"/>
                <w:sz w:val="20"/>
                <w:szCs w:val="20"/>
              </w:rPr>
            </w:pPr>
            <w:r w:rsidRPr="004553BB">
              <w:rPr>
                <w:color w:val="FFFFFF" w:themeColor="background1"/>
                <w:sz w:val="20"/>
                <w:szCs w:val="20"/>
              </w:rPr>
              <w:t>40064</w:t>
            </w:r>
            <w:r w:rsidRPr="004553BB">
              <w:rPr>
                <w:color w:val="FFFFFF" w:themeColor="background1"/>
                <w:sz w:val="20"/>
                <w:szCs w:val="20"/>
                <w:vertAlign w:val="superscript"/>
              </w:rPr>
              <w:t>1</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D0" w14:textId="2C5A2A2D" w:rsidR="009F0B24" w:rsidRPr="004553BB" w:rsidRDefault="004553BB" w:rsidP="004553BB">
            <w:pPr>
              <w:ind w:left="0" w:right="0"/>
              <w:rPr>
                <w:color w:val="FFFFFF" w:themeColor="background1"/>
                <w:sz w:val="20"/>
                <w:szCs w:val="20"/>
              </w:rPr>
            </w:pPr>
            <w:r w:rsidRPr="004553BB">
              <w:rPr>
                <w:color w:val="FFFFFF" w:themeColor="background1"/>
                <w:sz w:val="20"/>
                <w:szCs w:val="20"/>
              </w:rPr>
              <w:t xml:space="preserve">40027 </w:t>
            </w:r>
            <w:r w:rsidR="009F0B24" w:rsidRPr="004553BB">
              <w:rPr>
                <w:color w:val="FFFFFF" w:themeColor="background1"/>
                <w:sz w:val="20"/>
                <w:szCs w:val="20"/>
              </w:rPr>
              <w:t>N=50</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D2" w14:textId="2CB3E83A" w:rsidR="009F0B24" w:rsidRPr="004553BB" w:rsidRDefault="004553BB" w:rsidP="004553BB">
            <w:pPr>
              <w:ind w:left="0" w:right="0"/>
              <w:rPr>
                <w:color w:val="FFFFFF" w:themeColor="background1"/>
                <w:sz w:val="20"/>
                <w:szCs w:val="20"/>
              </w:rPr>
            </w:pPr>
            <w:r w:rsidRPr="004553BB">
              <w:rPr>
                <w:color w:val="FFFFFF" w:themeColor="background1"/>
                <w:sz w:val="20"/>
                <w:szCs w:val="20"/>
              </w:rPr>
              <w:t xml:space="preserve">40051 </w:t>
            </w:r>
            <w:r w:rsidR="009F0B24" w:rsidRPr="004553BB">
              <w:rPr>
                <w:color w:val="FFFFFF" w:themeColor="background1"/>
                <w:sz w:val="20"/>
                <w:szCs w:val="20"/>
              </w:rPr>
              <w:t>N=79</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D3" w14:textId="77777777" w:rsidR="009F0B24" w:rsidRPr="004553BB" w:rsidRDefault="009F0B24" w:rsidP="004553BB">
            <w:pPr>
              <w:ind w:left="0" w:right="0"/>
              <w:rPr>
                <w:color w:val="FFFFFF" w:themeColor="background1"/>
                <w:sz w:val="20"/>
                <w:szCs w:val="20"/>
              </w:rPr>
            </w:pPr>
            <w:r w:rsidRPr="004553BB">
              <w:rPr>
                <w:color w:val="FFFFFF" w:themeColor="background1"/>
                <w:sz w:val="20"/>
                <w:szCs w:val="20"/>
              </w:rPr>
              <w:t>40106</w:t>
            </w:r>
            <w:r w:rsidRPr="004553BB">
              <w:rPr>
                <w:color w:val="FFFFFF" w:themeColor="background1"/>
                <w:sz w:val="20"/>
                <w:szCs w:val="20"/>
                <w:vertAlign w:val="superscript"/>
              </w:rPr>
              <w:t>2</w:t>
            </w:r>
          </w:p>
        </w:tc>
        <w:tc>
          <w:tcPr>
            <w:tcW w:w="122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D5" w14:textId="769AD395" w:rsidR="009F0B24" w:rsidRPr="004553BB" w:rsidRDefault="004553BB" w:rsidP="004553BB">
            <w:pPr>
              <w:ind w:left="0" w:right="0"/>
              <w:rPr>
                <w:color w:val="FFFFFF" w:themeColor="background1"/>
                <w:sz w:val="20"/>
                <w:szCs w:val="20"/>
              </w:rPr>
            </w:pPr>
            <w:r w:rsidRPr="004553BB">
              <w:rPr>
                <w:color w:val="FFFFFF" w:themeColor="background1"/>
                <w:sz w:val="20"/>
                <w:szCs w:val="20"/>
              </w:rPr>
              <w:t xml:space="preserve">18170 </w:t>
            </w:r>
            <w:r w:rsidR="009F0B24" w:rsidRPr="004553BB">
              <w:rPr>
                <w:color w:val="FFFFFF" w:themeColor="background1"/>
                <w:sz w:val="20"/>
                <w:szCs w:val="20"/>
              </w:rPr>
              <w:t>N=109</w:t>
            </w:r>
          </w:p>
        </w:tc>
        <w:tc>
          <w:tcPr>
            <w:tcW w:w="12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70B5" w:themeFill="text2" w:themeFillTint="BF"/>
          </w:tcPr>
          <w:p w14:paraId="6AD89CD7" w14:textId="0F6D7E81" w:rsidR="009F0B24" w:rsidRPr="004553BB" w:rsidRDefault="004553BB" w:rsidP="004553BB">
            <w:pPr>
              <w:ind w:left="0" w:right="0"/>
              <w:rPr>
                <w:color w:val="FFFFFF" w:themeColor="background1"/>
                <w:sz w:val="20"/>
                <w:szCs w:val="20"/>
              </w:rPr>
            </w:pPr>
            <w:r w:rsidRPr="004553BB">
              <w:rPr>
                <w:color w:val="FFFFFF" w:themeColor="background1"/>
                <w:sz w:val="20"/>
                <w:szCs w:val="20"/>
              </w:rPr>
              <w:t xml:space="preserve">18171 </w:t>
            </w:r>
            <w:r w:rsidR="009F0B24" w:rsidRPr="004553BB">
              <w:rPr>
                <w:color w:val="FFFFFF" w:themeColor="background1"/>
                <w:sz w:val="20"/>
                <w:szCs w:val="20"/>
              </w:rPr>
              <w:t>N=105</w:t>
            </w:r>
          </w:p>
        </w:tc>
      </w:tr>
      <w:tr w:rsidR="009F0B24" w:rsidRPr="00686209" w14:paraId="6AD89CE0" w14:textId="77777777" w:rsidTr="00BF3A4E">
        <w:tc>
          <w:tcPr>
            <w:tcW w:w="1242" w:type="dxa"/>
          </w:tcPr>
          <w:p w14:paraId="6AD89CD9" w14:textId="77777777" w:rsidR="009F0B24" w:rsidRPr="00BF3A4E" w:rsidRDefault="009F0B24" w:rsidP="004553BB">
            <w:pPr>
              <w:ind w:left="0" w:right="0"/>
              <w:rPr>
                <w:sz w:val="20"/>
                <w:szCs w:val="20"/>
              </w:rPr>
            </w:pPr>
            <w:r w:rsidRPr="00BF3A4E">
              <w:rPr>
                <w:sz w:val="20"/>
                <w:szCs w:val="20"/>
              </w:rPr>
              <w:t>Week 2</w:t>
            </w:r>
          </w:p>
        </w:tc>
        <w:tc>
          <w:tcPr>
            <w:tcW w:w="1276" w:type="dxa"/>
            <w:tcBorders>
              <w:top w:val="single" w:sz="4" w:space="0" w:color="FFFFFF" w:themeColor="background1"/>
            </w:tcBorders>
          </w:tcPr>
          <w:p w14:paraId="6AD89CDA" w14:textId="77777777" w:rsidR="009F0B24" w:rsidRPr="00BF3A4E" w:rsidRDefault="009F0B24" w:rsidP="004553BB">
            <w:pPr>
              <w:ind w:left="0" w:right="0"/>
              <w:rPr>
                <w:sz w:val="20"/>
                <w:szCs w:val="20"/>
              </w:rPr>
            </w:pPr>
            <w:r w:rsidRPr="00BF3A4E">
              <w:rPr>
                <w:sz w:val="20"/>
                <w:szCs w:val="20"/>
              </w:rPr>
              <w:t>1.26±0.5 (0.58 to 2.34)</w:t>
            </w:r>
          </w:p>
        </w:tc>
        <w:tc>
          <w:tcPr>
            <w:tcW w:w="1276" w:type="dxa"/>
            <w:tcBorders>
              <w:top w:val="single" w:sz="4" w:space="0" w:color="FFFFFF" w:themeColor="background1"/>
            </w:tcBorders>
          </w:tcPr>
          <w:p w14:paraId="6AD89CDB" w14:textId="77777777" w:rsidR="009F0B24" w:rsidRPr="00BF3A4E" w:rsidRDefault="009F0B24" w:rsidP="004553BB">
            <w:pPr>
              <w:ind w:left="0" w:right="0"/>
              <w:rPr>
                <w:sz w:val="20"/>
                <w:szCs w:val="20"/>
              </w:rPr>
            </w:pPr>
          </w:p>
        </w:tc>
        <w:tc>
          <w:tcPr>
            <w:tcW w:w="1134" w:type="dxa"/>
            <w:tcBorders>
              <w:top w:val="single" w:sz="4" w:space="0" w:color="FFFFFF" w:themeColor="background1"/>
            </w:tcBorders>
          </w:tcPr>
          <w:p w14:paraId="6AD89CDC" w14:textId="77777777" w:rsidR="009F0B24" w:rsidRPr="00BF3A4E" w:rsidRDefault="009F0B24" w:rsidP="004553BB">
            <w:pPr>
              <w:ind w:left="0" w:right="0"/>
              <w:rPr>
                <w:sz w:val="20"/>
                <w:szCs w:val="20"/>
              </w:rPr>
            </w:pPr>
          </w:p>
        </w:tc>
        <w:tc>
          <w:tcPr>
            <w:tcW w:w="1276" w:type="dxa"/>
            <w:tcBorders>
              <w:top w:val="single" w:sz="4" w:space="0" w:color="FFFFFF" w:themeColor="background1"/>
            </w:tcBorders>
          </w:tcPr>
          <w:p w14:paraId="6AD89CDD"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0.77</w:t>
            </w:r>
            <w:r w:rsidRPr="00BF3A4E">
              <w:rPr>
                <w:sz w:val="20"/>
                <w:szCs w:val="20"/>
              </w:rPr>
              <w:t>±</w:t>
            </w:r>
            <w:r w:rsidRPr="00BF3A4E">
              <w:rPr>
                <w:rFonts w:eastAsia="ArialNarrow,Bold" w:cs="ArialNarrow,Bold"/>
                <w:bCs/>
                <w:sz w:val="20"/>
                <w:szCs w:val="20"/>
              </w:rPr>
              <w:t>0.71 (to 3.66)</w:t>
            </w:r>
          </w:p>
        </w:tc>
        <w:tc>
          <w:tcPr>
            <w:tcW w:w="1229" w:type="dxa"/>
            <w:tcBorders>
              <w:top w:val="single" w:sz="4" w:space="0" w:color="FFFFFF" w:themeColor="background1"/>
            </w:tcBorders>
          </w:tcPr>
          <w:p w14:paraId="6AD89CDE" w14:textId="77777777" w:rsidR="009F0B24" w:rsidRPr="00BF3A4E" w:rsidRDefault="009F0B24" w:rsidP="004553BB">
            <w:pPr>
              <w:ind w:left="0" w:right="0"/>
              <w:rPr>
                <w:sz w:val="20"/>
                <w:szCs w:val="20"/>
              </w:rPr>
            </w:pPr>
          </w:p>
        </w:tc>
        <w:tc>
          <w:tcPr>
            <w:tcW w:w="1287" w:type="dxa"/>
            <w:tcBorders>
              <w:top w:val="single" w:sz="4" w:space="0" w:color="FFFFFF" w:themeColor="background1"/>
            </w:tcBorders>
          </w:tcPr>
          <w:p w14:paraId="6AD89CDF" w14:textId="77777777" w:rsidR="009F0B24" w:rsidRPr="00BF3A4E" w:rsidRDefault="009F0B24" w:rsidP="004553BB">
            <w:pPr>
              <w:ind w:left="0" w:right="0"/>
              <w:rPr>
                <w:sz w:val="20"/>
                <w:szCs w:val="20"/>
              </w:rPr>
            </w:pPr>
          </w:p>
        </w:tc>
      </w:tr>
      <w:tr w:rsidR="009F0B24" w:rsidRPr="00686209" w14:paraId="6AD89CE8" w14:textId="77777777" w:rsidTr="00BF3A4E">
        <w:tc>
          <w:tcPr>
            <w:tcW w:w="1242" w:type="dxa"/>
          </w:tcPr>
          <w:p w14:paraId="6AD89CE1" w14:textId="77777777" w:rsidR="009F0B24" w:rsidRPr="00BF3A4E" w:rsidRDefault="009F0B24" w:rsidP="004553BB">
            <w:pPr>
              <w:ind w:left="0" w:right="0"/>
              <w:rPr>
                <w:sz w:val="20"/>
                <w:szCs w:val="20"/>
              </w:rPr>
            </w:pPr>
            <w:r w:rsidRPr="00BF3A4E">
              <w:rPr>
                <w:sz w:val="20"/>
                <w:szCs w:val="20"/>
              </w:rPr>
              <w:t>Week 4</w:t>
            </w:r>
          </w:p>
        </w:tc>
        <w:tc>
          <w:tcPr>
            <w:tcW w:w="1276" w:type="dxa"/>
          </w:tcPr>
          <w:p w14:paraId="6AD89CE2" w14:textId="77777777" w:rsidR="009F0B24" w:rsidRPr="00BF3A4E" w:rsidRDefault="009F0B24" w:rsidP="004553BB">
            <w:pPr>
              <w:ind w:left="0" w:right="0"/>
              <w:rPr>
                <w:sz w:val="20"/>
                <w:szCs w:val="20"/>
              </w:rPr>
            </w:pPr>
            <w:r w:rsidRPr="00BF3A4E">
              <w:rPr>
                <w:sz w:val="20"/>
                <w:szCs w:val="20"/>
              </w:rPr>
              <w:t>1.36±0.6 (0.53 to 3.00)</w:t>
            </w:r>
          </w:p>
        </w:tc>
        <w:tc>
          <w:tcPr>
            <w:tcW w:w="1276" w:type="dxa"/>
          </w:tcPr>
          <w:p w14:paraId="6AD89CE3" w14:textId="77777777" w:rsidR="009F0B24" w:rsidRPr="00BF3A4E" w:rsidRDefault="009F0B24" w:rsidP="004553BB">
            <w:pPr>
              <w:ind w:left="0" w:right="0"/>
              <w:rPr>
                <w:sz w:val="20"/>
                <w:szCs w:val="20"/>
              </w:rPr>
            </w:pPr>
            <w:r w:rsidRPr="00BF3A4E">
              <w:rPr>
                <w:sz w:val="20"/>
                <w:szCs w:val="20"/>
              </w:rPr>
              <w:t>0.72±0.7 (to 4.05)</w:t>
            </w:r>
          </w:p>
        </w:tc>
        <w:tc>
          <w:tcPr>
            <w:tcW w:w="1134" w:type="dxa"/>
          </w:tcPr>
          <w:p w14:paraId="6AD89CE4" w14:textId="77777777" w:rsidR="009F0B24" w:rsidRPr="00BF3A4E" w:rsidRDefault="009F0B24" w:rsidP="004553BB">
            <w:pPr>
              <w:ind w:left="0" w:right="0"/>
              <w:rPr>
                <w:sz w:val="20"/>
                <w:szCs w:val="20"/>
              </w:rPr>
            </w:pPr>
          </w:p>
        </w:tc>
        <w:tc>
          <w:tcPr>
            <w:tcW w:w="1276" w:type="dxa"/>
          </w:tcPr>
          <w:p w14:paraId="6AD89CE5"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0.95</w:t>
            </w:r>
            <w:r w:rsidRPr="00BF3A4E">
              <w:rPr>
                <w:sz w:val="20"/>
                <w:szCs w:val="20"/>
              </w:rPr>
              <w:t>±</w:t>
            </w:r>
            <w:r w:rsidRPr="00BF3A4E">
              <w:rPr>
                <w:rFonts w:eastAsia="ArialNarrow,Bold" w:cs="ArialNarrow,Bold"/>
                <w:bCs/>
                <w:sz w:val="20"/>
                <w:szCs w:val="20"/>
              </w:rPr>
              <w:t>0.88 (to 4.55)</w:t>
            </w:r>
          </w:p>
        </w:tc>
        <w:tc>
          <w:tcPr>
            <w:tcW w:w="1229" w:type="dxa"/>
          </w:tcPr>
          <w:p w14:paraId="6AD89CE6" w14:textId="77777777" w:rsidR="009F0B24" w:rsidRPr="00BF3A4E" w:rsidRDefault="009F0B24" w:rsidP="004553BB">
            <w:pPr>
              <w:ind w:left="0" w:right="0"/>
              <w:rPr>
                <w:sz w:val="20"/>
                <w:szCs w:val="20"/>
              </w:rPr>
            </w:pPr>
          </w:p>
        </w:tc>
        <w:tc>
          <w:tcPr>
            <w:tcW w:w="1287" w:type="dxa"/>
          </w:tcPr>
          <w:p w14:paraId="6AD89CE7" w14:textId="77777777" w:rsidR="009F0B24" w:rsidRPr="00BF3A4E" w:rsidRDefault="009F0B24" w:rsidP="004553BB">
            <w:pPr>
              <w:ind w:left="0" w:right="0"/>
              <w:rPr>
                <w:sz w:val="20"/>
                <w:szCs w:val="20"/>
              </w:rPr>
            </w:pPr>
          </w:p>
        </w:tc>
      </w:tr>
      <w:tr w:rsidR="009F0B24" w:rsidRPr="00686209" w14:paraId="6AD89CF0" w14:textId="77777777" w:rsidTr="00BF3A4E">
        <w:tc>
          <w:tcPr>
            <w:tcW w:w="1242" w:type="dxa"/>
          </w:tcPr>
          <w:p w14:paraId="6AD89CE9" w14:textId="77777777" w:rsidR="009F0B24" w:rsidRPr="00BF3A4E" w:rsidRDefault="009F0B24" w:rsidP="004553BB">
            <w:pPr>
              <w:ind w:left="0" w:right="0"/>
              <w:rPr>
                <w:sz w:val="20"/>
                <w:szCs w:val="20"/>
              </w:rPr>
            </w:pPr>
            <w:r w:rsidRPr="00BF3A4E">
              <w:rPr>
                <w:sz w:val="20"/>
                <w:szCs w:val="20"/>
              </w:rPr>
              <w:t>Week 6</w:t>
            </w:r>
          </w:p>
        </w:tc>
        <w:tc>
          <w:tcPr>
            <w:tcW w:w="1276" w:type="dxa"/>
          </w:tcPr>
          <w:p w14:paraId="6AD89CEA" w14:textId="77777777" w:rsidR="009F0B24" w:rsidRPr="00BF3A4E" w:rsidRDefault="009F0B24" w:rsidP="004553BB">
            <w:pPr>
              <w:ind w:left="0" w:right="0"/>
              <w:rPr>
                <w:sz w:val="20"/>
                <w:szCs w:val="20"/>
              </w:rPr>
            </w:pPr>
          </w:p>
        </w:tc>
        <w:tc>
          <w:tcPr>
            <w:tcW w:w="1276" w:type="dxa"/>
          </w:tcPr>
          <w:p w14:paraId="6AD89CEB" w14:textId="77777777" w:rsidR="009F0B24" w:rsidRPr="00BF3A4E" w:rsidRDefault="009F0B24" w:rsidP="004553BB">
            <w:pPr>
              <w:ind w:left="0" w:right="0"/>
              <w:rPr>
                <w:sz w:val="20"/>
                <w:szCs w:val="20"/>
              </w:rPr>
            </w:pPr>
          </w:p>
        </w:tc>
        <w:tc>
          <w:tcPr>
            <w:tcW w:w="1134" w:type="dxa"/>
          </w:tcPr>
          <w:p w14:paraId="6AD89CEC" w14:textId="77777777" w:rsidR="009F0B24" w:rsidRPr="00BF3A4E" w:rsidRDefault="009F0B24" w:rsidP="004553BB">
            <w:pPr>
              <w:ind w:left="0" w:right="0"/>
              <w:rPr>
                <w:sz w:val="20"/>
                <w:szCs w:val="20"/>
              </w:rPr>
            </w:pPr>
          </w:p>
        </w:tc>
        <w:tc>
          <w:tcPr>
            <w:tcW w:w="1276" w:type="dxa"/>
          </w:tcPr>
          <w:p w14:paraId="6AD89CED"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1.07</w:t>
            </w:r>
            <w:r w:rsidRPr="00BF3A4E">
              <w:rPr>
                <w:sz w:val="20"/>
                <w:szCs w:val="20"/>
              </w:rPr>
              <w:t>±</w:t>
            </w:r>
            <w:r w:rsidRPr="00BF3A4E">
              <w:rPr>
                <w:rFonts w:eastAsia="ArialNarrow,Bold" w:cs="ArialNarrow,Bold"/>
                <w:bCs/>
                <w:sz w:val="20"/>
                <w:szCs w:val="20"/>
              </w:rPr>
              <w:t>0.97 (to 5.78)</w:t>
            </w:r>
          </w:p>
        </w:tc>
        <w:tc>
          <w:tcPr>
            <w:tcW w:w="1229" w:type="dxa"/>
          </w:tcPr>
          <w:p w14:paraId="6AD89CEE" w14:textId="77777777" w:rsidR="009F0B24" w:rsidRPr="00BF3A4E" w:rsidRDefault="009F0B24" w:rsidP="004553BB">
            <w:pPr>
              <w:ind w:left="0" w:right="0"/>
              <w:rPr>
                <w:sz w:val="20"/>
                <w:szCs w:val="20"/>
              </w:rPr>
            </w:pPr>
          </w:p>
        </w:tc>
        <w:tc>
          <w:tcPr>
            <w:tcW w:w="1287" w:type="dxa"/>
          </w:tcPr>
          <w:p w14:paraId="6AD89CEF" w14:textId="77777777" w:rsidR="009F0B24" w:rsidRPr="00BF3A4E" w:rsidRDefault="009F0B24" w:rsidP="004553BB">
            <w:pPr>
              <w:ind w:left="0" w:right="0"/>
              <w:rPr>
                <w:sz w:val="20"/>
                <w:szCs w:val="20"/>
              </w:rPr>
            </w:pPr>
          </w:p>
        </w:tc>
      </w:tr>
      <w:tr w:rsidR="009F0B24" w:rsidRPr="00686209" w14:paraId="6AD89CF8" w14:textId="77777777" w:rsidTr="00BF3A4E">
        <w:tc>
          <w:tcPr>
            <w:tcW w:w="1242" w:type="dxa"/>
          </w:tcPr>
          <w:p w14:paraId="6AD89CF1" w14:textId="77777777" w:rsidR="009F0B24" w:rsidRPr="00BF3A4E" w:rsidRDefault="009F0B24" w:rsidP="004553BB">
            <w:pPr>
              <w:ind w:left="0" w:right="0"/>
              <w:rPr>
                <w:sz w:val="20"/>
                <w:szCs w:val="20"/>
              </w:rPr>
            </w:pPr>
            <w:r w:rsidRPr="00BF3A4E">
              <w:rPr>
                <w:sz w:val="20"/>
                <w:szCs w:val="20"/>
              </w:rPr>
              <w:lastRenderedPageBreak/>
              <w:t>Week 8</w:t>
            </w:r>
          </w:p>
        </w:tc>
        <w:tc>
          <w:tcPr>
            <w:tcW w:w="1276" w:type="dxa"/>
          </w:tcPr>
          <w:p w14:paraId="6AD89CF2" w14:textId="77777777" w:rsidR="009F0B24" w:rsidRPr="00BF3A4E" w:rsidRDefault="009F0B24" w:rsidP="004553BB">
            <w:pPr>
              <w:ind w:left="0" w:right="0"/>
              <w:rPr>
                <w:sz w:val="20"/>
                <w:szCs w:val="20"/>
              </w:rPr>
            </w:pPr>
          </w:p>
        </w:tc>
        <w:tc>
          <w:tcPr>
            <w:tcW w:w="1276" w:type="dxa"/>
          </w:tcPr>
          <w:p w14:paraId="6AD89CF3" w14:textId="77777777" w:rsidR="009F0B24" w:rsidRPr="00BF3A4E" w:rsidRDefault="009F0B24" w:rsidP="004553BB">
            <w:pPr>
              <w:ind w:left="0" w:right="0"/>
              <w:rPr>
                <w:sz w:val="20"/>
                <w:szCs w:val="20"/>
              </w:rPr>
            </w:pPr>
          </w:p>
        </w:tc>
        <w:tc>
          <w:tcPr>
            <w:tcW w:w="1134" w:type="dxa"/>
          </w:tcPr>
          <w:p w14:paraId="6AD89CF4" w14:textId="77777777" w:rsidR="009F0B24" w:rsidRPr="00BF3A4E" w:rsidRDefault="009F0B24" w:rsidP="004553BB">
            <w:pPr>
              <w:ind w:left="0" w:right="0"/>
              <w:rPr>
                <w:sz w:val="20"/>
                <w:szCs w:val="20"/>
              </w:rPr>
            </w:pPr>
          </w:p>
        </w:tc>
        <w:tc>
          <w:tcPr>
            <w:tcW w:w="1276" w:type="dxa"/>
          </w:tcPr>
          <w:p w14:paraId="6AD89CF5"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1.11</w:t>
            </w:r>
            <w:r w:rsidRPr="00BF3A4E">
              <w:rPr>
                <w:sz w:val="20"/>
                <w:szCs w:val="20"/>
              </w:rPr>
              <w:t>±</w:t>
            </w:r>
            <w:r w:rsidRPr="00BF3A4E">
              <w:rPr>
                <w:rFonts w:eastAsia="ArialNarrow,Bold" w:cs="ArialNarrow,Bold"/>
                <w:bCs/>
                <w:sz w:val="20"/>
                <w:szCs w:val="20"/>
              </w:rPr>
              <w:t>1.06 (to 5.66)</w:t>
            </w:r>
          </w:p>
        </w:tc>
        <w:tc>
          <w:tcPr>
            <w:tcW w:w="1229" w:type="dxa"/>
          </w:tcPr>
          <w:p w14:paraId="6AD89CF6" w14:textId="77777777" w:rsidR="009F0B24" w:rsidRPr="00BF3A4E" w:rsidRDefault="009F0B24" w:rsidP="004553BB">
            <w:pPr>
              <w:ind w:left="0" w:right="0"/>
              <w:rPr>
                <w:sz w:val="20"/>
                <w:szCs w:val="20"/>
              </w:rPr>
            </w:pPr>
          </w:p>
        </w:tc>
        <w:tc>
          <w:tcPr>
            <w:tcW w:w="1287" w:type="dxa"/>
          </w:tcPr>
          <w:p w14:paraId="6AD89CF7" w14:textId="77777777" w:rsidR="009F0B24" w:rsidRPr="00BF3A4E" w:rsidRDefault="009F0B24" w:rsidP="004553BB">
            <w:pPr>
              <w:ind w:left="0" w:right="0"/>
              <w:rPr>
                <w:sz w:val="20"/>
                <w:szCs w:val="20"/>
              </w:rPr>
            </w:pPr>
          </w:p>
        </w:tc>
      </w:tr>
      <w:tr w:rsidR="009F0B24" w:rsidRPr="00686209" w14:paraId="6AD89D00" w14:textId="77777777" w:rsidTr="00BF3A4E">
        <w:tc>
          <w:tcPr>
            <w:tcW w:w="1242" w:type="dxa"/>
          </w:tcPr>
          <w:p w14:paraId="6AD89CF9" w14:textId="77777777" w:rsidR="009F0B24" w:rsidRPr="00BF3A4E" w:rsidRDefault="009F0B24" w:rsidP="004553BB">
            <w:pPr>
              <w:ind w:left="0" w:right="0"/>
              <w:rPr>
                <w:sz w:val="20"/>
                <w:szCs w:val="20"/>
              </w:rPr>
            </w:pPr>
            <w:r w:rsidRPr="00BF3A4E">
              <w:rPr>
                <w:sz w:val="20"/>
                <w:szCs w:val="20"/>
              </w:rPr>
              <w:t>Week 10</w:t>
            </w:r>
          </w:p>
        </w:tc>
        <w:tc>
          <w:tcPr>
            <w:tcW w:w="1276" w:type="dxa"/>
          </w:tcPr>
          <w:p w14:paraId="6AD89CFA" w14:textId="77777777" w:rsidR="009F0B24" w:rsidRPr="00BF3A4E" w:rsidRDefault="009F0B24" w:rsidP="004553BB">
            <w:pPr>
              <w:ind w:left="0" w:right="0"/>
              <w:rPr>
                <w:sz w:val="20"/>
                <w:szCs w:val="20"/>
              </w:rPr>
            </w:pPr>
          </w:p>
        </w:tc>
        <w:tc>
          <w:tcPr>
            <w:tcW w:w="1276" w:type="dxa"/>
          </w:tcPr>
          <w:p w14:paraId="6AD89CFB" w14:textId="77777777" w:rsidR="009F0B24" w:rsidRPr="00BF3A4E" w:rsidRDefault="009F0B24" w:rsidP="004553BB">
            <w:pPr>
              <w:ind w:left="0" w:right="0"/>
              <w:rPr>
                <w:sz w:val="20"/>
                <w:szCs w:val="20"/>
              </w:rPr>
            </w:pPr>
          </w:p>
        </w:tc>
        <w:tc>
          <w:tcPr>
            <w:tcW w:w="1134" w:type="dxa"/>
          </w:tcPr>
          <w:p w14:paraId="6AD89CFC" w14:textId="77777777" w:rsidR="009F0B24" w:rsidRPr="00BF3A4E" w:rsidRDefault="009F0B24" w:rsidP="004553BB">
            <w:pPr>
              <w:ind w:left="0" w:right="0"/>
              <w:rPr>
                <w:sz w:val="20"/>
                <w:szCs w:val="20"/>
              </w:rPr>
            </w:pPr>
            <w:r w:rsidRPr="00BF3A4E">
              <w:rPr>
                <w:sz w:val="20"/>
                <w:szCs w:val="20"/>
              </w:rPr>
              <w:t>0.90±0.90 (to 5.48)</w:t>
            </w:r>
          </w:p>
        </w:tc>
        <w:tc>
          <w:tcPr>
            <w:tcW w:w="1276" w:type="dxa"/>
          </w:tcPr>
          <w:p w14:paraId="6AD89CFD"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1.13</w:t>
            </w:r>
            <w:r w:rsidRPr="00BF3A4E">
              <w:rPr>
                <w:sz w:val="20"/>
                <w:szCs w:val="20"/>
              </w:rPr>
              <w:t>±</w:t>
            </w:r>
            <w:r w:rsidRPr="00BF3A4E">
              <w:rPr>
                <w:rFonts w:eastAsia="ArialNarrow,Bold" w:cs="ArialNarrow,Bold"/>
                <w:bCs/>
                <w:sz w:val="20"/>
                <w:szCs w:val="20"/>
              </w:rPr>
              <w:t>1.25 (to 6.66)</w:t>
            </w:r>
          </w:p>
        </w:tc>
        <w:tc>
          <w:tcPr>
            <w:tcW w:w="1229" w:type="dxa"/>
          </w:tcPr>
          <w:p w14:paraId="6AD89CFE" w14:textId="77777777" w:rsidR="009F0B24" w:rsidRPr="00BF3A4E" w:rsidRDefault="009F0B24" w:rsidP="004553BB">
            <w:pPr>
              <w:ind w:left="0" w:right="0"/>
              <w:rPr>
                <w:sz w:val="20"/>
                <w:szCs w:val="20"/>
              </w:rPr>
            </w:pPr>
          </w:p>
        </w:tc>
        <w:tc>
          <w:tcPr>
            <w:tcW w:w="1287" w:type="dxa"/>
          </w:tcPr>
          <w:p w14:paraId="6AD89CFF" w14:textId="77777777" w:rsidR="009F0B24" w:rsidRPr="00BF3A4E" w:rsidRDefault="009F0B24" w:rsidP="004553BB">
            <w:pPr>
              <w:ind w:left="0" w:right="0"/>
              <w:rPr>
                <w:sz w:val="20"/>
                <w:szCs w:val="20"/>
              </w:rPr>
            </w:pPr>
          </w:p>
        </w:tc>
      </w:tr>
      <w:tr w:rsidR="009F0B24" w:rsidRPr="00686209" w14:paraId="6AD89D08" w14:textId="77777777" w:rsidTr="00BF3A4E">
        <w:tc>
          <w:tcPr>
            <w:tcW w:w="1242" w:type="dxa"/>
          </w:tcPr>
          <w:p w14:paraId="6AD89D01" w14:textId="77777777" w:rsidR="009F0B24" w:rsidRPr="00BF3A4E" w:rsidRDefault="009F0B24" w:rsidP="004553BB">
            <w:pPr>
              <w:ind w:left="0" w:right="0"/>
              <w:rPr>
                <w:sz w:val="20"/>
                <w:szCs w:val="20"/>
              </w:rPr>
            </w:pPr>
            <w:r w:rsidRPr="00BF3A4E">
              <w:rPr>
                <w:sz w:val="20"/>
                <w:szCs w:val="20"/>
              </w:rPr>
              <w:t>Week 12</w:t>
            </w:r>
          </w:p>
        </w:tc>
        <w:tc>
          <w:tcPr>
            <w:tcW w:w="1276" w:type="dxa"/>
          </w:tcPr>
          <w:p w14:paraId="6AD89D02" w14:textId="77777777" w:rsidR="009F0B24" w:rsidRPr="00BF3A4E" w:rsidRDefault="009F0B24" w:rsidP="004553BB">
            <w:pPr>
              <w:ind w:left="0" w:right="0"/>
              <w:rPr>
                <w:sz w:val="20"/>
                <w:szCs w:val="20"/>
              </w:rPr>
            </w:pPr>
          </w:p>
        </w:tc>
        <w:tc>
          <w:tcPr>
            <w:tcW w:w="1276" w:type="dxa"/>
          </w:tcPr>
          <w:p w14:paraId="6AD89D03" w14:textId="77777777" w:rsidR="009F0B24" w:rsidRPr="00BF3A4E" w:rsidRDefault="009F0B24" w:rsidP="004553BB">
            <w:pPr>
              <w:ind w:left="0" w:right="0"/>
              <w:rPr>
                <w:sz w:val="20"/>
                <w:szCs w:val="20"/>
              </w:rPr>
            </w:pPr>
            <w:r w:rsidRPr="00BF3A4E">
              <w:rPr>
                <w:sz w:val="20"/>
                <w:szCs w:val="20"/>
              </w:rPr>
              <w:t>0.77±1.05 (to 6.13)</w:t>
            </w:r>
          </w:p>
        </w:tc>
        <w:tc>
          <w:tcPr>
            <w:tcW w:w="1134" w:type="dxa"/>
          </w:tcPr>
          <w:p w14:paraId="6AD89D04" w14:textId="77777777" w:rsidR="009F0B24" w:rsidRPr="00BF3A4E" w:rsidRDefault="009F0B24" w:rsidP="004553BB">
            <w:pPr>
              <w:ind w:left="0" w:right="0"/>
              <w:rPr>
                <w:sz w:val="20"/>
                <w:szCs w:val="20"/>
              </w:rPr>
            </w:pPr>
          </w:p>
        </w:tc>
        <w:tc>
          <w:tcPr>
            <w:tcW w:w="1276" w:type="dxa"/>
          </w:tcPr>
          <w:p w14:paraId="6AD89D05"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1.06</w:t>
            </w:r>
            <w:r w:rsidRPr="00BF3A4E">
              <w:rPr>
                <w:sz w:val="20"/>
                <w:szCs w:val="20"/>
              </w:rPr>
              <w:t>±</w:t>
            </w:r>
            <w:r w:rsidRPr="00BF3A4E">
              <w:rPr>
                <w:rFonts w:eastAsia="ArialNarrow,Bold" w:cs="ArialNarrow,Bold"/>
                <w:bCs/>
                <w:sz w:val="20"/>
                <w:szCs w:val="20"/>
              </w:rPr>
              <w:t>1.12 (to 6.75)</w:t>
            </w:r>
          </w:p>
        </w:tc>
        <w:tc>
          <w:tcPr>
            <w:tcW w:w="1229" w:type="dxa"/>
          </w:tcPr>
          <w:p w14:paraId="6AD89D06"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0.46</w:t>
            </w:r>
            <w:r w:rsidRPr="00BF3A4E">
              <w:rPr>
                <w:sz w:val="20"/>
                <w:szCs w:val="20"/>
              </w:rPr>
              <w:t>±</w:t>
            </w:r>
            <w:r w:rsidRPr="00BF3A4E">
              <w:rPr>
                <w:rFonts w:eastAsia="ArialNarrow,Bold" w:cs="ArialNarrow,Bold"/>
                <w:bCs/>
                <w:sz w:val="20"/>
                <w:szCs w:val="20"/>
              </w:rPr>
              <w:t>0.70 (to 5.95)</w:t>
            </w:r>
          </w:p>
        </w:tc>
        <w:tc>
          <w:tcPr>
            <w:tcW w:w="1287" w:type="dxa"/>
          </w:tcPr>
          <w:p w14:paraId="6AD89D07"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0.43</w:t>
            </w:r>
            <w:r w:rsidRPr="00BF3A4E">
              <w:rPr>
                <w:sz w:val="20"/>
                <w:szCs w:val="20"/>
              </w:rPr>
              <w:t>±</w:t>
            </w:r>
            <w:r w:rsidRPr="00BF3A4E">
              <w:rPr>
                <w:rFonts w:eastAsia="ArialNarrow,Bold" w:cs="ArialNarrow,Bold"/>
                <w:bCs/>
                <w:sz w:val="20"/>
                <w:szCs w:val="20"/>
              </w:rPr>
              <w:t>0.49 (to 2.81)</w:t>
            </w:r>
          </w:p>
        </w:tc>
      </w:tr>
      <w:tr w:rsidR="009F0B24" w:rsidRPr="00686209" w14:paraId="6AD89D10" w14:textId="77777777" w:rsidTr="00BF3A4E">
        <w:tc>
          <w:tcPr>
            <w:tcW w:w="1242" w:type="dxa"/>
          </w:tcPr>
          <w:p w14:paraId="6AD89D09" w14:textId="77777777" w:rsidR="009F0B24" w:rsidRPr="00BF3A4E" w:rsidRDefault="009F0B24" w:rsidP="004553BB">
            <w:pPr>
              <w:ind w:left="0" w:right="0"/>
              <w:rPr>
                <w:sz w:val="20"/>
                <w:szCs w:val="20"/>
              </w:rPr>
            </w:pPr>
            <w:r w:rsidRPr="00BF3A4E">
              <w:rPr>
                <w:sz w:val="20"/>
                <w:szCs w:val="20"/>
              </w:rPr>
              <w:t>Week 32</w:t>
            </w:r>
          </w:p>
        </w:tc>
        <w:tc>
          <w:tcPr>
            <w:tcW w:w="1276" w:type="dxa"/>
          </w:tcPr>
          <w:p w14:paraId="6AD89D0A" w14:textId="77777777" w:rsidR="009F0B24" w:rsidRPr="00BF3A4E" w:rsidRDefault="009F0B24" w:rsidP="004553BB">
            <w:pPr>
              <w:ind w:left="0" w:right="0"/>
              <w:rPr>
                <w:sz w:val="20"/>
                <w:szCs w:val="20"/>
              </w:rPr>
            </w:pPr>
          </w:p>
        </w:tc>
        <w:tc>
          <w:tcPr>
            <w:tcW w:w="1276" w:type="dxa"/>
          </w:tcPr>
          <w:p w14:paraId="6AD89D0B" w14:textId="77777777" w:rsidR="009F0B24" w:rsidRPr="00BF3A4E" w:rsidRDefault="009F0B24" w:rsidP="004553BB">
            <w:pPr>
              <w:ind w:left="0" w:right="0"/>
              <w:rPr>
                <w:sz w:val="20"/>
                <w:szCs w:val="20"/>
              </w:rPr>
            </w:pPr>
          </w:p>
        </w:tc>
        <w:tc>
          <w:tcPr>
            <w:tcW w:w="1134" w:type="dxa"/>
          </w:tcPr>
          <w:p w14:paraId="6AD89D0C" w14:textId="77777777" w:rsidR="009F0B24" w:rsidRPr="00BF3A4E" w:rsidRDefault="009F0B24" w:rsidP="004553BB">
            <w:pPr>
              <w:ind w:left="0" w:right="0"/>
              <w:rPr>
                <w:sz w:val="20"/>
                <w:szCs w:val="20"/>
              </w:rPr>
            </w:pPr>
          </w:p>
        </w:tc>
        <w:tc>
          <w:tcPr>
            <w:tcW w:w="1276" w:type="dxa"/>
          </w:tcPr>
          <w:p w14:paraId="6AD89D0D" w14:textId="77777777" w:rsidR="009F0B24" w:rsidRPr="00BF3A4E" w:rsidRDefault="009F0B24" w:rsidP="004553BB">
            <w:pPr>
              <w:ind w:left="0" w:right="0"/>
              <w:rPr>
                <w:sz w:val="20"/>
                <w:szCs w:val="20"/>
              </w:rPr>
            </w:pPr>
          </w:p>
        </w:tc>
        <w:tc>
          <w:tcPr>
            <w:tcW w:w="1229" w:type="dxa"/>
          </w:tcPr>
          <w:p w14:paraId="6AD89D0E"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0.35</w:t>
            </w:r>
            <w:r w:rsidRPr="00BF3A4E">
              <w:rPr>
                <w:sz w:val="20"/>
                <w:szCs w:val="20"/>
              </w:rPr>
              <w:t>±</w:t>
            </w:r>
            <w:r w:rsidRPr="00BF3A4E">
              <w:rPr>
                <w:rFonts w:eastAsia="ArialNarrow,Bold" w:cs="ArialNarrow,Bold"/>
                <w:bCs/>
                <w:sz w:val="20"/>
                <w:szCs w:val="20"/>
              </w:rPr>
              <w:t>0.44 (to 3.13)</w:t>
            </w:r>
          </w:p>
        </w:tc>
        <w:tc>
          <w:tcPr>
            <w:tcW w:w="1287" w:type="dxa"/>
          </w:tcPr>
          <w:p w14:paraId="6AD89D0F"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0.40</w:t>
            </w:r>
            <w:r w:rsidRPr="00BF3A4E">
              <w:rPr>
                <w:sz w:val="20"/>
                <w:szCs w:val="20"/>
              </w:rPr>
              <w:t>±</w:t>
            </w:r>
            <w:r w:rsidRPr="00BF3A4E">
              <w:rPr>
                <w:rFonts w:eastAsia="ArialNarrow,Bold" w:cs="ArialNarrow,Bold"/>
                <w:bCs/>
                <w:sz w:val="20"/>
                <w:szCs w:val="20"/>
              </w:rPr>
              <w:t>0.49 (to 2.89)</w:t>
            </w:r>
          </w:p>
        </w:tc>
      </w:tr>
      <w:tr w:rsidR="009F0B24" w:rsidRPr="00686209" w14:paraId="6AD89D18" w14:textId="77777777" w:rsidTr="00BF3A4E">
        <w:tc>
          <w:tcPr>
            <w:tcW w:w="1242" w:type="dxa"/>
          </w:tcPr>
          <w:p w14:paraId="6AD89D11" w14:textId="77777777" w:rsidR="009F0B24" w:rsidRPr="00BF3A4E" w:rsidRDefault="009F0B24" w:rsidP="004553BB">
            <w:pPr>
              <w:ind w:left="0" w:right="0"/>
              <w:rPr>
                <w:sz w:val="20"/>
                <w:szCs w:val="20"/>
              </w:rPr>
            </w:pPr>
            <w:r w:rsidRPr="00BF3A4E">
              <w:rPr>
                <w:sz w:val="20"/>
                <w:szCs w:val="20"/>
              </w:rPr>
              <w:t>Week 52</w:t>
            </w:r>
          </w:p>
        </w:tc>
        <w:tc>
          <w:tcPr>
            <w:tcW w:w="1276" w:type="dxa"/>
          </w:tcPr>
          <w:p w14:paraId="6AD89D12" w14:textId="77777777" w:rsidR="009F0B24" w:rsidRPr="00BF3A4E" w:rsidRDefault="009F0B24" w:rsidP="004553BB">
            <w:pPr>
              <w:ind w:left="0" w:right="0"/>
              <w:rPr>
                <w:sz w:val="20"/>
                <w:szCs w:val="20"/>
              </w:rPr>
            </w:pPr>
          </w:p>
        </w:tc>
        <w:tc>
          <w:tcPr>
            <w:tcW w:w="1276" w:type="dxa"/>
          </w:tcPr>
          <w:p w14:paraId="6AD89D13" w14:textId="77777777" w:rsidR="009F0B24" w:rsidRPr="00BF3A4E" w:rsidRDefault="009F0B24" w:rsidP="004553BB">
            <w:pPr>
              <w:ind w:left="0" w:right="0"/>
              <w:rPr>
                <w:sz w:val="20"/>
                <w:szCs w:val="20"/>
              </w:rPr>
            </w:pPr>
          </w:p>
        </w:tc>
        <w:tc>
          <w:tcPr>
            <w:tcW w:w="1134" w:type="dxa"/>
          </w:tcPr>
          <w:p w14:paraId="6AD89D14" w14:textId="77777777" w:rsidR="009F0B24" w:rsidRPr="00BF3A4E" w:rsidRDefault="009F0B24" w:rsidP="004553BB">
            <w:pPr>
              <w:ind w:left="0" w:right="0"/>
              <w:rPr>
                <w:sz w:val="20"/>
                <w:szCs w:val="20"/>
              </w:rPr>
            </w:pPr>
          </w:p>
        </w:tc>
        <w:tc>
          <w:tcPr>
            <w:tcW w:w="1276" w:type="dxa"/>
          </w:tcPr>
          <w:p w14:paraId="6AD89D15" w14:textId="77777777" w:rsidR="009F0B24" w:rsidRPr="00BF3A4E" w:rsidRDefault="009F0B24" w:rsidP="004553BB">
            <w:pPr>
              <w:ind w:left="0" w:right="0"/>
              <w:rPr>
                <w:sz w:val="20"/>
                <w:szCs w:val="20"/>
              </w:rPr>
            </w:pPr>
          </w:p>
        </w:tc>
        <w:tc>
          <w:tcPr>
            <w:tcW w:w="1229" w:type="dxa"/>
          </w:tcPr>
          <w:p w14:paraId="6AD89D16"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0.31</w:t>
            </w:r>
            <w:r w:rsidRPr="00BF3A4E">
              <w:rPr>
                <w:sz w:val="20"/>
                <w:szCs w:val="20"/>
              </w:rPr>
              <w:t>±</w:t>
            </w:r>
            <w:r w:rsidRPr="00BF3A4E">
              <w:rPr>
                <w:rFonts w:eastAsia="ArialNarrow,Bold" w:cs="ArialNarrow,Bold"/>
                <w:bCs/>
                <w:sz w:val="20"/>
                <w:szCs w:val="20"/>
              </w:rPr>
              <w:t>0.40 (to 2.15)</w:t>
            </w:r>
          </w:p>
        </w:tc>
        <w:tc>
          <w:tcPr>
            <w:tcW w:w="1287" w:type="dxa"/>
          </w:tcPr>
          <w:p w14:paraId="6AD89D17" w14:textId="77777777" w:rsidR="009F0B24" w:rsidRPr="00BF3A4E" w:rsidRDefault="009F0B24" w:rsidP="004553BB">
            <w:pPr>
              <w:ind w:left="0" w:right="0"/>
              <w:rPr>
                <w:rFonts w:eastAsia="ArialNarrow,Bold" w:cs="ArialNarrow,Bold"/>
                <w:bCs/>
                <w:sz w:val="20"/>
                <w:szCs w:val="20"/>
              </w:rPr>
            </w:pPr>
            <w:r w:rsidRPr="00BF3A4E">
              <w:rPr>
                <w:rFonts w:eastAsia="ArialNarrow,Bold" w:cs="ArialNarrow,Bold"/>
                <w:bCs/>
                <w:sz w:val="20"/>
                <w:szCs w:val="20"/>
              </w:rPr>
              <w:t>0.41</w:t>
            </w:r>
            <w:r w:rsidRPr="00BF3A4E">
              <w:rPr>
                <w:sz w:val="20"/>
                <w:szCs w:val="20"/>
              </w:rPr>
              <w:t>±</w:t>
            </w:r>
            <w:r w:rsidRPr="00BF3A4E">
              <w:rPr>
                <w:rFonts w:eastAsia="ArialNarrow,Bold" w:cs="ArialNarrow,Bold"/>
                <w:bCs/>
                <w:sz w:val="20"/>
                <w:szCs w:val="20"/>
              </w:rPr>
              <w:t>0.61 (to 3.80)</w:t>
            </w:r>
          </w:p>
        </w:tc>
      </w:tr>
    </w:tbl>
    <w:p w14:paraId="6AD89D19" w14:textId="77777777" w:rsidR="00605AD4" w:rsidRDefault="00605AD4" w:rsidP="00605AD4">
      <w:pPr>
        <w:pStyle w:val="Heading4"/>
      </w:pPr>
      <w:r>
        <w:t>Evaluator’s conclusions on pharmacokinetics</w:t>
      </w:r>
    </w:p>
    <w:p w14:paraId="6AD89D1A" w14:textId="77777777" w:rsidR="009F0B24" w:rsidRPr="009F0B24" w:rsidRDefault="009F0B24" w:rsidP="009F0B24">
      <w:r w:rsidRPr="009F0B24">
        <w:t>The data submitted are sufficient to characterise the PK following topical application of the product in patients with PPR, and to provide reassurance that accumulation is not likely to be significant.</w:t>
      </w:r>
    </w:p>
    <w:p w14:paraId="6AD89D1B" w14:textId="77777777" w:rsidR="008E7846" w:rsidRDefault="008E7846" w:rsidP="008E7846">
      <w:pPr>
        <w:pStyle w:val="Heading3"/>
      </w:pPr>
      <w:bookmarkStart w:id="88" w:name="_Toc196046481"/>
      <w:bookmarkStart w:id="89" w:name="_Toc247691520"/>
      <w:bookmarkStart w:id="90" w:name="_Toc314842503"/>
      <w:bookmarkStart w:id="91" w:name="_Toc437418394"/>
      <w:r w:rsidRPr="00254787">
        <w:t>Pharmacodynamics</w:t>
      </w:r>
      <w:bookmarkEnd w:id="64"/>
      <w:bookmarkEnd w:id="88"/>
      <w:bookmarkEnd w:id="89"/>
      <w:bookmarkEnd w:id="90"/>
      <w:bookmarkEnd w:id="91"/>
    </w:p>
    <w:p w14:paraId="6AD89D1C" w14:textId="77777777" w:rsidR="00605AD4" w:rsidRDefault="00605AD4" w:rsidP="00605AD4">
      <w:pPr>
        <w:pStyle w:val="Heading4"/>
      </w:pPr>
      <w:r>
        <w:t>Studies providing pharmacodynamic data</w:t>
      </w:r>
    </w:p>
    <w:p w14:paraId="6AD89D1D" w14:textId="77777777" w:rsidR="009F0B24" w:rsidRPr="009F0B24" w:rsidRDefault="009F0B24" w:rsidP="009F0B24">
      <w:r w:rsidRPr="00B32D22">
        <w:t>None submitted.</w:t>
      </w:r>
    </w:p>
    <w:p w14:paraId="6AD89D1E" w14:textId="77777777" w:rsidR="008E7846" w:rsidRDefault="00605AD4" w:rsidP="00605AD4">
      <w:pPr>
        <w:pStyle w:val="Heading3"/>
      </w:pPr>
      <w:bookmarkStart w:id="92" w:name="_Toc437418395"/>
      <w:r>
        <w:t>Dosage selection for the pivotal studies</w:t>
      </w:r>
      <w:bookmarkEnd w:id="92"/>
    </w:p>
    <w:p w14:paraId="6AD89D1F" w14:textId="77777777" w:rsidR="009F0B24" w:rsidRPr="00B32D22" w:rsidRDefault="009F0B24" w:rsidP="009F0B24">
      <w:pPr>
        <w:pStyle w:val="Heading4"/>
      </w:pPr>
      <w:bookmarkStart w:id="93" w:name="_Toc403416484"/>
      <w:bookmarkStart w:id="94" w:name="_Toc430782334"/>
      <w:r w:rsidRPr="00B32D22">
        <w:t>Dose-finding studies</w:t>
      </w:r>
      <w:bookmarkEnd w:id="93"/>
      <w:bookmarkEnd w:id="94"/>
    </w:p>
    <w:p w14:paraId="6AD89D20" w14:textId="77777777" w:rsidR="009F0B24" w:rsidRPr="00B32D22" w:rsidRDefault="009F0B24" w:rsidP="00545886">
      <w:pPr>
        <w:pStyle w:val="Heading5"/>
      </w:pPr>
      <w:bookmarkStart w:id="95" w:name="_Ref400553124"/>
      <w:bookmarkStart w:id="96" w:name="_Toc403416485"/>
      <w:r w:rsidRPr="00B32D22">
        <w:t>Study RD.03.SRE.40027</w:t>
      </w:r>
      <w:bookmarkEnd w:id="95"/>
      <w:bookmarkEnd w:id="96"/>
    </w:p>
    <w:p w14:paraId="6AD89D21" w14:textId="77777777" w:rsidR="009F0B24" w:rsidRPr="00B32D22" w:rsidRDefault="009F0B24" w:rsidP="009F0B24">
      <w:r w:rsidRPr="00B32D22">
        <w:t>The objective of this study was selection of dose and regimen for further study. Design was multic</w:t>
      </w:r>
      <w:r>
        <w:t xml:space="preserve">entre, randomised, investigator </w:t>
      </w:r>
      <w:r w:rsidRPr="00B32D22">
        <w:t>blind</w:t>
      </w:r>
      <w:r>
        <w:t>ed, parallel group with 6 arms:</w:t>
      </w:r>
    </w:p>
    <w:p w14:paraId="6AD89D22" w14:textId="77777777" w:rsidR="009F0B24" w:rsidRPr="00B32D22" w:rsidRDefault="009F0B24" w:rsidP="009F0B24">
      <w:pPr>
        <w:pStyle w:val="ListBullet"/>
        <w:numPr>
          <w:ilvl w:val="0"/>
          <w:numId w:val="0"/>
        </w:numPr>
      </w:pPr>
      <w:r w:rsidRPr="00B32D22">
        <w:t>Group 1: ivermectin 1% cream (formulati</w:t>
      </w:r>
      <w:r w:rsidR="00F757B6">
        <w:t>on proposed for registration)</w:t>
      </w:r>
      <w:r w:rsidR="00044826" w:rsidRPr="00044826">
        <w:t xml:space="preserve"> </w:t>
      </w:r>
      <w:r w:rsidR="00044826">
        <w:t>t</w:t>
      </w:r>
      <w:r w:rsidR="00044826" w:rsidRPr="00044826">
        <w:t>wice daily</w:t>
      </w:r>
      <w:r w:rsidR="00F757B6">
        <w:t xml:space="preserve"> </w:t>
      </w:r>
      <w:r w:rsidR="00044826">
        <w:t>(</w:t>
      </w:r>
      <w:r w:rsidR="00F757B6">
        <w:t>BD</w:t>
      </w:r>
      <w:r w:rsidR="00044826">
        <w:t>)</w:t>
      </w:r>
    </w:p>
    <w:p w14:paraId="6AD89D23" w14:textId="77777777" w:rsidR="009F0B24" w:rsidRPr="00B32D22" w:rsidRDefault="009F0B24" w:rsidP="009F0B24">
      <w:pPr>
        <w:pStyle w:val="ListBullet"/>
        <w:numPr>
          <w:ilvl w:val="0"/>
          <w:numId w:val="0"/>
        </w:numPr>
      </w:pPr>
      <w:r w:rsidRPr="00B32D22">
        <w:t>Group 2: ivermectin 1% cream (formulation proposed for registration) daily</w:t>
      </w:r>
    </w:p>
    <w:p w14:paraId="6AD89D24" w14:textId="77777777" w:rsidR="009F0B24" w:rsidRPr="00B32D22" w:rsidRDefault="009F0B24" w:rsidP="009F0B24">
      <w:pPr>
        <w:pStyle w:val="ListBullet"/>
        <w:numPr>
          <w:ilvl w:val="0"/>
          <w:numId w:val="0"/>
        </w:numPr>
      </w:pPr>
      <w:r w:rsidRPr="00B32D22">
        <w:t>Group 3: ivermectin 0.3% cream daily</w:t>
      </w:r>
    </w:p>
    <w:p w14:paraId="6AD89D25" w14:textId="77777777" w:rsidR="009F0B24" w:rsidRPr="00B32D22" w:rsidRDefault="009F0B24" w:rsidP="009F0B24">
      <w:pPr>
        <w:pStyle w:val="ListBullet"/>
        <w:numPr>
          <w:ilvl w:val="0"/>
          <w:numId w:val="0"/>
        </w:numPr>
      </w:pPr>
      <w:r w:rsidRPr="00B32D22">
        <w:t>Group 4: ivermectin 0.1% cream daily</w:t>
      </w:r>
    </w:p>
    <w:p w14:paraId="6AD89D26" w14:textId="77777777" w:rsidR="009F0B24" w:rsidRPr="00B32D22" w:rsidRDefault="009F0B24" w:rsidP="009F0B24">
      <w:pPr>
        <w:pStyle w:val="ListBullet"/>
        <w:numPr>
          <w:ilvl w:val="0"/>
          <w:numId w:val="0"/>
        </w:numPr>
      </w:pPr>
      <w:r w:rsidRPr="00B32D22">
        <w:t>Group 5: vehicle cream daily</w:t>
      </w:r>
    </w:p>
    <w:p w14:paraId="6AD89D27" w14:textId="77777777" w:rsidR="009F0B24" w:rsidRDefault="009F0B24" w:rsidP="009F0B24">
      <w:r w:rsidRPr="00B32D22">
        <w:t>Group 6: metronida</w:t>
      </w:r>
      <w:r>
        <w:t>zole 0.75% cream (</w:t>
      </w:r>
      <w:proofErr w:type="spellStart"/>
      <w:r>
        <w:t>Rozex</w:t>
      </w:r>
      <w:proofErr w:type="spellEnd"/>
      <w:r>
        <w:t xml:space="preserve">) </w:t>
      </w:r>
      <w:r w:rsidR="00F757B6">
        <w:t>BD</w:t>
      </w:r>
      <w:r>
        <w:t>.</w:t>
      </w:r>
    </w:p>
    <w:p w14:paraId="6AD89D28" w14:textId="77777777" w:rsidR="00E73DB7" w:rsidRDefault="00E73DB7" w:rsidP="009F0B24">
      <w:r>
        <w:t>For further details please see Attachment 2.</w:t>
      </w:r>
    </w:p>
    <w:p w14:paraId="6AD89D29" w14:textId="77777777" w:rsidR="00545886" w:rsidRDefault="00545886" w:rsidP="00545886">
      <w:pPr>
        <w:pStyle w:val="Heading5"/>
      </w:pPr>
      <w:r>
        <w:t>Summary</w:t>
      </w:r>
    </w:p>
    <w:p w14:paraId="6AD89D2A" w14:textId="77777777" w:rsidR="009F0B24" w:rsidRPr="009F0B24" w:rsidRDefault="009F0B24" w:rsidP="009F0B24">
      <w:r w:rsidRPr="009F0B24">
        <w:t>Statistical tests were based on the distributions of the percent change in inflammatory lesion counts from Baseline and were interpreted stepwise from the highest dose to the lowest dose to minimise multiplicity issues. At Week 12; LOCF (</w:t>
      </w:r>
      <w:r w:rsidR="00463EF7">
        <w:t>i</w:t>
      </w:r>
      <w:r w:rsidR="00463EF7" w:rsidRPr="00463EF7">
        <w:t xml:space="preserve">ntention to treat </w:t>
      </w:r>
      <w:r w:rsidR="00463EF7">
        <w:t>(</w:t>
      </w:r>
      <w:r w:rsidRPr="009F0B24">
        <w:t>ITT</w:t>
      </w:r>
      <w:r w:rsidR="00463EF7">
        <w:t>)</w:t>
      </w:r>
      <w:r w:rsidRPr="009F0B24">
        <w:t xml:space="preserve">), </w:t>
      </w:r>
      <w:r w:rsidRPr="009F0B24">
        <w:lastRenderedPageBreak/>
        <w:t xml:space="preserve">efficacy of ivermectin 1% daily and </w:t>
      </w:r>
      <w:r w:rsidR="00F757B6">
        <w:t>BD</w:t>
      </w:r>
      <w:r w:rsidRPr="009F0B24">
        <w:t xml:space="preserve"> was statistically superior to that of the vehicle (p = 0.006 and p = 0.014); ivermectin 0.1% daily and 0.3% </w:t>
      </w:r>
      <w:r w:rsidR="00F757B6">
        <w:t>BD</w:t>
      </w:r>
      <w:r w:rsidRPr="009F0B24">
        <w:t xml:space="preserve"> were not statistically different from the vehicle (p values &gt; 0.06), </w:t>
      </w:r>
      <w:proofErr w:type="gramStart"/>
      <w:r w:rsidRPr="009F0B24">
        <w:t>the per</w:t>
      </w:r>
      <w:proofErr w:type="gramEnd"/>
      <w:r w:rsidRPr="009F0B24">
        <w:t xml:space="preserve"> protocol analysis confirmed these findings. None of the ivermectin doses was statistically different from metronidazole 0.75% </w:t>
      </w:r>
      <w:r w:rsidR="00F757B6">
        <w:t>BD</w:t>
      </w:r>
      <w:r w:rsidRPr="009F0B24">
        <w:t>.</w:t>
      </w:r>
    </w:p>
    <w:p w14:paraId="6AD89D2B" w14:textId="77777777" w:rsidR="008E7846" w:rsidRDefault="008E7846" w:rsidP="008E7846">
      <w:pPr>
        <w:pStyle w:val="Heading3"/>
      </w:pPr>
      <w:bookmarkStart w:id="97" w:name="_Toc163441372"/>
      <w:bookmarkStart w:id="98" w:name="_Toc196046485"/>
      <w:bookmarkStart w:id="99" w:name="_Toc247691521"/>
      <w:bookmarkStart w:id="100" w:name="_Toc314842504"/>
      <w:bookmarkStart w:id="101" w:name="_Toc437418396"/>
      <w:r w:rsidRPr="00254787">
        <w:t>Efficacy</w:t>
      </w:r>
      <w:bookmarkEnd w:id="97"/>
      <w:bookmarkEnd w:id="98"/>
      <w:bookmarkEnd w:id="99"/>
      <w:bookmarkEnd w:id="100"/>
      <w:bookmarkEnd w:id="101"/>
    </w:p>
    <w:p w14:paraId="6AD89D2C" w14:textId="77777777" w:rsidR="003F2B74" w:rsidRPr="003F2B74" w:rsidRDefault="003F2B74" w:rsidP="003F2B74">
      <w:r>
        <w:t>The efficacy was assessed for the topical treatment of inflammatory lesions of rosacea</w:t>
      </w:r>
      <w:r w:rsidR="00545886">
        <w:t>.</w:t>
      </w:r>
    </w:p>
    <w:p w14:paraId="6AD89D2D" w14:textId="77777777" w:rsidR="00605AD4" w:rsidRDefault="00605AD4" w:rsidP="00605AD4">
      <w:pPr>
        <w:pStyle w:val="Heading4"/>
      </w:pPr>
      <w:bookmarkStart w:id="102" w:name="_Toc184439992"/>
      <w:bookmarkStart w:id="103" w:name="_Toc184440279"/>
      <w:bookmarkStart w:id="104" w:name="_Toc184444657"/>
      <w:bookmarkStart w:id="105" w:name="_Toc196046487"/>
      <w:r>
        <w:t>Studies providing efficacy data</w:t>
      </w:r>
    </w:p>
    <w:p w14:paraId="6AD89D2E" w14:textId="77777777" w:rsidR="007D6B63" w:rsidRDefault="007D6B63" w:rsidP="007D6B63">
      <w:pPr>
        <w:pStyle w:val="Heading5"/>
      </w:pPr>
      <w:bookmarkStart w:id="106" w:name="_Ref243301615"/>
      <w:bookmarkStart w:id="107" w:name="_Ref271040927"/>
      <w:bookmarkStart w:id="108" w:name="_Ref271040932"/>
      <w:bookmarkStart w:id="109" w:name="_Toc272414653"/>
      <w:bookmarkStart w:id="110" w:name="_Toc290846275"/>
      <w:bookmarkStart w:id="111" w:name="_Ref403076882"/>
      <w:bookmarkStart w:id="112" w:name="_Ref403076982"/>
      <w:bookmarkStart w:id="113" w:name="_Toc403416489"/>
      <w:r w:rsidRPr="00B32D22">
        <w:t xml:space="preserve">Study </w:t>
      </w:r>
      <w:bookmarkEnd w:id="106"/>
      <w:bookmarkEnd w:id="107"/>
      <w:bookmarkEnd w:id="108"/>
      <w:bookmarkEnd w:id="109"/>
      <w:bookmarkEnd w:id="110"/>
      <w:r w:rsidRPr="00B32D22">
        <w:t>RD.06.SRE.18170</w:t>
      </w:r>
      <w:bookmarkEnd w:id="111"/>
      <w:bookmarkEnd w:id="112"/>
      <w:bookmarkEnd w:id="113"/>
    </w:p>
    <w:p w14:paraId="6AD89D2F" w14:textId="77777777" w:rsidR="007D6B63" w:rsidRDefault="007D6B63" w:rsidP="007D6B63">
      <w:r w:rsidRPr="007D6B63">
        <w:t>The first, 12 week part of the study (</w:t>
      </w:r>
      <w:r w:rsidR="00545886">
        <w:t>P</w:t>
      </w:r>
      <w:r w:rsidRPr="007D6B63">
        <w:t xml:space="preserve">art A) assessed the efficacy and safety of ivermectin 1% cream versus vehicle cream in subjects with </w:t>
      </w:r>
      <w:r w:rsidR="00545886">
        <w:t>PPR</w:t>
      </w:r>
      <w:r w:rsidRPr="007D6B63">
        <w:t>. This was followed by a second, 40 week extension (</w:t>
      </w:r>
      <w:r w:rsidR="00545886">
        <w:t>P</w:t>
      </w:r>
      <w:r w:rsidRPr="007D6B63">
        <w:t xml:space="preserve">art B) comparing the long term safety of ivermectin 1% cream versus </w:t>
      </w:r>
      <w:proofErr w:type="spellStart"/>
      <w:r w:rsidRPr="007D6B63">
        <w:t>azelaic</w:t>
      </w:r>
      <w:proofErr w:type="spellEnd"/>
      <w:r w:rsidRPr="007D6B63">
        <w:t xml:space="preserve"> acid 15% gel. The final part of the study (</w:t>
      </w:r>
      <w:r w:rsidR="00545886">
        <w:t>P</w:t>
      </w:r>
      <w:r w:rsidRPr="007D6B63">
        <w:t>art C) was a 4 week follow up period assessing safety after treatment cessation. Thus, the total study duration was 56 weeks.</w:t>
      </w:r>
    </w:p>
    <w:p w14:paraId="6AD89D30" w14:textId="77777777" w:rsidR="001756EB" w:rsidRPr="00E87905" w:rsidRDefault="001756EB" w:rsidP="001756EB">
      <w:pPr>
        <w:pStyle w:val="Heading5"/>
      </w:pPr>
      <w:bookmarkStart w:id="114" w:name="_Toc290846276"/>
      <w:bookmarkStart w:id="115" w:name="_Ref403076912"/>
      <w:bookmarkStart w:id="116" w:name="_Ref403077003"/>
      <w:bookmarkStart w:id="117" w:name="_Toc403416490"/>
      <w:r w:rsidRPr="00E87905">
        <w:t xml:space="preserve">Study </w:t>
      </w:r>
      <w:bookmarkEnd w:id="114"/>
      <w:r w:rsidRPr="00E87905">
        <w:t>RD.06.SRE.18171</w:t>
      </w:r>
      <w:bookmarkEnd w:id="115"/>
      <w:bookmarkEnd w:id="116"/>
      <w:bookmarkEnd w:id="117"/>
    </w:p>
    <w:p w14:paraId="6AD89D31" w14:textId="18EF3B1C" w:rsidR="001756EB" w:rsidRPr="001756EB" w:rsidRDefault="001756EB" w:rsidP="001756EB">
      <w:r>
        <w:t>The design and o</w:t>
      </w:r>
      <w:r w:rsidRPr="001756EB">
        <w:t xml:space="preserve">bjectives </w:t>
      </w:r>
      <w:r>
        <w:t>were a</w:t>
      </w:r>
      <w:r w:rsidRPr="001756EB">
        <w:t xml:space="preserve">s for </w:t>
      </w:r>
      <w:r>
        <w:t xml:space="preserve">Study </w:t>
      </w:r>
      <w:r w:rsidRPr="001756EB">
        <w:t>RD.06.SRE.18170.</w:t>
      </w:r>
    </w:p>
    <w:p w14:paraId="6AD89D32" w14:textId="77777777" w:rsidR="001756EB" w:rsidRPr="00E87905" w:rsidRDefault="001756EB" w:rsidP="001756EB">
      <w:pPr>
        <w:pStyle w:val="Heading5"/>
      </w:pPr>
      <w:bookmarkStart w:id="118" w:name="_Ref271037188"/>
      <w:bookmarkStart w:id="119" w:name="_Ref271037210"/>
      <w:bookmarkStart w:id="120" w:name="_Toc272414655"/>
      <w:bookmarkStart w:id="121" w:name="_Toc290846277"/>
      <w:bookmarkStart w:id="122" w:name="_Toc403416491"/>
      <w:bookmarkStart w:id="123" w:name="_Toc241374311"/>
      <w:bookmarkStart w:id="124" w:name="_Ref243294291"/>
      <w:r w:rsidRPr="00E87905">
        <w:t>Other efficacy studies</w:t>
      </w:r>
      <w:bookmarkEnd w:id="118"/>
      <w:bookmarkEnd w:id="119"/>
      <w:bookmarkEnd w:id="120"/>
      <w:bookmarkEnd w:id="121"/>
      <w:bookmarkEnd w:id="122"/>
    </w:p>
    <w:p w14:paraId="6AD89D33" w14:textId="77777777" w:rsidR="001756EB" w:rsidRPr="00E87905" w:rsidRDefault="001756EB" w:rsidP="001756EB">
      <w:pPr>
        <w:pStyle w:val="Heading6"/>
      </w:pPr>
      <w:bookmarkStart w:id="125" w:name="_Toc290846278"/>
      <w:bookmarkStart w:id="126" w:name="_Toc403416492"/>
      <w:bookmarkEnd w:id="123"/>
      <w:bookmarkEnd w:id="124"/>
      <w:r w:rsidRPr="00E87905">
        <w:t xml:space="preserve">Study </w:t>
      </w:r>
      <w:bookmarkEnd w:id="125"/>
      <w:r w:rsidRPr="00E87905">
        <w:t>RD.03.SRE.40006</w:t>
      </w:r>
      <w:bookmarkEnd w:id="126"/>
    </w:p>
    <w:p w14:paraId="6AD89D34" w14:textId="77777777" w:rsidR="001756EB" w:rsidRDefault="001756EB" w:rsidP="007D6B63">
      <w:r w:rsidRPr="001756EB">
        <w:t xml:space="preserve">This was a preliminary efficacy and safety study of ivermectin 1% cream (formulation proposed for registration). Design was multicentre, randomised, investigator blinded, parallel group with 3 arms: active cream, vehicle, and </w:t>
      </w:r>
      <w:proofErr w:type="spellStart"/>
      <w:r w:rsidRPr="001756EB">
        <w:t>Rozex</w:t>
      </w:r>
      <w:proofErr w:type="spellEnd"/>
      <w:r>
        <w:t xml:space="preserve"> (metronidazole)</w:t>
      </w:r>
      <w:r w:rsidRPr="001756EB">
        <w:t xml:space="preserve">, applied </w:t>
      </w:r>
      <w:r w:rsidR="00F757B6">
        <w:t>BD</w:t>
      </w:r>
      <w:r w:rsidRPr="001756EB">
        <w:t xml:space="preserve"> for 9 weeks in patients with PPR.</w:t>
      </w:r>
    </w:p>
    <w:p w14:paraId="6AD89D35" w14:textId="77777777" w:rsidR="001756EB" w:rsidRPr="00BC4AC6" w:rsidRDefault="001756EB" w:rsidP="001756EB">
      <w:pPr>
        <w:pStyle w:val="Heading6"/>
      </w:pPr>
      <w:bookmarkStart w:id="127" w:name="_Toc290846279"/>
      <w:bookmarkStart w:id="128" w:name="_Toc403416493"/>
      <w:r w:rsidRPr="00BC4AC6">
        <w:t xml:space="preserve">Study </w:t>
      </w:r>
      <w:bookmarkEnd w:id="127"/>
      <w:r w:rsidRPr="00BC4AC6">
        <w:t>RD.03.SRE.40027</w:t>
      </w:r>
      <w:bookmarkEnd w:id="128"/>
    </w:p>
    <w:p w14:paraId="6AD89D36" w14:textId="77777777" w:rsidR="001756EB" w:rsidRDefault="001756EB" w:rsidP="007D6B63">
      <w:r>
        <w:t>T</w:t>
      </w:r>
      <w:r w:rsidRPr="001756EB">
        <w:t xml:space="preserve">his </w:t>
      </w:r>
      <w:r>
        <w:t xml:space="preserve">was a </w:t>
      </w:r>
      <w:r w:rsidRPr="001756EB">
        <w:t>dose finding study</w:t>
      </w:r>
      <w:r>
        <w:t>.</w:t>
      </w:r>
    </w:p>
    <w:p w14:paraId="6AD89D37" w14:textId="77777777" w:rsidR="001756EB" w:rsidRPr="00BC4AC6" w:rsidRDefault="001756EB" w:rsidP="001756EB">
      <w:pPr>
        <w:pStyle w:val="Heading6"/>
      </w:pPr>
      <w:bookmarkStart w:id="129" w:name="_Toc403416494"/>
      <w:r w:rsidRPr="00BC4AC6">
        <w:t>Study RD.03.SRE.40037</w:t>
      </w:r>
      <w:bookmarkEnd w:id="129"/>
    </w:p>
    <w:p w14:paraId="6AD89D38" w14:textId="77777777" w:rsidR="001756EB" w:rsidRDefault="001756EB" w:rsidP="007D6B63">
      <w:r w:rsidRPr="001756EB">
        <w:t>This was a treatment free extension of Study RD.03.SRE.40027. Its objective was to evaluate relapses in patients successfully treated in Study RD.03.SPR.40027.</w:t>
      </w:r>
    </w:p>
    <w:p w14:paraId="6AD89D39" w14:textId="77777777" w:rsidR="001756EB" w:rsidRPr="005518D5" w:rsidRDefault="001756EB" w:rsidP="001756EB">
      <w:pPr>
        <w:pStyle w:val="Heading6"/>
      </w:pPr>
      <w:bookmarkStart w:id="130" w:name="_Toc403416496"/>
      <w:r w:rsidRPr="005518D5">
        <w:t>Study RD.03.SRE.40173</w:t>
      </w:r>
      <w:bookmarkEnd w:id="130"/>
    </w:p>
    <w:p w14:paraId="6AD89D3A" w14:textId="77777777" w:rsidR="001756EB" w:rsidRDefault="001756EB" w:rsidP="007D6B63">
      <w:r w:rsidRPr="005518D5">
        <w:t xml:space="preserve">The objective of this study was to evaluate the efficacy and safety of once daily application of ivermectin 1% cream versus twice daily application of metronidazole 0.75% cream </w:t>
      </w:r>
      <w:r>
        <w:t>(</w:t>
      </w:r>
      <w:proofErr w:type="spellStart"/>
      <w:r>
        <w:t>Rozex</w:t>
      </w:r>
      <w:proofErr w:type="spellEnd"/>
      <w:r>
        <w:t xml:space="preserve">) in subjects with </w:t>
      </w:r>
      <w:proofErr w:type="spellStart"/>
      <w:r>
        <w:t>papulo</w:t>
      </w:r>
      <w:proofErr w:type="spellEnd"/>
      <w:r>
        <w:t xml:space="preserve"> </w:t>
      </w:r>
      <w:r w:rsidRPr="005518D5">
        <w:t xml:space="preserve">pustular </w:t>
      </w:r>
      <w:r>
        <w:t xml:space="preserve">rosacea, for 16 weeks with a 36 </w:t>
      </w:r>
      <w:r w:rsidRPr="005518D5">
        <w:t>week extension period. The report submitted is complete for the first 16 weeks of the study (</w:t>
      </w:r>
      <w:r>
        <w:t>‘</w:t>
      </w:r>
      <w:r w:rsidRPr="005518D5">
        <w:t>Period A</w:t>
      </w:r>
      <w:r>
        <w:t>’</w:t>
      </w:r>
      <w:r w:rsidRPr="005518D5">
        <w:t>), and provides preliminary data on the extension (</w:t>
      </w:r>
      <w:r>
        <w:t>‘</w:t>
      </w:r>
      <w:r w:rsidRPr="005518D5">
        <w:t>Period B</w:t>
      </w:r>
      <w:r>
        <w:t>’</w:t>
      </w:r>
      <w:r w:rsidRPr="005518D5">
        <w:t>) up to th</w:t>
      </w:r>
      <w:r>
        <w:t>e cut-off date of 8 April 2013.</w:t>
      </w:r>
    </w:p>
    <w:p w14:paraId="6AD89D3B" w14:textId="77777777" w:rsidR="003F5469" w:rsidRPr="007D6B63" w:rsidRDefault="003F5469" w:rsidP="007D6B63">
      <w:r>
        <w:t>For further details of the efficacy studies and their outcomes see Attachment 2.</w:t>
      </w:r>
    </w:p>
    <w:p w14:paraId="6AD89D3C" w14:textId="77777777" w:rsidR="008E7846" w:rsidRDefault="00605AD4" w:rsidP="00605AD4">
      <w:pPr>
        <w:pStyle w:val="Heading4"/>
      </w:pPr>
      <w:r>
        <w:t>Evaluator’s conclusions on efficacy</w:t>
      </w:r>
    </w:p>
    <w:p w14:paraId="6AD89D3D" w14:textId="77777777" w:rsidR="003F2B74" w:rsidRPr="005518D5" w:rsidRDefault="009A7084" w:rsidP="003F2B74">
      <w:r>
        <w:t>In the pivotal S</w:t>
      </w:r>
      <w:r w:rsidR="003F2B74" w:rsidRPr="005518D5">
        <w:t>tudies RD.0</w:t>
      </w:r>
      <w:r>
        <w:t>6.SRE.18170 and RD.06.SRE.18171</w:t>
      </w:r>
      <w:r w:rsidR="003F2B74" w:rsidRPr="005518D5">
        <w:t xml:space="preserve"> Soolantra was shown to be superior to vehic</w:t>
      </w:r>
      <w:r>
        <w:t xml:space="preserve">le, </w:t>
      </w:r>
      <w:r w:rsidR="003F2B74">
        <w:t>consistent with the Phase II</w:t>
      </w:r>
      <w:r>
        <w:t xml:space="preserve"> S</w:t>
      </w:r>
      <w:r w:rsidR="003F2B74" w:rsidRPr="005518D5">
        <w:t>tudies RD.03.SRE.40027</w:t>
      </w:r>
      <w:r w:rsidR="003F2B74">
        <w:t>and RD.03.SRE.40106. The Phase III</w:t>
      </w:r>
      <w:r>
        <w:t xml:space="preserve"> S</w:t>
      </w:r>
      <w:r w:rsidR="003F2B74" w:rsidRPr="005518D5">
        <w:t xml:space="preserve">tudy RD.03.SRE.40173 provided statistically significant </w:t>
      </w:r>
      <w:r w:rsidR="003F2B74">
        <w:t>evidence of the superiority of d</w:t>
      </w:r>
      <w:r w:rsidR="003F2B74" w:rsidRPr="005518D5">
        <w:t xml:space="preserve">aily </w:t>
      </w:r>
      <w:proofErr w:type="spellStart"/>
      <w:r w:rsidR="003F2B74" w:rsidRPr="005518D5">
        <w:t>Soolantra</w:t>
      </w:r>
      <w:proofErr w:type="spellEnd"/>
      <w:r w:rsidR="003F2B74" w:rsidRPr="005518D5">
        <w:t xml:space="preserve"> over </w:t>
      </w:r>
      <w:r w:rsidR="00F757B6">
        <w:t>BD</w:t>
      </w:r>
      <w:r w:rsidR="003F2B74" w:rsidRPr="005518D5">
        <w:t xml:space="preserve"> </w:t>
      </w:r>
      <w:proofErr w:type="spellStart"/>
      <w:r w:rsidR="003F2B74" w:rsidRPr="005518D5">
        <w:t>Rozex</w:t>
      </w:r>
      <w:proofErr w:type="spellEnd"/>
      <w:r w:rsidR="003F2B74" w:rsidRPr="005518D5">
        <w:t>. Data on relapse rates</w:t>
      </w:r>
      <w:r>
        <w:t xml:space="preserve"> from the 36 week extension of S</w:t>
      </w:r>
      <w:r w:rsidR="003F2B74" w:rsidRPr="005518D5">
        <w:t>tudy RD.03.SRE.40173 are awaited.</w:t>
      </w:r>
    </w:p>
    <w:p w14:paraId="6AD89D3E" w14:textId="77777777" w:rsidR="003F2B74" w:rsidRPr="003F2B74" w:rsidRDefault="003F2B74" w:rsidP="003F2B74">
      <w:r w:rsidRPr="005518D5">
        <w:t xml:space="preserve">No convincing evidence was presented of superiority of different dosages of ivermectin cream </w:t>
      </w:r>
      <w:r>
        <w:t>versus</w:t>
      </w:r>
      <w:r w:rsidRPr="005518D5">
        <w:t xml:space="preserve"> other dosages (see Study RD.03.SRE.40027).</w:t>
      </w:r>
    </w:p>
    <w:p w14:paraId="6AD89D3F" w14:textId="77777777" w:rsidR="008E7846" w:rsidRPr="002E238E" w:rsidRDefault="008E7846" w:rsidP="008E7846">
      <w:pPr>
        <w:pStyle w:val="Heading3"/>
      </w:pPr>
      <w:bookmarkStart w:id="131" w:name="_Toc163441378"/>
      <w:bookmarkStart w:id="132" w:name="_Toc196046495"/>
      <w:bookmarkStart w:id="133" w:name="_Toc247691522"/>
      <w:bookmarkStart w:id="134" w:name="_Toc314842505"/>
      <w:bookmarkStart w:id="135" w:name="_Toc437418397"/>
      <w:bookmarkEnd w:id="102"/>
      <w:bookmarkEnd w:id="103"/>
      <w:bookmarkEnd w:id="104"/>
      <w:bookmarkEnd w:id="105"/>
      <w:r w:rsidRPr="002E238E">
        <w:lastRenderedPageBreak/>
        <w:t>Safety</w:t>
      </w:r>
      <w:bookmarkEnd w:id="131"/>
      <w:bookmarkEnd w:id="132"/>
      <w:bookmarkEnd w:id="133"/>
      <w:bookmarkEnd w:id="134"/>
      <w:bookmarkEnd w:id="135"/>
    </w:p>
    <w:p w14:paraId="6AD89D40" w14:textId="77777777" w:rsidR="00605AD4" w:rsidRDefault="00605AD4" w:rsidP="00605AD4">
      <w:pPr>
        <w:pStyle w:val="Heading4"/>
      </w:pPr>
      <w:bookmarkStart w:id="136" w:name="_Toc247691524"/>
      <w:bookmarkStart w:id="137" w:name="_Toc314842508"/>
      <w:bookmarkStart w:id="138" w:name="_Toc196046504"/>
      <w:bookmarkStart w:id="139" w:name="_Toc163441390"/>
      <w:r w:rsidRPr="00605AD4">
        <w:t>Studies providing safety data</w:t>
      </w:r>
    </w:p>
    <w:p w14:paraId="6AD89D41" w14:textId="77777777" w:rsidR="009F3DFD" w:rsidRPr="009F3DFD" w:rsidRDefault="009F3DFD" w:rsidP="009F3DFD">
      <w:pPr>
        <w:pStyle w:val="Heading5"/>
      </w:pPr>
      <w:r w:rsidRPr="009F3DFD">
        <w:t>Pivotal efficacy studies</w:t>
      </w:r>
    </w:p>
    <w:p w14:paraId="6AD89D42" w14:textId="77777777" w:rsidR="009F3DFD" w:rsidRPr="009F3DFD" w:rsidRDefault="009F3DFD" w:rsidP="009F3DFD">
      <w:pPr>
        <w:pStyle w:val="Heading6"/>
      </w:pPr>
      <w:r w:rsidRPr="009F3DFD">
        <w:t>Pivotal studies that assessed safety as a primary outcome</w:t>
      </w:r>
    </w:p>
    <w:p w14:paraId="6AD89D43" w14:textId="77777777" w:rsidR="009F3DFD" w:rsidRPr="009F3DFD" w:rsidRDefault="009F3DFD" w:rsidP="009F3DFD">
      <w:r w:rsidRPr="009F3DFD">
        <w:t>Studies RD.06.SRE.18170 and RD.06.SRE.18171 were pivotal studies that assessed safety as well as</w:t>
      </w:r>
      <w:r w:rsidR="00814D85">
        <w:t xml:space="preserve"> efficacy as a primary outcome.</w:t>
      </w:r>
    </w:p>
    <w:p w14:paraId="6AD89D44" w14:textId="77777777" w:rsidR="009F3DFD" w:rsidRPr="009F3DFD" w:rsidRDefault="009F3DFD" w:rsidP="009F3DFD">
      <w:pPr>
        <w:pStyle w:val="Heading6"/>
      </w:pPr>
      <w:r w:rsidRPr="009F3DFD">
        <w:t>Dose-response and non-pivotal efficacy studies</w:t>
      </w:r>
    </w:p>
    <w:p w14:paraId="6AD89D45" w14:textId="77777777" w:rsidR="009F3DFD" w:rsidRPr="009F3DFD" w:rsidRDefault="009F3DFD" w:rsidP="009F3DFD">
      <w:r w:rsidRPr="009F3DFD">
        <w:t>The dose response and non pivotal efficacy studies provided safety data, as follows:</w:t>
      </w:r>
    </w:p>
    <w:p w14:paraId="6AD89D46" w14:textId="77777777" w:rsidR="009F3DFD" w:rsidRPr="009F3DFD" w:rsidRDefault="009F3DFD" w:rsidP="009F3DFD">
      <w:r w:rsidRPr="009F3DFD">
        <w:t>Studies RD.03.SRE.40027, RD.03.SRE.40106 and RD.03.SRE.40173 provided data on AE monitoring including AEs of special interest.</w:t>
      </w:r>
    </w:p>
    <w:p w14:paraId="6AD89D47" w14:textId="4AFB0EC9" w:rsidR="009F3DFD" w:rsidRPr="009F3DFD" w:rsidRDefault="009F3DFD" w:rsidP="009F3DFD">
      <w:r w:rsidRPr="009F3DFD">
        <w:t xml:space="preserve">Regular laboratory monitoring was carried out in Studies RD.03.SRE.40106 and RD.03.SRE.40173, and at screening and Week 12 </w:t>
      </w:r>
      <w:r w:rsidR="004553BB">
        <w:t>in Study RD.03.SRE.40027. Study </w:t>
      </w:r>
      <w:r w:rsidRPr="009F3DFD">
        <w:t>RD.03.SRE.40173 provided full data on routine A</w:t>
      </w:r>
      <w:r w:rsidR="003F5469">
        <w:t xml:space="preserve">E monitoring for Period </w:t>
      </w:r>
      <w:proofErr w:type="gramStart"/>
      <w:r w:rsidR="003F5469">
        <w:t>A</w:t>
      </w:r>
      <w:proofErr w:type="gramEnd"/>
      <w:r w:rsidR="003F5469">
        <w:t xml:space="preserve"> only.</w:t>
      </w:r>
    </w:p>
    <w:p w14:paraId="6AD89D48" w14:textId="77777777" w:rsidR="009F3DFD" w:rsidRPr="009F3DFD" w:rsidRDefault="009F3DFD" w:rsidP="009F3DFD">
      <w:r w:rsidRPr="009F3DFD">
        <w:t>Study RD.03.SRE.40006 provided data on AE monitoring.</w:t>
      </w:r>
    </w:p>
    <w:p w14:paraId="6AD89D49" w14:textId="77777777" w:rsidR="009F3DFD" w:rsidRPr="009F3DFD" w:rsidRDefault="009F3DFD" w:rsidP="009F3DFD">
      <w:pPr>
        <w:pStyle w:val="Heading5"/>
      </w:pPr>
      <w:r w:rsidRPr="009F3DFD">
        <w:t>Other studies evaluable for safety only</w:t>
      </w:r>
    </w:p>
    <w:p w14:paraId="6AD89D4A" w14:textId="77777777" w:rsidR="009F3DFD" w:rsidRDefault="009F3DFD" w:rsidP="009F3DFD">
      <w:pPr>
        <w:pStyle w:val="Heading6"/>
      </w:pPr>
      <w:r w:rsidRPr="009F3DFD">
        <w:t>Study RD.03.SRE.19055</w:t>
      </w:r>
    </w:p>
    <w:p w14:paraId="6AD89D4B" w14:textId="77777777" w:rsidR="009F3DFD" w:rsidRPr="009F3DFD" w:rsidRDefault="009F3DFD" w:rsidP="009F3DFD">
      <w:r w:rsidRPr="009F3DFD">
        <w:t>The aim of this study was to assess cumulative irritancy potential of ivermectin 1% cream versus vehicle and white petrolatum, applied for 21 days under occlusive conditions to the upper back of healthy volunteers.</w:t>
      </w:r>
    </w:p>
    <w:p w14:paraId="6AD89D4C" w14:textId="77777777" w:rsidR="009F3DFD" w:rsidRPr="003139C8" w:rsidRDefault="009F3DFD" w:rsidP="009F3DFD">
      <w:pPr>
        <w:pStyle w:val="Heading6"/>
      </w:pPr>
      <w:r w:rsidRPr="003139C8">
        <w:t>Study RD.03.SRE.19081</w:t>
      </w:r>
    </w:p>
    <w:p w14:paraId="6AD89D4D" w14:textId="77777777" w:rsidR="009F3DFD" w:rsidRDefault="009F3DFD" w:rsidP="009F3DFD">
      <w:r w:rsidRPr="009F3DFD">
        <w:t>The aim of this study was to assess cumulative irritancy potential of 2 new proposed vehicles versus the initial vehicle and white petrolatum, applied for 21 days under occlusive conditions to the upper back of healthy volunteers.</w:t>
      </w:r>
    </w:p>
    <w:p w14:paraId="6AD89D4E" w14:textId="77777777" w:rsidR="009F3DFD" w:rsidRPr="003139C8" w:rsidRDefault="009F3DFD" w:rsidP="009F3DFD">
      <w:pPr>
        <w:pStyle w:val="Heading6"/>
      </w:pPr>
      <w:r w:rsidRPr="003139C8">
        <w:t>Study RD.03.SRE.40023</w:t>
      </w:r>
    </w:p>
    <w:p w14:paraId="6AD89D4F" w14:textId="77777777" w:rsidR="009F3DFD" w:rsidRDefault="009F3DFD" w:rsidP="009F3DFD">
      <w:r w:rsidRPr="009F3DFD">
        <w:t>The aim of this study was to assess the potential of repeated applications of 4 concentrations of ivermectin cream (none of which was the product fo</w:t>
      </w:r>
      <w:r w:rsidR="00692CE1">
        <w:t>r which registration is sought) or vehicle</w:t>
      </w:r>
      <w:r w:rsidRPr="009F3DFD">
        <w:t xml:space="preserve"> to induce irritation or sensitisation in the skin of healthy subjects.</w:t>
      </w:r>
    </w:p>
    <w:p w14:paraId="6AD89D50" w14:textId="77777777" w:rsidR="009F3DFD" w:rsidRDefault="009F3DFD" w:rsidP="009F3DFD">
      <w:pPr>
        <w:pStyle w:val="Heading6"/>
      </w:pPr>
      <w:r w:rsidRPr="009F3DFD">
        <w:t>Study RD.03.SRE.40051</w:t>
      </w:r>
    </w:p>
    <w:p w14:paraId="6AD89D51" w14:textId="77777777" w:rsidR="009F3DFD" w:rsidRDefault="009F3DFD" w:rsidP="009F3DFD">
      <w:r w:rsidRPr="009F3DFD">
        <w:t>The primary objective as originally planned was to document the long term safety of ivermectin 1% cream once daily, for up to 52 weeks of topical treatment in subjects with PPR. This objective was changed to an evaluation up to subject's termination as a result of the sponsor's decision to discontinue the study prematurely, following adverse laboratory findings in some patients: at Week 10 of treatment, the neutrophil cell count had decreased in 3 subjects below the threshold value of 1.5x10</w:t>
      </w:r>
      <w:r w:rsidRPr="009F3DFD">
        <w:rPr>
          <w:vertAlign w:val="superscript"/>
        </w:rPr>
        <w:t>9</w:t>
      </w:r>
      <w:r w:rsidRPr="009F3DFD">
        <w:t>/L defining a neutropenia.</w:t>
      </w:r>
    </w:p>
    <w:p w14:paraId="6AD89D52" w14:textId="77777777" w:rsidR="00207EA2" w:rsidRPr="00207EA2" w:rsidRDefault="00207EA2" w:rsidP="00207EA2">
      <w:pPr>
        <w:pStyle w:val="Heading6"/>
      </w:pPr>
      <w:r w:rsidRPr="00207EA2">
        <w:t>Study RD.06.SRE.18120</w:t>
      </w:r>
    </w:p>
    <w:p w14:paraId="6AD89D53" w14:textId="77777777" w:rsidR="009F3DFD" w:rsidRPr="009F3DFD" w:rsidRDefault="00207EA2" w:rsidP="009F3DFD">
      <w:r w:rsidRPr="00207EA2">
        <w:t>The primary objective was to evaluate the effect of a single orally administered dose of ivermectin on ventricular repolarisation in healthy adult subjects.</w:t>
      </w:r>
    </w:p>
    <w:p w14:paraId="6AD89D54" w14:textId="77777777" w:rsidR="00605AD4" w:rsidRDefault="00605AD4" w:rsidP="00605AD4">
      <w:pPr>
        <w:pStyle w:val="Heading4"/>
      </w:pPr>
      <w:r w:rsidRPr="00605AD4">
        <w:t>Patient exposure</w:t>
      </w:r>
    </w:p>
    <w:p w14:paraId="6AD89D55" w14:textId="77777777" w:rsidR="00CE6887" w:rsidRPr="003139C8" w:rsidRDefault="00CE6887" w:rsidP="00CE6887">
      <w:r w:rsidRPr="003139C8">
        <w:t>The sponsor states:</w:t>
      </w:r>
    </w:p>
    <w:p w14:paraId="6AD89D56" w14:textId="77777777" w:rsidR="00CE6887" w:rsidRPr="00CE6887" w:rsidRDefault="00CE6887" w:rsidP="00CE6887">
      <w:pPr>
        <w:ind w:left="113"/>
        <w:rPr>
          <w:i/>
        </w:rPr>
      </w:pPr>
      <w:r w:rsidRPr="00C15791">
        <w:rPr>
          <w:i/>
        </w:rPr>
        <w:t>‘A total of 2</w:t>
      </w:r>
      <w:r>
        <w:rPr>
          <w:i/>
        </w:rPr>
        <w:t>,</w:t>
      </w:r>
      <w:r w:rsidRPr="00C15791">
        <w:rPr>
          <w:i/>
        </w:rPr>
        <w:t>431 of the 3</w:t>
      </w:r>
      <w:r>
        <w:rPr>
          <w:i/>
        </w:rPr>
        <w:t>,</w:t>
      </w:r>
      <w:r w:rsidRPr="00C15791">
        <w:rPr>
          <w:i/>
        </w:rPr>
        <w:t xml:space="preserve">999 subjects in the clinical development program were exposed to </w:t>
      </w:r>
      <w:r w:rsidR="006D61C3">
        <w:rPr>
          <w:i/>
        </w:rPr>
        <w:t>ivermectin</w:t>
      </w:r>
      <w:r w:rsidRPr="00C15791">
        <w:rPr>
          <w:i/>
        </w:rPr>
        <w:t xml:space="preserve"> 1% </w:t>
      </w:r>
      <w:r w:rsidR="00F2439E">
        <w:rPr>
          <w:i/>
        </w:rPr>
        <w:t>cream</w:t>
      </w:r>
      <w:r w:rsidRPr="00C15791">
        <w:rPr>
          <w:i/>
        </w:rPr>
        <w:t>: 268 healthy subjects and 2</w:t>
      </w:r>
      <w:r>
        <w:rPr>
          <w:i/>
        </w:rPr>
        <w:t>,</w:t>
      </w:r>
      <w:r w:rsidRPr="00C15791">
        <w:rPr>
          <w:i/>
        </w:rPr>
        <w:t>163 subjects with PPR. The figure of 2</w:t>
      </w:r>
      <w:r>
        <w:rPr>
          <w:i/>
        </w:rPr>
        <w:t>,</w:t>
      </w:r>
      <w:r w:rsidRPr="00C15791">
        <w:rPr>
          <w:i/>
        </w:rPr>
        <w:t xml:space="preserve">163 subjects with PPR includes 116 subjects exposed to </w:t>
      </w:r>
      <w:r w:rsidR="006D61C3">
        <w:rPr>
          <w:i/>
        </w:rPr>
        <w:t>ivermectin</w:t>
      </w:r>
      <w:r w:rsidRPr="00C15791">
        <w:rPr>
          <w:i/>
        </w:rPr>
        <w:t xml:space="preserve"> 1% </w:t>
      </w:r>
      <w:r w:rsidR="00F2439E">
        <w:rPr>
          <w:i/>
        </w:rPr>
        <w:t>cream</w:t>
      </w:r>
      <w:r w:rsidRPr="00C15791">
        <w:rPr>
          <w:i/>
        </w:rPr>
        <w:t xml:space="preserve"> </w:t>
      </w:r>
      <w:r w:rsidR="00F757B6">
        <w:rPr>
          <w:i/>
        </w:rPr>
        <w:t>BD</w:t>
      </w:r>
      <w:r w:rsidRPr="00C15791">
        <w:rPr>
          <w:i/>
        </w:rPr>
        <w:t xml:space="preserve">, which was </w:t>
      </w:r>
      <w:r w:rsidRPr="00C15791">
        <w:rPr>
          <w:i/>
        </w:rPr>
        <w:lastRenderedPageBreak/>
        <w:t xml:space="preserve">explored in Phase II before the </w:t>
      </w:r>
      <w:r w:rsidR="00FD3E5F">
        <w:rPr>
          <w:i/>
        </w:rPr>
        <w:t>QD</w:t>
      </w:r>
      <w:r w:rsidRPr="00C15791">
        <w:rPr>
          <w:i/>
        </w:rPr>
        <w:t xml:space="preserve"> regimen was confirmed for the Phase III program. Consequently, a total of 2</w:t>
      </w:r>
      <w:r>
        <w:rPr>
          <w:i/>
        </w:rPr>
        <w:t>,</w:t>
      </w:r>
      <w:r w:rsidRPr="00C15791">
        <w:rPr>
          <w:i/>
        </w:rPr>
        <w:t xml:space="preserve">047 subjects with PPR were exposed to the to-be-marketed formulation and regimen: </w:t>
      </w:r>
      <w:r w:rsidR="006D61C3">
        <w:rPr>
          <w:i/>
        </w:rPr>
        <w:t>ivermectin</w:t>
      </w:r>
      <w:r w:rsidRPr="00C15791">
        <w:rPr>
          <w:i/>
        </w:rPr>
        <w:t xml:space="preserve"> 1% </w:t>
      </w:r>
      <w:r w:rsidR="00FD3E5F">
        <w:rPr>
          <w:i/>
        </w:rPr>
        <w:t>QD</w:t>
      </w:r>
      <w:r w:rsidRPr="00C15791">
        <w:rPr>
          <w:i/>
        </w:rPr>
        <w:t>.’</w:t>
      </w:r>
    </w:p>
    <w:p w14:paraId="6AD89D57" w14:textId="77777777" w:rsidR="00CE6887" w:rsidRPr="003F5469" w:rsidRDefault="00CE6887" w:rsidP="00CE6887">
      <w:r w:rsidRPr="00CE6887">
        <w:t>Only studies in which at least 1 subject was treated with the formul</w:t>
      </w:r>
      <w:r w:rsidR="00692CE1">
        <w:t>ation proposed for registration</w:t>
      </w:r>
      <w:r w:rsidRPr="00CE6887">
        <w:t xml:space="preserve"> contribute data to the </w:t>
      </w:r>
      <w:r w:rsidR="00A43115">
        <w:t xml:space="preserve">two tables below </w:t>
      </w:r>
      <w:r w:rsidR="00A43115" w:rsidRPr="003F5469">
        <w:t xml:space="preserve">Tables </w:t>
      </w:r>
      <w:r w:rsidR="00D653C0">
        <w:t>8</w:t>
      </w:r>
      <w:r w:rsidR="00A43115" w:rsidRPr="003F5469">
        <w:t xml:space="preserve"> and </w:t>
      </w:r>
      <w:r w:rsidR="00D653C0">
        <w:t>9</w:t>
      </w:r>
      <w:r w:rsidRPr="003F5469">
        <w:t>.</w:t>
      </w:r>
    </w:p>
    <w:p w14:paraId="6AD89D58" w14:textId="77777777" w:rsidR="00CE6887" w:rsidRPr="00CE6887" w:rsidRDefault="00CE6887" w:rsidP="00CE6887">
      <w:pPr>
        <w:pStyle w:val="TableTitle"/>
      </w:pPr>
      <w:bookmarkStart w:id="140" w:name="_Toc403416557"/>
      <w:proofErr w:type="gramStart"/>
      <w:r w:rsidRPr="00CE6887">
        <w:t xml:space="preserve">Table </w:t>
      </w:r>
      <w:r w:rsidR="00D653C0">
        <w:t>8</w:t>
      </w:r>
      <w:r w:rsidRPr="00CE6887">
        <w:t>.</w:t>
      </w:r>
      <w:proofErr w:type="gramEnd"/>
      <w:r w:rsidRPr="00CE6887">
        <w:t xml:space="preserve"> </w:t>
      </w:r>
      <w:proofErr w:type="gramStart"/>
      <w:r w:rsidRPr="00CE6887">
        <w:t>Exposure to Soolantra and comparators in clinical studies.</w:t>
      </w:r>
      <w:bookmarkEnd w:id="140"/>
      <w:proofErr w:type="gramEnd"/>
    </w:p>
    <w:tbl>
      <w:tblPr>
        <w:tblStyle w:val="TableTGAblue"/>
        <w:tblW w:w="8667" w:type="dxa"/>
        <w:tblLayout w:type="fixed"/>
        <w:tblLook w:val="04A0" w:firstRow="1" w:lastRow="0" w:firstColumn="1" w:lastColumn="0" w:noHBand="0" w:noVBand="1"/>
        <w:tblDescription w:val="Table 8. Exposure to Soolantra and comparators in clinical studies."/>
      </w:tblPr>
      <w:tblGrid>
        <w:gridCol w:w="1612"/>
        <w:gridCol w:w="1644"/>
        <w:gridCol w:w="959"/>
        <w:gridCol w:w="949"/>
        <w:gridCol w:w="1193"/>
        <w:gridCol w:w="1321"/>
        <w:gridCol w:w="989"/>
      </w:tblGrid>
      <w:tr w:rsidR="00CE6887" w:rsidRPr="00686209" w14:paraId="6AD89D5E" w14:textId="77777777" w:rsidTr="000835E6">
        <w:trPr>
          <w:cnfStyle w:val="100000000000" w:firstRow="1" w:lastRow="0" w:firstColumn="0" w:lastColumn="0" w:oddVBand="0" w:evenVBand="0" w:oddHBand="0" w:evenHBand="0" w:firstRowFirstColumn="0" w:firstRowLastColumn="0" w:lastRowFirstColumn="0" w:lastRowLastColumn="0"/>
          <w:trHeight w:val="848"/>
        </w:trPr>
        <w:tc>
          <w:tcPr>
            <w:tcW w:w="1612" w:type="dxa"/>
            <w:vMerge w:val="restart"/>
          </w:tcPr>
          <w:p w14:paraId="6AD89D59" w14:textId="77777777" w:rsidR="00CE6887" w:rsidRPr="00BF3A4E" w:rsidRDefault="00CE6887" w:rsidP="004553BB">
            <w:pPr>
              <w:ind w:left="0" w:right="0"/>
              <w:rPr>
                <w:b w:val="0"/>
                <w:sz w:val="20"/>
              </w:rPr>
            </w:pPr>
            <w:r w:rsidRPr="00BF3A4E">
              <w:rPr>
                <w:sz w:val="20"/>
              </w:rPr>
              <w:t>Study type/</w:t>
            </w:r>
          </w:p>
          <w:p w14:paraId="6AD89D5A" w14:textId="77777777" w:rsidR="00CE6887" w:rsidRPr="00BF3A4E" w:rsidRDefault="00CE6887" w:rsidP="004553BB">
            <w:pPr>
              <w:ind w:left="0" w:right="0"/>
              <w:rPr>
                <w:b w:val="0"/>
                <w:sz w:val="20"/>
              </w:rPr>
            </w:pPr>
            <w:r w:rsidRPr="00BF3A4E">
              <w:rPr>
                <w:sz w:val="20"/>
              </w:rPr>
              <w:t>Indication</w:t>
            </w:r>
          </w:p>
        </w:tc>
        <w:tc>
          <w:tcPr>
            <w:tcW w:w="4745" w:type="dxa"/>
            <w:gridSpan w:val="4"/>
          </w:tcPr>
          <w:p w14:paraId="6AD89D5B" w14:textId="77777777" w:rsidR="00CE6887" w:rsidRPr="00BF3A4E" w:rsidRDefault="00CE6887" w:rsidP="004553BB">
            <w:pPr>
              <w:ind w:left="0" w:right="0"/>
              <w:rPr>
                <w:b w:val="0"/>
                <w:sz w:val="20"/>
              </w:rPr>
            </w:pPr>
            <w:r w:rsidRPr="00BF3A4E">
              <w:rPr>
                <w:sz w:val="20"/>
              </w:rPr>
              <w:t>Controlled studies</w:t>
            </w:r>
          </w:p>
        </w:tc>
        <w:tc>
          <w:tcPr>
            <w:tcW w:w="1321" w:type="dxa"/>
          </w:tcPr>
          <w:p w14:paraId="6AD89D5C" w14:textId="77777777" w:rsidR="00CE6887" w:rsidRPr="00BF3A4E" w:rsidRDefault="00CE6887" w:rsidP="004553BB">
            <w:pPr>
              <w:ind w:left="0" w:right="0"/>
              <w:rPr>
                <w:b w:val="0"/>
                <w:sz w:val="20"/>
              </w:rPr>
            </w:pPr>
            <w:r w:rsidRPr="00BF3A4E">
              <w:rPr>
                <w:sz w:val="20"/>
              </w:rPr>
              <w:t>Un-controlled studies</w:t>
            </w:r>
          </w:p>
        </w:tc>
        <w:tc>
          <w:tcPr>
            <w:tcW w:w="989" w:type="dxa"/>
            <w:vMerge w:val="restart"/>
          </w:tcPr>
          <w:p w14:paraId="6AD89D5D" w14:textId="77777777" w:rsidR="00CE6887" w:rsidRPr="00BF3A4E" w:rsidRDefault="00CE6887" w:rsidP="004553BB">
            <w:pPr>
              <w:ind w:left="0" w:right="0"/>
              <w:rPr>
                <w:b w:val="0"/>
                <w:sz w:val="20"/>
              </w:rPr>
            </w:pPr>
            <w:r w:rsidRPr="00BF3A4E">
              <w:rPr>
                <w:sz w:val="20"/>
              </w:rPr>
              <w:t>Total</w:t>
            </w:r>
            <w:r w:rsidR="000835E6" w:rsidRPr="00BF3A4E">
              <w:rPr>
                <w:sz w:val="20"/>
              </w:rPr>
              <w:t xml:space="preserve"> </w:t>
            </w:r>
            <w:r w:rsidRPr="00BF3A4E">
              <w:rPr>
                <w:sz w:val="20"/>
              </w:rPr>
              <w:t>Sool</w:t>
            </w:r>
          </w:p>
        </w:tc>
      </w:tr>
      <w:tr w:rsidR="00CE6887" w:rsidRPr="00686209" w14:paraId="6AD89D66" w14:textId="77777777" w:rsidTr="000835E6">
        <w:trPr>
          <w:trHeight w:val="147"/>
        </w:trPr>
        <w:tc>
          <w:tcPr>
            <w:tcW w:w="1612" w:type="dxa"/>
            <w:vMerge/>
          </w:tcPr>
          <w:p w14:paraId="6AD89D5F" w14:textId="77777777" w:rsidR="00CE6887" w:rsidRPr="00BF3A4E" w:rsidRDefault="00CE6887" w:rsidP="004553BB">
            <w:pPr>
              <w:ind w:left="0" w:right="0"/>
              <w:rPr>
                <w:sz w:val="20"/>
              </w:rPr>
            </w:pPr>
          </w:p>
        </w:tc>
        <w:tc>
          <w:tcPr>
            <w:tcW w:w="1644" w:type="dxa"/>
            <w:shd w:val="clear" w:color="auto" w:fill="0070B5" w:themeFill="accent1" w:themeFillTint="BF"/>
          </w:tcPr>
          <w:p w14:paraId="6AD89D60" w14:textId="77777777" w:rsidR="00CE6887" w:rsidRPr="00BF3A4E" w:rsidRDefault="00CE6887" w:rsidP="004553BB">
            <w:pPr>
              <w:ind w:left="0" w:right="0"/>
              <w:rPr>
                <w:color w:val="FFFFFF" w:themeColor="background1"/>
                <w:sz w:val="20"/>
              </w:rPr>
            </w:pPr>
            <w:r w:rsidRPr="00BF3A4E">
              <w:rPr>
                <w:color w:val="FFFFFF" w:themeColor="background1"/>
                <w:sz w:val="20"/>
              </w:rPr>
              <w:t>Sool</w:t>
            </w:r>
          </w:p>
        </w:tc>
        <w:tc>
          <w:tcPr>
            <w:tcW w:w="959" w:type="dxa"/>
            <w:shd w:val="clear" w:color="auto" w:fill="0070B5" w:themeFill="accent1" w:themeFillTint="BF"/>
          </w:tcPr>
          <w:p w14:paraId="6AD89D61" w14:textId="77777777" w:rsidR="00CE6887" w:rsidRPr="00BF3A4E" w:rsidRDefault="00CE6887" w:rsidP="004553BB">
            <w:pPr>
              <w:ind w:left="0" w:right="0"/>
              <w:rPr>
                <w:color w:val="FFFFFF" w:themeColor="background1"/>
                <w:sz w:val="20"/>
              </w:rPr>
            </w:pPr>
            <w:r w:rsidRPr="00BF3A4E">
              <w:rPr>
                <w:color w:val="FFFFFF" w:themeColor="background1"/>
                <w:sz w:val="20"/>
              </w:rPr>
              <w:t>Vehicle</w:t>
            </w:r>
          </w:p>
        </w:tc>
        <w:tc>
          <w:tcPr>
            <w:tcW w:w="949" w:type="dxa"/>
            <w:shd w:val="clear" w:color="auto" w:fill="0070B5" w:themeFill="accent1" w:themeFillTint="BF"/>
          </w:tcPr>
          <w:p w14:paraId="6AD89D62" w14:textId="77777777" w:rsidR="00CE6887" w:rsidRPr="00BF3A4E" w:rsidRDefault="00CE6887" w:rsidP="004553BB">
            <w:pPr>
              <w:ind w:left="0" w:right="0"/>
              <w:rPr>
                <w:color w:val="FFFFFF" w:themeColor="background1"/>
                <w:sz w:val="20"/>
              </w:rPr>
            </w:pPr>
            <w:r w:rsidRPr="00BF3A4E">
              <w:rPr>
                <w:color w:val="FFFFFF" w:themeColor="background1"/>
                <w:sz w:val="20"/>
              </w:rPr>
              <w:t xml:space="preserve">Other </w:t>
            </w:r>
            <w:proofErr w:type="spellStart"/>
            <w:r w:rsidRPr="00BF3A4E">
              <w:rPr>
                <w:color w:val="FFFFFF" w:themeColor="background1"/>
                <w:sz w:val="20"/>
              </w:rPr>
              <w:t>iver</w:t>
            </w:r>
            <w:proofErr w:type="spellEnd"/>
            <w:r w:rsidRPr="00BF3A4E">
              <w:rPr>
                <w:color w:val="FFFFFF" w:themeColor="background1"/>
                <w:sz w:val="20"/>
              </w:rPr>
              <w:t xml:space="preserve"> cream</w:t>
            </w:r>
          </w:p>
        </w:tc>
        <w:tc>
          <w:tcPr>
            <w:tcW w:w="1193" w:type="dxa"/>
            <w:shd w:val="clear" w:color="auto" w:fill="0070B5" w:themeFill="accent1" w:themeFillTint="BF"/>
          </w:tcPr>
          <w:p w14:paraId="6AD89D63" w14:textId="77777777" w:rsidR="00CE6887" w:rsidRPr="00BF3A4E" w:rsidRDefault="00CE6887" w:rsidP="004553BB">
            <w:pPr>
              <w:ind w:left="0" w:right="0"/>
              <w:rPr>
                <w:color w:val="FFFFFF" w:themeColor="background1"/>
                <w:sz w:val="20"/>
              </w:rPr>
            </w:pPr>
            <w:r w:rsidRPr="00BF3A4E">
              <w:rPr>
                <w:color w:val="FFFFFF" w:themeColor="background1"/>
                <w:sz w:val="20"/>
              </w:rPr>
              <w:t>Other active cream</w:t>
            </w:r>
          </w:p>
        </w:tc>
        <w:tc>
          <w:tcPr>
            <w:tcW w:w="1321" w:type="dxa"/>
            <w:shd w:val="clear" w:color="auto" w:fill="0070B5" w:themeFill="accent1" w:themeFillTint="BF"/>
          </w:tcPr>
          <w:p w14:paraId="6AD89D64" w14:textId="77777777" w:rsidR="00CE6887" w:rsidRPr="00BF3A4E" w:rsidRDefault="00CE6887" w:rsidP="004553BB">
            <w:pPr>
              <w:ind w:left="0" w:right="0"/>
              <w:rPr>
                <w:color w:val="FFFFFF" w:themeColor="background1"/>
                <w:sz w:val="20"/>
              </w:rPr>
            </w:pPr>
            <w:r w:rsidRPr="00BF3A4E">
              <w:rPr>
                <w:color w:val="FFFFFF" w:themeColor="background1"/>
                <w:sz w:val="20"/>
              </w:rPr>
              <w:t>Sool</w:t>
            </w:r>
          </w:p>
        </w:tc>
        <w:tc>
          <w:tcPr>
            <w:tcW w:w="989" w:type="dxa"/>
            <w:vMerge/>
          </w:tcPr>
          <w:p w14:paraId="6AD89D65" w14:textId="77777777" w:rsidR="00CE6887" w:rsidRPr="00BF3A4E" w:rsidRDefault="00CE6887" w:rsidP="004553BB">
            <w:pPr>
              <w:ind w:left="0" w:right="0"/>
              <w:rPr>
                <w:sz w:val="20"/>
              </w:rPr>
            </w:pPr>
          </w:p>
        </w:tc>
      </w:tr>
      <w:tr w:rsidR="00CE6887" w:rsidRPr="00686209" w14:paraId="6AD89D6E" w14:textId="77777777" w:rsidTr="000835E6">
        <w:trPr>
          <w:trHeight w:val="495"/>
        </w:trPr>
        <w:tc>
          <w:tcPr>
            <w:tcW w:w="1612" w:type="dxa"/>
          </w:tcPr>
          <w:p w14:paraId="6AD89D67" w14:textId="77777777" w:rsidR="00CE6887" w:rsidRPr="00BF3A4E" w:rsidRDefault="00CE6887" w:rsidP="004553BB">
            <w:pPr>
              <w:ind w:left="0" w:right="0"/>
              <w:rPr>
                <w:sz w:val="20"/>
              </w:rPr>
            </w:pPr>
            <w:r w:rsidRPr="00BF3A4E">
              <w:rPr>
                <w:sz w:val="20"/>
              </w:rPr>
              <w:t>Clinical pharmacology</w:t>
            </w:r>
          </w:p>
        </w:tc>
        <w:tc>
          <w:tcPr>
            <w:tcW w:w="1644" w:type="dxa"/>
          </w:tcPr>
          <w:p w14:paraId="6AD89D68" w14:textId="77777777" w:rsidR="00CE6887" w:rsidRPr="00BF3A4E" w:rsidRDefault="00CE6887" w:rsidP="004553BB">
            <w:pPr>
              <w:ind w:left="0" w:right="0"/>
              <w:rPr>
                <w:sz w:val="20"/>
              </w:rPr>
            </w:pPr>
          </w:p>
        </w:tc>
        <w:tc>
          <w:tcPr>
            <w:tcW w:w="959" w:type="dxa"/>
          </w:tcPr>
          <w:p w14:paraId="6AD89D69" w14:textId="77777777" w:rsidR="00CE6887" w:rsidRPr="00BF3A4E" w:rsidRDefault="00CE6887" w:rsidP="004553BB">
            <w:pPr>
              <w:ind w:left="0" w:right="0"/>
              <w:rPr>
                <w:sz w:val="20"/>
              </w:rPr>
            </w:pPr>
          </w:p>
        </w:tc>
        <w:tc>
          <w:tcPr>
            <w:tcW w:w="949" w:type="dxa"/>
          </w:tcPr>
          <w:p w14:paraId="6AD89D6A" w14:textId="77777777" w:rsidR="00CE6887" w:rsidRPr="00BF3A4E" w:rsidRDefault="00CE6887" w:rsidP="004553BB">
            <w:pPr>
              <w:ind w:left="0" w:right="0"/>
              <w:rPr>
                <w:sz w:val="20"/>
              </w:rPr>
            </w:pPr>
          </w:p>
        </w:tc>
        <w:tc>
          <w:tcPr>
            <w:tcW w:w="1193" w:type="dxa"/>
          </w:tcPr>
          <w:p w14:paraId="6AD89D6B" w14:textId="77777777" w:rsidR="00CE6887" w:rsidRPr="00BF3A4E" w:rsidRDefault="00CE6887" w:rsidP="004553BB">
            <w:pPr>
              <w:ind w:left="0" w:right="0"/>
              <w:rPr>
                <w:sz w:val="20"/>
              </w:rPr>
            </w:pPr>
          </w:p>
        </w:tc>
        <w:tc>
          <w:tcPr>
            <w:tcW w:w="1321" w:type="dxa"/>
          </w:tcPr>
          <w:p w14:paraId="6AD89D6C" w14:textId="77777777" w:rsidR="00CE6887" w:rsidRPr="00BF3A4E" w:rsidRDefault="00CE6887" w:rsidP="004553BB">
            <w:pPr>
              <w:ind w:left="0" w:right="0"/>
              <w:rPr>
                <w:sz w:val="20"/>
              </w:rPr>
            </w:pPr>
            <w:r w:rsidRPr="00BF3A4E">
              <w:rPr>
                <w:sz w:val="20"/>
              </w:rPr>
              <w:t>17</w:t>
            </w:r>
          </w:p>
        </w:tc>
        <w:tc>
          <w:tcPr>
            <w:tcW w:w="989" w:type="dxa"/>
          </w:tcPr>
          <w:p w14:paraId="6AD89D6D" w14:textId="77777777" w:rsidR="00CE6887" w:rsidRPr="00BF3A4E" w:rsidRDefault="00CE6887" w:rsidP="004553BB">
            <w:pPr>
              <w:ind w:left="0" w:right="0"/>
              <w:rPr>
                <w:sz w:val="20"/>
              </w:rPr>
            </w:pPr>
            <w:r w:rsidRPr="00BF3A4E">
              <w:rPr>
                <w:sz w:val="20"/>
              </w:rPr>
              <w:t>17</w:t>
            </w:r>
          </w:p>
        </w:tc>
      </w:tr>
      <w:tr w:rsidR="00CE6887" w:rsidRPr="00686209" w14:paraId="6AD89D70" w14:textId="77777777" w:rsidTr="000835E6">
        <w:trPr>
          <w:trHeight w:val="482"/>
        </w:trPr>
        <w:tc>
          <w:tcPr>
            <w:tcW w:w="8667" w:type="dxa"/>
            <w:gridSpan w:val="7"/>
          </w:tcPr>
          <w:p w14:paraId="6AD89D6F" w14:textId="77777777" w:rsidR="00CE6887" w:rsidRPr="00BF3A4E" w:rsidRDefault="00CE6887" w:rsidP="004553BB">
            <w:pPr>
              <w:ind w:left="0" w:right="0"/>
              <w:rPr>
                <w:b/>
                <w:sz w:val="20"/>
              </w:rPr>
            </w:pPr>
            <w:r w:rsidRPr="00BF3A4E">
              <w:rPr>
                <w:b/>
                <w:sz w:val="20"/>
              </w:rPr>
              <w:t>Indication 1</w:t>
            </w:r>
          </w:p>
        </w:tc>
      </w:tr>
      <w:tr w:rsidR="00CE6887" w:rsidRPr="00686209" w14:paraId="6AD89D78" w14:textId="77777777" w:rsidTr="000835E6">
        <w:trPr>
          <w:trHeight w:val="495"/>
        </w:trPr>
        <w:tc>
          <w:tcPr>
            <w:tcW w:w="1612" w:type="dxa"/>
          </w:tcPr>
          <w:p w14:paraId="6AD89D71" w14:textId="77777777" w:rsidR="00CE6887" w:rsidRPr="00BF3A4E" w:rsidRDefault="00CE6887" w:rsidP="004553BB">
            <w:pPr>
              <w:ind w:left="0" w:right="0"/>
              <w:rPr>
                <w:sz w:val="20"/>
              </w:rPr>
            </w:pPr>
            <w:r w:rsidRPr="00BF3A4E">
              <w:rPr>
                <w:sz w:val="20"/>
              </w:rPr>
              <w:t>Pivotal</w:t>
            </w:r>
          </w:p>
        </w:tc>
        <w:tc>
          <w:tcPr>
            <w:tcW w:w="1644" w:type="dxa"/>
          </w:tcPr>
          <w:p w14:paraId="6AD89D72" w14:textId="77777777" w:rsidR="00CE6887" w:rsidRPr="00BF3A4E" w:rsidRDefault="00CE6887" w:rsidP="004553BB">
            <w:pPr>
              <w:ind w:left="0" w:right="0"/>
              <w:rPr>
                <w:sz w:val="20"/>
              </w:rPr>
            </w:pPr>
            <w:r w:rsidRPr="00BF3A4E">
              <w:rPr>
                <w:sz w:val="20"/>
              </w:rPr>
              <w:t>909</w:t>
            </w:r>
          </w:p>
        </w:tc>
        <w:tc>
          <w:tcPr>
            <w:tcW w:w="959" w:type="dxa"/>
          </w:tcPr>
          <w:p w14:paraId="6AD89D73" w14:textId="77777777" w:rsidR="00CE6887" w:rsidRPr="00BF3A4E" w:rsidRDefault="00CE6887" w:rsidP="004553BB">
            <w:pPr>
              <w:ind w:left="0" w:right="0"/>
              <w:rPr>
                <w:sz w:val="20"/>
              </w:rPr>
            </w:pPr>
            <w:r w:rsidRPr="00BF3A4E">
              <w:rPr>
                <w:sz w:val="20"/>
              </w:rPr>
              <w:t>461</w:t>
            </w:r>
          </w:p>
        </w:tc>
        <w:tc>
          <w:tcPr>
            <w:tcW w:w="949" w:type="dxa"/>
          </w:tcPr>
          <w:p w14:paraId="6AD89D74" w14:textId="77777777" w:rsidR="00CE6887" w:rsidRPr="00BF3A4E" w:rsidRDefault="00CE6887" w:rsidP="004553BB">
            <w:pPr>
              <w:ind w:left="0" w:right="0"/>
              <w:rPr>
                <w:sz w:val="20"/>
              </w:rPr>
            </w:pPr>
            <w:r w:rsidRPr="00BF3A4E">
              <w:rPr>
                <w:sz w:val="20"/>
              </w:rPr>
              <w:t>0</w:t>
            </w:r>
          </w:p>
        </w:tc>
        <w:tc>
          <w:tcPr>
            <w:tcW w:w="1193" w:type="dxa"/>
          </w:tcPr>
          <w:p w14:paraId="6AD89D75" w14:textId="77777777" w:rsidR="00CE6887" w:rsidRPr="00BF3A4E" w:rsidRDefault="00CE6887" w:rsidP="004553BB">
            <w:pPr>
              <w:ind w:left="0" w:right="0"/>
              <w:rPr>
                <w:sz w:val="20"/>
              </w:rPr>
            </w:pPr>
            <w:r w:rsidRPr="00BF3A4E">
              <w:rPr>
                <w:sz w:val="20"/>
              </w:rPr>
              <w:t>418</w:t>
            </w:r>
          </w:p>
        </w:tc>
        <w:tc>
          <w:tcPr>
            <w:tcW w:w="1321" w:type="dxa"/>
          </w:tcPr>
          <w:p w14:paraId="6AD89D76" w14:textId="77777777" w:rsidR="00CE6887" w:rsidRPr="00BF3A4E" w:rsidRDefault="00CE6887" w:rsidP="004553BB">
            <w:pPr>
              <w:ind w:left="0" w:right="0"/>
              <w:rPr>
                <w:sz w:val="20"/>
              </w:rPr>
            </w:pPr>
            <w:r w:rsidRPr="00BF3A4E">
              <w:rPr>
                <w:sz w:val="20"/>
              </w:rPr>
              <w:t>0</w:t>
            </w:r>
          </w:p>
        </w:tc>
        <w:tc>
          <w:tcPr>
            <w:tcW w:w="989" w:type="dxa"/>
          </w:tcPr>
          <w:p w14:paraId="6AD89D77" w14:textId="77777777" w:rsidR="00CE6887" w:rsidRPr="00BF3A4E" w:rsidRDefault="00CE6887" w:rsidP="004553BB">
            <w:pPr>
              <w:ind w:left="0" w:right="0"/>
              <w:rPr>
                <w:sz w:val="20"/>
              </w:rPr>
            </w:pPr>
            <w:r w:rsidRPr="00BF3A4E">
              <w:rPr>
                <w:sz w:val="20"/>
              </w:rPr>
              <w:t>909</w:t>
            </w:r>
          </w:p>
        </w:tc>
      </w:tr>
      <w:tr w:rsidR="00CE6887" w:rsidRPr="00686209" w14:paraId="6AD89D80" w14:textId="77777777" w:rsidTr="000835E6">
        <w:trPr>
          <w:trHeight w:val="495"/>
        </w:trPr>
        <w:tc>
          <w:tcPr>
            <w:tcW w:w="1612" w:type="dxa"/>
          </w:tcPr>
          <w:p w14:paraId="6AD89D79" w14:textId="77777777" w:rsidR="00CE6887" w:rsidRPr="00BF3A4E" w:rsidRDefault="00CE6887" w:rsidP="004553BB">
            <w:pPr>
              <w:ind w:left="0" w:right="0"/>
              <w:rPr>
                <w:sz w:val="20"/>
              </w:rPr>
            </w:pPr>
            <w:r w:rsidRPr="00BF3A4E">
              <w:rPr>
                <w:sz w:val="20"/>
              </w:rPr>
              <w:t>Other</w:t>
            </w:r>
          </w:p>
        </w:tc>
        <w:tc>
          <w:tcPr>
            <w:tcW w:w="1644" w:type="dxa"/>
          </w:tcPr>
          <w:p w14:paraId="6AD89D7A" w14:textId="77777777" w:rsidR="00CE6887" w:rsidRPr="00BF3A4E" w:rsidRDefault="00CE6887" w:rsidP="004553BB">
            <w:pPr>
              <w:ind w:left="0" w:right="0"/>
              <w:rPr>
                <w:sz w:val="20"/>
              </w:rPr>
            </w:pPr>
            <w:r w:rsidRPr="00BF3A4E">
              <w:rPr>
                <w:sz w:val="20"/>
              </w:rPr>
              <w:t>731</w:t>
            </w:r>
          </w:p>
        </w:tc>
        <w:tc>
          <w:tcPr>
            <w:tcW w:w="959" w:type="dxa"/>
          </w:tcPr>
          <w:p w14:paraId="6AD89D7B" w14:textId="77777777" w:rsidR="00CE6887" w:rsidRPr="00BF3A4E" w:rsidRDefault="00CE6887" w:rsidP="004553BB">
            <w:pPr>
              <w:ind w:left="0" w:right="0"/>
              <w:rPr>
                <w:sz w:val="20"/>
              </w:rPr>
            </w:pPr>
            <w:r w:rsidRPr="00BF3A4E">
              <w:rPr>
                <w:sz w:val="20"/>
              </w:rPr>
              <w:t>206</w:t>
            </w:r>
          </w:p>
        </w:tc>
        <w:tc>
          <w:tcPr>
            <w:tcW w:w="949" w:type="dxa"/>
          </w:tcPr>
          <w:p w14:paraId="6AD89D7C" w14:textId="77777777" w:rsidR="00CE6887" w:rsidRPr="00BF3A4E" w:rsidRDefault="00CE6887" w:rsidP="004553BB">
            <w:pPr>
              <w:ind w:left="0" w:right="0"/>
              <w:rPr>
                <w:sz w:val="20"/>
              </w:rPr>
            </w:pPr>
            <w:r w:rsidRPr="00BF3A4E">
              <w:rPr>
                <w:sz w:val="20"/>
              </w:rPr>
              <w:t>146</w:t>
            </w:r>
          </w:p>
        </w:tc>
        <w:tc>
          <w:tcPr>
            <w:tcW w:w="1193" w:type="dxa"/>
          </w:tcPr>
          <w:p w14:paraId="6AD89D7D" w14:textId="77777777" w:rsidR="00CE6887" w:rsidRPr="00BF3A4E" w:rsidRDefault="00CE6887" w:rsidP="004553BB">
            <w:pPr>
              <w:ind w:left="0" w:right="0"/>
              <w:rPr>
                <w:sz w:val="20"/>
              </w:rPr>
            </w:pPr>
            <w:r w:rsidRPr="00BF3A4E">
              <w:rPr>
                <w:sz w:val="20"/>
              </w:rPr>
              <w:t>532</w:t>
            </w:r>
          </w:p>
        </w:tc>
        <w:tc>
          <w:tcPr>
            <w:tcW w:w="1321" w:type="dxa"/>
          </w:tcPr>
          <w:p w14:paraId="6AD89D7E" w14:textId="77777777" w:rsidR="00CE6887" w:rsidRPr="00BF3A4E" w:rsidRDefault="00CE6887" w:rsidP="004553BB">
            <w:pPr>
              <w:ind w:left="0" w:right="0"/>
              <w:rPr>
                <w:sz w:val="20"/>
              </w:rPr>
            </w:pPr>
            <w:r w:rsidRPr="00BF3A4E">
              <w:rPr>
                <w:sz w:val="20"/>
              </w:rPr>
              <w:t>484</w:t>
            </w:r>
          </w:p>
        </w:tc>
        <w:tc>
          <w:tcPr>
            <w:tcW w:w="989" w:type="dxa"/>
          </w:tcPr>
          <w:p w14:paraId="6AD89D7F" w14:textId="77777777" w:rsidR="00CE6887" w:rsidRPr="00BF3A4E" w:rsidRDefault="00CE6887" w:rsidP="004553BB">
            <w:pPr>
              <w:ind w:left="0" w:right="0"/>
              <w:rPr>
                <w:sz w:val="20"/>
              </w:rPr>
            </w:pPr>
            <w:r w:rsidRPr="00BF3A4E">
              <w:rPr>
                <w:sz w:val="20"/>
              </w:rPr>
              <w:t>1215</w:t>
            </w:r>
          </w:p>
        </w:tc>
      </w:tr>
      <w:tr w:rsidR="00CE6887" w:rsidRPr="00686209" w14:paraId="6AD89D88" w14:textId="77777777" w:rsidTr="000835E6">
        <w:trPr>
          <w:trHeight w:val="482"/>
        </w:trPr>
        <w:tc>
          <w:tcPr>
            <w:tcW w:w="1612" w:type="dxa"/>
          </w:tcPr>
          <w:p w14:paraId="6AD89D81" w14:textId="77777777" w:rsidR="00CE6887" w:rsidRPr="00BF3A4E" w:rsidRDefault="00CE6887" w:rsidP="004553BB">
            <w:pPr>
              <w:ind w:left="0" w:right="0"/>
              <w:rPr>
                <w:sz w:val="20"/>
              </w:rPr>
            </w:pPr>
            <w:r w:rsidRPr="00BF3A4E">
              <w:rPr>
                <w:sz w:val="20"/>
              </w:rPr>
              <w:t>Subtotal Indication 1</w:t>
            </w:r>
          </w:p>
        </w:tc>
        <w:tc>
          <w:tcPr>
            <w:tcW w:w="1644" w:type="dxa"/>
          </w:tcPr>
          <w:p w14:paraId="6AD89D82" w14:textId="77777777" w:rsidR="00CE6887" w:rsidRPr="00BF3A4E" w:rsidRDefault="00CE6887" w:rsidP="004553BB">
            <w:pPr>
              <w:ind w:left="0" w:right="0"/>
              <w:rPr>
                <w:sz w:val="20"/>
              </w:rPr>
            </w:pPr>
            <w:r w:rsidRPr="00BF3A4E">
              <w:rPr>
                <w:sz w:val="20"/>
              </w:rPr>
              <w:t>1640</w:t>
            </w:r>
          </w:p>
        </w:tc>
        <w:tc>
          <w:tcPr>
            <w:tcW w:w="959" w:type="dxa"/>
          </w:tcPr>
          <w:p w14:paraId="6AD89D83" w14:textId="77777777" w:rsidR="00CE6887" w:rsidRPr="00BF3A4E" w:rsidRDefault="00CE6887" w:rsidP="004553BB">
            <w:pPr>
              <w:ind w:left="0" w:right="0"/>
              <w:rPr>
                <w:sz w:val="20"/>
              </w:rPr>
            </w:pPr>
            <w:r w:rsidRPr="00BF3A4E">
              <w:rPr>
                <w:sz w:val="20"/>
              </w:rPr>
              <w:t>667</w:t>
            </w:r>
          </w:p>
        </w:tc>
        <w:tc>
          <w:tcPr>
            <w:tcW w:w="949" w:type="dxa"/>
          </w:tcPr>
          <w:p w14:paraId="6AD89D84" w14:textId="77777777" w:rsidR="00CE6887" w:rsidRPr="00BF3A4E" w:rsidRDefault="00CE6887" w:rsidP="004553BB">
            <w:pPr>
              <w:ind w:left="0" w:right="0"/>
              <w:rPr>
                <w:sz w:val="20"/>
              </w:rPr>
            </w:pPr>
            <w:r w:rsidRPr="00BF3A4E">
              <w:rPr>
                <w:sz w:val="20"/>
              </w:rPr>
              <w:t>146</w:t>
            </w:r>
          </w:p>
        </w:tc>
        <w:tc>
          <w:tcPr>
            <w:tcW w:w="1193" w:type="dxa"/>
          </w:tcPr>
          <w:p w14:paraId="6AD89D85" w14:textId="77777777" w:rsidR="00CE6887" w:rsidRPr="00BF3A4E" w:rsidRDefault="00CE6887" w:rsidP="004553BB">
            <w:pPr>
              <w:ind w:left="0" w:right="0"/>
              <w:rPr>
                <w:sz w:val="20"/>
              </w:rPr>
            </w:pPr>
            <w:r w:rsidRPr="00BF3A4E">
              <w:rPr>
                <w:sz w:val="20"/>
              </w:rPr>
              <w:t>950</w:t>
            </w:r>
          </w:p>
        </w:tc>
        <w:tc>
          <w:tcPr>
            <w:tcW w:w="1321" w:type="dxa"/>
          </w:tcPr>
          <w:p w14:paraId="6AD89D86" w14:textId="77777777" w:rsidR="00CE6887" w:rsidRPr="00BF3A4E" w:rsidRDefault="00CE6887" w:rsidP="004553BB">
            <w:pPr>
              <w:ind w:left="0" w:right="0"/>
              <w:rPr>
                <w:sz w:val="20"/>
              </w:rPr>
            </w:pPr>
            <w:r w:rsidRPr="00BF3A4E">
              <w:rPr>
                <w:sz w:val="20"/>
              </w:rPr>
              <w:t>484</w:t>
            </w:r>
          </w:p>
        </w:tc>
        <w:tc>
          <w:tcPr>
            <w:tcW w:w="989" w:type="dxa"/>
          </w:tcPr>
          <w:p w14:paraId="6AD89D87" w14:textId="77777777" w:rsidR="00CE6887" w:rsidRPr="00BF3A4E" w:rsidRDefault="00CE6887" w:rsidP="004553BB">
            <w:pPr>
              <w:ind w:left="0" w:right="0"/>
              <w:rPr>
                <w:sz w:val="20"/>
              </w:rPr>
            </w:pPr>
            <w:r w:rsidRPr="00BF3A4E">
              <w:rPr>
                <w:sz w:val="20"/>
              </w:rPr>
              <w:t>2124</w:t>
            </w:r>
          </w:p>
        </w:tc>
      </w:tr>
      <w:tr w:rsidR="00CE6887" w:rsidRPr="00686209" w14:paraId="6AD89D90" w14:textId="77777777" w:rsidTr="000835E6">
        <w:trPr>
          <w:trHeight w:val="506"/>
        </w:trPr>
        <w:tc>
          <w:tcPr>
            <w:tcW w:w="1612" w:type="dxa"/>
          </w:tcPr>
          <w:p w14:paraId="6AD89D89" w14:textId="77777777" w:rsidR="00CE6887" w:rsidRPr="00BF3A4E" w:rsidRDefault="00CE6887" w:rsidP="004553BB">
            <w:pPr>
              <w:ind w:left="0" w:right="0"/>
              <w:rPr>
                <w:sz w:val="20"/>
              </w:rPr>
            </w:pPr>
            <w:r w:rsidRPr="00BF3A4E">
              <w:rPr>
                <w:sz w:val="20"/>
              </w:rPr>
              <w:t>TOTAL</w:t>
            </w:r>
          </w:p>
        </w:tc>
        <w:tc>
          <w:tcPr>
            <w:tcW w:w="1644" w:type="dxa"/>
          </w:tcPr>
          <w:p w14:paraId="6AD89D8A" w14:textId="77777777" w:rsidR="00CE6887" w:rsidRPr="00BF3A4E" w:rsidRDefault="00CE6887" w:rsidP="004553BB">
            <w:pPr>
              <w:ind w:left="0" w:right="0"/>
              <w:rPr>
                <w:sz w:val="20"/>
              </w:rPr>
            </w:pPr>
            <w:r w:rsidRPr="00BF3A4E">
              <w:rPr>
                <w:sz w:val="20"/>
              </w:rPr>
              <w:t>1640</w:t>
            </w:r>
          </w:p>
        </w:tc>
        <w:tc>
          <w:tcPr>
            <w:tcW w:w="959" w:type="dxa"/>
          </w:tcPr>
          <w:p w14:paraId="6AD89D8B" w14:textId="77777777" w:rsidR="00CE6887" w:rsidRPr="00BF3A4E" w:rsidRDefault="00CE6887" w:rsidP="004553BB">
            <w:pPr>
              <w:ind w:left="0" w:right="0"/>
              <w:rPr>
                <w:sz w:val="20"/>
              </w:rPr>
            </w:pPr>
            <w:r w:rsidRPr="00BF3A4E">
              <w:rPr>
                <w:sz w:val="20"/>
              </w:rPr>
              <w:t>667</w:t>
            </w:r>
          </w:p>
        </w:tc>
        <w:tc>
          <w:tcPr>
            <w:tcW w:w="949" w:type="dxa"/>
          </w:tcPr>
          <w:p w14:paraId="6AD89D8C" w14:textId="77777777" w:rsidR="00CE6887" w:rsidRPr="00BF3A4E" w:rsidRDefault="00CE6887" w:rsidP="004553BB">
            <w:pPr>
              <w:ind w:left="0" w:right="0"/>
              <w:rPr>
                <w:sz w:val="20"/>
              </w:rPr>
            </w:pPr>
            <w:r w:rsidRPr="00BF3A4E">
              <w:rPr>
                <w:sz w:val="20"/>
              </w:rPr>
              <w:t>146</w:t>
            </w:r>
          </w:p>
        </w:tc>
        <w:tc>
          <w:tcPr>
            <w:tcW w:w="1193" w:type="dxa"/>
          </w:tcPr>
          <w:p w14:paraId="6AD89D8D" w14:textId="77777777" w:rsidR="00CE6887" w:rsidRPr="00BF3A4E" w:rsidRDefault="00CE6887" w:rsidP="004553BB">
            <w:pPr>
              <w:ind w:left="0" w:right="0"/>
              <w:rPr>
                <w:sz w:val="20"/>
              </w:rPr>
            </w:pPr>
            <w:r w:rsidRPr="00BF3A4E">
              <w:rPr>
                <w:sz w:val="20"/>
              </w:rPr>
              <w:t>950</w:t>
            </w:r>
          </w:p>
        </w:tc>
        <w:tc>
          <w:tcPr>
            <w:tcW w:w="1321" w:type="dxa"/>
          </w:tcPr>
          <w:p w14:paraId="6AD89D8E" w14:textId="77777777" w:rsidR="00CE6887" w:rsidRPr="00BF3A4E" w:rsidRDefault="00CE6887" w:rsidP="004553BB">
            <w:pPr>
              <w:ind w:left="0" w:right="0"/>
              <w:rPr>
                <w:sz w:val="20"/>
              </w:rPr>
            </w:pPr>
            <w:r w:rsidRPr="00BF3A4E">
              <w:rPr>
                <w:sz w:val="20"/>
              </w:rPr>
              <w:t>501</w:t>
            </w:r>
          </w:p>
        </w:tc>
        <w:tc>
          <w:tcPr>
            <w:tcW w:w="989" w:type="dxa"/>
          </w:tcPr>
          <w:p w14:paraId="6AD89D8F" w14:textId="77777777" w:rsidR="00CE6887" w:rsidRPr="00BF3A4E" w:rsidRDefault="00CE6887" w:rsidP="004553BB">
            <w:pPr>
              <w:ind w:left="0" w:right="0"/>
              <w:rPr>
                <w:sz w:val="20"/>
              </w:rPr>
            </w:pPr>
            <w:r w:rsidRPr="00BF3A4E">
              <w:rPr>
                <w:sz w:val="20"/>
              </w:rPr>
              <w:t>2141</w:t>
            </w:r>
          </w:p>
        </w:tc>
      </w:tr>
    </w:tbl>
    <w:p w14:paraId="6AD89D91" w14:textId="77777777" w:rsidR="00CE6887" w:rsidRPr="00CE6887" w:rsidRDefault="00CE6887" w:rsidP="00CE6887">
      <w:pPr>
        <w:pStyle w:val="TableTitle"/>
      </w:pPr>
      <w:bookmarkStart w:id="141" w:name="_Ref272765193"/>
      <w:bookmarkStart w:id="142" w:name="_Toc269112508"/>
      <w:bookmarkStart w:id="143" w:name="_Toc403416558"/>
      <w:proofErr w:type="gramStart"/>
      <w:r w:rsidRPr="00CE6887">
        <w:t>Table</w:t>
      </w:r>
      <w:bookmarkEnd w:id="141"/>
      <w:r w:rsidR="00D653C0">
        <w:t xml:space="preserve"> 9</w:t>
      </w:r>
      <w:r w:rsidRPr="00CE6887">
        <w:t>.</w:t>
      </w:r>
      <w:proofErr w:type="gramEnd"/>
      <w:r w:rsidRPr="00CE6887">
        <w:t xml:space="preserve"> </w:t>
      </w:r>
      <w:proofErr w:type="gramStart"/>
      <w:r w:rsidRPr="00CE6887">
        <w:t>Exposure to Soolantra in clinical studies according to dose and duration.</w:t>
      </w:r>
      <w:bookmarkEnd w:id="142"/>
      <w:bookmarkEnd w:id="143"/>
      <w:proofErr w:type="gramEnd"/>
    </w:p>
    <w:tbl>
      <w:tblPr>
        <w:tblStyle w:val="TableTGAblue"/>
        <w:tblW w:w="8620" w:type="dxa"/>
        <w:tblLayout w:type="fixed"/>
        <w:tblLook w:val="04A0" w:firstRow="1" w:lastRow="0" w:firstColumn="1" w:lastColumn="0" w:noHBand="0" w:noVBand="1"/>
        <w:tblDescription w:val="Table 9. Exposure to Soolantra in clinical studies according to dose and duration."/>
      </w:tblPr>
      <w:tblGrid>
        <w:gridCol w:w="1726"/>
        <w:gridCol w:w="934"/>
        <w:gridCol w:w="850"/>
        <w:gridCol w:w="709"/>
        <w:gridCol w:w="851"/>
        <w:gridCol w:w="850"/>
        <w:gridCol w:w="851"/>
        <w:gridCol w:w="850"/>
        <w:gridCol w:w="999"/>
      </w:tblGrid>
      <w:tr w:rsidR="00CE6887" w:rsidRPr="00686209" w14:paraId="6AD89D96" w14:textId="77777777" w:rsidTr="00BF3A4E">
        <w:trPr>
          <w:cnfStyle w:val="100000000000" w:firstRow="1" w:lastRow="0" w:firstColumn="0" w:lastColumn="0" w:oddVBand="0" w:evenVBand="0" w:oddHBand="0" w:evenHBand="0" w:firstRowFirstColumn="0" w:firstRowLastColumn="0" w:lastRowFirstColumn="0" w:lastRowLastColumn="0"/>
          <w:trHeight w:val="492"/>
        </w:trPr>
        <w:tc>
          <w:tcPr>
            <w:tcW w:w="1726" w:type="dxa"/>
            <w:vMerge w:val="restart"/>
          </w:tcPr>
          <w:p w14:paraId="6AD89D92" w14:textId="77777777" w:rsidR="00CE6887" w:rsidRPr="00BF3A4E" w:rsidRDefault="00CE6887" w:rsidP="004553BB">
            <w:pPr>
              <w:ind w:left="0" w:right="0"/>
              <w:rPr>
                <w:b w:val="0"/>
                <w:sz w:val="20"/>
                <w:szCs w:val="20"/>
              </w:rPr>
            </w:pPr>
            <w:r w:rsidRPr="00BF3A4E">
              <w:rPr>
                <w:sz w:val="20"/>
                <w:szCs w:val="20"/>
              </w:rPr>
              <w:t>Study type/</w:t>
            </w:r>
          </w:p>
          <w:p w14:paraId="6AD89D93" w14:textId="77777777" w:rsidR="00CE6887" w:rsidRPr="00BF3A4E" w:rsidRDefault="00CE6887" w:rsidP="004553BB">
            <w:pPr>
              <w:ind w:left="0" w:right="0"/>
              <w:rPr>
                <w:b w:val="0"/>
                <w:sz w:val="20"/>
                <w:szCs w:val="20"/>
              </w:rPr>
            </w:pPr>
            <w:r w:rsidRPr="00BF3A4E">
              <w:rPr>
                <w:sz w:val="20"/>
                <w:szCs w:val="20"/>
              </w:rPr>
              <w:t>Indication</w:t>
            </w:r>
          </w:p>
        </w:tc>
        <w:tc>
          <w:tcPr>
            <w:tcW w:w="3344" w:type="dxa"/>
            <w:gridSpan w:val="4"/>
          </w:tcPr>
          <w:p w14:paraId="6AD89D94" w14:textId="77777777" w:rsidR="00CE6887" w:rsidRPr="00BF3A4E" w:rsidRDefault="00CE6887" w:rsidP="004553BB">
            <w:pPr>
              <w:ind w:left="0" w:right="0"/>
              <w:rPr>
                <w:b w:val="0"/>
                <w:sz w:val="20"/>
                <w:szCs w:val="20"/>
              </w:rPr>
            </w:pPr>
            <w:r w:rsidRPr="00BF3A4E">
              <w:rPr>
                <w:sz w:val="20"/>
                <w:szCs w:val="20"/>
              </w:rPr>
              <w:t>Proposed dose</w:t>
            </w:r>
          </w:p>
        </w:tc>
        <w:tc>
          <w:tcPr>
            <w:tcW w:w="3550" w:type="dxa"/>
            <w:gridSpan w:val="4"/>
          </w:tcPr>
          <w:p w14:paraId="6AD89D95" w14:textId="77777777" w:rsidR="00CE6887" w:rsidRPr="00BF3A4E" w:rsidRDefault="00CE6887" w:rsidP="004553BB">
            <w:pPr>
              <w:ind w:left="0" w:right="0"/>
              <w:rPr>
                <w:b w:val="0"/>
                <w:sz w:val="20"/>
                <w:szCs w:val="20"/>
              </w:rPr>
            </w:pPr>
            <w:r w:rsidRPr="00BF3A4E">
              <w:rPr>
                <w:sz w:val="20"/>
                <w:szCs w:val="20"/>
              </w:rPr>
              <w:t>Other dose</w:t>
            </w:r>
          </w:p>
        </w:tc>
      </w:tr>
      <w:tr w:rsidR="006625F4" w:rsidRPr="00686209" w14:paraId="6AD89DA0" w14:textId="77777777" w:rsidTr="00BF3A4E">
        <w:trPr>
          <w:trHeight w:val="146"/>
        </w:trPr>
        <w:tc>
          <w:tcPr>
            <w:tcW w:w="1726" w:type="dxa"/>
            <w:vMerge/>
          </w:tcPr>
          <w:p w14:paraId="6AD89D97" w14:textId="77777777" w:rsidR="00CE6887" w:rsidRPr="00BF3A4E" w:rsidRDefault="00CE6887" w:rsidP="004553BB">
            <w:pPr>
              <w:ind w:left="0" w:right="0"/>
              <w:rPr>
                <w:sz w:val="20"/>
                <w:szCs w:val="20"/>
              </w:rPr>
            </w:pPr>
          </w:p>
        </w:tc>
        <w:tc>
          <w:tcPr>
            <w:tcW w:w="934" w:type="dxa"/>
            <w:shd w:val="clear" w:color="auto" w:fill="0070B5" w:themeFill="accent1" w:themeFillTint="BF"/>
          </w:tcPr>
          <w:p w14:paraId="6AD89D98"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3 mo.</w:t>
            </w:r>
          </w:p>
        </w:tc>
        <w:tc>
          <w:tcPr>
            <w:tcW w:w="850" w:type="dxa"/>
            <w:shd w:val="clear" w:color="auto" w:fill="0070B5" w:themeFill="accent1" w:themeFillTint="BF"/>
          </w:tcPr>
          <w:p w14:paraId="6AD89D99"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6 mo.</w:t>
            </w:r>
          </w:p>
        </w:tc>
        <w:tc>
          <w:tcPr>
            <w:tcW w:w="709" w:type="dxa"/>
            <w:shd w:val="clear" w:color="auto" w:fill="0070B5" w:themeFill="accent1" w:themeFillTint="BF"/>
          </w:tcPr>
          <w:p w14:paraId="6AD89D9A"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12 mo.</w:t>
            </w:r>
          </w:p>
        </w:tc>
        <w:tc>
          <w:tcPr>
            <w:tcW w:w="851" w:type="dxa"/>
            <w:shd w:val="clear" w:color="auto" w:fill="0070B5" w:themeFill="accent1" w:themeFillTint="BF"/>
          </w:tcPr>
          <w:p w14:paraId="6AD89D9B"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xml:space="preserve">Any </w:t>
            </w:r>
            <w:proofErr w:type="spellStart"/>
            <w:r w:rsidRPr="00BF3A4E">
              <w:rPr>
                <w:color w:val="FFFFFF" w:themeColor="background1"/>
                <w:sz w:val="20"/>
                <w:szCs w:val="20"/>
              </w:rPr>
              <w:t>dur’n</w:t>
            </w:r>
            <w:proofErr w:type="spellEnd"/>
          </w:p>
        </w:tc>
        <w:tc>
          <w:tcPr>
            <w:tcW w:w="850" w:type="dxa"/>
            <w:shd w:val="clear" w:color="auto" w:fill="0070B5" w:themeFill="accent1" w:themeFillTint="BF"/>
          </w:tcPr>
          <w:p w14:paraId="6AD89D9C"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3 mo.</w:t>
            </w:r>
          </w:p>
        </w:tc>
        <w:tc>
          <w:tcPr>
            <w:tcW w:w="851" w:type="dxa"/>
            <w:shd w:val="clear" w:color="auto" w:fill="0070B5" w:themeFill="accent1" w:themeFillTint="BF"/>
          </w:tcPr>
          <w:p w14:paraId="6AD89D9D"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6 mo.</w:t>
            </w:r>
          </w:p>
        </w:tc>
        <w:tc>
          <w:tcPr>
            <w:tcW w:w="850" w:type="dxa"/>
            <w:shd w:val="clear" w:color="auto" w:fill="0070B5" w:themeFill="accent1" w:themeFillTint="BF"/>
          </w:tcPr>
          <w:p w14:paraId="6AD89D9E"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12 mo.</w:t>
            </w:r>
          </w:p>
        </w:tc>
        <w:tc>
          <w:tcPr>
            <w:tcW w:w="999" w:type="dxa"/>
            <w:shd w:val="clear" w:color="auto" w:fill="0070B5" w:themeFill="accent1" w:themeFillTint="BF"/>
          </w:tcPr>
          <w:p w14:paraId="6AD89D9F" w14:textId="77777777" w:rsidR="00CE6887" w:rsidRPr="00BF3A4E" w:rsidRDefault="00CE6887" w:rsidP="004553BB">
            <w:pPr>
              <w:ind w:left="0" w:right="0"/>
              <w:rPr>
                <w:color w:val="FFFFFF" w:themeColor="background1"/>
                <w:sz w:val="20"/>
                <w:szCs w:val="20"/>
              </w:rPr>
            </w:pPr>
            <w:r w:rsidRPr="00BF3A4E">
              <w:rPr>
                <w:color w:val="FFFFFF" w:themeColor="background1"/>
                <w:sz w:val="20"/>
                <w:szCs w:val="20"/>
              </w:rPr>
              <w:t xml:space="preserve">Any </w:t>
            </w:r>
            <w:proofErr w:type="spellStart"/>
            <w:r w:rsidRPr="00BF3A4E">
              <w:rPr>
                <w:color w:val="FFFFFF" w:themeColor="background1"/>
                <w:sz w:val="20"/>
                <w:szCs w:val="20"/>
              </w:rPr>
              <w:t>dur’n</w:t>
            </w:r>
            <w:proofErr w:type="spellEnd"/>
          </w:p>
        </w:tc>
      </w:tr>
      <w:tr w:rsidR="006625F4" w:rsidRPr="00686209" w14:paraId="6AD89DAA" w14:textId="77777777" w:rsidTr="00BF3A4E">
        <w:trPr>
          <w:trHeight w:val="479"/>
        </w:trPr>
        <w:tc>
          <w:tcPr>
            <w:tcW w:w="1726" w:type="dxa"/>
          </w:tcPr>
          <w:p w14:paraId="6AD89DA1" w14:textId="77777777" w:rsidR="00CE6887" w:rsidRPr="00BF3A4E" w:rsidRDefault="00CE6887" w:rsidP="004553BB">
            <w:pPr>
              <w:ind w:left="0" w:right="0"/>
              <w:rPr>
                <w:sz w:val="20"/>
                <w:szCs w:val="20"/>
              </w:rPr>
            </w:pPr>
            <w:r w:rsidRPr="00BF3A4E">
              <w:rPr>
                <w:sz w:val="20"/>
                <w:szCs w:val="20"/>
              </w:rPr>
              <w:t>Clinical pharmacology</w:t>
            </w:r>
          </w:p>
        </w:tc>
        <w:tc>
          <w:tcPr>
            <w:tcW w:w="934" w:type="dxa"/>
          </w:tcPr>
          <w:p w14:paraId="6AD89DA2" w14:textId="77777777" w:rsidR="00CE6887" w:rsidRPr="00BF3A4E" w:rsidRDefault="00CE6887" w:rsidP="004553BB">
            <w:pPr>
              <w:ind w:left="0" w:right="0"/>
              <w:rPr>
                <w:sz w:val="20"/>
                <w:szCs w:val="20"/>
              </w:rPr>
            </w:pPr>
          </w:p>
        </w:tc>
        <w:tc>
          <w:tcPr>
            <w:tcW w:w="850" w:type="dxa"/>
          </w:tcPr>
          <w:p w14:paraId="6AD89DA3" w14:textId="77777777" w:rsidR="00CE6887" w:rsidRPr="00BF3A4E" w:rsidRDefault="00CE6887" w:rsidP="004553BB">
            <w:pPr>
              <w:ind w:left="0" w:right="0"/>
              <w:rPr>
                <w:sz w:val="20"/>
                <w:szCs w:val="20"/>
              </w:rPr>
            </w:pPr>
          </w:p>
        </w:tc>
        <w:tc>
          <w:tcPr>
            <w:tcW w:w="709" w:type="dxa"/>
          </w:tcPr>
          <w:p w14:paraId="6AD89DA4" w14:textId="77777777" w:rsidR="00CE6887" w:rsidRPr="00BF3A4E" w:rsidRDefault="00CE6887" w:rsidP="004553BB">
            <w:pPr>
              <w:ind w:left="0" w:right="0"/>
              <w:rPr>
                <w:sz w:val="20"/>
                <w:szCs w:val="20"/>
              </w:rPr>
            </w:pPr>
          </w:p>
        </w:tc>
        <w:tc>
          <w:tcPr>
            <w:tcW w:w="851" w:type="dxa"/>
          </w:tcPr>
          <w:p w14:paraId="6AD89DA5" w14:textId="77777777" w:rsidR="00CE6887" w:rsidRPr="00BF3A4E" w:rsidRDefault="00CE6887" w:rsidP="004553BB">
            <w:pPr>
              <w:ind w:left="0" w:right="0"/>
              <w:rPr>
                <w:sz w:val="20"/>
                <w:szCs w:val="20"/>
              </w:rPr>
            </w:pPr>
            <w:r w:rsidRPr="00BF3A4E">
              <w:rPr>
                <w:sz w:val="20"/>
                <w:szCs w:val="20"/>
              </w:rPr>
              <w:t>17</w:t>
            </w:r>
          </w:p>
        </w:tc>
        <w:tc>
          <w:tcPr>
            <w:tcW w:w="850" w:type="dxa"/>
          </w:tcPr>
          <w:p w14:paraId="6AD89DA6" w14:textId="77777777" w:rsidR="00CE6887" w:rsidRPr="00BF3A4E" w:rsidRDefault="00CE6887" w:rsidP="004553BB">
            <w:pPr>
              <w:ind w:left="0" w:right="0"/>
              <w:rPr>
                <w:sz w:val="20"/>
                <w:szCs w:val="20"/>
              </w:rPr>
            </w:pPr>
          </w:p>
        </w:tc>
        <w:tc>
          <w:tcPr>
            <w:tcW w:w="851" w:type="dxa"/>
          </w:tcPr>
          <w:p w14:paraId="6AD89DA7" w14:textId="77777777" w:rsidR="00CE6887" w:rsidRPr="00BF3A4E" w:rsidRDefault="00CE6887" w:rsidP="004553BB">
            <w:pPr>
              <w:ind w:left="0" w:right="0"/>
              <w:rPr>
                <w:sz w:val="20"/>
                <w:szCs w:val="20"/>
              </w:rPr>
            </w:pPr>
          </w:p>
        </w:tc>
        <w:tc>
          <w:tcPr>
            <w:tcW w:w="850" w:type="dxa"/>
          </w:tcPr>
          <w:p w14:paraId="6AD89DA8" w14:textId="77777777" w:rsidR="00CE6887" w:rsidRPr="00BF3A4E" w:rsidRDefault="00CE6887" w:rsidP="004553BB">
            <w:pPr>
              <w:ind w:left="0" w:right="0"/>
              <w:rPr>
                <w:sz w:val="20"/>
                <w:szCs w:val="20"/>
              </w:rPr>
            </w:pPr>
          </w:p>
        </w:tc>
        <w:tc>
          <w:tcPr>
            <w:tcW w:w="999" w:type="dxa"/>
          </w:tcPr>
          <w:p w14:paraId="6AD89DA9" w14:textId="77777777" w:rsidR="00CE6887" w:rsidRPr="00BF3A4E" w:rsidRDefault="00CE6887" w:rsidP="004553BB">
            <w:pPr>
              <w:ind w:left="0" w:right="0"/>
              <w:rPr>
                <w:sz w:val="20"/>
                <w:szCs w:val="20"/>
              </w:rPr>
            </w:pPr>
            <w:r w:rsidRPr="00BF3A4E">
              <w:rPr>
                <w:sz w:val="20"/>
                <w:szCs w:val="20"/>
              </w:rPr>
              <w:t>0</w:t>
            </w:r>
          </w:p>
        </w:tc>
      </w:tr>
      <w:tr w:rsidR="00CE6887" w:rsidRPr="00686209" w14:paraId="6AD89DAC" w14:textId="77777777" w:rsidTr="000835E6">
        <w:trPr>
          <w:trHeight w:val="492"/>
        </w:trPr>
        <w:tc>
          <w:tcPr>
            <w:tcW w:w="8620" w:type="dxa"/>
            <w:gridSpan w:val="9"/>
          </w:tcPr>
          <w:p w14:paraId="6AD89DAB" w14:textId="77777777" w:rsidR="00CE6887" w:rsidRPr="00BF3A4E" w:rsidRDefault="00CE6887" w:rsidP="004553BB">
            <w:pPr>
              <w:ind w:left="0" w:right="0"/>
              <w:rPr>
                <w:b/>
                <w:sz w:val="20"/>
                <w:szCs w:val="20"/>
              </w:rPr>
            </w:pPr>
            <w:r w:rsidRPr="00BF3A4E">
              <w:rPr>
                <w:b/>
                <w:sz w:val="20"/>
                <w:szCs w:val="20"/>
              </w:rPr>
              <w:t>Indication 1</w:t>
            </w:r>
          </w:p>
        </w:tc>
      </w:tr>
      <w:tr w:rsidR="006625F4" w:rsidRPr="00686209" w14:paraId="6AD89DB6" w14:textId="77777777" w:rsidTr="00BF3A4E">
        <w:trPr>
          <w:trHeight w:val="479"/>
        </w:trPr>
        <w:tc>
          <w:tcPr>
            <w:tcW w:w="1726" w:type="dxa"/>
          </w:tcPr>
          <w:p w14:paraId="6AD89DAD" w14:textId="77777777" w:rsidR="00CE6887" w:rsidRPr="00BF3A4E" w:rsidRDefault="00CE6887" w:rsidP="004553BB">
            <w:pPr>
              <w:ind w:left="0" w:right="0"/>
              <w:rPr>
                <w:sz w:val="20"/>
                <w:szCs w:val="20"/>
              </w:rPr>
            </w:pPr>
            <w:r w:rsidRPr="00BF3A4E">
              <w:rPr>
                <w:sz w:val="20"/>
                <w:szCs w:val="20"/>
              </w:rPr>
              <w:t>Vehicle-controlled</w:t>
            </w:r>
            <w:r w:rsidRPr="00BF3A4E">
              <w:rPr>
                <w:sz w:val="20"/>
                <w:szCs w:val="20"/>
                <w:vertAlign w:val="superscript"/>
              </w:rPr>
              <w:t>1</w:t>
            </w:r>
          </w:p>
        </w:tc>
        <w:tc>
          <w:tcPr>
            <w:tcW w:w="934" w:type="dxa"/>
          </w:tcPr>
          <w:p w14:paraId="6AD89DAE" w14:textId="77777777" w:rsidR="00CE6887" w:rsidRPr="00BF3A4E" w:rsidRDefault="00CE6887" w:rsidP="004553BB">
            <w:pPr>
              <w:ind w:left="0" w:right="0"/>
              <w:rPr>
                <w:sz w:val="20"/>
                <w:szCs w:val="20"/>
              </w:rPr>
            </w:pPr>
          </w:p>
        </w:tc>
        <w:tc>
          <w:tcPr>
            <w:tcW w:w="850" w:type="dxa"/>
          </w:tcPr>
          <w:p w14:paraId="6AD89DAF" w14:textId="77777777" w:rsidR="00CE6887" w:rsidRPr="00BF3A4E" w:rsidRDefault="00CE6887" w:rsidP="004553BB">
            <w:pPr>
              <w:ind w:left="0" w:right="0"/>
              <w:rPr>
                <w:sz w:val="20"/>
                <w:szCs w:val="20"/>
              </w:rPr>
            </w:pPr>
          </w:p>
        </w:tc>
        <w:tc>
          <w:tcPr>
            <w:tcW w:w="709" w:type="dxa"/>
          </w:tcPr>
          <w:p w14:paraId="6AD89DB0" w14:textId="77777777" w:rsidR="00CE6887" w:rsidRPr="00BF3A4E" w:rsidRDefault="00CE6887" w:rsidP="004553BB">
            <w:pPr>
              <w:ind w:left="0" w:right="0"/>
              <w:rPr>
                <w:sz w:val="20"/>
                <w:szCs w:val="20"/>
              </w:rPr>
            </w:pPr>
          </w:p>
        </w:tc>
        <w:tc>
          <w:tcPr>
            <w:tcW w:w="851" w:type="dxa"/>
          </w:tcPr>
          <w:p w14:paraId="6AD89DB1" w14:textId="77777777" w:rsidR="00CE6887" w:rsidRPr="00BF3A4E" w:rsidRDefault="00CE6887" w:rsidP="004553BB">
            <w:pPr>
              <w:ind w:left="0" w:right="0"/>
              <w:rPr>
                <w:sz w:val="20"/>
                <w:szCs w:val="20"/>
              </w:rPr>
            </w:pPr>
            <w:r w:rsidRPr="00BF3A4E">
              <w:rPr>
                <w:sz w:val="20"/>
                <w:szCs w:val="20"/>
              </w:rPr>
              <w:t>104</w:t>
            </w:r>
            <w:r w:rsidRPr="00BF3A4E">
              <w:rPr>
                <w:sz w:val="20"/>
                <w:szCs w:val="20"/>
                <w:vertAlign w:val="superscript"/>
              </w:rPr>
              <w:t>2</w:t>
            </w:r>
          </w:p>
        </w:tc>
        <w:tc>
          <w:tcPr>
            <w:tcW w:w="850" w:type="dxa"/>
          </w:tcPr>
          <w:p w14:paraId="6AD89DB2" w14:textId="77777777" w:rsidR="00CE6887" w:rsidRPr="00BF3A4E" w:rsidRDefault="00CE6887" w:rsidP="004553BB">
            <w:pPr>
              <w:ind w:left="0" w:right="0"/>
              <w:rPr>
                <w:sz w:val="20"/>
                <w:szCs w:val="20"/>
              </w:rPr>
            </w:pPr>
          </w:p>
        </w:tc>
        <w:tc>
          <w:tcPr>
            <w:tcW w:w="851" w:type="dxa"/>
          </w:tcPr>
          <w:p w14:paraId="6AD89DB3" w14:textId="77777777" w:rsidR="00CE6887" w:rsidRPr="00BF3A4E" w:rsidRDefault="00CE6887" w:rsidP="004553BB">
            <w:pPr>
              <w:ind w:left="0" w:right="0"/>
              <w:rPr>
                <w:sz w:val="20"/>
                <w:szCs w:val="20"/>
              </w:rPr>
            </w:pPr>
          </w:p>
        </w:tc>
        <w:tc>
          <w:tcPr>
            <w:tcW w:w="850" w:type="dxa"/>
          </w:tcPr>
          <w:p w14:paraId="6AD89DB4" w14:textId="77777777" w:rsidR="00CE6887" w:rsidRPr="00BF3A4E" w:rsidRDefault="00CE6887" w:rsidP="004553BB">
            <w:pPr>
              <w:ind w:left="0" w:right="0"/>
              <w:rPr>
                <w:sz w:val="20"/>
                <w:szCs w:val="20"/>
              </w:rPr>
            </w:pPr>
          </w:p>
        </w:tc>
        <w:tc>
          <w:tcPr>
            <w:tcW w:w="999" w:type="dxa"/>
          </w:tcPr>
          <w:p w14:paraId="6AD89DB5" w14:textId="77777777" w:rsidR="00CE6887" w:rsidRPr="00BF3A4E" w:rsidRDefault="00CE6887" w:rsidP="004553BB">
            <w:pPr>
              <w:ind w:left="0" w:right="0"/>
              <w:rPr>
                <w:sz w:val="20"/>
                <w:szCs w:val="20"/>
              </w:rPr>
            </w:pPr>
          </w:p>
        </w:tc>
      </w:tr>
      <w:tr w:rsidR="006625F4" w:rsidRPr="00686209" w14:paraId="6AD89DC0" w14:textId="77777777" w:rsidTr="00BF3A4E">
        <w:trPr>
          <w:trHeight w:val="492"/>
        </w:trPr>
        <w:tc>
          <w:tcPr>
            <w:tcW w:w="1726" w:type="dxa"/>
          </w:tcPr>
          <w:p w14:paraId="6AD89DB7" w14:textId="77777777" w:rsidR="00CE6887" w:rsidRPr="00BF3A4E" w:rsidRDefault="00CE6887" w:rsidP="004553BB">
            <w:pPr>
              <w:ind w:left="0" w:right="0"/>
              <w:rPr>
                <w:sz w:val="20"/>
                <w:szCs w:val="20"/>
              </w:rPr>
            </w:pPr>
            <w:r w:rsidRPr="00BF3A4E">
              <w:rPr>
                <w:sz w:val="20"/>
                <w:szCs w:val="20"/>
              </w:rPr>
              <w:t>Active-controlled</w:t>
            </w:r>
          </w:p>
        </w:tc>
        <w:tc>
          <w:tcPr>
            <w:tcW w:w="934" w:type="dxa"/>
          </w:tcPr>
          <w:p w14:paraId="6AD89DB8" w14:textId="77777777" w:rsidR="00CE6887" w:rsidRPr="00BF3A4E" w:rsidRDefault="00CE6887" w:rsidP="004553BB">
            <w:pPr>
              <w:ind w:left="0" w:right="0"/>
              <w:rPr>
                <w:sz w:val="20"/>
                <w:szCs w:val="20"/>
              </w:rPr>
            </w:pPr>
            <w:r w:rsidRPr="00BF3A4E">
              <w:rPr>
                <w:sz w:val="20"/>
                <w:szCs w:val="20"/>
              </w:rPr>
              <w:t>839</w:t>
            </w:r>
          </w:p>
        </w:tc>
        <w:tc>
          <w:tcPr>
            <w:tcW w:w="850" w:type="dxa"/>
          </w:tcPr>
          <w:p w14:paraId="6AD89DB9" w14:textId="77777777" w:rsidR="00CE6887" w:rsidRPr="00BF3A4E" w:rsidRDefault="00CE6887" w:rsidP="004553BB">
            <w:pPr>
              <w:ind w:left="0" w:right="0"/>
              <w:rPr>
                <w:sz w:val="20"/>
                <w:szCs w:val="20"/>
              </w:rPr>
            </w:pPr>
            <w:r w:rsidRPr="00BF3A4E">
              <w:rPr>
                <w:sz w:val="20"/>
                <w:szCs w:val="20"/>
              </w:rPr>
              <w:t>784</w:t>
            </w:r>
          </w:p>
        </w:tc>
        <w:tc>
          <w:tcPr>
            <w:tcW w:w="709" w:type="dxa"/>
          </w:tcPr>
          <w:p w14:paraId="6AD89DBA" w14:textId="77777777" w:rsidR="00CE6887" w:rsidRPr="00BF3A4E" w:rsidRDefault="00CE6887" w:rsidP="004553BB">
            <w:pPr>
              <w:ind w:left="0" w:right="0"/>
              <w:rPr>
                <w:sz w:val="20"/>
                <w:szCs w:val="20"/>
              </w:rPr>
            </w:pPr>
            <w:r w:rsidRPr="00BF3A4E">
              <w:rPr>
                <w:sz w:val="20"/>
                <w:szCs w:val="20"/>
              </w:rPr>
              <w:t>717</w:t>
            </w:r>
          </w:p>
        </w:tc>
        <w:tc>
          <w:tcPr>
            <w:tcW w:w="851" w:type="dxa"/>
          </w:tcPr>
          <w:p w14:paraId="6AD89DBB" w14:textId="77777777" w:rsidR="00CE6887" w:rsidRPr="00BF3A4E" w:rsidRDefault="00CE6887" w:rsidP="004553BB">
            <w:pPr>
              <w:ind w:left="0" w:right="0"/>
              <w:rPr>
                <w:sz w:val="20"/>
                <w:szCs w:val="20"/>
              </w:rPr>
            </w:pPr>
            <w:r w:rsidRPr="00BF3A4E">
              <w:rPr>
                <w:sz w:val="20"/>
                <w:szCs w:val="20"/>
              </w:rPr>
              <w:t>1439</w:t>
            </w:r>
            <w:r w:rsidRPr="00BF3A4E">
              <w:rPr>
                <w:sz w:val="20"/>
                <w:szCs w:val="20"/>
                <w:vertAlign w:val="superscript"/>
              </w:rPr>
              <w:t>4</w:t>
            </w:r>
          </w:p>
        </w:tc>
        <w:tc>
          <w:tcPr>
            <w:tcW w:w="850" w:type="dxa"/>
          </w:tcPr>
          <w:p w14:paraId="6AD89DBC" w14:textId="77777777" w:rsidR="00CE6887" w:rsidRPr="00BF3A4E" w:rsidRDefault="00CE6887" w:rsidP="004553BB">
            <w:pPr>
              <w:ind w:left="0" w:right="0"/>
              <w:rPr>
                <w:sz w:val="20"/>
                <w:szCs w:val="20"/>
              </w:rPr>
            </w:pPr>
          </w:p>
        </w:tc>
        <w:tc>
          <w:tcPr>
            <w:tcW w:w="851" w:type="dxa"/>
          </w:tcPr>
          <w:p w14:paraId="6AD89DBD" w14:textId="77777777" w:rsidR="00CE6887" w:rsidRPr="00BF3A4E" w:rsidRDefault="00CE6887" w:rsidP="004553BB">
            <w:pPr>
              <w:ind w:left="0" w:right="0"/>
              <w:rPr>
                <w:sz w:val="20"/>
                <w:szCs w:val="20"/>
              </w:rPr>
            </w:pPr>
          </w:p>
        </w:tc>
        <w:tc>
          <w:tcPr>
            <w:tcW w:w="850" w:type="dxa"/>
          </w:tcPr>
          <w:p w14:paraId="6AD89DBE" w14:textId="77777777" w:rsidR="00CE6887" w:rsidRPr="00BF3A4E" w:rsidRDefault="00CE6887" w:rsidP="004553BB">
            <w:pPr>
              <w:ind w:left="0" w:right="0"/>
              <w:rPr>
                <w:sz w:val="20"/>
                <w:szCs w:val="20"/>
              </w:rPr>
            </w:pPr>
          </w:p>
        </w:tc>
        <w:tc>
          <w:tcPr>
            <w:tcW w:w="999" w:type="dxa"/>
          </w:tcPr>
          <w:p w14:paraId="6AD89DBF" w14:textId="77777777" w:rsidR="00CE6887" w:rsidRPr="00BF3A4E" w:rsidRDefault="00CE6887" w:rsidP="004553BB">
            <w:pPr>
              <w:ind w:left="0" w:right="0"/>
              <w:rPr>
                <w:sz w:val="20"/>
                <w:szCs w:val="20"/>
              </w:rPr>
            </w:pPr>
            <w:r w:rsidRPr="00BF3A4E">
              <w:rPr>
                <w:sz w:val="20"/>
                <w:szCs w:val="20"/>
              </w:rPr>
              <w:t>97</w:t>
            </w:r>
          </w:p>
        </w:tc>
      </w:tr>
      <w:tr w:rsidR="006625F4" w:rsidRPr="00686209" w14:paraId="6AD89DCA" w14:textId="77777777" w:rsidTr="00BF3A4E">
        <w:trPr>
          <w:trHeight w:val="492"/>
        </w:trPr>
        <w:tc>
          <w:tcPr>
            <w:tcW w:w="1726" w:type="dxa"/>
          </w:tcPr>
          <w:p w14:paraId="6AD89DC1" w14:textId="77777777" w:rsidR="00CE6887" w:rsidRPr="00BF3A4E" w:rsidRDefault="00CE6887" w:rsidP="004553BB">
            <w:pPr>
              <w:ind w:left="0" w:right="0"/>
              <w:rPr>
                <w:sz w:val="20"/>
                <w:szCs w:val="20"/>
              </w:rPr>
            </w:pPr>
            <w:r w:rsidRPr="00BF3A4E">
              <w:rPr>
                <w:sz w:val="20"/>
                <w:szCs w:val="20"/>
              </w:rPr>
              <w:t>Uncontrolled</w:t>
            </w:r>
          </w:p>
        </w:tc>
        <w:tc>
          <w:tcPr>
            <w:tcW w:w="934" w:type="dxa"/>
          </w:tcPr>
          <w:p w14:paraId="6AD89DC2" w14:textId="77777777" w:rsidR="00CE6887" w:rsidRPr="00BF3A4E" w:rsidRDefault="00CE6887" w:rsidP="004553BB">
            <w:pPr>
              <w:ind w:left="0" w:right="0"/>
              <w:rPr>
                <w:sz w:val="20"/>
                <w:szCs w:val="20"/>
              </w:rPr>
            </w:pPr>
          </w:p>
        </w:tc>
        <w:tc>
          <w:tcPr>
            <w:tcW w:w="850" w:type="dxa"/>
          </w:tcPr>
          <w:p w14:paraId="6AD89DC3" w14:textId="77777777" w:rsidR="00CE6887" w:rsidRPr="00BF3A4E" w:rsidRDefault="00CE6887" w:rsidP="004553BB">
            <w:pPr>
              <w:ind w:left="0" w:right="0"/>
              <w:rPr>
                <w:sz w:val="20"/>
                <w:szCs w:val="20"/>
              </w:rPr>
            </w:pPr>
          </w:p>
        </w:tc>
        <w:tc>
          <w:tcPr>
            <w:tcW w:w="709" w:type="dxa"/>
          </w:tcPr>
          <w:p w14:paraId="6AD89DC4" w14:textId="77777777" w:rsidR="00CE6887" w:rsidRPr="00BF3A4E" w:rsidRDefault="00CE6887" w:rsidP="004553BB">
            <w:pPr>
              <w:ind w:left="0" w:right="0"/>
              <w:rPr>
                <w:sz w:val="20"/>
                <w:szCs w:val="20"/>
              </w:rPr>
            </w:pPr>
          </w:p>
        </w:tc>
        <w:tc>
          <w:tcPr>
            <w:tcW w:w="851" w:type="dxa"/>
          </w:tcPr>
          <w:p w14:paraId="6AD89DC5" w14:textId="77777777" w:rsidR="00CE6887" w:rsidRPr="00BF3A4E" w:rsidRDefault="00CE6887" w:rsidP="004553BB">
            <w:pPr>
              <w:ind w:left="0" w:right="0"/>
              <w:rPr>
                <w:sz w:val="20"/>
                <w:szCs w:val="20"/>
              </w:rPr>
            </w:pPr>
            <w:r w:rsidRPr="00BF3A4E">
              <w:rPr>
                <w:sz w:val="20"/>
                <w:szCs w:val="20"/>
              </w:rPr>
              <w:t>484</w:t>
            </w:r>
            <w:r w:rsidRPr="00BF3A4E">
              <w:rPr>
                <w:sz w:val="20"/>
                <w:szCs w:val="20"/>
                <w:vertAlign w:val="superscript"/>
              </w:rPr>
              <w:t>3</w:t>
            </w:r>
          </w:p>
        </w:tc>
        <w:tc>
          <w:tcPr>
            <w:tcW w:w="850" w:type="dxa"/>
          </w:tcPr>
          <w:p w14:paraId="6AD89DC6" w14:textId="77777777" w:rsidR="00CE6887" w:rsidRPr="00BF3A4E" w:rsidRDefault="00CE6887" w:rsidP="004553BB">
            <w:pPr>
              <w:ind w:left="0" w:right="0"/>
              <w:rPr>
                <w:sz w:val="20"/>
                <w:szCs w:val="20"/>
              </w:rPr>
            </w:pPr>
          </w:p>
        </w:tc>
        <w:tc>
          <w:tcPr>
            <w:tcW w:w="851" w:type="dxa"/>
          </w:tcPr>
          <w:p w14:paraId="6AD89DC7" w14:textId="77777777" w:rsidR="00CE6887" w:rsidRPr="00BF3A4E" w:rsidRDefault="00CE6887" w:rsidP="004553BB">
            <w:pPr>
              <w:ind w:left="0" w:right="0"/>
              <w:rPr>
                <w:sz w:val="20"/>
                <w:szCs w:val="20"/>
              </w:rPr>
            </w:pPr>
          </w:p>
        </w:tc>
        <w:tc>
          <w:tcPr>
            <w:tcW w:w="850" w:type="dxa"/>
          </w:tcPr>
          <w:p w14:paraId="6AD89DC8" w14:textId="77777777" w:rsidR="00CE6887" w:rsidRPr="00BF3A4E" w:rsidRDefault="00CE6887" w:rsidP="004553BB">
            <w:pPr>
              <w:ind w:left="0" w:right="0"/>
              <w:rPr>
                <w:sz w:val="20"/>
                <w:szCs w:val="20"/>
              </w:rPr>
            </w:pPr>
          </w:p>
        </w:tc>
        <w:tc>
          <w:tcPr>
            <w:tcW w:w="999" w:type="dxa"/>
          </w:tcPr>
          <w:p w14:paraId="6AD89DC9" w14:textId="77777777" w:rsidR="00CE6887" w:rsidRPr="00BF3A4E" w:rsidRDefault="00CE6887" w:rsidP="004553BB">
            <w:pPr>
              <w:ind w:left="0" w:right="0"/>
              <w:rPr>
                <w:sz w:val="20"/>
                <w:szCs w:val="20"/>
              </w:rPr>
            </w:pPr>
          </w:p>
        </w:tc>
      </w:tr>
      <w:tr w:rsidR="006625F4" w:rsidRPr="00686209" w14:paraId="6AD89DD4" w14:textId="77777777" w:rsidTr="00BF3A4E">
        <w:trPr>
          <w:trHeight w:val="479"/>
        </w:trPr>
        <w:tc>
          <w:tcPr>
            <w:tcW w:w="1726" w:type="dxa"/>
          </w:tcPr>
          <w:p w14:paraId="6AD89DCB" w14:textId="77777777" w:rsidR="00CE6887" w:rsidRPr="00BF3A4E" w:rsidRDefault="00CE6887" w:rsidP="004553BB">
            <w:pPr>
              <w:ind w:left="0" w:right="0"/>
              <w:rPr>
                <w:sz w:val="20"/>
                <w:szCs w:val="20"/>
              </w:rPr>
            </w:pPr>
            <w:r w:rsidRPr="00BF3A4E">
              <w:rPr>
                <w:sz w:val="20"/>
                <w:szCs w:val="20"/>
              </w:rPr>
              <w:t>Subtotal Indication 1</w:t>
            </w:r>
          </w:p>
        </w:tc>
        <w:tc>
          <w:tcPr>
            <w:tcW w:w="934" w:type="dxa"/>
          </w:tcPr>
          <w:p w14:paraId="6AD89DCC" w14:textId="77777777" w:rsidR="00CE6887" w:rsidRPr="00BF3A4E" w:rsidRDefault="00CE6887" w:rsidP="004553BB">
            <w:pPr>
              <w:ind w:left="0" w:right="0"/>
              <w:rPr>
                <w:sz w:val="20"/>
                <w:szCs w:val="20"/>
              </w:rPr>
            </w:pPr>
            <w:r w:rsidRPr="00BF3A4E">
              <w:rPr>
                <w:sz w:val="20"/>
                <w:szCs w:val="20"/>
              </w:rPr>
              <w:t>839</w:t>
            </w:r>
          </w:p>
        </w:tc>
        <w:tc>
          <w:tcPr>
            <w:tcW w:w="850" w:type="dxa"/>
          </w:tcPr>
          <w:p w14:paraId="6AD89DCD" w14:textId="77777777" w:rsidR="00CE6887" w:rsidRPr="00BF3A4E" w:rsidRDefault="00CE6887" w:rsidP="004553BB">
            <w:pPr>
              <w:ind w:left="0" w:right="0"/>
              <w:rPr>
                <w:sz w:val="20"/>
                <w:szCs w:val="20"/>
              </w:rPr>
            </w:pPr>
            <w:r w:rsidRPr="00BF3A4E">
              <w:rPr>
                <w:sz w:val="20"/>
                <w:szCs w:val="20"/>
              </w:rPr>
              <w:t>784</w:t>
            </w:r>
          </w:p>
        </w:tc>
        <w:tc>
          <w:tcPr>
            <w:tcW w:w="709" w:type="dxa"/>
          </w:tcPr>
          <w:p w14:paraId="6AD89DCE" w14:textId="77777777" w:rsidR="00CE6887" w:rsidRPr="00BF3A4E" w:rsidRDefault="00CE6887" w:rsidP="004553BB">
            <w:pPr>
              <w:ind w:left="0" w:right="0"/>
              <w:rPr>
                <w:sz w:val="20"/>
                <w:szCs w:val="20"/>
              </w:rPr>
            </w:pPr>
            <w:r w:rsidRPr="00BF3A4E">
              <w:rPr>
                <w:sz w:val="20"/>
                <w:szCs w:val="20"/>
              </w:rPr>
              <w:t>717</w:t>
            </w:r>
          </w:p>
        </w:tc>
        <w:tc>
          <w:tcPr>
            <w:tcW w:w="851" w:type="dxa"/>
          </w:tcPr>
          <w:p w14:paraId="6AD89DCF" w14:textId="77777777" w:rsidR="00CE6887" w:rsidRPr="00BF3A4E" w:rsidRDefault="00CE6887" w:rsidP="004553BB">
            <w:pPr>
              <w:ind w:left="0" w:right="0"/>
              <w:rPr>
                <w:sz w:val="20"/>
                <w:szCs w:val="20"/>
              </w:rPr>
            </w:pPr>
            <w:r w:rsidRPr="00BF3A4E">
              <w:rPr>
                <w:sz w:val="20"/>
                <w:szCs w:val="20"/>
              </w:rPr>
              <w:t>2027</w:t>
            </w:r>
          </w:p>
        </w:tc>
        <w:tc>
          <w:tcPr>
            <w:tcW w:w="850" w:type="dxa"/>
          </w:tcPr>
          <w:p w14:paraId="6AD89DD0" w14:textId="77777777" w:rsidR="00CE6887" w:rsidRPr="00BF3A4E" w:rsidRDefault="00CE6887" w:rsidP="004553BB">
            <w:pPr>
              <w:ind w:left="0" w:right="0"/>
              <w:rPr>
                <w:sz w:val="20"/>
                <w:szCs w:val="20"/>
              </w:rPr>
            </w:pPr>
          </w:p>
        </w:tc>
        <w:tc>
          <w:tcPr>
            <w:tcW w:w="851" w:type="dxa"/>
          </w:tcPr>
          <w:p w14:paraId="6AD89DD1" w14:textId="77777777" w:rsidR="00CE6887" w:rsidRPr="00BF3A4E" w:rsidRDefault="00CE6887" w:rsidP="004553BB">
            <w:pPr>
              <w:ind w:left="0" w:right="0"/>
              <w:rPr>
                <w:sz w:val="20"/>
                <w:szCs w:val="20"/>
              </w:rPr>
            </w:pPr>
          </w:p>
        </w:tc>
        <w:tc>
          <w:tcPr>
            <w:tcW w:w="850" w:type="dxa"/>
          </w:tcPr>
          <w:p w14:paraId="6AD89DD2" w14:textId="77777777" w:rsidR="00CE6887" w:rsidRPr="00BF3A4E" w:rsidRDefault="00CE6887" w:rsidP="004553BB">
            <w:pPr>
              <w:ind w:left="0" w:right="0"/>
              <w:rPr>
                <w:sz w:val="20"/>
                <w:szCs w:val="20"/>
              </w:rPr>
            </w:pPr>
          </w:p>
        </w:tc>
        <w:tc>
          <w:tcPr>
            <w:tcW w:w="999" w:type="dxa"/>
          </w:tcPr>
          <w:p w14:paraId="6AD89DD3" w14:textId="77777777" w:rsidR="00CE6887" w:rsidRPr="00BF3A4E" w:rsidRDefault="00CE6887" w:rsidP="004553BB">
            <w:pPr>
              <w:ind w:left="0" w:right="0"/>
              <w:rPr>
                <w:sz w:val="20"/>
                <w:szCs w:val="20"/>
              </w:rPr>
            </w:pPr>
            <w:r w:rsidRPr="00BF3A4E">
              <w:rPr>
                <w:sz w:val="20"/>
                <w:szCs w:val="20"/>
              </w:rPr>
              <w:t>97</w:t>
            </w:r>
          </w:p>
        </w:tc>
      </w:tr>
      <w:tr w:rsidR="006625F4" w:rsidRPr="00686209" w14:paraId="6AD89DDE" w14:textId="77777777" w:rsidTr="00BF3A4E">
        <w:trPr>
          <w:trHeight w:val="503"/>
        </w:trPr>
        <w:tc>
          <w:tcPr>
            <w:tcW w:w="1726" w:type="dxa"/>
          </w:tcPr>
          <w:p w14:paraId="6AD89DD5" w14:textId="77777777" w:rsidR="00CE6887" w:rsidRPr="00BF3A4E" w:rsidRDefault="00CE6887" w:rsidP="004553BB">
            <w:pPr>
              <w:ind w:left="0" w:right="0"/>
              <w:rPr>
                <w:sz w:val="20"/>
                <w:szCs w:val="20"/>
              </w:rPr>
            </w:pPr>
            <w:r w:rsidRPr="00BF3A4E">
              <w:rPr>
                <w:sz w:val="20"/>
                <w:szCs w:val="20"/>
              </w:rPr>
              <w:t>TOTAL</w:t>
            </w:r>
          </w:p>
        </w:tc>
        <w:tc>
          <w:tcPr>
            <w:tcW w:w="934" w:type="dxa"/>
          </w:tcPr>
          <w:p w14:paraId="6AD89DD6" w14:textId="77777777" w:rsidR="00CE6887" w:rsidRPr="00BF3A4E" w:rsidRDefault="00CE6887" w:rsidP="004553BB">
            <w:pPr>
              <w:ind w:left="0" w:right="0"/>
              <w:rPr>
                <w:sz w:val="20"/>
                <w:szCs w:val="20"/>
              </w:rPr>
            </w:pPr>
            <w:r w:rsidRPr="00BF3A4E">
              <w:rPr>
                <w:sz w:val="20"/>
                <w:szCs w:val="20"/>
              </w:rPr>
              <w:t>839</w:t>
            </w:r>
          </w:p>
        </w:tc>
        <w:tc>
          <w:tcPr>
            <w:tcW w:w="850" w:type="dxa"/>
          </w:tcPr>
          <w:p w14:paraId="6AD89DD7" w14:textId="77777777" w:rsidR="00CE6887" w:rsidRPr="00BF3A4E" w:rsidRDefault="00CE6887" w:rsidP="004553BB">
            <w:pPr>
              <w:ind w:left="0" w:right="0"/>
              <w:rPr>
                <w:sz w:val="20"/>
                <w:szCs w:val="20"/>
              </w:rPr>
            </w:pPr>
            <w:r w:rsidRPr="00BF3A4E">
              <w:rPr>
                <w:sz w:val="20"/>
                <w:szCs w:val="20"/>
              </w:rPr>
              <w:t>784</w:t>
            </w:r>
          </w:p>
        </w:tc>
        <w:tc>
          <w:tcPr>
            <w:tcW w:w="709" w:type="dxa"/>
          </w:tcPr>
          <w:p w14:paraId="6AD89DD8" w14:textId="77777777" w:rsidR="00CE6887" w:rsidRPr="00BF3A4E" w:rsidRDefault="00CE6887" w:rsidP="004553BB">
            <w:pPr>
              <w:ind w:left="0" w:right="0"/>
              <w:rPr>
                <w:sz w:val="20"/>
                <w:szCs w:val="20"/>
              </w:rPr>
            </w:pPr>
            <w:r w:rsidRPr="00BF3A4E">
              <w:rPr>
                <w:sz w:val="20"/>
                <w:szCs w:val="20"/>
              </w:rPr>
              <w:t>717</w:t>
            </w:r>
          </w:p>
        </w:tc>
        <w:tc>
          <w:tcPr>
            <w:tcW w:w="851" w:type="dxa"/>
          </w:tcPr>
          <w:p w14:paraId="6AD89DD9" w14:textId="77777777" w:rsidR="00CE6887" w:rsidRPr="00BF3A4E" w:rsidRDefault="00CE6887" w:rsidP="004553BB">
            <w:pPr>
              <w:ind w:left="0" w:right="0"/>
              <w:rPr>
                <w:sz w:val="20"/>
                <w:szCs w:val="20"/>
              </w:rPr>
            </w:pPr>
            <w:r w:rsidRPr="00BF3A4E">
              <w:rPr>
                <w:sz w:val="20"/>
                <w:szCs w:val="20"/>
              </w:rPr>
              <w:t>2044</w:t>
            </w:r>
          </w:p>
        </w:tc>
        <w:tc>
          <w:tcPr>
            <w:tcW w:w="850" w:type="dxa"/>
          </w:tcPr>
          <w:p w14:paraId="6AD89DDA" w14:textId="77777777" w:rsidR="00CE6887" w:rsidRPr="00BF3A4E" w:rsidRDefault="00CE6887" w:rsidP="004553BB">
            <w:pPr>
              <w:ind w:left="0" w:right="0"/>
              <w:rPr>
                <w:sz w:val="20"/>
                <w:szCs w:val="20"/>
              </w:rPr>
            </w:pPr>
          </w:p>
        </w:tc>
        <w:tc>
          <w:tcPr>
            <w:tcW w:w="851" w:type="dxa"/>
          </w:tcPr>
          <w:p w14:paraId="6AD89DDB" w14:textId="77777777" w:rsidR="00CE6887" w:rsidRPr="00BF3A4E" w:rsidRDefault="00CE6887" w:rsidP="004553BB">
            <w:pPr>
              <w:ind w:left="0" w:right="0"/>
              <w:rPr>
                <w:sz w:val="20"/>
                <w:szCs w:val="20"/>
              </w:rPr>
            </w:pPr>
          </w:p>
        </w:tc>
        <w:tc>
          <w:tcPr>
            <w:tcW w:w="850" w:type="dxa"/>
          </w:tcPr>
          <w:p w14:paraId="6AD89DDC" w14:textId="77777777" w:rsidR="00CE6887" w:rsidRPr="00BF3A4E" w:rsidRDefault="00CE6887" w:rsidP="004553BB">
            <w:pPr>
              <w:ind w:left="0" w:right="0"/>
              <w:rPr>
                <w:sz w:val="20"/>
                <w:szCs w:val="20"/>
              </w:rPr>
            </w:pPr>
          </w:p>
        </w:tc>
        <w:tc>
          <w:tcPr>
            <w:tcW w:w="999" w:type="dxa"/>
          </w:tcPr>
          <w:p w14:paraId="6AD89DDD" w14:textId="77777777" w:rsidR="00CE6887" w:rsidRPr="00BF3A4E" w:rsidRDefault="00CE6887" w:rsidP="004553BB">
            <w:pPr>
              <w:ind w:left="0" w:right="0"/>
              <w:rPr>
                <w:sz w:val="20"/>
                <w:szCs w:val="20"/>
              </w:rPr>
            </w:pPr>
            <w:r w:rsidRPr="00BF3A4E">
              <w:rPr>
                <w:sz w:val="20"/>
                <w:szCs w:val="20"/>
              </w:rPr>
              <w:t>97</w:t>
            </w:r>
          </w:p>
        </w:tc>
      </w:tr>
    </w:tbl>
    <w:p w14:paraId="6AD89DDF" w14:textId="77777777" w:rsidR="00605AD4" w:rsidRDefault="00605AD4" w:rsidP="00605AD4">
      <w:pPr>
        <w:pStyle w:val="Heading4"/>
      </w:pPr>
      <w:r w:rsidRPr="00605AD4">
        <w:lastRenderedPageBreak/>
        <w:t>Safety issues with the potential for major regulatory impact</w:t>
      </w:r>
    </w:p>
    <w:p w14:paraId="6AD89DE0" w14:textId="77777777" w:rsidR="0052147D" w:rsidRPr="0052147D" w:rsidRDefault="0052147D" w:rsidP="0052147D">
      <w:pPr>
        <w:pStyle w:val="Heading5"/>
      </w:pPr>
      <w:bookmarkStart w:id="144" w:name="_Toc241374321"/>
      <w:bookmarkStart w:id="145" w:name="_Ref271044780"/>
      <w:bookmarkStart w:id="146" w:name="_Ref271196640"/>
      <w:bookmarkStart w:id="147" w:name="_Ref272333085"/>
      <w:bookmarkStart w:id="148" w:name="_Toc272414668"/>
      <w:bookmarkStart w:id="149" w:name="_Toc290846306"/>
      <w:bookmarkStart w:id="150" w:name="_Toc403416516"/>
      <w:r w:rsidRPr="0052147D">
        <w:t>Laboratory tests</w:t>
      </w:r>
      <w:bookmarkEnd w:id="144"/>
      <w:bookmarkEnd w:id="145"/>
      <w:bookmarkEnd w:id="146"/>
      <w:bookmarkEnd w:id="147"/>
      <w:bookmarkEnd w:id="148"/>
      <w:bookmarkEnd w:id="149"/>
      <w:bookmarkEnd w:id="150"/>
    </w:p>
    <w:p w14:paraId="6AD89DE1" w14:textId="77777777" w:rsidR="0052147D" w:rsidRDefault="0052147D" w:rsidP="0052147D">
      <w:pPr>
        <w:pStyle w:val="Heading6"/>
      </w:pPr>
      <w:bookmarkStart w:id="151" w:name="_Toc272414672"/>
      <w:bookmarkStart w:id="152" w:name="_Toc290846310"/>
      <w:bookmarkStart w:id="153" w:name="_Toc403416517"/>
      <w:r w:rsidRPr="0052147D">
        <w:t>Haematology</w:t>
      </w:r>
      <w:bookmarkEnd w:id="151"/>
      <w:bookmarkEnd w:id="152"/>
      <w:bookmarkEnd w:id="153"/>
    </w:p>
    <w:p w14:paraId="6AD89DE2" w14:textId="77777777" w:rsidR="00BA2018" w:rsidRPr="00BA2018" w:rsidRDefault="00BA2018" w:rsidP="00BA2018">
      <w:pPr>
        <w:pStyle w:val="Heading7"/>
      </w:pPr>
      <w:r w:rsidRPr="00BA2018">
        <w:t>Neutropenia</w:t>
      </w:r>
    </w:p>
    <w:p w14:paraId="6AD89DE3" w14:textId="77777777" w:rsidR="0052147D" w:rsidRPr="003F5469" w:rsidRDefault="0052147D" w:rsidP="0052147D">
      <w:pPr>
        <w:rPr>
          <w:i/>
        </w:rPr>
      </w:pPr>
      <w:bookmarkStart w:id="154" w:name="_Toc403416518"/>
      <w:r w:rsidRPr="003F5469">
        <w:rPr>
          <w:i/>
        </w:rPr>
        <w:t>Study RD.03.SRE.40051</w:t>
      </w:r>
      <w:bookmarkEnd w:id="154"/>
    </w:p>
    <w:p w14:paraId="6AD89DE4" w14:textId="77777777" w:rsidR="0052147D" w:rsidRPr="0052147D" w:rsidRDefault="00692CE1" w:rsidP="0052147D">
      <w:r>
        <w:t>Three</w:t>
      </w:r>
      <w:r w:rsidR="0052147D" w:rsidRPr="0052147D">
        <w:t xml:space="preserve"> cases of neutrophil cell counts &lt; 1.5x10</w:t>
      </w:r>
      <w:r w:rsidR="0052147D" w:rsidRPr="0052147D">
        <w:rPr>
          <w:vertAlign w:val="superscript"/>
        </w:rPr>
        <w:t>9</w:t>
      </w:r>
      <w:r w:rsidR="0052147D" w:rsidRPr="0052147D">
        <w:t>/L were observed under treatment, without any associated clinical signs or symptoms (</w:t>
      </w:r>
      <w:r w:rsidR="0052147D">
        <w:t>for example,</w:t>
      </w:r>
      <w:r w:rsidR="0052147D" w:rsidRPr="0052147D">
        <w:t xml:space="preserve"> fever), corresponding to an incidence of 0.98%. This was reversible in all 3 subjects. One subject’s neutropenia reversed while under active treatment.</w:t>
      </w:r>
    </w:p>
    <w:p w14:paraId="6AD89DE5" w14:textId="77777777" w:rsidR="00BA2018" w:rsidRPr="003F5469" w:rsidRDefault="00BA2018" w:rsidP="00BA2018">
      <w:pPr>
        <w:rPr>
          <w:i/>
        </w:rPr>
      </w:pPr>
      <w:bookmarkStart w:id="155" w:name="_Toc403416519"/>
      <w:r w:rsidRPr="003F5469">
        <w:rPr>
          <w:i/>
        </w:rPr>
        <w:t>Study RD.03.SRE.40106</w:t>
      </w:r>
      <w:bookmarkEnd w:id="155"/>
    </w:p>
    <w:p w14:paraId="6AD89DE6" w14:textId="77777777" w:rsidR="00BA2018" w:rsidRDefault="00BA2018" w:rsidP="00BA2018">
      <w:r>
        <w:t>The primary rationale for this study was to investigate whether the product proposed for registration may be causally associated with neutropenia. Thus, it is of particular interest in that blood samples were drawn frequently for laboratory assessment.</w:t>
      </w:r>
    </w:p>
    <w:p w14:paraId="6AD89DE7" w14:textId="77777777" w:rsidR="000835E6" w:rsidRPr="00DE6CD0" w:rsidRDefault="000835E6" w:rsidP="000835E6">
      <w:r w:rsidRPr="00DE6CD0">
        <w:t xml:space="preserve">Percent changes from Baseline in </w:t>
      </w:r>
      <w:r>
        <w:t xml:space="preserve">NCCs were compared at each post </w:t>
      </w:r>
      <w:r w:rsidRPr="00DE6CD0">
        <w:t>Baseline visit between</w:t>
      </w:r>
      <w:r>
        <w:t xml:space="preserve"> </w:t>
      </w:r>
      <w:r w:rsidRPr="00DE6CD0">
        <w:t>ivermectin cream and its vehicle, and also for the lowest value o</w:t>
      </w:r>
      <w:r>
        <w:t xml:space="preserve">bserved after Baseline (retests </w:t>
      </w:r>
      <w:r w:rsidRPr="00DE6CD0">
        <w:t>and unscheduled visits included). At each ti</w:t>
      </w:r>
      <w:r>
        <w:t xml:space="preserve">me point, no meaningful between </w:t>
      </w:r>
      <w:r w:rsidRPr="00DE6CD0">
        <w:t>group differences were observed</w:t>
      </w:r>
      <w:r>
        <w:t>.</w:t>
      </w:r>
    </w:p>
    <w:p w14:paraId="6AD89DE8" w14:textId="185CCABC" w:rsidR="0052147D" w:rsidRDefault="000835E6" w:rsidP="0052147D">
      <w:r w:rsidRPr="00DE6CD0">
        <w:t>Overall, there were 5 subjects reported with neutrophil counts below 1.5 x10</w:t>
      </w:r>
      <w:r w:rsidRPr="00015282">
        <w:rPr>
          <w:vertAlign w:val="superscript"/>
        </w:rPr>
        <w:t>9</w:t>
      </w:r>
      <w:r w:rsidRPr="00DE6CD0">
        <w:t>/L, 4 (3.9%) in the ivermectin group and 1 (0.9%) in the vehicle group. One of these subjects in the active treatment group also had a neutrophil count below 1.5 x10</w:t>
      </w:r>
      <w:r w:rsidRPr="00015282">
        <w:rPr>
          <w:vertAlign w:val="superscript"/>
        </w:rPr>
        <w:t>9</w:t>
      </w:r>
      <w:r w:rsidRPr="00DE6CD0">
        <w:t>/L at Baseline before treatment; a retest performed two days later (after one application of study drug) also produced a low neutrophil count and this subject discontinued study participation. Subsequent neutrophil counts obtained at two re-tests were all within the normal range. Therefore, four subjects had single treatment-emergent neutrophil counts below 1.5 x10</w:t>
      </w:r>
      <w:r w:rsidRPr="00015282">
        <w:rPr>
          <w:vertAlign w:val="superscript"/>
        </w:rPr>
        <w:t>9</w:t>
      </w:r>
      <w:r w:rsidRPr="00DE6CD0">
        <w:t xml:space="preserve">/L. Among the 4 </w:t>
      </w:r>
      <w:r>
        <w:t>‘</w:t>
      </w:r>
      <w:r w:rsidRPr="00DE6CD0">
        <w:t>treatment emergent</w:t>
      </w:r>
      <w:r>
        <w:t>’</w:t>
      </w:r>
      <w:r w:rsidRPr="00DE6CD0">
        <w:t xml:space="preserve"> cases of neutrophil counts below 1.5 x10</w:t>
      </w:r>
      <w:r w:rsidRPr="00015282">
        <w:rPr>
          <w:vertAlign w:val="superscript"/>
        </w:rPr>
        <w:t>9</w:t>
      </w:r>
      <w:r w:rsidRPr="00DE6CD0">
        <w:t xml:space="preserve">/L, the neutrophil count had normalised under treatment for 3 cases and after a temporary discontinuation of the treatment in the </w:t>
      </w:r>
      <w:r w:rsidR="00692CE1">
        <w:t>fourth</w:t>
      </w:r>
      <w:r w:rsidRPr="00DE6CD0">
        <w:t xml:space="preserve"> case. In this subject from the ivermectin group, study drug was temporarily stopped (as specified in the protocol) due to the presence of infectious signs and re-administered after normalisation of the neutrophil count at retest, without any recurrence of the neutropenia. No subject reported severe </w:t>
      </w:r>
      <w:r w:rsidR="00BF3A4E" w:rsidRPr="00BF3A4E">
        <w:t>(&lt; 0.5 x</w:t>
      </w:r>
      <w:r w:rsidR="00BF3A4E">
        <w:t xml:space="preserve"> </w:t>
      </w:r>
      <w:r w:rsidR="00BF3A4E" w:rsidRPr="00BF3A4E">
        <w:t>10</w:t>
      </w:r>
      <w:r w:rsidR="00BF3A4E" w:rsidRPr="00BF3A4E">
        <w:rPr>
          <w:vertAlign w:val="superscript"/>
        </w:rPr>
        <w:t>9</w:t>
      </w:r>
      <w:r w:rsidR="00BF3A4E" w:rsidRPr="00BF3A4E">
        <w:t>/L)</w:t>
      </w:r>
      <w:r w:rsidR="005F1306">
        <w:t xml:space="preserve"> </w:t>
      </w:r>
      <w:r w:rsidRPr="00DE6CD0">
        <w:t xml:space="preserve">neutropenia. At no point during the study did the </w:t>
      </w:r>
      <w:r w:rsidR="00A213A2">
        <w:t>i</w:t>
      </w:r>
      <w:r w:rsidR="00A213A2" w:rsidRPr="00A213A2">
        <w:t xml:space="preserve">ndependent data monitoring committee </w:t>
      </w:r>
      <w:r w:rsidR="00A213A2">
        <w:t>(</w:t>
      </w:r>
      <w:r w:rsidRPr="00DE6CD0">
        <w:t>IDMC</w:t>
      </w:r>
      <w:r w:rsidR="00A213A2">
        <w:t>)</w:t>
      </w:r>
      <w:r w:rsidRPr="00DE6CD0">
        <w:t xml:space="preserve"> consider it necessary to </w:t>
      </w:r>
      <w:proofErr w:type="spellStart"/>
      <w:r w:rsidRPr="00DE6CD0">
        <w:t>unblind</w:t>
      </w:r>
      <w:proofErr w:type="spellEnd"/>
      <w:r w:rsidRPr="00DE6CD0">
        <w:t xml:space="preserve"> the data or to definitely stop the treatment. All cases of neutrophil count </w:t>
      </w:r>
      <w:r w:rsidR="004F0E31">
        <w:t>≤ 1.5 </w:t>
      </w:r>
      <w:r w:rsidRPr="00DE6CD0">
        <w:t>x</w:t>
      </w:r>
      <w:r w:rsidR="004F0E31">
        <w:t> </w:t>
      </w:r>
      <w:r w:rsidRPr="00DE6CD0">
        <w:t>10</w:t>
      </w:r>
      <w:r w:rsidRPr="00015282">
        <w:rPr>
          <w:vertAlign w:val="superscript"/>
        </w:rPr>
        <w:t>9</w:t>
      </w:r>
      <w:r w:rsidRPr="00DE6CD0">
        <w:t>/L were assessed as ‘not related’ to the study drug by the IDMC and by the investigators.</w:t>
      </w:r>
    </w:p>
    <w:p w14:paraId="6AD89DE9" w14:textId="77777777" w:rsidR="000835E6" w:rsidRDefault="000835E6" w:rsidP="000835E6">
      <w:r w:rsidRPr="00DE6CD0">
        <w:t>Thus, there appears to be no evidence of a causal relationship between treatment with iverme</w:t>
      </w:r>
      <w:r>
        <w:t>ctin 1% cream and neutropenia.</w:t>
      </w:r>
    </w:p>
    <w:p w14:paraId="6AD89DEA" w14:textId="77777777" w:rsidR="000835E6" w:rsidRPr="00DE6CD0" w:rsidRDefault="000835E6" w:rsidP="000835E6">
      <w:pPr>
        <w:pStyle w:val="Heading5"/>
      </w:pPr>
      <w:bookmarkStart w:id="156" w:name="_Toc403416523"/>
      <w:r w:rsidRPr="00DE6CD0">
        <w:t>Cutaneous toxicity</w:t>
      </w:r>
      <w:bookmarkEnd w:id="156"/>
    </w:p>
    <w:p w14:paraId="6AD89DEB" w14:textId="77777777" w:rsidR="000835E6" w:rsidRPr="00DE6CD0" w:rsidRDefault="000835E6" w:rsidP="000835E6">
      <w:r w:rsidRPr="00DE6CD0">
        <w:t>Local tolerance was generally assessed via AE reports. Cumulative irritancy potentia</w:t>
      </w:r>
      <w:r w:rsidR="00A213A2">
        <w:t>l was assessed specifically in S</w:t>
      </w:r>
      <w:r w:rsidRPr="00DE6CD0">
        <w:t>tudies RD.03.SRE.19055 (which, however, did not use the formulation proposed for registration) and RD.03.SRE.19081 (which used vehicles only). Study RD.03.SRE.40023 assessed irritation and sensit</w:t>
      </w:r>
      <w:r w:rsidR="00D9155F">
        <w:t>isa</w:t>
      </w:r>
      <w:r w:rsidRPr="00DE6CD0">
        <w:t>tion potential (but did not use the formulation proposed for registration). Thus, the specific studies, RD.03.SRE.19055, RD.03.SRE.19081 and RD.03.SRE.40023, contributed little useful information.</w:t>
      </w:r>
    </w:p>
    <w:p w14:paraId="6AD89DEC" w14:textId="77777777" w:rsidR="000835E6" w:rsidRPr="0052147D" w:rsidRDefault="000835E6" w:rsidP="0052147D">
      <w:r w:rsidRPr="000835E6">
        <w:t>Specific phototoxicity studies have not been presented.</w:t>
      </w:r>
    </w:p>
    <w:p w14:paraId="6AD89DED" w14:textId="77777777" w:rsidR="00605AD4" w:rsidRDefault="00814D85" w:rsidP="00605AD4">
      <w:pPr>
        <w:pStyle w:val="Heading4"/>
      </w:pPr>
      <w:r w:rsidRPr="00605AD4">
        <w:t>Post marketing</w:t>
      </w:r>
      <w:r w:rsidR="00605AD4" w:rsidRPr="00605AD4">
        <w:t xml:space="preserve"> data</w:t>
      </w:r>
    </w:p>
    <w:p w14:paraId="6AD89DEE" w14:textId="77777777" w:rsidR="003F2B74" w:rsidRPr="003F2B74" w:rsidRDefault="003F2B74" w:rsidP="003F2B74">
      <w:r>
        <w:t xml:space="preserve">Not </w:t>
      </w:r>
      <w:r w:rsidR="003F5469">
        <w:t>applicable</w:t>
      </w:r>
      <w:r>
        <w:t>.</w:t>
      </w:r>
    </w:p>
    <w:p w14:paraId="6AD89DEF" w14:textId="77777777" w:rsidR="00605AD4" w:rsidRPr="00605AD4" w:rsidRDefault="00605AD4" w:rsidP="00605AD4">
      <w:pPr>
        <w:pStyle w:val="Heading4"/>
      </w:pPr>
      <w:r w:rsidRPr="00605AD4">
        <w:lastRenderedPageBreak/>
        <w:t>Evaluator’s conclusions on safety</w:t>
      </w:r>
    </w:p>
    <w:p w14:paraId="6AD89DF0" w14:textId="77777777" w:rsidR="003F2B74" w:rsidRPr="003F2B74" w:rsidRDefault="003F2B74" w:rsidP="003F2B74">
      <w:r w:rsidRPr="003F2B74">
        <w:t>In assessing safety information which comprises the results of clinical trials done with different product formulations; particularly topical products, in which the vehicle may have a major effect; a cautious approach is to maintain vigilance for an adve</w:t>
      </w:r>
      <w:r w:rsidR="00A213A2">
        <w:t>rse signal from any formulation</w:t>
      </w:r>
      <w:r w:rsidRPr="003F2B74">
        <w:t xml:space="preserve"> but to accept reassurance regarding lack of toxicity only from studies done with the formulation proposed for marketing. The clinical evaluator has adopted this approach in the </w:t>
      </w:r>
      <w:r>
        <w:t>clinical evaluation report</w:t>
      </w:r>
      <w:r w:rsidRPr="003F2B74">
        <w:t>.</w:t>
      </w:r>
    </w:p>
    <w:p w14:paraId="6AD89DF1" w14:textId="77777777" w:rsidR="003F2B74" w:rsidRPr="003F2B74" w:rsidRDefault="003F2B74" w:rsidP="003F2B74">
      <w:r w:rsidRPr="003F2B74">
        <w:t>Specific studies of photo</w:t>
      </w:r>
      <w:r>
        <w:t xml:space="preserve"> </w:t>
      </w:r>
      <w:r w:rsidRPr="003F2B74">
        <w:t>safety have not been presented. However, it is likely that any problem of this nature would have emerged in the pivotal studies.</w:t>
      </w:r>
    </w:p>
    <w:p w14:paraId="6AD89DF2" w14:textId="77777777" w:rsidR="003F2B74" w:rsidRPr="003F2B74" w:rsidRDefault="003F2B74" w:rsidP="003F2B74">
      <w:r w:rsidRPr="003F2B74">
        <w:t>Studies of topical ivermectin in patients with renal or hepatic disease have not been presented.</w:t>
      </w:r>
    </w:p>
    <w:p w14:paraId="6AD89DF3" w14:textId="77777777" w:rsidR="00605AD4" w:rsidRPr="00605AD4" w:rsidRDefault="003F2B74" w:rsidP="00605AD4">
      <w:r w:rsidRPr="003F2B74">
        <w:t>At the present stage of product development, no s</w:t>
      </w:r>
      <w:r w:rsidR="000835E6">
        <w:t>pecific safety concerns remain.</w:t>
      </w:r>
    </w:p>
    <w:p w14:paraId="6AD89DF4" w14:textId="77777777" w:rsidR="00605AD4" w:rsidRPr="00605AD4" w:rsidRDefault="00605AD4" w:rsidP="00605AD4">
      <w:pPr>
        <w:pStyle w:val="Heading3"/>
        <w:rPr>
          <w:rFonts w:eastAsia="Cambria"/>
        </w:rPr>
      </w:pPr>
      <w:bookmarkStart w:id="157" w:name="_Toc437418398"/>
      <w:r w:rsidRPr="00605AD4">
        <w:rPr>
          <w:rFonts w:eastAsia="Cambria"/>
        </w:rPr>
        <w:t>First Round Benefit-Risk Assessment</w:t>
      </w:r>
      <w:bookmarkEnd w:id="157"/>
    </w:p>
    <w:p w14:paraId="6AD89DF5" w14:textId="77777777" w:rsidR="00605AD4" w:rsidRDefault="00605AD4" w:rsidP="00605AD4">
      <w:pPr>
        <w:pStyle w:val="Heading4"/>
      </w:pPr>
      <w:r w:rsidRPr="00605AD4">
        <w:t>First round assessment of benefits</w:t>
      </w:r>
    </w:p>
    <w:p w14:paraId="6AD89DF6" w14:textId="77777777" w:rsidR="003F2B74" w:rsidRPr="003F2B74" w:rsidRDefault="003F2B74" w:rsidP="003F2B74">
      <w:r w:rsidRPr="003F2B74">
        <w:t>The benefits of Soolantra in the proposed usage are:</w:t>
      </w:r>
    </w:p>
    <w:p w14:paraId="6AD89DF7" w14:textId="77777777" w:rsidR="003F2B74" w:rsidRPr="003F2B74" w:rsidRDefault="003F2B74" w:rsidP="003F2B74">
      <w:pPr>
        <w:pStyle w:val="ListBullet"/>
      </w:pPr>
      <w:r w:rsidRPr="003F2B74">
        <w:t>Proven efficacy.</w:t>
      </w:r>
    </w:p>
    <w:p w14:paraId="6AD89DF8" w14:textId="77777777" w:rsidR="003F2B74" w:rsidRPr="003F2B74" w:rsidRDefault="003F2B74" w:rsidP="003F2B74">
      <w:pPr>
        <w:pStyle w:val="ListBullet"/>
      </w:pPr>
      <w:r w:rsidRPr="003F2B74">
        <w:t>Convenience of once daily application.</w:t>
      </w:r>
    </w:p>
    <w:p w14:paraId="6AD89DF9" w14:textId="77777777" w:rsidR="003F2B74" w:rsidRPr="003F2B74" w:rsidRDefault="003F2B74" w:rsidP="003F2B74">
      <w:r w:rsidRPr="003F2B74">
        <w:t>Note that no convincing evidence has been presented that the 1% cream is significantly more efficacious than 0.3% cream (</w:t>
      </w:r>
      <w:r w:rsidR="003F5469">
        <w:t xml:space="preserve">Study </w:t>
      </w:r>
      <w:r w:rsidRPr="003F2B74">
        <w:t>RD.03.SRE.40027).</w:t>
      </w:r>
    </w:p>
    <w:p w14:paraId="6AD89DFA" w14:textId="77777777" w:rsidR="00605AD4" w:rsidRDefault="00605AD4" w:rsidP="00605AD4">
      <w:pPr>
        <w:pStyle w:val="Heading4"/>
      </w:pPr>
      <w:r w:rsidRPr="00605AD4">
        <w:t>First round assessment of risks</w:t>
      </w:r>
    </w:p>
    <w:p w14:paraId="6AD89DFB" w14:textId="77777777" w:rsidR="003F2B74" w:rsidRPr="003F2B74" w:rsidRDefault="003F2B74" w:rsidP="003F2B74">
      <w:r w:rsidRPr="003F2B74">
        <w:t>The risks of Soolantra in the proposed usage are:</w:t>
      </w:r>
    </w:p>
    <w:p w14:paraId="6AD89DFC" w14:textId="77777777" w:rsidR="003F2B74" w:rsidRPr="003F2B74" w:rsidRDefault="003F2B74" w:rsidP="003F2B74">
      <w:pPr>
        <w:pStyle w:val="ListBullet"/>
      </w:pPr>
      <w:r w:rsidRPr="003F2B74">
        <w:t>Hypothetical effects of systemic exposure. The difference in systemic exposure between 0.3% and 1% creams (Study RD.03.SRE.40027) is noted.</w:t>
      </w:r>
    </w:p>
    <w:p w14:paraId="6AD89DFD" w14:textId="77777777" w:rsidR="003F2B74" w:rsidRPr="003F2B74" w:rsidRDefault="003F2B74" w:rsidP="003F2B74">
      <w:pPr>
        <w:pStyle w:val="ListBullet"/>
      </w:pPr>
      <w:r w:rsidRPr="003F2B74">
        <w:t>Possible skin toxicity; in particular, photosensitivi</w:t>
      </w:r>
      <w:r w:rsidR="00A213A2">
        <w:t>ty or photoallergy and</w:t>
      </w:r>
      <w:r w:rsidRPr="003F2B74">
        <w:t xml:space="preserve"> contact allergy.</w:t>
      </w:r>
    </w:p>
    <w:p w14:paraId="6AD89DFE" w14:textId="77777777" w:rsidR="00605AD4" w:rsidRPr="00605AD4" w:rsidRDefault="00605AD4" w:rsidP="00605AD4">
      <w:pPr>
        <w:pStyle w:val="Heading4"/>
      </w:pPr>
      <w:r w:rsidRPr="00605AD4">
        <w:t>First round assessment of benefit-risk balance</w:t>
      </w:r>
    </w:p>
    <w:p w14:paraId="6AD89DFF" w14:textId="77777777" w:rsidR="003F2B74" w:rsidRPr="003F2B74" w:rsidRDefault="003F2B74" w:rsidP="003F2B74">
      <w:r w:rsidRPr="003F2B74">
        <w:t>The benefit-risk balance of Soolantra, given the proposed usage, is favourable.</w:t>
      </w:r>
    </w:p>
    <w:p w14:paraId="6AD89E00" w14:textId="77777777" w:rsidR="00605AD4" w:rsidRPr="00605AD4" w:rsidRDefault="003F2B74" w:rsidP="00605AD4">
      <w:r w:rsidRPr="003F2B74">
        <w:t xml:space="preserve">However, some doubt remains as to whether the benefit-risk </w:t>
      </w:r>
      <w:proofErr w:type="gramStart"/>
      <w:r w:rsidRPr="003F2B74">
        <w:t>balance</w:t>
      </w:r>
      <w:proofErr w:type="gramEnd"/>
      <w:r w:rsidRPr="003F2B74">
        <w:t xml:space="preserve"> would have been more favourable with the 0.3% cream.</w:t>
      </w:r>
    </w:p>
    <w:p w14:paraId="6AD89E01" w14:textId="77777777" w:rsidR="00605AD4" w:rsidRPr="00605AD4" w:rsidRDefault="00605AD4" w:rsidP="00605AD4">
      <w:pPr>
        <w:pStyle w:val="Heading3"/>
        <w:rPr>
          <w:rFonts w:eastAsia="Cambria"/>
        </w:rPr>
      </w:pPr>
      <w:bookmarkStart w:id="158" w:name="_Toc437418399"/>
      <w:r w:rsidRPr="00605AD4">
        <w:rPr>
          <w:rFonts w:eastAsia="Cambria"/>
        </w:rPr>
        <w:t>First Round Recommendation Regarding Authorisation</w:t>
      </w:r>
      <w:bookmarkEnd w:id="158"/>
    </w:p>
    <w:p w14:paraId="6AD89E02" w14:textId="77777777" w:rsidR="00605AD4" w:rsidRPr="00605AD4" w:rsidRDefault="003F2B74" w:rsidP="00605AD4">
      <w:r>
        <w:t>The clinical evaluator</w:t>
      </w:r>
      <w:r w:rsidRPr="00E91EB8">
        <w:t xml:space="preserve"> recommend</w:t>
      </w:r>
      <w:r>
        <w:t>s</w:t>
      </w:r>
      <w:r w:rsidRPr="00E91EB8">
        <w:t xml:space="preserve"> approval of the application.</w:t>
      </w:r>
    </w:p>
    <w:p w14:paraId="6AD89E03" w14:textId="77777777" w:rsidR="00605AD4" w:rsidRPr="00605AD4" w:rsidRDefault="00605AD4" w:rsidP="00605AD4">
      <w:pPr>
        <w:pStyle w:val="Heading3"/>
        <w:rPr>
          <w:rFonts w:eastAsia="Cambria"/>
        </w:rPr>
      </w:pPr>
      <w:bookmarkStart w:id="159" w:name="_Toc437418400"/>
      <w:r w:rsidRPr="00605AD4">
        <w:rPr>
          <w:rFonts w:eastAsia="Cambria"/>
        </w:rPr>
        <w:t>Clinical Questions</w:t>
      </w:r>
      <w:bookmarkEnd w:id="159"/>
    </w:p>
    <w:p w14:paraId="6AD89E04" w14:textId="77777777" w:rsidR="00605AD4" w:rsidRPr="00605AD4" w:rsidRDefault="003F2B74" w:rsidP="00605AD4">
      <w:r>
        <w:t>No questions were raised.</w:t>
      </w:r>
    </w:p>
    <w:p w14:paraId="6AD89E05" w14:textId="77777777" w:rsidR="008E7846" w:rsidRPr="00E41208" w:rsidRDefault="008E7846" w:rsidP="00546154">
      <w:pPr>
        <w:pStyle w:val="Heading2"/>
      </w:pPr>
      <w:bookmarkStart w:id="160" w:name="_Toc437418401"/>
      <w:r w:rsidRPr="00E41208">
        <w:lastRenderedPageBreak/>
        <w:t xml:space="preserve">V. Pharmacovigilance </w:t>
      </w:r>
      <w:r>
        <w:t>f</w:t>
      </w:r>
      <w:r w:rsidRPr="00E41208">
        <w:t>indings</w:t>
      </w:r>
      <w:bookmarkEnd w:id="136"/>
      <w:bookmarkEnd w:id="137"/>
      <w:bookmarkEnd w:id="160"/>
    </w:p>
    <w:p w14:paraId="6AD89E06" w14:textId="77777777" w:rsidR="008E7846" w:rsidRDefault="00386150" w:rsidP="008E7846">
      <w:pPr>
        <w:pStyle w:val="Heading3"/>
        <w:rPr>
          <w:lang w:eastAsia="en-AU"/>
        </w:rPr>
      </w:pPr>
      <w:bookmarkStart w:id="161" w:name="_Toc247691526"/>
      <w:bookmarkStart w:id="162" w:name="_Toc314842509"/>
      <w:bookmarkStart w:id="163" w:name="_Toc437418402"/>
      <w:r>
        <w:rPr>
          <w:lang w:eastAsia="en-AU"/>
        </w:rPr>
        <w:t>Risk m</w:t>
      </w:r>
      <w:r w:rsidR="008E7846">
        <w:rPr>
          <w:lang w:eastAsia="en-AU"/>
        </w:rPr>
        <w:t xml:space="preserve">anagement </w:t>
      </w:r>
      <w:r>
        <w:rPr>
          <w:lang w:eastAsia="en-AU"/>
        </w:rPr>
        <w:t>p</w:t>
      </w:r>
      <w:r w:rsidR="008E7846">
        <w:rPr>
          <w:lang w:eastAsia="en-AU"/>
        </w:rPr>
        <w:t>lan</w:t>
      </w:r>
      <w:bookmarkEnd w:id="161"/>
      <w:bookmarkEnd w:id="162"/>
      <w:bookmarkEnd w:id="163"/>
    </w:p>
    <w:p w14:paraId="6AD89E07" w14:textId="77777777" w:rsidR="008E7846" w:rsidRDefault="008E7846" w:rsidP="008E7846">
      <w:pPr>
        <w:rPr>
          <w:lang w:eastAsia="en-AU"/>
        </w:rPr>
      </w:pPr>
      <w:r>
        <w:rPr>
          <w:lang w:eastAsia="en-AU"/>
        </w:rPr>
        <w:t>The sponsor submitted a Risk Management Plan</w:t>
      </w:r>
      <w:r w:rsidR="0071568B">
        <w:rPr>
          <w:lang w:eastAsia="en-AU"/>
        </w:rPr>
        <w:t xml:space="preserve"> EU-RMP Version 1 (dated 25 March 2014, DLP 10 October </w:t>
      </w:r>
      <w:r w:rsidR="0071568B" w:rsidRPr="0071568B">
        <w:rPr>
          <w:lang w:eastAsia="en-AU"/>
        </w:rPr>
        <w:t>2013) and Australian Specific Annex</w:t>
      </w:r>
      <w:r w:rsidR="00361D2D">
        <w:rPr>
          <w:lang w:eastAsia="en-AU"/>
        </w:rPr>
        <w:t xml:space="preserve"> (ASA)</w:t>
      </w:r>
      <w:r w:rsidR="0071568B" w:rsidRPr="0071568B">
        <w:rPr>
          <w:lang w:eastAsia="en-AU"/>
        </w:rPr>
        <w:t xml:space="preserve"> </w:t>
      </w:r>
      <w:r w:rsidR="0071568B">
        <w:rPr>
          <w:lang w:eastAsia="en-AU"/>
        </w:rPr>
        <w:t xml:space="preserve">(version 1.0, dated July 2014) </w:t>
      </w:r>
      <w:r>
        <w:rPr>
          <w:lang w:eastAsia="en-AU"/>
        </w:rPr>
        <w:t xml:space="preserve">which was reviewed by the </w:t>
      </w:r>
      <w:r w:rsidR="00FC1FCA">
        <w:rPr>
          <w:lang w:eastAsia="en-AU"/>
        </w:rPr>
        <w:t>RMP evaluator.</w:t>
      </w:r>
    </w:p>
    <w:p w14:paraId="6AD89E08" w14:textId="77777777" w:rsidR="008E7846" w:rsidRDefault="003A7F6C" w:rsidP="008E7846">
      <w:pPr>
        <w:pStyle w:val="Heading4"/>
        <w:rPr>
          <w:lang w:eastAsia="en-AU"/>
        </w:rPr>
      </w:pPr>
      <w:r>
        <w:rPr>
          <w:lang w:eastAsia="en-AU"/>
        </w:rPr>
        <w:t>Safety s</w:t>
      </w:r>
      <w:r w:rsidR="008E7846">
        <w:rPr>
          <w:lang w:eastAsia="en-AU"/>
        </w:rPr>
        <w:t>pecification</w:t>
      </w:r>
    </w:p>
    <w:p w14:paraId="6AD89E09" w14:textId="77777777"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D653C0">
        <w:rPr>
          <w:lang w:eastAsia="en-AU"/>
        </w:rPr>
        <w:t>10</w:t>
      </w:r>
      <w:r>
        <w:rPr>
          <w:lang w:eastAsia="en-AU"/>
        </w:rPr>
        <w:t>.</w:t>
      </w:r>
    </w:p>
    <w:p w14:paraId="6AD89E0A" w14:textId="77777777" w:rsidR="003F5469" w:rsidRDefault="00D653C0" w:rsidP="003F5469">
      <w:pPr>
        <w:pStyle w:val="TableTitle"/>
        <w:rPr>
          <w:lang w:eastAsia="en-AU"/>
        </w:rPr>
      </w:pPr>
      <w:proofErr w:type="gramStart"/>
      <w:r>
        <w:rPr>
          <w:lang w:eastAsia="en-AU"/>
        </w:rPr>
        <w:t>Table 10</w:t>
      </w:r>
      <w:r w:rsidR="003F5469">
        <w:rPr>
          <w:lang w:eastAsia="en-AU"/>
        </w:rPr>
        <w:t>.</w:t>
      </w:r>
      <w:proofErr w:type="gramEnd"/>
      <w:r w:rsidR="003F5469">
        <w:rPr>
          <w:lang w:eastAsia="en-AU"/>
        </w:rPr>
        <w:t xml:space="preserve"> Summary of safety concerns.</w:t>
      </w:r>
    </w:p>
    <w:tbl>
      <w:tblPr>
        <w:tblStyle w:val="TableTGAblue"/>
        <w:tblW w:w="0" w:type="auto"/>
        <w:tblLook w:val="04A0" w:firstRow="1" w:lastRow="0" w:firstColumn="1" w:lastColumn="0" w:noHBand="0" w:noVBand="1"/>
        <w:tblDescription w:val="Table 10. Summary of safety concerns."/>
      </w:tblPr>
      <w:tblGrid>
        <w:gridCol w:w="2897"/>
        <w:gridCol w:w="5292"/>
      </w:tblGrid>
      <w:tr w:rsidR="00A9081D" w:rsidRPr="006625F4" w14:paraId="6AD89E0C" w14:textId="77777777" w:rsidTr="00A9081D">
        <w:trPr>
          <w:cnfStyle w:val="100000000000" w:firstRow="1" w:lastRow="0" w:firstColumn="0" w:lastColumn="0" w:oddVBand="0" w:evenVBand="0" w:oddHBand="0" w:evenHBand="0" w:firstRowFirstColumn="0" w:firstRowLastColumn="0" w:lastRowFirstColumn="0" w:lastRowLastColumn="0"/>
          <w:trHeight w:val="483"/>
        </w:trPr>
        <w:tc>
          <w:tcPr>
            <w:tcW w:w="8189" w:type="dxa"/>
            <w:gridSpan w:val="2"/>
          </w:tcPr>
          <w:p w14:paraId="6AD89E0B" w14:textId="77777777" w:rsidR="00A9081D" w:rsidRPr="00BF3A4E" w:rsidRDefault="00A9081D" w:rsidP="00BF3A4E">
            <w:pPr>
              <w:rPr>
                <w:sz w:val="20"/>
                <w:szCs w:val="20"/>
              </w:rPr>
            </w:pPr>
            <w:r w:rsidRPr="00BF3A4E">
              <w:rPr>
                <w:sz w:val="20"/>
                <w:szCs w:val="20"/>
              </w:rPr>
              <w:t>Summary of safety concerns</w:t>
            </w:r>
          </w:p>
        </w:tc>
      </w:tr>
      <w:tr w:rsidR="00A9081D" w:rsidRPr="006625F4" w14:paraId="6AD89E0F" w14:textId="77777777" w:rsidTr="00A9081D">
        <w:trPr>
          <w:trHeight w:val="483"/>
        </w:trPr>
        <w:tc>
          <w:tcPr>
            <w:tcW w:w="2897" w:type="dxa"/>
          </w:tcPr>
          <w:p w14:paraId="6AD89E0D" w14:textId="77777777" w:rsidR="00A9081D" w:rsidRPr="00BF3A4E" w:rsidRDefault="00A9081D" w:rsidP="00BF3A4E">
            <w:pPr>
              <w:rPr>
                <w:sz w:val="20"/>
                <w:szCs w:val="20"/>
              </w:rPr>
            </w:pPr>
            <w:r w:rsidRPr="00BF3A4E">
              <w:rPr>
                <w:sz w:val="20"/>
                <w:szCs w:val="20"/>
              </w:rPr>
              <w:t>Important identified risks</w:t>
            </w:r>
          </w:p>
        </w:tc>
        <w:tc>
          <w:tcPr>
            <w:tcW w:w="5292" w:type="dxa"/>
          </w:tcPr>
          <w:p w14:paraId="6AD89E0E" w14:textId="77777777" w:rsidR="00A9081D" w:rsidRPr="00BF3A4E" w:rsidRDefault="00A9081D" w:rsidP="00BF3A4E">
            <w:pPr>
              <w:rPr>
                <w:sz w:val="20"/>
                <w:szCs w:val="20"/>
              </w:rPr>
            </w:pPr>
            <w:r w:rsidRPr="00BF3A4E">
              <w:rPr>
                <w:sz w:val="20"/>
                <w:szCs w:val="20"/>
              </w:rPr>
              <w:t>None</w:t>
            </w:r>
          </w:p>
        </w:tc>
      </w:tr>
      <w:tr w:rsidR="00A9081D" w:rsidRPr="006625F4" w14:paraId="6AD89E13" w14:textId="77777777" w:rsidTr="00A9081D">
        <w:trPr>
          <w:trHeight w:val="842"/>
        </w:trPr>
        <w:tc>
          <w:tcPr>
            <w:tcW w:w="2897" w:type="dxa"/>
          </w:tcPr>
          <w:p w14:paraId="6AD89E10" w14:textId="77777777" w:rsidR="00A9081D" w:rsidRPr="00BF3A4E" w:rsidRDefault="00A9081D" w:rsidP="00BF3A4E">
            <w:pPr>
              <w:rPr>
                <w:sz w:val="20"/>
                <w:szCs w:val="20"/>
              </w:rPr>
            </w:pPr>
            <w:r w:rsidRPr="00BF3A4E">
              <w:rPr>
                <w:sz w:val="20"/>
                <w:szCs w:val="20"/>
              </w:rPr>
              <w:t>Important potential risks</w:t>
            </w:r>
          </w:p>
        </w:tc>
        <w:tc>
          <w:tcPr>
            <w:tcW w:w="5292" w:type="dxa"/>
          </w:tcPr>
          <w:p w14:paraId="6AD89E11" w14:textId="77777777" w:rsidR="00A9081D" w:rsidRPr="00BF3A4E" w:rsidRDefault="00A9081D" w:rsidP="00BF3A4E">
            <w:pPr>
              <w:rPr>
                <w:sz w:val="20"/>
                <w:szCs w:val="20"/>
              </w:rPr>
            </w:pPr>
            <w:r w:rsidRPr="00BF3A4E">
              <w:rPr>
                <w:sz w:val="20"/>
                <w:szCs w:val="20"/>
              </w:rPr>
              <w:t>Skin sensitisation (hypersensitivity)</w:t>
            </w:r>
          </w:p>
          <w:p w14:paraId="6AD89E12" w14:textId="77777777" w:rsidR="00A9081D" w:rsidRPr="00BF3A4E" w:rsidRDefault="00A9081D" w:rsidP="00BF3A4E">
            <w:pPr>
              <w:rPr>
                <w:sz w:val="20"/>
                <w:szCs w:val="20"/>
              </w:rPr>
            </w:pPr>
            <w:r w:rsidRPr="00BF3A4E">
              <w:rPr>
                <w:sz w:val="20"/>
                <w:szCs w:val="20"/>
              </w:rPr>
              <w:t>Accidental oral ingestion</w:t>
            </w:r>
          </w:p>
        </w:tc>
      </w:tr>
      <w:tr w:rsidR="00A9081D" w:rsidRPr="006625F4" w14:paraId="6AD89E1B" w14:textId="77777777" w:rsidTr="00A9081D">
        <w:trPr>
          <w:trHeight w:val="2583"/>
        </w:trPr>
        <w:tc>
          <w:tcPr>
            <w:tcW w:w="2897" w:type="dxa"/>
          </w:tcPr>
          <w:p w14:paraId="6AD89E14" w14:textId="77777777" w:rsidR="00A9081D" w:rsidRPr="00BF3A4E" w:rsidRDefault="00A9081D" w:rsidP="00BF3A4E">
            <w:pPr>
              <w:rPr>
                <w:sz w:val="20"/>
                <w:szCs w:val="20"/>
              </w:rPr>
            </w:pPr>
            <w:r w:rsidRPr="00BF3A4E">
              <w:rPr>
                <w:sz w:val="20"/>
                <w:szCs w:val="20"/>
              </w:rPr>
              <w:t>Missing information</w:t>
            </w:r>
          </w:p>
        </w:tc>
        <w:tc>
          <w:tcPr>
            <w:tcW w:w="5292" w:type="dxa"/>
          </w:tcPr>
          <w:p w14:paraId="6AD89E15" w14:textId="77777777" w:rsidR="00A9081D" w:rsidRPr="00BF3A4E" w:rsidRDefault="00A9081D" w:rsidP="00BF3A4E">
            <w:pPr>
              <w:rPr>
                <w:sz w:val="20"/>
                <w:szCs w:val="20"/>
              </w:rPr>
            </w:pPr>
            <w:r w:rsidRPr="00BF3A4E">
              <w:rPr>
                <w:sz w:val="20"/>
                <w:szCs w:val="20"/>
              </w:rPr>
              <w:t xml:space="preserve">Exposure during </w:t>
            </w:r>
            <w:r w:rsidR="004E1F50" w:rsidRPr="00BF3A4E">
              <w:rPr>
                <w:sz w:val="20"/>
                <w:szCs w:val="20"/>
              </w:rPr>
              <w:t>pregnancy</w:t>
            </w:r>
          </w:p>
          <w:p w14:paraId="6AD89E16" w14:textId="77777777" w:rsidR="00A9081D" w:rsidRPr="00BF3A4E" w:rsidRDefault="00A9081D" w:rsidP="00BF3A4E">
            <w:pPr>
              <w:rPr>
                <w:sz w:val="20"/>
                <w:szCs w:val="20"/>
              </w:rPr>
            </w:pPr>
            <w:r w:rsidRPr="00BF3A4E">
              <w:rPr>
                <w:sz w:val="20"/>
                <w:szCs w:val="20"/>
              </w:rPr>
              <w:t>Exposure during lactation</w:t>
            </w:r>
          </w:p>
          <w:p w14:paraId="6AD89E17" w14:textId="77777777" w:rsidR="00A9081D" w:rsidRPr="00BF3A4E" w:rsidRDefault="00A9081D" w:rsidP="00BF3A4E">
            <w:pPr>
              <w:rPr>
                <w:sz w:val="20"/>
                <w:szCs w:val="20"/>
              </w:rPr>
            </w:pPr>
            <w:r w:rsidRPr="00BF3A4E">
              <w:rPr>
                <w:sz w:val="20"/>
                <w:szCs w:val="20"/>
              </w:rPr>
              <w:t>Use longer than one year</w:t>
            </w:r>
          </w:p>
          <w:p w14:paraId="6AD89E18" w14:textId="77777777" w:rsidR="00A9081D" w:rsidRPr="00BF3A4E" w:rsidRDefault="00A9081D" w:rsidP="00BF3A4E">
            <w:pPr>
              <w:rPr>
                <w:sz w:val="20"/>
                <w:szCs w:val="20"/>
              </w:rPr>
            </w:pPr>
            <w:r w:rsidRPr="00BF3A4E">
              <w:rPr>
                <w:sz w:val="20"/>
                <w:szCs w:val="20"/>
              </w:rPr>
              <w:t>Off label use</w:t>
            </w:r>
          </w:p>
          <w:p w14:paraId="6AD89E19" w14:textId="77777777" w:rsidR="00A9081D" w:rsidRPr="00BF3A4E" w:rsidRDefault="00A9081D" w:rsidP="00BF3A4E">
            <w:pPr>
              <w:rPr>
                <w:sz w:val="20"/>
                <w:szCs w:val="20"/>
              </w:rPr>
            </w:pPr>
            <w:r w:rsidRPr="00BF3A4E">
              <w:rPr>
                <w:sz w:val="20"/>
                <w:szCs w:val="20"/>
              </w:rPr>
              <w:t>Use with other concomitant topical rosacea treatments</w:t>
            </w:r>
          </w:p>
          <w:p w14:paraId="6AD89E1A" w14:textId="77777777" w:rsidR="00A9081D" w:rsidRPr="00BF3A4E" w:rsidRDefault="00A9081D" w:rsidP="00BF3A4E">
            <w:pPr>
              <w:rPr>
                <w:sz w:val="20"/>
                <w:szCs w:val="20"/>
              </w:rPr>
            </w:pPr>
            <w:r w:rsidRPr="00BF3A4E">
              <w:rPr>
                <w:sz w:val="20"/>
                <w:szCs w:val="20"/>
              </w:rPr>
              <w:t>Use with laser or UV radiation</w:t>
            </w:r>
          </w:p>
        </w:tc>
      </w:tr>
    </w:tbl>
    <w:p w14:paraId="6AD89E1C" w14:textId="77777777" w:rsidR="00A9081D" w:rsidRDefault="008E7846" w:rsidP="00A9081D">
      <w:pPr>
        <w:pStyle w:val="Heading4"/>
        <w:rPr>
          <w:lang w:eastAsia="en-AU"/>
        </w:rPr>
      </w:pPr>
      <w:r>
        <w:rPr>
          <w:lang w:eastAsia="en-AU"/>
        </w:rPr>
        <w:t xml:space="preserve">Pharmacovigilance </w:t>
      </w:r>
      <w:r w:rsidR="003A7F6C">
        <w:rPr>
          <w:lang w:eastAsia="en-AU"/>
        </w:rPr>
        <w:t>p</w:t>
      </w:r>
      <w:r>
        <w:rPr>
          <w:lang w:eastAsia="en-AU"/>
        </w:rPr>
        <w:t>lan</w:t>
      </w:r>
    </w:p>
    <w:p w14:paraId="6AD89E1D" w14:textId="77777777" w:rsidR="00A9081D" w:rsidRPr="00A9081D" w:rsidRDefault="00A9081D" w:rsidP="00A9081D">
      <w:r w:rsidRPr="00A9081D">
        <w:t>No studies are ongoing or planned for the product.</w:t>
      </w:r>
    </w:p>
    <w:p w14:paraId="6AD89E1E" w14:textId="77777777" w:rsidR="00A9081D" w:rsidRPr="00A9081D" w:rsidRDefault="00A9081D" w:rsidP="00A9081D">
      <w:r w:rsidRPr="00A9081D">
        <w:t>The sponsor pr</w:t>
      </w:r>
      <w:r w:rsidR="00A213A2">
        <w:t xml:space="preserve">oposes to use only routine risk </w:t>
      </w:r>
      <w:r w:rsidRPr="00A9081D">
        <w:t>minimisation activities to address all ongoing safety concerns.</w:t>
      </w:r>
    </w:p>
    <w:p w14:paraId="6AD89E1F" w14:textId="77777777"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14:paraId="6AD89E20" w14:textId="77777777" w:rsidR="00A9081D" w:rsidRPr="00A9081D" w:rsidRDefault="00A9081D" w:rsidP="00A9081D">
      <w:bookmarkStart w:id="164" w:name="_Toc247691527"/>
      <w:r w:rsidRPr="00A9081D">
        <w:t>The spon</w:t>
      </w:r>
      <w:r w:rsidR="004E1F50">
        <w:t xml:space="preserve">sor concludes that routine risk </w:t>
      </w:r>
      <w:r w:rsidRPr="00A9081D">
        <w:t>minimisation activities are sufficient to address the ongoing safety concerns associated with use of the product.</w:t>
      </w:r>
    </w:p>
    <w:p w14:paraId="6AD89E21" w14:textId="77777777" w:rsidR="00A9081D" w:rsidRPr="006F6336" w:rsidRDefault="006F6336" w:rsidP="00A9081D">
      <w:pPr>
        <w:rPr>
          <w:i/>
        </w:rPr>
      </w:pPr>
      <w:r w:rsidRPr="006F6336">
        <w:rPr>
          <w:i/>
        </w:rPr>
        <w:t>RMP evaluator</w:t>
      </w:r>
      <w:r w:rsidR="00356678" w:rsidRPr="006F6336">
        <w:rPr>
          <w:i/>
        </w:rPr>
        <w:t xml:space="preserve"> comment:</w:t>
      </w:r>
    </w:p>
    <w:p w14:paraId="6AD89E22" w14:textId="77777777" w:rsidR="00A9081D" w:rsidRPr="00A9081D" w:rsidRDefault="00A9081D" w:rsidP="00A9081D">
      <w:r w:rsidRPr="00A9081D">
        <w:t>There are no obje</w:t>
      </w:r>
      <w:r w:rsidR="004E1F50">
        <w:t xml:space="preserve">ctions to use only routine risk </w:t>
      </w:r>
      <w:r w:rsidRPr="00A9081D">
        <w:t>minimi</w:t>
      </w:r>
      <w:r w:rsidR="00A213A2">
        <w:t>sation activities at this time.</w:t>
      </w:r>
    </w:p>
    <w:p w14:paraId="6AD89E23" w14:textId="77777777" w:rsidR="00A9081D" w:rsidRPr="00A9081D" w:rsidRDefault="00A9081D" w:rsidP="006F6336">
      <w:pPr>
        <w:pStyle w:val="Heading5"/>
      </w:pPr>
      <w:bookmarkStart w:id="165" w:name="_Toc268857338"/>
      <w:bookmarkStart w:id="166" w:name="_Toc393879866"/>
      <w:r w:rsidRPr="00A9081D">
        <w:t>Potential for medication errors</w:t>
      </w:r>
      <w:bookmarkEnd w:id="165"/>
      <w:bookmarkEnd w:id="166"/>
    </w:p>
    <w:p w14:paraId="6AD89E24" w14:textId="77777777" w:rsidR="00A9081D" w:rsidRPr="00A9081D" w:rsidRDefault="00A9081D" w:rsidP="00A9081D">
      <w:r w:rsidRPr="00A9081D">
        <w:t>The sponsor states: A total of four medication errors occu</w:t>
      </w:r>
      <w:r w:rsidR="004E1F50">
        <w:t>rred during the two</w:t>
      </w:r>
      <w:r w:rsidR="00356678">
        <w:t xml:space="preserve"> pivotal Phase III</w:t>
      </w:r>
      <w:r w:rsidRPr="00A9081D">
        <w:t xml:space="preserve"> studies all of which concerned the administration of the incorrect randomised treatment.</w:t>
      </w:r>
    </w:p>
    <w:p w14:paraId="6AD89E25" w14:textId="77777777" w:rsidR="00A9081D" w:rsidRPr="00A9081D" w:rsidRDefault="00A9081D" w:rsidP="00A9081D">
      <w:r w:rsidRPr="00A9081D">
        <w:t xml:space="preserve">Preventive measures for the final product(s) being marketed: Related to the possible risk associated with accidental oral ingestion by children, a child resistant cap is added to the final 15, 30, 45 and 60 g marketed product. The product is also presented as a 2 g tube without a child resistant cap intended as a patient sample. The 2 g tube represents at most </w:t>
      </w:r>
      <w:r w:rsidRPr="00A9081D">
        <w:lastRenderedPageBreak/>
        <w:t>2 days of treatment at the recommended dose (approximately 1 g per day) and is expected to be used very quickly (over 1 to 2 days) limiting the amount of time during which accidental exposure could occur. Additionally, the 2 g tube will be clearly labelled and supplied in individual packaging with a PIL which communicates the risk of accidental ingestion to the patient and clearly instructs not to swallow and to keep it out of the sight and reach of children.</w:t>
      </w:r>
    </w:p>
    <w:p w14:paraId="6AD89E26" w14:textId="77777777" w:rsidR="006F25B8" w:rsidRDefault="006F25B8" w:rsidP="006F25B8">
      <w:pPr>
        <w:pStyle w:val="Heading4"/>
        <w:rPr>
          <w:lang w:eastAsia="en-AU"/>
        </w:rPr>
      </w:pPr>
      <w:r w:rsidRPr="006F25B8">
        <w:rPr>
          <w:lang w:eastAsia="en-AU"/>
        </w:rPr>
        <w:t>Reconciliation of is</w:t>
      </w:r>
      <w:r w:rsidR="00BE5FC8">
        <w:rPr>
          <w:lang w:eastAsia="en-AU"/>
        </w:rPr>
        <w:t>sues outlined in the RMP report</w:t>
      </w:r>
    </w:p>
    <w:p w14:paraId="6AD89E27" w14:textId="77777777" w:rsidR="006F25B8" w:rsidRDefault="006F25B8" w:rsidP="006F25B8">
      <w:pPr>
        <w:rPr>
          <w:lang w:eastAsia="en-AU"/>
        </w:rPr>
      </w:pPr>
      <w:r>
        <w:rPr>
          <w:lang w:eastAsia="en-AU"/>
        </w:rPr>
        <w:t xml:space="preserve">Table </w:t>
      </w:r>
      <w:r w:rsidR="00D653C0">
        <w:rPr>
          <w:lang w:eastAsia="en-AU"/>
        </w:rPr>
        <w:t>11</w:t>
      </w:r>
      <w:r w:rsidR="00A213A2">
        <w:rPr>
          <w:lang w:eastAsia="en-AU"/>
        </w:rPr>
        <w:t xml:space="preserve"> summarises the</w:t>
      </w:r>
      <w:r>
        <w:rPr>
          <w:lang w:eastAsia="en-AU"/>
        </w:rPr>
        <w:t xml:space="preserve"> first round evaluation of the RMP, the sponsor’s responses to issues raised by the </w:t>
      </w:r>
      <w:r w:rsidR="00A213A2">
        <w:rPr>
          <w:lang w:eastAsia="en-AU"/>
        </w:rPr>
        <w:t>RMP evaluator and the</w:t>
      </w:r>
      <w:r>
        <w:rPr>
          <w:lang w:eastAsia="en-AU"/>
        </w:rPr>
        <w:t xml:space="preserve"> evaluation of the sponsor’s responses.</w:t>
      </w:r>
    </w:p>
    <w:p w14:paraId="6AD89E28" w14:textId="77777777" w:rsidR="00356678" w:rsidRDefault="00356678" w:rsidP="00356678">
      <w:pPr>
        <w:pStyle w:val="TableTitle"/>
        <w:rPr>
          <w:lang w:eastAsia="en-AU"/>
        </w:rPr>
      </w:pPr>
      <w:proofErr w:type="gramStart"/>
      <w:r>
        <w:rPr>
          <w:lang w:eastAsia="en-AU"/>
        </w:rPr>
        <w:t xml:space="preserve">Table </w:t>
      </w:r>
      <w:r w:rsidR="00D653C0">
        <w:rPr>
          <w:lang w:eastAsia="en-AU"/>
        </w:rPr>
        <w:t>11</w:t>
      </w:r>
      <w:r>
        <w:rPr>
          <w:lang w:eastAsia="en-AU"/>
        </w:rPr>
        <w:t>.</w:t>
      </w:r>
      <w:proofErr w:type="gramEnd"/>
      <w:r>
        <w:rPr>
          <w:lang w:eastAsia="en-AU"/>
        </w:rPr>
        <w:t xml:space="preserve"> Reconciliation of issues outlined in the round 1 RMP Evaluation Report.</w:t>
      </w:r>
    </w:p>
    <w:tbl>
      <w:tblPr>
        <w:tblStyle w:val="TableTGAblue"/>
        <w:tblW w:w="5000" w:type="pct"/>
        <w:jc w:val="center"/>
        <w:tblLayout w:type="fixed"/>
        <w:tblLook w:val="04A0" w:firstRow="1" w:lastRow="0" w:firstColumn="1" w:lastColumn="0" w:noHBand="0" w:noVBand="1"/>
        <w:tblDescription w:val="Table 11. Reconciliation of issues outlined in the round 1 RMP Evaluation Report."/>
      </w:tblPr>
      <w:tblGrid>
        <w:gridCol w:w="3085"/>
        <w:gridCol w:w="3917"/>
        <w:gridCol w:w="1718"/>
      </w:tblGrid>
      <w:tr w:rsidR="00C71FF1" w:rsidRPr="006625F4" w14:paraId="6AD89E2C" w14:textId="77777777" w:rsidTr="00C71FF1">
        <w:trPr>
          <w:cnfStyle w:val="100000000000" w:firstRow="1" w:lastRow="0" w:firstColumn="0" w:lastColumn="0" w:oddVBand="0" w:evenVBand="0" w:oddHBand="0" w:evenHBand="0" w:firstRowFirstColumn="0" w:firstRowLastColumn="0" w:lastRowFirstColumn="0" w:lastRowLastColumn="0"/>
          <w:jc w:val="center"/>
        </w:trPr>
        <w:tc>
          <w:tcPr>
            <w:tcW w:w="1769" w:type="pct"/>
            <w:noWrap/>
          </w:tcPr>
          <w:p w14:paraId="6AD89E29" w14:textId="77777777" w:rsidR="00C71FF1" w:rsidRPr="00BF3A4E" w:rsidRDefault="00C71FF1" w:rsidP="004553BB">
            <w:pPr>
              <w:ind w:left="0" w:right="0"/>
              <w:rPr>
                <w:sz w:val="18"/>
                <w:szCs w:val="18"/>
              </w:rPr>
            </w:pPr>
            <w:r w:rsidRPr="00BF3A4E">
              <w:rPr>
                <w:sz w:val="18"/>
                <w:szCs w:val="18"/>
              </w:rPr>
              <w:t>Recommendation in RMP evaluation report</w:t>
            </w:r>
          </w:p>
        </w:tc>
        <w:tc>
          <w:tcPr>
            <w:tcW w:w="2246" w:type="pct"/>
            <w:noWrap/>
          </w:tcPr>
          <w:p w14:paraId="6AD89E2A" w14:textId="77777777" w:rsidR="00C71FF1" w:rsidRPr="00BF3A4E" w:rsidRDefault="00C71FF1" w:rsidP="004553BB">
            <w:pPr>
              <w:ind w:left="0" w:right="0"/>
              <w:rPr>
                <w:sz w:val="18"/>
                <w:szCs w:val="18"/>
              </w:rPr>
            </w:pPr>
            <w:r w:rsidRPr="00BF3A4E">
              <w:rPr>
                <w:sz w:val="18"/>
                <w:szCs w:val="18"/>
              </w:rPr>
              <w:t>Sponsor’s response (or summary of the response)</w:t>
            </w:r>
          </w:p>
        </w:tc>
        <w:tc>
          <w:tcPr>
            <w:tcW w:w="985" w:type="pct"/>
            <w:noWrap/>
          </w:tcPr>
          <w:p w14:paraId="6AD89E2B" w14:textId="77777777" w:rsidR="00C71FF1" w:rsidRPr="00BF3A4E" w:rsidRDefault="00C71FF1" w:rsidP="004553BB">
            <w:pPr>
              <w:ind w:left="0" w:right="0"/>
              <w:rPr>
                <w:sz w:val="18"/>
                <w:szCs w:val="18"/>
              </w:rPr>
            </w:pPr>
            <w:r w:rsidRPr="00BF3A4E">
              <w:rPr>
                <w:sz w:val="18"/>
                <w:szCs w:val="18"/>
              </w:rPr>
              <w:t>RMP evaluator’s comment</w:t>
            </w:r>
          </w:p>
        </w:tc>
      </w:tr>
      <w:tr w:rsidR="00C71FF1" w:rsidRPr="006625F4" w14:paraId="6AD89E30"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2D" w14:textId="77777777" w:rsidR="00C71FF1" w:rsidRPr="00BF3A4E" w:rsidRDefault="00C71FF1" w:rsidP="004553BB">
            <w:pPr>
              <w:ind w:left="0" w:right="0"/>
              <w:rPr>
                <w:sz w:val="18"/>
                <w:szCs w:val="18"/>
              </w:rPr>
            </w:pPr>
            <w:r w:rsidRPr="00BF3A4E">
              <w:rPr>
                <w:sz w:val="18"/>
                <w:szCs w:val="18"/>
              </w:rPr>
              <w:t xml:space="preserve">1. Safety considerations may be raised by the nonclinical and clinical evaluators through the consolidated </w:t>
            </w:r>
            <w:r w:rsidR="004E1F50" w:rsidRPr="00BF3A4E">
              <w:rPr>
                <w:sz w:val="18"/>
                <w:szCs w:val="18"/>
              </w:rPr>
              <w:t>request for information</w:t>
            </w:r>
            <w:r w:rsidRPr="00BF3A4E">
              <w:rPr>
                <w:sz w:val="18"/>
                <w:szCs w:val="18"/>
              </w:rPr>
              <w:t xml:space="preserve"> and/or the Nonclinical and Clinical Evaluation reports respectively. It is important to ensure that the information provided in response to these </w:t>
            </w:r>
            <w:r w:rsidR="00356678" w:rsidRPr="00BF3A4E">
              <w:rPr>
                <w:sz w:val="18"/>
                <w:szCs w:val="18"/>
              </w:rPr>
              <w:t>includes</w:t>
            </w:r>
            <w:r w:rsidRPr="00BF3A4E">
              <w:rPr>
                <w:sz w:val="18"/>
                <w:szCs w:val="18"/>
              </w:rPr>
              <w:t xml:space="preserve"> a consideration of the relevance for the </w:t>
            </w:r>
            <w:r w:rsidR="004E1F50" w:rsidRPr="00BF3A4E">
              <w:rPr>
                <w:sz w:val="18"/>
                <w:szCs w:val="18"/>
              </w:rPr>
              <w:t>RMP</w:t>
            </w:r>
            <w:r w:rsidRPr="00BF3A4E">
              <w:rPr>
                <w:sz w:val="18"/>
                <w:szCs w:val="18"/>
              </w:rPr>
              <w:t>, and any specific information needed to address this issue in the RMP. For any safety considerations so raised, the sponsor should provide information that is relevant and necessary to address the issue in the RMP.</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2E" w14:textId="77777777" w:rsidR="00C71FF1" w:rsidRPr="00BF3A4E" w:rsidRDefault="00C71FF1" w:rsidP="004553BB">
            <w:pPr>
              <w:ind w:left="0" w:right="0"/>
              <w:rPr>
                <w:sz w:val="18"/>
                <w:szCs w:val="18"/>
              </w:rPr>
            </w:pPr>
            <w:r w:rsidRPr="00BF3A4E">
              <w:rPr>
                <w:sz w:val="18"/>
                <w:szCs w:val="18"/>
              </w:rPr>
              <w:t xml:space="preserve">The </w:t>
            </w:r>
            <w:r w:rsidR="006F6336" w:rsidRPr="00BF3A4E">
              <w:rPr>
                <w:sz w:val="18"/>
                <w:szCs w:val="18"/>
              </w:rPr>
              <w:t>sponsor</w:t>
            </w:r>
            <w:r w:rsidRPr="00BF3A4E">
              <w:rPr>
                <w:sz w:val="18"/>
                <w:szCs w:val="18"/>
              </w:rPr>
              <w:t xml:space="preserve"> acknowledges the comment made by the evaluator and has ensured that any issues raised in other part of the consolidated </w:t>
            </w:r>
            <w:r w:rsidR="004E1F50" w:rsidRPr="00BF3A4E">
              <w:rPr>
                <w:sz w:val="18"/>
                <w:szCs w:val="18"/>
              </w:rPr>
              <w:t xml:space="preserve">request for information </w:t>
            </w:r>
            <w:r w:rsidRPr="00BF3A4E">
              <w:rPr>
                <w:sz w:val="18"/>
                <w:szCs w:val="18"/>
              </w:rPr>
              <w:t xml:space="preserve">reports have been assessed to check their impact on the </w:t>
            </w:r>
            <w:r w:rsidR="00361D2D" w:rsidRPr="00BF3A4E">
              <w:rPr>
                <w:sz w:val="18"/>
                <w:szCs w:val="18"/>
              </w:rPr>
              <w:t>ASA to the Global RMP</w:t>
            </w:r>
            <w:r w:rsidRPr="00BF3A4E">
              <w:rPr>
                <w:sz w:val="18"/>
                <w:szCs w:val="18"/>
              </w:rPr>
              <w:t>. An update to the ASA has been provided along with the current Global RMP.</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2F" w14:textId="77777777" w:rsidR="00C71FF1" w:rsidRPr="00BF3A4E" w:rsidRDefault="00C71FF1" w:rsidP="004553BB">
            <w:pPr>
              <w:ind w:left="0" w:right="0"/>
              <w:rPr>
                <w:sz w:val="18"/>
                <w:szCs w:val="18"/>
              </w:rPr>
            </w:pPr>
            <w:r w:rsidRPr="00BF3A4E">
              <w:rPr>
                <w:sz w:val="18"/>
                <w:szCs w:val="18"/>
              </w:rPr>
              <w:t>The sponsor’s response has been noted.</w:t>
            </w:r>
          </w:p>
        </w:tc>
      </w:tr>
      <w:tr w:rsidR="00C71FF1" w:rsidRPr="006625F4" w14:paraId="6AD89E37"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1" w14:textId="77777777" w:rsidR="00C71FF1" w:rsidRPr="00BF3A4E" w:rsidRDefault="00C71FF1" w:rsidP="004553BB">
            <w:pPr>
              <w:ind w:left="0" w:right="0"/>
              <w:rPr>
                <w:sz w:val="18"/>
                <w:szCs w:val="18"/>
              </w:rPr>
            </w:pPr>
            <w:r w:rsidRPr="00BF3A4E">
              <w:rPr>
                <w:sz w:val="18"/>
                <w:szCs w:val="18"/>
              </w:rPr>
              <w:t>2. Amendments to the table of ongoing safety concerns as detailed.</w:t>
            </w:r>
          </w:p>
          <w:p w14:paraId="6AD89E32" w14:textId="77777777" w:rsidR="00C71FF1" w:rsidRPr="00BF3A4E" w:rsidRDefault="00C71FF1" w:rsidP="004553BB">
            <w:pPr>
              <w:ind w:left="0" w:right="0"/>
              <w:rPr>
                <w:sz w:val="18"/>
                <w:szCs w:val="18"/>
              </w:rPr>
            </w:pPr>
            <w:r w:rsidRPr="00BF3A4E">
              <w:rPr>
                <w:sz w:val="18"/>
                <w:szCs w:val="18"/>
              </w:rPr>
              <w:t>A.) The following exclusion criteria applied for the clinical development program: Subjects exposed to excessive UV radiation within two weeks prior to the Baseline visit, or subjects planning exposure during the study (</w:t>
            </w:r>
            <w:r w:rsidR="006F6336" w:rsidRPr="00BF3A4E">
              <w:rPr>
                <w:sz w:val="18"/>
                <w:szCs w:val="18"/>
              </w:rPr>
              <w:t>for example</w:t>
            </w:r>
            <w:r w:rsidRPr="00BF3A4E">
              <w:rPr>
                <w:sz w:val="18"/>
                <w:szCs w:val="18"/>
              </w:rPr>
              <w:t xml:space="preserve"> phototherapy, occupational exposure to the sun, planned holidays in the sun during the study, tanning salon). Furthermore, a photocarcinogenicity study in hairless mice indicated </w:t>
            </w:r>
            <w:r w:rsidR="00356678" w:rsidRPr="00BF3A4E">
              <w:rPr>
                <w:sz w:val="18"/>
                <w:szCs w:val="18"/>
              </w:rPr>
              <w:t>‘</w:t>
            </w:r>
            <w:r w:rsidRPr="00BF3A4E">
              <w:rPr>
                <w:i/>
                <w:sz w:val="18"/>
                <w:szCs w:val="18"/>
              </w:rPr>
              <w:t xml:space="preserve">Repeated topical administration of ivermectin cream at concentrations of 0.3% and 1.0% enhanced photocarcinogenesis as compared with Vehicle </w:t>
            </w:r>
            <w:r w:rsidR="00F2439E" w:rsidRPr="00BF3A4E">
              <w:rPr>
                <w:i/>
                <w:sz w:val="18"/>
                <w:szCs w:val="18"/>
              </w:rPr>
              <w:t>cream</w:t>
            </w:r>
            <w:r w:rsidR="00356678" w:rsidRPr="00BF3A4E">
              <w:rPr>
                <w:i/>
                <w:sz w:val="18"/>
                <w:szCs w:val="18"/>
              </w:rPr>
              <w:t>’</w:t>
            </w:r>
            <w:r w:rsidRPr="00BF3A4E">
              <w:rPr>
                <w:sz w:val="18"/>
                <w:szCs w:val="18"/>
              </w:rPr>
              <w:t xml:space="preserve">. Given the increased UV exposure of patients through sun light in Australia, compared to most other parts of the </w:t>
            </w:r>
            <w:r w:rsidRPr="00BF3A4E">
              <w:rPr>
                <w:sz w:val="18"/>
                <w:szCs w:val="18"/>
              </w:rPr>
              <w:lastRenderedPageBreak/>
              <w:t xml:space="preserve">world, this is considered important missing information in the Australian context. Consequently, </w:t>
            </w:r>
            <w:r w:rsidR="00356678" w:rsidRPr="00BF3A4E">
              <w:rPr>
                <w:sz w:val="18"/>
                <w:szCs w:val="18"/>
              </w:rPr>
              <w:t>‘</w:t>
            </w:r>
            <w:r w:rsidRPr="00BF3A4E">
              <w:rPr>
                <w:i/>
                <w:sz w:val="18"/>
                <w:szCs w:val="18"/>
              </w:rPr>
              <w:t>Effects of significant UV exposure</w:t>
            </w:r>
            <w:r w:rsidR="00356678" w:rsidRPr="00BF3A4E">
              <w:rPr>
                <w:sz w:val="18"/>
                <w:szCs w:val="18"/>
              </w:rPr>
              <w:t>’</w:t>
            </w:r>
            <w:r w:rsidRPr="00BF3A4E">
              <w:rPr>
                <w:sz w:val="18"/>
                <w:szCs w:val="18"/>
              </w:rPr>
              <w:t>, which should also include occupational and leisurely exposure to sun, should be added as missing information.</w:t>
            </w:r>
          </w:p>
          <w:p w14:paraId="6AD89E33" w14:textId="77777777" w:rsidR="00C71FF1" w:rsidRPr="00BF3A4E" w:rsidRDefault="00C71FF1" w:rsidP="004553BB">
            <w:pPr>
              <w:ind w:left="0" w:right="0"/>
              <w:rPr>
                <w:sz w:val="18"/>
                <w:szCs w:val="18"/>
              </w:rPr>
            </w:pPr>
            <w:r w:rsidRPr="00BF3A4E">
              <w:rPr>
                <w:sz w:val="18"/>
                <w:szCs w:val="18"/>
              </w:rPr>
              <w:t>B.) The following exclusion criteria applied for the clinical developme</w:t>
            </w:r>
            <w:r w:rsidR="00361D2D" w:rsidRPr="00BF3A4E">
              <w:rPr>
                <w:sz w:val="18"/>
                <w:szCs w:val="18"/>
              </w:rPr>
              <w:t>nt program: Subjects suffering p</w:t>
            </w:r>
            <w:r w:rsidRPr="00BF3A4E">
              <w:rPr>
                <w:sz w:val="18"/>
                <w:szCs w:val="18"/>
              </w:rPr>
              <w:t xml:space="preserve">articular forms of rosacea (rosacea </w:t>
            </w:r>
            <w:proofErr w:type="spellStart"/>
            <w:r w:rsidRPr="00BF3A4E">
              <w:rPr>
                <w:sz w:val="18"/>
                <w:szCs w:val="18"/>
              </w:rPr>
              <w:t>conglobata</w:t>
            </w:r>
            <w:proofErr w:type="spellEnd"/>
            <w:r w:rsidRPr="00BF3A4E">
              <w:rPr>
                <w:sz w:val="18"/>
                <w:szCs w:val="18"/>
              </w:rPr>
              <w:t xml:space="preserve">, rosacea </w:t>
            </w:r>
            <w:proofErr w:type="spellStart"/>
            <w:r w:rsidRPr="00BF3A4E">
              <w:rPr>
                <w:sz w:val="18"/>
                <w:szCs w:val="18"/>
              </w:rPr>
              <w:t>fulminans</w:t>
            </w:r>
            <w:proofErr w:type="spellEnd"/>
            <w:r w:rsidRPr="00BF3A4E">
              <w:rPr>
                <w:sz w:val="18"/>
                <w:szCs w:val="18"/>
              </w:rPr>
              <w:t xml:space="preserve">, isolated </w:t>
            </w:r>
            <w:proofErr w:type="spellStart"/>
            <w:r w:rsidRPr="00BF3A4E">
              <w:rPr>
                <w:sz w:val="18"/>
                <w:szCs w:val="18"/>
              </w:rPr>
              <w:t>rhinophyma</w:t>
            </w:r>
            <w:proofErr w:type="spellEnd"/>
            <w:r w:rsidRPr="00BF3A4E">
              <w:rPr>
                <w:sz w:val="18"/>
                <w:szCs w:val="18"/>
              </w:rPr>
              <w:t xml:space="preserve">, </w:t>
            </w:r>
            <w:proofErr w:type="gramStart"/>
            <w:r w:rsidRPr="00BF3A4E">
              <w:rPr>
                <w:sz w:val="18"/>
                <w:szCs w:val="18"/>
              </w:rPr>
              <w:t>isolated</w:t>
            </w:r>
            <w:proofErr w:type="gramEnd"/>
            <w:r w:rsidRPr="00BF3A4E">
              <w:rPr>
                <w:sz w:val="18"/>
                <w:szCs w:val="18"/>
              </w:rPr>
              <w:t xml:space="preserve"> </w:t>
            </w:r>
            <w:proofErr w:type="spellStart"/>
            <w:r w:rsidRPr="00BF3A4E">
              <w:rPr>
                <w:sz w:val="18"/>
                <w:szCs w:val="18"/>
              </w:rPr>
              <w:t>pustulosis</w:t>
            </w:r>
            <w:proofErr w:type="spellEnd"/>
            <w:r w:rsidRPr="00BF3A4E">
              <w:rPr>
                <w:sz w:val="18"/>
                <w:szCs w:val="18"/>
              </w:rPr>
              <w:t xml:space="preserve"> of the chin) or other facial dermatoses that may be confounded with </w:t>
            </w:r>
            <w:r w:rsidR="00361D2D" w:rsidRPr="00BF3A4E">
              <w:rPr>
                <w:sz w:val="18"/>
                <w:szCs w:val="18"/>
              </w:rPr>
              <w:t>PPR</w:t>
            </w:r>
            <w:r w:rsidRPr="00BF3A4E">
              <w:rPr>
                <w:sz w:val="18"/>
                <w:szCs w:val="18"/>
              </w:rPr>
              <w:t xml:space="preserve"> such as peri-oral dermatitis, facial keratosis pilaris, seborrheic dermatitis and acne. Hence, no safety data was collected for these particular patient groups during the clinical development program. It is recommended that these patient groups be added as missing information. Pharmacovigilance and risk-minimisation activities are to be assigned to this missing information as appropriate.</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4" w14:textId="77777777" w:rsidR="00C71FF1" w:rsidRPr="00BF3A4E" w:rsidRDefault="00C71FF1" w:rsidP="004553BB">
            <w:pPr>
              <w:ind w:left="0" w:right="0"/>
              <w:rPr>
                <w:sz w:val="18"/>
                <w:szCs w:val="18"/>
              </w:rPr>
            </w:pPr>
            <w:r w:rsidRPr="00BF3A4E">
              <w:rPr>
                <w:sz w:val="18"/>
                <w:szCs w:val="18"/>
              </w:rPr>
              <w:lastRenderedPageBreak/>
              <w:t xml:space="preserve">A.) and B.) The </w:t>
            </w:r>
            <w:r w:rsidR="006F6336" w:rsidRPr="00BF3A4E">
              <w:rPr>
                <w:sz w:val="18"/>
                <w:szCs w:val="18"/>
              </w:rPr>
              <w:t>sponsor</w:t>
            </w:r>
            <w:r w:rsidRPr="00BF3A4E">
              <w:rPr>
                <w:sz w:val="18"/>
                <w:szCs w:val="18"/>
              </w:rPr>
              <w:t xml:space="preserve"> acknowledges the comment made by the evaluator; however, as explained in previous responses to comments made in the first round </w:t>
            </w:r>
            <w:r w:rsidR="006F6336" w:rsidRPr="00BF3A4E">
              <w:rPr>
                <w:sz w:val="18"/>
                <w:szCs w:val="18"/>
              </w:rPr>
              <w:t>RMP evaluation r</w:t>
            </w:r>
            <w:r w:rsidRPr="00BF3A4E">
              <w:rPr>
                <w:sz w:val="18"/>
                <w:szCs w:val="18"/>
              </w:rPr>
              <w:t>eport, no update of the global RMP is planned. Further clarifications have been added to the PI and CMI so as to take into account these safety considerations. In addition,</w:t>
            </w:r>
            <w:r w:rsidR="004E1F50" w:rsidRPr="00BF3A4E">
              <w:rPr>
                <w:sz w:val="18"/>
                <w:szCs w:val="18"/>
              </w:rPr>
              <w:t xml:space="preserve"> the ASA</w:t>
            </w:r>
            <w:r w:rsidRPr="00BF3A4E">
              <w:rPr>
                <w:sz w:val="18"/>
                <w:szCs w:val="18"/>
              </w:rPr>
              <w:t xml:space="preserve"> of the global RMP will be updated.</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5" w14:textId="77777777" w:rsidR="00C71FF1" w:rsidRPr="00BF3A4E" w:rsidRDefault="00C71FF1" w:rsidP="004553BB">
            <w:pPr>
              <w:ind w:left="0" w:right="0"/>
              <w:rPr>
                <w:sz w:val="18"/>
                <w:szCs w:val="18"/>
              </w:rPr>
            </w:pPr>
            <w:r w:rsidRPr="00BF3A4E">
              <w:rPr>
                <w:sz w:val="18"/>
                <w:szCs w:val="18"/>
              </w:rPr>
              <w:t>This recommendation remains.</w:t>
            </w:r>
          </w:p>
          <w:p w14:paraId="6AD89E36" w14:textId="77777777" w:rsidR="00C71FF1" w:rsidRPr="00BF3A4E" w:rsidRDefault="00C71FF1" w:rsidP="004553BB">
            <w:pPr>
              <w:ind w:left="0" w:right="0"/>
              <w:rPr>
                <w:sz w:val="18"/>
                <w:szCs w:val="18"/>
              </w:rPr>
            </w:pPr>
            <w:r w:rsidRPr="00BF3A4E">
              <w:rPr>
                <w:sz w:val="18"/>
                <w:szCs w:val="18"/>
              </w:rPr>
              <w:t>These patient groups were excluded from the clinical development program and therefore, no information is available regarding the safe use of the product for these patients groups. Of note, these patient groups will be relevant for the real world use of the product.</w:t>
            </w:r>
          </w:p>
        </w:tc>
      </w:tr>
      <w:tr w:rsidR="00C71FF1" w:rsidRPr="006625F4" w14:paraId="6AD89E3E"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8" w14:textId="77777777" w:rsidR="00C71FF1" w:rsidRPr="00BF3A4E" w:rsidRDefault="00C71FF1" w:rsidP="004553BB">
            <w:pPr>
              <w:ind w:left="0" w:right="0"/>
              <w:rPr>
                <w:sz w:val="18"/>
                <w:szCs w:val="18"/>
              </w:rPr>
            </w:pPr>
            <w:r w:rsidRPr="00BF3A4E">
              <w:rPr>
                <w:sz w:val="18"/>
                <w:szCs w:val="18"/>
              </w:rPr>
              <w:lastRenderedPageBreak/>
              <w:t>3. The sponsor should confirm whether the 2 g cream tube will be sealed with an aluminium lid which needs to be punctured in order to retrieve the cream form in the tube. If this is the case, the handling of the issue of medication errors by the sponsor would be considered acceptable. If this is not the case, then it is recommended that the 2 g cream tube also be fitted with a child resistant cap</w:t>
            </w:r>
            <w:r w:rsidR="00877FE5" w:rsidRPr="00BF3A4E">
              <w:rPr>
                <w:sz w:val="18"/>
                <w:szCs w:val="18"/>
              </w:rPr>
              <w:t xml:space="preserve"> (CRC)</w:t>
            </w:r>
            <w:r w:rsidRPr="00BF3A4E">
              <w:rPr>
                <w:sz w:val="18"/>
                <w:szCs w:val="18"/>
              </w:rPr>
              <w:t>.</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9" w14:textId="77777777" w:rsidR="00C71FF1" w:rsidRPr="00BF3A4E" w:rsidRDefault="00C71FF1" w:rsidP="004553BB">
            <w:pPr>
              <w:ind w:left="0" w:right="0"/>
              <w:rPr>
                <w:sz w:val="18"/>
                <w:szCs w:val="18"/>
              </w:rPr>
            </w:pPr>
            <w:r w:rsidRPr="00BF3A4E">
              <w:rPr>
                <w:sz w:val="18"/>
                <w:szCs w:val="18"/>
              </w:rPr>
              <w:t>T</w:t>
            </w:r>
            <w:r w:rsidR="00877FE5" w:rsidRPr="00BF3A4E">
              <w:rPr>
                <w:sz w:val="18"/>
                <w:szCs w:val="18"/>
              </w:rPr>
              <w:t xml:space="preserve">he 2 g non-child resistant cap </w:t>
            </w:r>
            <w:r w:rsidRPr="00BF3A4E">
              <w:rPr>
                <w:sz w:val="18"/>
                <w:szCs w:val="18"/>
              </w:rPr>
              <w:t xml:space="preserve">tube of </w:t>
            </w:r>
            <w:r w:rsidR="006D61C3" w:rsidRPr="00BF3A4E">
              <w:rPr>
                <w:sz w:val="18"/>
                <w:szCs w:val="18"/>
              </w:rPr>
              <w:t>ivermectin</w:t>
            </w:r>
            <w:r w:rsidRPr="00BF3A4E">
              <w:rPr>
                <w:sz w:val="18"/>
                <w:szCs w:val="18"/>
              </w:rPr>
              <w:t xml:space="preserve"> 1% cream is a physician’s sample only.</w:t>
            </w:r>
          </w:p>
          <w:p w14:paraId="6AD89E3A" w14:textId="77777777" w:rsidR="00C71FF1" w:rsidRPr="00BF3A4E" w:rsidRDefault="00C71FF1" w:rsidP="004553BB">
            <w:pPr>
              <w:ind w:left="0" w:right="0"/>
              <w:rPr>
                <w:sz w:val="18"/>
                <w:szCs w:val="18"/>
              </w:rPr>
            </w:pPr>
            <w:r w:rsidRPr="00BF3A4E">
              <w:rPr>
                <w:sz w:val="18"/>
                <w:szCs w:val="18"/>
              </w:rPr>
              <w:t>Published data</w:t>
            </w:r>
            <w:r w:rsidRPr="00BF3A4E">
              <w:rPr>
                <w:rStyle w:val="FootnoteReference"/>
                <w:sz w:val="18"/>
                <w:szCs w:val="18"/>
              </w:rPr>
              <w:footnoteReference w:id="24"/>
            </w:r>
            <w:r w:rsidR="00877FE5" w:rsidRPr="00BF3A4E">
              <w:rPr>
                <w:sz w:val="18"/>
                <w:szCs w:val="18"/>
              </w:rPr>
              <w:t xml:space="preserve"> </w:t>
            </w:r>
            <w:r w:rsidRPr="00BF3A4E">
              <w:rPr>
                <w:sz w:val="18"/>
                <w:szCs w:val="18"/>
              </w:rPr>
              <w:t xml:space="preserve">have shown that oral administration of ivermectin tablets to adult subjects at doses up to 2 mg/kg was not associated with any adverse reactions and was generally well tolerated. An accidental oral ingestion of a full tube containing 2 g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(20 mg of ivermectin) by a child weighing ≥ 10 kg would correspond to a dose (≤ 2 mg/kg) which did not induce signs of toxicity in the above mentioned safety and tolerability study.</w:t>
            </w:r>
          </w:p>
          <w:p w14:paraId="6AD89E3B" w14:textId="77777777" w:rsidR="00C71FF1" w:rsidRPr="00BF3A4E" w:rsidRDefault="00C71FF1" w:rsidP="004553BB">
            <w:pPr>
              <w:ind w:left="0" w:right="0"/>
              <w:rPr>
                <w:sz w:val="18"/>
                <w:szCs w:val="18"/>
              </w:rPr>
            </w:pPr>
            <w:r w:rsidRPr="00BF3A4E">
              <w:rPr>
                <w:sz w:val="18"/>
                <w:szCs w:val="18"/>
              </w:rPr>
              <w:t xml:space="preserve">The 2 g tube represents at most 2 days of treatment at the recommended dose (approximately 1 g per day) and is expected to be used very quickly (over 1 to 2 days), thus limiting the amount of time during which accidental exposure could occur. It is </w:t>
            </w:r>
            <w:r w:rsidRPr="00BF3A4E">
              <w:rPr>
                <w:sz w:val="18"/>
                <w:szCs w:val="18"/>
              </w:rPr>
              <w:lastRenderedPageBreak/>
              <w:t>anticipated that the first dose (1 g) will be applied in the doctor’s clinic, demonstrating how the cream is to be applied. Thus, it is expected that most patients will only take home a tube with 1 g inside. Additionally, the 2 g tube will be clearly labelled and supplied in individual packaging with a Consumer Medicines Information (CMI) leaflet which communicates the risk of accidental ingestion to the patient, and clearly instructs not to swallow and to keep it out of the reach of children.</w:t>
            </w:r>
          </w:p>
          <w:p w14:paraId="6AD89E3C" w14:textId="77777777" w:rsidR="00C71FF1" w:rsidRPr="00BF3A4E" w:rsidRDefault="00C71FF1" w:rsidP="004553BB">
            <w:pPr>
              <w:ind w:left="0" w:right="0"/>
              <w:rPr>
                <w:sz w:val="18"/>
                <w:szCs w:val="18"/>
              </w:rPr>
            </w:pPr>
            <w:r w:rsidRPr="00BF3A4E">
              <w:rPr>
                <w:sz w:val="18"/>
                <w:szCs w:val="18"/>
              </w:rPr>
              <w:t xml:space="preserve">The risk of accidental oral ingestion medication errors with a 2 g tube is considered negligible. The </w:t>
            </w:r>
            <w:r w:rsidR="006F6336" w:rsidRPr="00BF3A4E">
              <w:rPr>
                <w:sz w:val="18"/>
                <w:szCs w:val="18"/>
              </w:rPr>
              <w:t>sponsor</w:t>
            </w:r>
            <w:r w:rsidRPr="00BF3A4E">
              <w:rPr>
                <w:sz w:val="18"/>
                <w:szCs w:val="18"/>
              </w:rPr>
              <w:t xml:space="preserve"> confirms that 2 g sample tubes are not sealed with an </w:t>
            </w:r>
            <w:r w:rsidR="00877FE5" w:rsidRPr="00BF3A4E">
              <w:rPr>
                <w:sz w:val="18"/>
                <w:szCs w:val="18"/>
              </w:rPr>
              <w:t>aluminium</w:t>
            </w:r>
            <w:r w:rsidRPr="00BF3A4E">
              <w:rPr>
                <w:sz w:val="18"/>
                <w:szCs w:val="18"/>
              </w:rPr>
              <w:t xml:space="preserve"> lid nor fitted with a CRC, however given the negligible safety risk for accidental oral </w:t>
            </w:r>
            <w:proofErr w:type="gramStart"/>
            <w:r w:rsidRPr="00BF3A4E">
              <w:rPr>
                <w:sz w:val="18"/>
                <w:szCs w:val="18"/>
              </w:rPr>
              <w:t>ingestion,</w:t>
            </w:r>
            <w:proofErr w:type="gramEnd"/>
            <w:r w:rsidRPr="00BF3A4E">
              <w:rPr>
                <w:sz w:val="18"/>
                <w:szCs w:val="18"/>
              </w:rPr>
              <w:t xml:space="preserve"> the </w:t>
            </w:r>
            <w:r w:rsidR="006F6336" w:rsidRPr="00BF3A4E">
              <w:rPr>
                <w:sz w:val="18"/>
                <w:szCs w:val="18"/>
              </w:rPr>
              <w:t>sponsor</w:t>
            </w:r>
            <w:r w:rsidRPr="00BF3A4E">
              <w:rPr>
                <w:sz w:val="18"/>
                <w:szCs w:val="18"/>
              </w:rPr>
              <w:t xml:space="preserve"> believes that the implementation of the seal or CRC is not necessary.</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D" w14:textId="77777777" w:rsidR="00C71FF1" w:rsidRPr="00BF3A4E" w:rsidRDefault="00C71FF1" w:rsidP="004553BB">
            <w:pPr>
              <w:ind w:left="0" w:right="0"/>
              <w:rPr>
                <w:sz w:val="18"/>
                <w:szCs w:val="18"/>
              </w:rPr>
            </w:pPr>
            <w:r w:rsidRPr="00BF3A4E">
              <w:rPr>
                <w:sz w:val="18"/>
                <w:szCs w:val="18"/>
              </w:rPr>
              <w:lastRenderedPageBreak/>
              <w:t>The sponsor’s response has been noted.</w:t>
            </w:r>
          </w:p>
        </w:tc>
      </w:tr>
      <w:tr w:rsidR="00C71FF1" w:rsidRPr="006625F4" w14:paraId="6AD89E42"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3F" w14:textId="77777777" w:rsidR="00C71FF1" w:rsidRPr="00BF3A4E" w:rsidRDefault="00877FE5" w:rsidP="004553BB">
            <w:pPr>
              <w:ind w:left="0" w:right="0"/>
              <w:rPr>
                <w:sz w:val="18"/>
                <w:szCs w:val="18"/>
              </w:rPr>
            </w:pPr>
            <w:r w:rsidRPr="00BF3A4E">
              <w:rPr>
                <w:sz w:val="18"/>
                <w:szCs w:val="18"/>
              </w:rPr>
              <w:lastRenderedPageBreak/>
              <w:t>4.</w:t>
            </w:r>
            <w:r w:rsidR="00C71FF1" w:rsidRPr="00BF3A4E">
              <w:rPr>
                <w:sz w:val="18"/>
                <w:szCs w:val="18"/>
              </w:rPr>
              <w:t xml:space="preserve"> The sponsor should provide a table which includes a comparison of the actual content and wording of the </w:t>
            </w:r>
            <w:r w:rsidR="00C66A55" w:rsidRPr="00BF3A4E">
              <w:rPr>
                <w:sz w:val="18"/>
                <w:szCs w:val="18"/>
              </w:rPr>
              <w:t>European Summary of Product Characteristics (</w:t>
            </w:r>
            <w:r w:rsidR="00C71FF1" w:rsidRPr="00BF3A4E">
              <w:rPr>
                <w:sz w:val="18"/>
                <w:szCs w:val="18"/>
              </w:rPr>
              <w:t xml:space="preserve">EU </w:t>
            </w:r>
            <w:proofErr w:type="spellStart"/>
            <w:r w:rsidR="00C71FF1" w:rsidRPr="00BF3A4E">
              <w:rPr>
                <w:sz w:val="18"/>
                <w:szCs w:val="18"/>
              </w:rPr>
              <w:t>SmPC</w:t>
            </w:r>
            <w:proofErr w:type="spellEnd"/>
            <w:r w:rsidR="00C66A55" w:rsidRPr="00BF3A4E">
              <w:rPr>
                <w:sz w:val="18"/>
                <w:szCs w:val="18"/>
              </w:rPr>
              <w:t>)</w:t>
            </w:r>
            <w:r w:rsidR="00C71FF1" w:rsidRPr="00BF3A4E">
              <w:rPr>
                <w:sz w:val="18"/>
                <w:szCs w:val="18"/>
              </w:rPr>
              <w:t xml:space="preserve"> </w:t>
            </w:r>
            <w:r w:rsidR="00C66A55" w:rsidRPr="00BF3A4E">
              <w:rPr>
                <w:sz w:val="18"/>
                <w:szCs w:val="18"/>
              </w:rPr>
              <w:t>and the proposed Australian PI and</w:t>
            </w:r>
            <w:r w:rsidR="00C71FF1" w:rsidRPr="00BF3A4E">
              <w:rPr>
                <w:sz w:val="18"/>
                <w:szCs w:val="18"/>
              </w:rPr>
              <w:t xml:space="preserve"> CMI for all the specified ongoing safety concerns and missing information.</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0" w14:textId="77777777" w:rsidR="00C71FF1" w:rsidRPr="00BF3A4E" w:rsidRDefault="00C71FF1" w:rsidP="004553BB">
            <w:pPr>
              <w:ind w:left="0" w:right="0"/>
              <w:rPr>
                <w:sz w:val="18"/>
                <w:szCs w:val="18"/>
              </w:rPr>
            </w:pPr>
            <w:r w:rsidRPr="00BF3A4E">
              <w:rPr>
                <w:sz w:val="18"/>
                <w:szCs w:val="18"/>
              </w:rPr>
              <w:t xml:space="preserve">The </w:t>
            </w:r>
            <w:r w:rsidR="006F6336" w:rsidRPr="00BF3A4E">
              <w:rPr>
                <w:sz w:val="18"/>
                <w:szCs w:val="18"/>
              </w:rPr>
              <w:t>sponsor</w:t>
            </w:r>
            <w:r w:rsidRPr="00BF3A4E">
              <w:rPr>
                <w:sz w:val="18"/>
                <w:szCs w:val="18"/>
              </w:rPr>
              <w:t xml:space="preserve"> has made a comparison of the </w:t>
            </w:r>
            <w:r w:rsidR="00C66A55" w:rsidRPr="00BF3A4E">
              <w:rPr>
                <w:sz w:val="18"/>
                <w:szCs w:val="18"/>
              </w:rPr>
              <w:t xml:space="preserve">EU </w:t>
            </w:r>
            <w:proofErr w:type="spellStart"/>
            <w:r w:rsidR="00C66A55" w:rsidRPr="00BF3A4E">
              <w:rPr>
                <w:sz w:val="18"/>
                <w:szCs w:val="18"/>
              </w:rPr>
              <w:t>SmPC</w:t>
            </w:r>
            <w:proofErr w:type="spellEnd"/>
            <w:r w:rsidR="00877FE5" w:rsidRPr="00BF3A4E">
              <w:rPr>
                <w:sz w:val="18"/>
                <w:szCs w:val="18"/>
              </w:rPr>
              <w:t xml:space="preserve"> </w:t>
            </w:r>
            <w:r w:rsidRPr="00BF3A4E">
              <w:rPr>
                <w:sz w:val="18"/>
                <w:szCs w:val="18"/>
              </w:rPr>
              <w:t xml:space="preserve">with the </w:t>
            </w:r>
            <w:r w:rsidR="00C66A55" w:rsidRPr="00BF3A4E">
              <w:rPr>
                <w:sz w:val="18"/>
                <w:szCs w:val="18"/>
              </w:rPr>
              <w:t>proposed amended Australian PI and</w:t>
            </w:r>
            <w:r w:rsidRPr="00BF3A4E">
              <w:rPr>
                <w:sz w:val="18"/>
                <w:szCs w:val="18"/>
              </w:rPr>
              <w:t xml:space="preserve"> CMI. The resulting table is provided in the ASA.</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1" w14:textId="77777777" w:rsidR="00C71FF1" w:rsidRPr="00BF3A4E" w:rsidRDefault="00C71FF1" w:rsidP="004553BB">
            <w:pPr>
              <w:ind w:left="0" w:right="0"/>
              <w:rPr>
                <w:sz w:val="18"/>
                <w:szCs w:val="18"/>
              </w:rPr>
            </w:pPr>
            <w:r w:rsidRPr="00BF3A4E">
              <w:rPr>
                <w:sz w:val="18"/>
                <w:szCs w:val="18"/>
              </w:rPr>
              <w:t>This is considered acceptable.</w:t>
            </w:r>
          </w:p>
        </w:tc>
      </w:tr>
      <w:tr w:rsidR="00C71FF1" w:rsidRPr="006625F4" w14:paraId="6AD89E4A"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3" w14:textId="77777777" w:rsidR="00C71FF1" w:rsidRPr="00BF3A4E" w:rsidRDefault="00877FE5" w:rsidP="004553BB">
            <w:pPr>
              <w:ind w:left="0" w:right="0"/>
              <w:rPr>
                <w:sz w:val="18"/>
                <w:szCs w:val="18"/>
              </w:rPr>
            </w:pPr>
            <w:r w:rsidRPr="00BF3A4E">
              <w:rPr>
                <w:sz w:val="18"/>
                <w:szCs w:val="18"/>
              </w:rPr>
              <w:t>5.</w:t>
            </w:r>
            <w:r w:rsidR="00C71FF1" w:rsidRPr="00BF3A4E">
              <w:rPr>
                <w:sz w:val="18"/>
                <w:szCs w:val="18"/>
              </w:rPr>
              <w:t xml:space="preserve"> The following patient populations were excluded from the clinical development program:</w:t>
            </w:r>
          </w:p>
          <w:p w14:paraId="6AD89E44" w14:textId="77777777" w:rsidR="00C71FF1" w:rsidRPr="00BF3A4E" w:rsidRDefault="00C71FF1" w:rsidP="004553BB">
            <w:pPr>
              <w:ind w:left="0" w:right="0"/>
              <w:rPr>
                <w:sz w:val="18"/>
                <w:szCs w:val="18"/>
              </w:rPr>
            </w:pPr>
            <w:r w:rsidRPr="00BF3A4E">
              <w:rPr>
                <w:sz w:val="18"/>
                <w:szCs w:val="18"/>
              </w:rPr>
              <w:t>Subjects exposed to excessive UV radiation within two weeks prior to the Baseline visit, or subjects planning exposure during the study (</w:t>
            </w:r>
            <w:r w:rsidR="00C66A55" w:rsidRPr="00BF3A4E">
              <w:rPr>
                <w:sz w:val="18"/>
                <w:szCs w:val="18"/>
              </w:rPr>
              <w:t>for example,</w:t>
            </w:r>
            <w:r w:rsidRPr="00BF3A4E">
              <w:rPr>
                <w:sz w:val="18"/>
                <w:szCs w:val="18"/>
              </w:rPr>
              <w:t xml:space="preserve"> phototherapy, occupational exposure to the sun, planned holidays in the sun during</w:t>
            </w:r>
            <w:r w:rsidR="00C66A55" w:rsidRPr="00BF3A4E">
              <w:rPr>
                <w:sz w:val="18"/>
                <w:szCs w:val="18"/>
              </w:rPr>
              <w:t xml:space="preserve"> the study, tanning salon). The </w:t>
            </w:r>
            <w:r w:rsidRPr="00BF3A4E">
              <w:rPr>
                <w:sz w:val="18"/>
                <w:szCs w:val="18"/>
              </w:rPr>
              <w:t>sponsor should describe in the PI that no data about the safety of the product in these patient populations is available</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5" w14:textId="77777777" w:rsidR="00C71FF1" w:rsidRPr="00BF3A4E" w:rsidRDefault="00C71FF1" w:rsidP="004553BB">
            <w:pPr>
              <w:ind w:left="0" w:right="0"/>
              <w:rPr>
                <w:sz w:val="18"/>
                <w:szCs w:val="18"/>
              </w:rPr>
            </w:pPr>
            <w:r w:rsidRPr="00BF3A4E">
              <w:rPr>
                <w:sz w:val="18"/>
                <w:szCs w:val="18"/>
              </w:rPr>
              <w:t xml:space="preserve">The </w:t>
            </w:r>
            <w:r w:rsidR="006F6336" w:rsidRPr="00BF3A4E">
              <w:rPr>
                <w:sz w:val="18"/>
                <w:szCs w:val="18"/>
              </w:rPr>
              <w:t>sponsor</w:t>
            </w:r>
            <w:r w:rsidRPr="00BF3A4E">
              <w:rPr>
                <w:sz w:val="18"/>
                <w:szCs w:val="18"/>
              </w:rPr>
              <w:t xml:space="preserve"> agrees with the RMP evaluator with regards to the lack of safety data available in patients exposed to excessive UV radiation. Steps were taken in the clinical development</w:t>
            </w:r>
            <w:r w:rsidR="00877FE5" w:rsidRPr="00BF3A4E">
              <w:rPr>
                <w:sz w:val="18"/>
                <w:szCs w:val="18"/>
              </w:rPr>
              <w:t xml:space="preserve"> </w:t>
            </w:r>
            <w:r w:rsidRPr="00BF3A4E">
              <w:rPr>
                <w:sz w:val="18"/>
                <w:szCs w:val="18"/>
              </w:rPr>
              <w:t xml:space="preserve">program of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to exclude participants with previous exposure to ultraviolet</w:t>
            </w:r>
            <w:r w:rsidR="00877FE5" w:rsidRPr="00BF3A4E">
              <w:rPr>
                <w:sz w:val="18"/>
                <w:szCs w:val="18"/>
              </w:rPr>
              <w:t xml:space="preserve"> </w:t>
            </w:r>
            <w:r w:rsidRPr="00BF3A4E">
              <w:rPr>
                <w:sz w:val="18"/>
                <w:szCs w:val="18"/>
              </w:rPr>
              <w:t>(UV) light, and to avoid excessive sun exposure during the studies. Therefore no safety data have been obtained in subjects exposed to excessive UV light. In addition, it has been published that all patients with rosacea should be recommended a gentle skin care routine and a photo</w:t>
            </w:r>
            <w:r w:rsidR="00877FE5" w:rsidRPr="00BF3A4E">
              <w:rPr>
                <w:sz w:val="18"/>
                <w:szCs w:val="18"/>
              </w:rPr>
              <w:t xml:space="preserve"> </w:t>
            </w:r>
            <w:r w:rsidRPr="00BF3A4E">
              <w:rPr>
                <w:sz w:val="18"/>
                <w:szCs w:val="18"/>
              </w:rPr>
              <w:t>protection regimen due to the sensitiv</w:t>
            </w:r>
            <w:r w:rsidR="005D7E16" w:rsidRPr="00BF3A4E">
              <w:rPr>
                <w:sz w:val="18"/>
                <w:szCs w:val="18"/>
              </w:rPr>
              <w:t>ity of the skin</w:t>
            </w:r>
            <w:r w:rsidRPr="00BF3A4E">
              <w:rPr>
                <w:sz w:val="18"/>
                <w:szCs w:val="18"/>
              </w:rPr>
              <w:t>.</w:t>
            </w:r>
            <w:r w:rsidR="00877FE5" w:rsidRPr="00BF3A4E">
              <w:rPr>
                <w:rStyle w:val="FootnoteReference"/>
                <w:sz w:val="18"/>
                <w:szCs w:val="18"/>
              </w:rPr>
              <w:footnoteReference w:id="25"/>
            </w:r>
            <w:r w:rsidRPr="00BF3A4E">
              <w:rPr>
                <w:sz w:val="18"/>
                <w:szCs w:val="18"/>
              </w:rPr>
              <w:t xml:space="preserve"> Therefore, the </w:t>
            </w:r>
            <w:r w:rsidR="006F6336" w:rsidRPr="00BF3A4E">
              <w:rPr>
                <w:sz w:val="18"/>
                <w:szCs w:val="18"/>
              </w:rPr>
              <w:t>sponsor</w:t>
            </w:r>
            <w:r w:rsidRPr="00BF3A4E">
              <w:rPr>
                <w:sz w:val="18"/>
                <w:szCs w:val="18"/>
              </w:rPr>
              <w:t xml:space="preserve"> agrees that appropriate protection from UV light must be applied by patients. The </w:t>
            </w:r>
            <w:r w:rsidR="005D7E16" w:rsidRPr="00BF3A4E">
              <w:rPr>
                <w:sz w:val="18"/>
                <w:szCs w:val="18"/>
              </w:rPr>
              <w:t>PI</w:t>
            </w:r>
            <w:r w:rsidRPr="00BF3A4E">
              <w:rPr>
                <w:sz w:val="18"/>
                <w:szCs w:val="18"/>
              </w:rPr>
              <w:t xml:space="preserve"> and </w:t>
            </w:r>
            <w:r w:rsidR="005D7E16" w:rsidRPr="00BF3A4E">
              <w:rPr>
                <w:sz w:val="18"/>
                <w:szCs w:val="18"/>
              </w:rPr>
              <w:t>CMI</w:t>
            </w:r>
            <w:r w:rsidR="006F6336" w:rsidRPr="00BF3A4E">
              <w:rPr>
                <w:sz w:val="18"/>
                <w:szCs w:val="18"/>
              </w:rPr>
              <w:t xml:space="preserve"> </w:t>
            </w:r>
            <w:r w:rsidRPr="00BF3A4E">
              <w:rPr>
                <w:sz w:val="18"/>
                <w:szCs w:val="18"/>
              </w:rPr>
              <w:t>have been updated accordingly:</w:t>
            </w:r>
          </w:p>
          <w:p w14:paraId="6AD89E46" w14:textId="77777777" w:rsidR="00C71FF1" w:rsidRPr="00BF3A4E" w:rsidRDefault="00356678" w:rsidP="004553BB">
            <w:pPr>
              <w:ind w:left="0" w:right="0"/>
              <w:rPr>
                <w:sz w:val="18"/>
                <w:szCs w:val="18"/>
              </w:rPr>
            </w:pPr>
            <w:r w:rsidRPr="00BF3A4E">
              <w:rPr>
                <w:sz w:val="18"/>
                <w:szCs w:val="18"/>
              </w:rPr>
              <w:t>‘</w:t>
            </w:r>
            <w:r w:rsidR="00C71FF1" w:rsidRPr="00BF3A4E">
              <w:rPr>
                <w:i/>
                <w:sz w:val="18"/>
                <w:szCs w:val="18"/>
              </w:rPr>
              <w:t>High sunscreen protection factor (SPF) sunscreens or other sun-exposure reduction methods</w:t>
            </w:r>
            <w:r w:rsidR="006F6336" w:rsidRPr="00BF3A4E">
              <w:rPr>
                <w:i/>
                <w:sz w:val="18"/>
                <w:szCs w:val="18"/>
              </w:rPr>
              <w:t xml:space="preserve"> </w:t>
            </w:r>
            <w:r w:rsidR="00C71FF1" w:rsidRPr="00BF3A4E">
              <w:rPr>
                <w:i/>
                <w:sz w:val="18"/>
                <w:szCs w:val="18"/>
              </w:rPr>
              <w:t xml:space="preserve">should be used when </w:t>
            </w:r>
            <w:r w:rsidRPr="00BF3A4E">
              <w:rPr>
                <w:i/>
                <w:sz w:val="18"/>
                <w:szCs w:val="18"/>
              </w:rPr>
              <w:t>Soolantra</w:t>
            </w:r>
            <w:r w:rsidR="00C71FF1" w:rsidRPr="00BF3A4E">
              <w:rPr>
                <w:i/>
                <w:sz w:val="18"/>
                <w:szCs w:val="18"/>
              </w:rPr>
              <w:t xml:space="preserve"> / </w:t>
            </w:r>
            <w:r w:rsidR="006F6336" w:rsidRPr="00BF3A4E">
              <w:rPr>
                <w:i/>
                <w:sz w:val="18"/>
                <w:szCs w:val="18"/>
              </w:rPr>
              <w:t>Vastreka</w:t>
            </w:r>
            <w:r w:rsidR="00C71FF1" w:rsidRPr="00BF3A4E">
              <w:rPr>
                <w:i/>
                <w:sz w:val="18"/>
                <w:szCs w:val="18"/>
              </w:rPr>
              <w:t xml:space="preserve"> is applied to the face or other sun-</w:t>
            </w:r>
            <w:r w:rsidR="00C71FF1" w:rsidRPr="00BF3A4E">
              <w:rPr>
                <w:i/>
                <w:sz w:val="18"/>
                <w:szCs w:val="18"/>
              </w:rPr>
              <w:lastRenderedPageBreak/>
              <w:t>exposed</w:t>
            </w:r>
            <w:r w:rsidR="005D7E16" w:rsidRPr="00BF3A4E">
              <w:rPr>
                <w:i/>
                <w:sz w:val="18"/>
                <w:szCs w:val="18"/>
              </w:rPr>
              <w:t xml:space="preserve"> </w:t>
            </w:r>
            <w:r w:rsidR="00C71FF1" w:rsidRPr="00BF3A4E">
              <w:rPr>
                <w:i/>
                <w:sz w:val="18"/>
                <w:szCs w:val="18"/>
              </w:rPr>
              <w:t>area</w:t>
            </w:r>
            <w:r w:rsidR="00C71FF1" w:rsidRPr="00BF3A4E">
              <w:rPr>
                <w:sz w:val="18"/>
                <w:szCs w:val="18"/>
              </w:rPr>
              <w:t>.</w:t>
            </w:r>
            <w:r w:rsidRPr="00BF3A4E">
              <w:rPr>
                <w:sz w:val="18"/>
                <w:szCs w:val="18"/>
              </w:rPr>
              <w:t>’</w:t>
            </w:r>
            <w:r w:rsidR="00C71FF1" w:rsidRPr="00BF3A4E">
              <w:rPr>
                <w:sz w:val="18"/>
                <w:szCs w:val="18"/>
              </w:rPr>
              <w:t xml:space="preserve"> (P</w:t>
            </w:r>
            <w:r w:rsidR="00361D2D" w:rsidRPr="00BF3A4E">
              <w:rPr>
                <w:sz w:val="18"/>
                <w:szCs w:val="18"/>
              </w:rPr>
              <w:t>recautions</w:t>
            </w:r>
            <w:r w:rsidR="00C71FF1" w:rsidRPr="00BF3A4E">
              <w:rPr>
                <w:sz w:val="18"/>
                <w:szCs w:val="18"/>
              </w:rPr>
              <w:t xml:space="preserve"> </w:t>
            </w:r>
            <w:r w:rsidR="00581F9E" w:rsidRPr="00BF3A4E">
              <w:rPr>
                <w:sz w:val="18"/>
                <w:szCs w:val="18"/>
              </w:rPr>
              <w:t xml:space="preserve">section </w:t>
            </w:r>
            <w:r w:rsidR="00C71FF1" w:rsidRPr="00BF3A4E">
              <w:rPr>
                <w:sz w:val="18"/>
                <w:szCs w:val="18"/>
              </w:rPr>
              <w:t>of the PI).</w:t>
            </w:r>
          </w:p>
          <w:p w14:paraId="6AD89E47" w14:textId="77777777" w:rsidR="00C71FF1" w:rsidRPr="00BF3A4E" w:rsidRDefault="00356678" w:rsidP="004553BB">
            <w:pPr>
              <w:ind w:left="0" w:right="0"/>
              <w:rPr>
                <w:sz w:val="18"/>
                <w:szCs w:val="18"/>
              </w:rPr>
            </w:pPr>
            <w:r w:rsidRPr="00BF3A4E">
              <w:rPr>
                <w:sz w:val="18"/>
                <w:szCs w:val="18"/>
              </w:rPr>
              <w:t>‘</w:t>
            </w:r>
            <w:r w:rsidR="00C71FF1" w:rsidRPr="00BF3A4E">
              <w:rPr>
                <w:i/>
                <w:sz w:val="18"/>
                <w:szCs w:val="18"/>
              </w:rPr>
              <w:t xml:space="preserve">After </w:t>
            </w:r>
            <w:r w:rsidRPr="00BF3A4E">
              <w:rPr>
                <w:i/>
                <w:sz w:val="18"/>
                <w:szCs w:val="18"/>
              </w:rPr>
              <w:t>Soolantra</w:t>
            </w:r>
            <w:r w:rsidR="00C71FF1" w:rsidRPr="00BF3A4E">
              <w:rPr>
                <w:i/>
                <w:sz w:val="18"/>
                <w:szCs w:val="18"/>
              </w:rPr>
              <w:t xml:space="preserve"> / </w:t>
            </w:r>
            <w:r w:rsidR="006F6336" w:rsidRPr="00BF3A4E">
              <w:rPr>
                <w:i/>
                <w:sz w:val="18"/>
                <w:szCs w:val="18"/>
              </w:rPr>
              <w:t>Vastreka</w:t>
            </w:r>
            <w:r w:rsidR="00C71FF1" w:rsidRPr="00BF3A4E">
              <w:rPr>
                <w:i/>
                <w:sz w:val="18"/>
                <w:szCs w:val="18"/>
              </w:rPr>
              <w:t xml:space="preserve"> </w:t>
            </w:r>
            <w:proofErr w:type="gramStart"/>
            <w:r w:rsidR="00C71FF1" w:rsidRPr="00BF3A4E">
              <w:rPr>
                <w:i/>
                <w:sz w:val="18"/>
                <w:szCs w:val="18"/>
              </w:rPr>
              <w:t>has</w:t>
            </w:r>
            <w:proofErr w:type="gramEnd"/>
            <w:r w:rsidR="00C71FF1" w:rsidRPr="00BF3A4E">
              <w:rPr>
                <w:i/>
                <w:sz w:val="18"/>
                <w:szCs w:val="18"/>
              </w:rPr>
              <w:t xml:space="preserve"> dried, a high sunscreen protection factor (SPF) sunscreen</w:t>
            </w:r>
            <w:r w:rsidR="005D7E16" w:rsidRPr="00BF3A4E">
              <w:rPr>
                <w:i/>
                <w:sz w:val="18"/>
                <w:szCs w:val="18"/>
              </w:rPr>
              <w:t xml:space="preserve"> </w:t>
            </w:r>
            <w:r w:rsidR="00C71FF1" w:rsidRPr="00BF3A4E">
              <w:rPr>
                <w:i/>
                <w:sz w:val="18"/>
                <w:szCs w:val="18"/>
              </w:rPr>
              <w:t>should be applied on treated areas that are likely to be exposed to the sun, or other sun-exposure reduction methods should be used (e.g. hats, clothing</w:t>
            </w:r>
            <w:r w:rsidR="00C71FF1" w:rsidRPr="00BF3A4E">
              <w:rPr>
                <w:sz w:val="18"/>
                <w:szCs w:val="18"/>
              </w:rPr>
              <w:t>.</w:t>
            </w:r>
            <w:r w:rsidRPr="00BF3A4E">
              <w:rPr>
                <w:sz w:val="18"/>
                <w:szCs w:val="18"/>
              </w:rPr>
              <w:t>’</w:t>
            </w:r>
            <w:r w:rsidR="00581F9E" w:rsidRPr="00BF3A4E">
              <w:rPr>
                <w:sz w:val="18"/>
                <w:szCs w:val="18"/>
              </w:rPr>
              <w:t xml:space="preserve"> (Dosage and administration section </w:t>
            </w:r>
            <w:r w:rsidR="00C71FF1" w:rsidRPr="00BF3A4E">
              <w:rPr>
                <w:sz w:val="18"/>
                <w:szCs w:val="18"/>
              </w:rPr>
              <w:t>of the PI).</w:t>
            </w:r>
          </w:p>
          <w:p w14:paraId="6AD89E48" w14:textId="77777777" w:rsidR="00C71FF1" w:rsidRPr="00BF3A4E" w:rsidRDefault="00356678" w:rsidP="004553BB">
            <w:pPr>
              <w:ind w:left="0" w:right="0"/>
              <w:rPr>
                <w:sz w:val="18"/>
                <w:szCs w:val="18"/>
              </w:rPr>
            </w:pPr>
            <w:r w:rsidRPr="00BF3A4E">
              <w:rPr>
                <w:sz w:val="18"/>
                <w:szCs w:val="18"/>
              </w:rPr>
              <w:t>‘</w:t>
            </w:r>
            <w:r w:rsidR="00C71FF1" w:rsidRPr="00BF3A4E">
              <w:rPr>
                <w:i/>
                <w:sz w:val="18"/>
                <w:szCs w:val="18"/>
              </w:rPr>
              <w:t xml:space="preserve">After applying </w:t>
            </w:r>
            <w:r w:rsidRPr="00BF3A4E">
              <w:rPr>
                <w:i/>
                <w:sz w:val="18"/>
                <w:szCs w:val="18"/>
              </w:rPr>
              <w:t>Soolantra</w:t>
            </w:r>
            <w:r w:rsidR="00C71FF1" w:rsidRPr="00BF3A4E">
              <w:rPr>
                <w:i/>
                <w:sz w:val="18"/>
                <w:szCs w:val="18"/>
              </w:rPr>
              <w:t xml:space="preserve">/ </w:t>
            </w:r>
            <w:r w:rsidR="006F6336" w:rsidRPr="00BF3A4E">
              <w:rPr>
                <w:i/>
                <w:sz w:val="18"/>
                <w:szCs w:val="18"/>
              </w:rPr>
              <w:t>Vastreka</w:t>
            </w:r>
            <w:r w:rsidR="00C71FF1" w:rsidRPr="00BF3A4E">
              <w:rPr>
                <w:i/>
                <w:sz w:val="18"/>
                <w:szCs w:val="18"/>
              </w:rPr>
              <w:t xml:space="preserve"> use a non-comedogenic, broad spectrum, SPF 50+sunscreen and wear protective clothing to protect your skin from UV rays</w:t>
            </w:r>
            <w:r w:rsidR="00C71FF1" w:rsidRPr="00BF3A4E">
              <w:rPr>
                <w:sz w:val="18"/>
                <w:szCs w:val="18"/>
              </w:rPr>
              <w:t>.</w:t>
            </w:r>
            <w:r w:rsidRPr="00BF3A4E">
              <w:rPr>
                <w:sz w:val="18"/>
                <w:szCs w:val="18"/>
              </w:rPr>
              <w:t>’</w:t>
            </w:r>
            <w:r w:rsidR="00C71FF1" w:rsidRPr="00BF3A4E">
              <w:rPr>
                <w:sz w:val="18"/>
                <w:szCs w:val="18"/>
              </w:rPr>
              <w:t xml:space="preserve"> (Section</w:t>
            </w:r>
            <w:r w:rsidR="00581F9E" w:rsidRPr="00BF3A4E">
              <w:rPr>
                <w:sz w:val="18"/>
                <w:szCs w:val="18"/>
              </w:rPr>
              <w:t>;</w:t>
            </w:r>
            <w:r w:rsidR="00C71FF1" w:rsidRPr="00BF3A4E">
              <w:rPr>
                <w:sz w:val="18"/>
                <w:szCs w:val="18"/>
              </w:rPr>
              <w:t xml:space="preserve"> How to use</w:t>
            </w:r>
            <w:r w:rsidR="005D7E16" w:rsidRPr="00BF3A4E">
              <w:rPr>
                <w:sz w:val="18"/>
                <w:szCs w:val="18"/>
              </w:rPr>
              <w:t xml:space="preserve"> </w:t>
            </w:r>
            <w:r w:rsidR="00C71FF1" w:rsidRPr="00BF3A4E">
              <w:rPr>
                <w:sz w:val="18"/>
                <w:szCs w:val="18"/>
              </w:rPr>
              <w:t>it of the CMI).</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9" w14:textId="77777777" w:rsidR="00C71FF1" w:rsidRPr="00BF3A4E" w:rsidRDefault="00C71FF1" w:rsidP="004553BB">
            <w:pPr>
              <w:ind w:left="0" w:right="0"/>
              <w:rPr>
                <w:sz w:val="18"/>
                <w:szCs w:val="18"/>
              </w:rPr>
            </w:pPr>
            <w:r w:rsidRPr="00BF3A4E">
              <w:rPr>
                <w:sz w:val="18"/>
                <w:szCs w:val="18"/>
              </w:rPr>
              <w:lastRenderedPageBreak/>
              <w:t xml:space="preserve">Pending the </w:t>
            </w:r>
            <w:r w:rsidR="006F6336" w:rsidRPr="00BF3A4E">
              <w:rPr>
                <w:sz w:val="18"/>
                <w:szCs w:val="18"/>
              </w:rPr>
              <w:t>Delegate</w:t>
            </w:r>
            <w:r w:rsidRPr="00BF3A4E">
              <w:rPr>
                <w:sz w:val="18"/>
                <w:szCs w:val="18"/>
              </w:rPr>
              <w:t>’s approval, the amendments are considered acceptable.</w:t>
            </w:r>
          </w:p>
        </w:tc>
      </w:tr>
      <w:tr w:rsidR="00C71FF1" w:rsidRPr="006625F4" w14:paraId="6AD89E50"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B" w14:textId="77777777" w:rsidR="00C71FF1" w:rsidRPr="00BF3A4E" w:rsidRDefault="005D7E16" w:rsidP="004553BB">
            <w:pPr>
              <w:ind w:left="0" w:right="0"/>
              <w:rPr>
                <w:sz w:val="18"/>
                <w:szCs w:val="18"/>
              </w:rPr>
            </w:pPr>
            <w:r w:rsidRPr="00BF3A4E">
              <w:rPr>
                <w:sz w:val="18"/>
                <w:szCs w:val="18"/>
              </w:rPr>
              <w:lastRenderedPageBreak/>
              <w:t>6.</w:t>
            </w:r>
            <w:r w:rsidR="00C71FF1" w:rsidRPr="00BF3A4E">
              <w:rPr>
                <w:sz w:val="18"/>
                <w:szCs w:val="18"/>
              </w:rPr>
              <w:t xml:space="preserve"> The sponsor describes in the RMP: A photocarcinogenicity study in hairless mice </w:t>
            </w:r>
            <w:r w:rsidRPr="00BF3A4E">
              <w:rPr>
                <w:sz w:val="18"/>
                <w:szCs w:val="18"/>
              </w:rPr>
              <w:t>indicated ‘</w:t>
            </w:r>
            <w:r w:rsidR="00C71FF1" w:rsidRPr="00BF3A4E">
              <w:rPr>
                <w:i/>
                <w:sz w:val="18"/>
                <w:szCs w:val="18"/>
              </w:rPr>
              <w:t>Repeated topical administration of ivermectin cream at concentrations of 0.3% and 1.0% enhanced photo</w:t>
            </w:r>
            <w:r w:rsidRPr="00BF3A4E">
              <w:rPr>
                <w:i/>
                <w:sz w:val="18"/>
                <w:szCs w:val="18"/>
              </w:rPr>
              <w:t xml:space="preserve"> </w:t>
            </w:r>
            <w:r w:rsidR="00C71FF1" w:rsidRPr="00BF3A4E">
              <w:rPr>
                <w:i/>
                <w:sz w:val="18"/>
                <w:szCs w:val="18"/>
              </w:rPr>
              <w:t xml:space="preserve">carcinogenesis as compared with Vehicle </w:t>
            </w:r>
            <w:r w:rsidR="00F2439E" w:rsidRPr="00BF3A4E">
              <w:rPr>
                <w:i/>
                <w:sz w:val="18"/>
                <w:szCs w:val="18"/>
              </w:rPr>
              <w:t>cream</w:t>
            </w:r>
            <w:r w:rsidRPr="00BF3A4E">
              <w:rPr>
                <w:sz w:val="18"/>
                <w:szCs w:val="18"/>
              </w:rPr>
              <w:t>’</w:t>
            </w:r>
            <w:r w:rsidR="00C71FF1" w:rsidRPr="00BF3A4E">
              <w:rPr>
                <w:sz w:val="18"/>
                <w:szCs w:val="18"/>
              </w:rPr>
              <w:t>. It is</w:t>
            </w:r>
            <w:r w:rsidRPr="00BF3A4E">
              <w:rPr>
                <w:sz w:val="18"/>
                <w:szCs w:val="18"/>
              </w:rPr>
              <w:t xml:space="preserve"> </w:t>
            </w:r>
            <w:r w:rsidR="00C71FF1" w:rsidRPr="00BF3A4E">
              <w:rPr>
                <w:sz w:val="18"/>
                <w:szCs w:val="18"/>
              </w:rPr>
              <w:t>suggested that the sponsor includes statements in the PI stating that appropriate protection from UV light should be app</w:t>
            </w:r>
            <w:r w:rsidRPr="00BF3A4E">
              <w:rPr>
                <w:sz w:val="18"/>
                <w:szCs w:val="18"/>
              </w:rPr>
              <w:t>lied by patients</w:t>
            </w:r>
            <w:r w:rsidR="00C71FF1" w:rsidRPr="00BF3A4E">
              <w:rPr>
                <w:sz w:val="18"/>
                <w:szCs w:val="18"/>
              </w:rPr>
              <w:t>.</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C" w14:textId="77777777" w:rsidR="00C71FF1" w:rsidRPr="00BF3A4E" w:rsidRDefault="00C71FF1" w:rsidP="004553BB">
            <w:pPr>
              <w:ind w:left="0" w:right="0"/>
              <w:rPr>
                <w:sz w:val="18"/>
                <w:szCs w:val="18"/>
              </w:rPr>
            </w:pPr>
            <w:r w:rsidRPr="00BF3A4E">
              <w:rPr>
                <w:sz w:val="18"/>
                <w:szCs w:val="18"/>
              </w:rPr>
              <w:t xml:space="preserve">The </w:t>
            </w:r>
            <w:r w:rsidR="006F6336" w:rsidRPr="00BF3A4E">
              <w:rPr>
                <w:sz w:val="18"/>
                <w:szCs w:val="18"/>
              </w:rPr>
              <w:t>sponsor</w:t>
            </w:r>
            <w:r w:rsidRPr="00BF3A4E">
              <w:rPr>
                <w:sz w:val="18"/>
                <w:szCs w:val="18"/>
              </w:rPr>
              <w:t xml:space="preserve"> has determined the potential of </w:t>
            </w:r>
            <w:r w:rsidR="006D61C3" w:rsidRPr="00BF3A4E">
              <w:rPr>
                <w:sz w:val="18"/>
                <w:szCs w:val="18"/>
              </w:rPr>
              <w:t>ivermectin</w:t>
            </w:r>
            <w:r w:rsidRPr="00BF3A4E">
              <w:rPr>
                <w:sz w:val="18"/>
                <w:szCs w:val="18"/>
              </w:rPr>
              <w:t xml:space="preserve"> 1% cream and vehicle cream to</w:t>
            </w:r>
            <w:r w:rsidR="005D7E16" w:rsidRPr="00BF3A4E">
              <w:rPr>
                <w:sz w:val="18"/>
                <w:szCs w:val="18"/>
              </w:rPr>
              <w:t xml:space="preserve"> </w:t>
            </w:r>
            <w:r w:rsidRPr="00BF3A4E">
              <w:rPr>
                <w:sz w:val="18"/>
                <w:szCs w:val="18"/>
              </w:rPr>
              <w:t xml:space="preserve">influence the development or growth of skin </w:t>
            </w:r>
            <w:r w:rsidR="005D7E16" w:rsidRPr="00BF3A4E">
              <w:rPr>
                <w:sz w:val="18"/>
                <w:szCs w:val="18"/>
              </w:rPr>
              <w:t>tumours</w:t>
            </w:r>
            <w:r w:rsidRPr="00BF3A4E">
              <w:rPr>
                <w:sz w:val="18"/>
                <w:szCs w:val="18"/>
              </w:rPr>
              <w:t xml:space="preserve"> in hairless mice exposed to simulated solar UV radiation (Study 12597) is very likely to be due to the increased incidence of early skin irritation in these groups. In addition, ICH guidance</w:t>
            </w:r>
            <w:r w:rsidR="005D7E16" w:rsidRPr="00BF3A4E">
              <w:rPr>
                <w:rStyle w:val="FootnoteReference"/>
                <w:sz w:val="18"/>
                <w:szCs w:val="18"/>
              </w:rPr>
              <w:footnoteReference w:id="26"/>
            </w:r>
            <w:r w:rsidR="005D7E16" w:rsidRPr="00BF3A4E">
              <w:rPr>
                <w:sz w:val="18"/>
                <w:szCs w:val="18"/>
              </w:rPr>
              <w:t xml:space="preserve"> states that ‘</w:t>
            </w:r>
            <w:r w:rsidRPr="00BF3A4E">
              <w:rPr>
                <w:i/>
                <w:sz w:val="18"/>
                <w:szCs w:val="18"/>
              </w:rPr>
              <w:t>testing for photocarcinogenicity in rodents using currently available models (</w:t>
            </w:r>
            <w:r w:rsidR="00581F9E" w:rsidRPr="00BF3A4E">
              <w:rPr>
                <w:i/>
                <w:sz w:val="18"/>
                <w:szCs w:val="18"/>
              </w:rPr>
              <w:t>for example</w:t>
            </w:r>
            <w:r w:rsidRPr="00BF3A4E">
              <w:rPr>
                <w:i/>
                <w:sz w:val="18"/>
                <w:szCs w:val="18"/>
              </w:rPr>
              <w:t>, hairless rodent) is not considered useful in support of pharmaceutical development and generally is not recommended</w:t>
            </w:r>
            <w:r w:rsidR="005D7E16" w:rsidRPr="00BF3A4E">
              <w:rPr>
                <w:sz w:val="18"/>
                <w:szCs w:val="18"/>
              </w:rPr>
              <w:t>.’</w:t>
            </w:r>
          </w:p>
          <w:p w14:paraId="6AD89E4D" w14:textId="77777777" w:rsidR="00C71FF1" w:rsidRPr="00BF3A4E" w:rsidRDefault="00C71FF1" w:rsidP="004553BB">
            <w:pPr>
              <w:ind w:left="0" w:right="0"/>
              <w:rPr>
                <w:sz w:val="18"/>
                <w:szCs w:val="18"/>
              </w:rPr>
            </w:pPr>
            <w:r w:rsidRPr="00BF3A4E">
              <w:rPr>
                <w:sz w:val="18"/>
                <w:szCs w:val="18"/>
              </w:rPr>
              <w:t>Despite these reservation</w:t>
            </w:r>
            <w:r w:rsidR="00C66A55" w:rsidRPr="00BF3A4E">
              <w:rPr>
                <w:sz w:val="18"/>
                <w:szCs w:val="18"/>
              </w:rPr>
              <w:t>s on the relevance of these non</w:t>
            </w:r>
            <w:r w:rsidRPr="00BF3A4E">
              <w:rPr>
                <w:sz w:val="18"/>
                <w:szCs w:val="18"/>
              </w:rPr>
              <w:t xml:space="preserve">clinical findings, the </w:t>
            </w:r>
            <w:r w:rsidR="006F6336" w:rsidRPr="00BF3A4E">
              <w:rPr>
                <w:sz w:val="18"/>
                <w:szCs w:val="18"/>
              </w:rPr>
              <w:t>sponsor</w:t>
            </w:r>
            <w:r w:rsidRPr="00BF3A4E">
              <w:rPr>
                <w:sz w:val="18"/>
                <w:szCs w:val="18"/>
              </w:rPr>
              <w:t xml:space="preserve"> agrees with the evaluator’s recommendation for appropriate protection of patients with rosacea from UV light, in consideration of the known sensitivity of their skin.</w:t>
            </w:r>
          </w:p>
          <w:p w14:paraId="6AD89E4E" w14:textId="77777777" w:rsidR="00C71FF1" w:rsidRPr="00BF3A4E" w:rsidRDefault="00C71FF1" w:rsidP="004553BB">
            <w:pPr>
              <w:ind w:left="0" w:right="0"/>
              <w:rPr>
                <w:sz w:val="18"/>
                <w:szCs w:val="18"/>
              </w:rPr>
            </w:pPr>
            <w:r w:rsidRPr="00BF3A4E">
              <w:rPr>
                <w:sz w:val="18"/>
                <w:szCs w:val="18"/>
              </w:rPr>
              <w:t xml:space="preserve">Consequently, the </w:t>
            </w:r>
            <w:r w:rsidR="006F6336" w:rsidRPr="00BF3A4E">
              <w:rPr>
                <w:sz w:val="18"/>
                <w:szCs w:val="18"/>
              </w:rPr>
              <w:t>sponsor</w:t>
            </w:r>
            <w:r w:rsidRPr="00BF3A4E">
              <w:rPr>
                <w:sz w:val="18"/>
                <w:szCs w:val="18"/>
              </w:rPr>
              <w:t xml:space="preserve"> agrees that additional statements should be included in the PI stating that appropriate protection from UV exposure</w:t>
            </w:r>
            <w:r w:rsidR="005D7E16" w:rsidRPr="00BF3A4E">
              <w:rPr>
                <w:sz w:val="18"/>
                <w:szCs w:val="18"/>
              </w:rPr>
              <w:t xml:space="preserve"> should be adopted by patients.</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4F" w14:textId="77777777" w:rsidR="00C71FF1" w:rsidRPr="00BF3A4E" w:rsidRDefault="00C71FF1" w:rsidP="004553BB">
            <w:pPr>
              <w:ind w:left="0" w:right="0"/>
              <w:rPr>
                <w:sz w:val="18"/>
                <w:szCs w:val="18"/>
              </w:rPr>
            </w:pPr>
            <w:r w:rsidRPr="00BF3A4E">
              <w:rPr>
                <w:sz w:val="18"/>
                <w:szCs w:val="18"/>
              </w:rPr>
              <w:t>See point 5 above.</w:t>
            </w:r>
          </w:p>
        </w:tc>
      </w:tr>
      <w:tr w:rsidR="00C71FF1" w:rsidRPr="006625F4" w14:paraId="6AD89E55"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51" w14:textId="77777777" w:rsidR="00C71FF1" w:rsidRPr="00BF3A4E" w:rsidRDefault="005D7E16" w:rsidP="004553BB">
            <w:pPr>
              <w:ind w:left="0" w:right="0"/>
              <w:rPr>
                <w:sz w:val="18"/>
                <w:szCs w:val="18"/>
              </w:rPr>
            </w:pPr>
            <w:r w:rsidRPr="00BF3A4E">
              <w:rPr>
                <w:sz w:val="18"/>
                <w:szCs w:val="18"/>
              </w:rPr>
              <w:t>7.</w:t>
            </w:r>
            <w:r w:rsidR="00C71FF1" w:rsidRPr="00BF3A4E">
              <w:rPr>
                <w:sz w:val="18"/>
                <w:szCs w:val="18"/>
              </w:rPr>
              <w:t xml:space="preserve"> The sponsor should describe in the PI that the following patient population was excluded from the clinical development program and therefore, no data about the safety of the product in these patient populations is available: Patients suffering a particular forms of</w:t>
            </w:r>
            <w:r w:rsidRPr="00BF3A4E">
              <w:rPr>
                <w:sz w:val="18"/>
                <w:szCs w:val="18"/>
              </w:rPr>
              <w:t xml:space="preserve"> </w:t>
            </w:r>
            <w:r w:rsidR="00C71FF1" w:rsidRPr="00BF3A4E">
              <w:rPr>
                <w:sz w:val="18"/>
                <w:szCs w:val="18"/>
              </w:rPr>
              <w:t xml:space="preserve">rosacea (rosacea </w:t>
            </w:r>
            <w:proofErr w:type="spellStart"/>
            <w:r w:rsidR="00C71FF1" w:rsidRPr="00BF3A4E">
              <w:rPr>
                <w:sz w:val="18"/>
                <w:szCs w:val="18"/>
              </w:rPr>
              <w:t>congloba</w:t>
            </w:r>
            <w:r w:rsidRPr="00BF3A4E">
              <w:rPr>
                <w:sz w:val="18"/>
                <w:szCs w:val="18"/>
              </w:rPr>
              <w:t>ta</w:t>
            </w:r>
            <w:proofErr w:type="spellEnd"/>
            <w:r w:rsidRPr="00BF3A4E">
              <w:rPr>
                <w:sz w:val="18"/>
                <w:szCs w:val="18"/>
              </w:rPr>
              <w:t xml:space="preserve">, rosacea </w:t>
            </w:r>
            <w:proofErr w:type="spellStart"/>
            <w:r w:rsidRPr="00BF3A4E">
              <w:rPr>
                <w:sz w:val="18"/>
                <w:szCs w:val="18"/>
              </w:rPr>
              <w:t>fulminans</w:t>
            </w:r>
            <w:proofErr w:type="spellEnd"/>
            <w:r w:rsidRPr="00BF3A4E">
              <w:rPr>
                <w:sz w:val="18"/>
                <w:szCs w:val="18"/>
              </w:rPr>
              <w:t xml:space="preserve">, isolated </w:t>
            </w:r>
            <w:proofErr w:type="spellStart"/>
            <w:r w:rsidR="00C71FF1" w:rsidRPr="00BF3A4E">
              <w:rPr>
                <w:sz w:val="18"/>
                <w:szCs w:val="18"/>
              </w:rPr>
              <w:t>rhinophyma</w:t>
            </w:r>
            <w:proofErr w:type="spellEnd"/>
            <w:r w:rsidR="00C71FF1" w:rsidRPr="00BF3A4E">
              <w:rPr>
                <w:sz w:val="18"/>
                <w:szCs w:val="18"/>
              </w:rPr>
              <w:t>, isolated</w:t>
            </w:r>
            <w:r w:rsidRPr="00BF3A4E">
              <w:rPr>
                <w:sz w:val="18"/>
                <w:szCs w:val="18"/>
              </w:rPr>
              <w:t xml:space="preserve"> </w:t>
            </w:r>
            <w:proofErr w:type="spellStart"/>
            <w:r w:rsidR="00C71FF1" w:rsidRPr="00BF3A4E">
              <w:rPr>
                <w:sz w:val="18"/>
                <w:szCs w:val="18"/>
              </w:rPr>
              <w:t>pustulosis</w:t>
            </w:r>
            <w:proofErr w:type="spellEnd"/>
            <w:r w:rsidR="00C71FF1" w:rsidRPr="00BF3A4E">
              <w:rPr>
                <w:sz w:val="18"/>
                <w:szCs w:val="18"/>
              </w:rPr>
              <w:t xml:space="preserve"> of the chin) or other facial dermatoses that may be </w:t>
            </w:r>
            <w:r w:rsidR="00C71FF1" w:rsidRPr="00BF3A4E">
              <w:rPr>
                <w:sz w:val="18"/>
                <w:szCs w:val="18"/>
              </w:rPr>
              <w:lastRenderedPageBreak/>
              <w:t>confounded with</w:t>
            </w:r>
            <w:r w:rsidRPr="00BF3A4E">
              <w:rPr>
                <w:sz w:val="18"/>
                <w:szCs w:val="18"/>
              </w:rPr>
              <w:t xml:space="preserve"> </w:t>
            </w:r>
            <w:proofErr w:type="spellStart"/>
            <w:r w:rsidR="00F475F1" w:rsidRPr="00BF3A4E">
              <w:rPr>
                <w:sz w:val="18"/>
                <w:szCs w:val="18"/>
              </w:rPr>
              <w:t>papulo</w:t>
            </w:r>
            <w:proofErr w:type="spellEnd"/>
            <w:r w:rsidR="00F475F1" w:rsidRPr="00BF3A4E">
              <w:rPr>
                <w:sz w:val="18"/>
                <w:szCs w:val="18"/>
              </w:rPr>
              <w:t>-pustular</w:t>
            </w:r>
            <w:r w:rsidR="00C71FF1" w:rsidRPr="00BF3A4E">
              <w:rPr>
                <w:sz w:val="18"/>
                <w:szCs w:val="18"/>
              </w:rPr>
              <w:t xml:space="preserve"> rosacea, such as peri-oral dermatitis, facial keratosis pilaris, seborrheic dermatitis and acne.</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52" w14:textId="77777777" w:rsidR="00C71FF1" w:rsidRPr="00BF3A4E" w:rsidRDefault="00C71FF1" w:rsidP="004553BB">
            <w:pPr>
              <w:ind w:left="0" w:right="0"/>
              <w:rPr>
                <w:sz w:val="18"/>
                <w:szCs w:val="18"/>
              </w:rPr>
            </w:pPr>
            <w:r w:rsidRPr="00BF3A4E">
              <w:rPr>
                <w:sz w:val="18"/>
                <w:szCs w:val="18"/>
              </w:rPr>
              <w:lastRenderedPageBreak/>
              <w:t xml:space="preserve">The </w:t>
            </w:r>
            <w:r w:rsidR="006F6336" w:rsidRPr="00BF3A4E">
              <w:rPr>
                <w:sz w:val="18"/>
                <w:szCs w:val="18"/>
              </w:rPr>
              <w:t>sponsor</w:t>
            </w:r>
            <w:r w:rsidRPr="00BF3A4E">
              <w:rPr>
                <w:sz w:val="18"/>
                <w:szCs w:val="18"/>
              </w:rPr>
              <w:t xml:space="preserve"> agrees that the patients suffering from other forms of rosacea such as rosacea</w:t>
            </w:r>
            <w:r w:rsidR="005D7E16" w:rsidRPr="00BF3A4E">
              <w:rPr>
                <w:sz w:val="18"/>
                <w:szCs w:val="18"/>
              </w:rPr>
              <w:t xml:space="preserve"> </w:t>
            </w:r>
            <w:proofErr w:type="spellStart"/>
            <w:r w:rsidRPr="00BF3A4E">
              <w:rPr>
                <w:sz w:val="18"/>
                <w:szCs w:val="18"/>
              </w:rPr>
              <w:t>conglobata</w:t>
            </w:r>
            <w:proofErr w:type="spellEnd"/>
            <w:r w:rsidRPr="00BF3A4E">
              <w:rPr>
                <w:sz w:val="18"/>
                <w:szCs w:val="18"/>
              </w:rPr>
              <w:t xml:space="preserve">, rosacea </w:t>
            </w:r>
            <w:proofErr w:type="spellStart"/>
            <w:r w:rsidRPr="00BF3A4E">
              <w:rPr>
                <w:sz w:val="18"/>
                <w:szCs w:val="18"/>
              </w:rPr>
              <w:t>fulminans</w:t>
            </w:r>
            <w:proofErr w:type="spellEnd"/>
            <w:r w:rsidRPr="00BF3A4E">
              <w:rPr>
                <w:sz w:val="18"/>
                <w:szCs w:val="18"/>
              </w:rPr>
              <w:t xml:space="preserve">, isolated </w:t>
            </w:r>
            <w:proofErr w:type="spellStart"/>
            <w:r w:rsidRPr="00BF3A4E">
              <w:rPr>
                <w:sz w:val="18"/>
                <w:szCs w:val="18"/>
              </w:rPr>
              <w:t>rhinophyma</w:t>
            </w:r>
            <w:proofErr w:type="spellEnd"/>
            <w:r w:rsidRPr="00BF3A4E">
              <w:rPr>
                <w:sz w:val="18"/>
                <w:szCs w:val="18"/>
              </w:rPr>
              <w:t xml:space="preserve">, isolated </w:t>
            </w:r>
            <w:proofErr w:type="spellStart"/>
            <w:r w:rsidRPr="00BF3A4E">
              <w:rPr>
                <w:sz w:val="18"/>
                <w:szCs w:val="18"/>
              </w:rPr>
              <w:t>pustulosis</w:t>
            </w:r>
            <w:proofErr w:type="spellEnd"/>
            <w:r w:rsidRPr="00BF3A4E">
              <w:rPr>
                <w:sz w:val="18"/>
                <w:szCs w:val="18"/>
              </w:rPr>
              <w:t xml:space="preserve"> of the chin, and ocular</w:t>
            </w:r>
            <w:r w:rsidR="005D7E16" w:rsidRPr="00BF3A4E">
              <w:rPr>
                <w:sz w:val="18"/>
                <w:szCs w:val="18"/>
              </w:rPr>
              <w:t xml:space="preserve"> </w:t>
            </w:r>
            <w:r w:rsidRPr="00BF3A4E">
              <w:rPr>
                <w:sz w:val="18"/>
                <w:szCs w:val="18"/>
              </w:rPr>
              <w:t xml:space="preserve">rosacea, or other facial dermatoses that may be confounded with PPR, such as perioral dermatitis, facial keratosis pilaris, seborrheic dermatitis, and acne, did not participate in the studies. In addition, the </w:t>
            </w:r>
            <w:r w:rsidR="006F6336" w:rsidRPr="00BF3A4E">
              <w:rPr>
                <w:sz w:val="18"/>
                <w:szCs w:val="18"/>
              </w:rPr>
              <w:t>sponsor</w:t>
            </w:r>
            <w:r w:rsidRPr="00BF3A4E">
              <w:rPr>
                <w:sz w:val="18"/>
                <w:szCs w:val="18"/>
              </w:rPr>
              <w:t xml:space="preserve"> agrees that there is no specific safety data available in the </w:t>
            </w:r>
            <w:r w:rsidR="006F6336" w:rsidRPr="00BF3A4E">
              <w:rPr>
                <w:sz w:val="18"/>
                <w:szCs w:val="18"/>
              </w:rPr>
              <w:t>sponsor</w:t>
            </w:r>
            <w:r w:rsidRPr="00BF3A4E">
              <w:rPr>
                <w:sz w:val="18"/>
                <w:szCs w:val="18"/>
              </w:rPr>
              <w:t>’s studies on those patient populations.</w:t>
            </w:r>
          </w:p>
          <w:p w14:paraId="6AD89E53" w14:textId="77777777" w:rsidR="00C71FF1" w:rsidRPr="00BF3A4E" w:rsidRDefault="00C71FF1" w:rsidP="004553BB">
            <w:pPr>
              <w:ind w:left="0" w:right="0"/>
              <w:rPr>
                <w:sz w:val="18"/>
                <w:szCs w:val="18"/>
              </w:rPr>
            </w:pPr>
            <w:r w:rsidRPr="00BF3A4E">
              <w:rPr>
                <w:sz w:val="18"/>
                <w:szCs w:val="18"/>
              </w:rPr>
              <w:lastRenderedPageBreak/>
              <w:t xml:space="preserve">However, the </w:t>
            </w:r>
            <w:r w:rsidR="006F6336" w:rsidRPr="00BF3A4E">
              <w:rPr>
                <w:sz w:val="18"/>
                <w:szCs w:val="18"/>
              </w:rPr>
              <w:t>sponsor</w:t>
            </w:r>
            <w:r w:rsidRPr="00BF3A4E">
              <w:rPr>
                <w:sz w:val="18"/>
                <w:szCs w:val="18"/>
              </w:rPr>
              <w:t xml:space="preserve"> believes that at this time, the proposed indication in the P</w:t>
            </w:r>
            <w:r w:rsidR="005D7E16" w:rsidRPr="00BF3A4E">
              <w:rPr>
                <w:sz w:val="18"/>
                <w:szCs w:val="18"/>
              </w:rPr>
              <w:t xml:space="preserve">I clearly stipulates the patient </w:t>
            </w:r>
            <w:r w:rsidRPr="00BF3A4E">
              <w:rPr>
                <w:sz w:val="18"/>
                <w:szCs w:val="18"/>
              </w:rPr>
              <w:t>population without the need to additionally state that there is no safety data in</w:t>
            </w:r>
            <w:r w:rsidR="005D7E16" w:rsidRPr="00BF3A4E">
              <w:rPr>
                <w:sz w:val="18"/>
                <w:szCs w:val="18"/>
              </w:rPr>
              <w:t xml:space="preserve"> </w:t>
            </w:r>
            <w:r w:rsidRPr="00BF3A4E">
              <w:rPr>
                <w:sz w:val="18"/>
                <w:szCs w:val="18"/>
              </w:rPr>
              <w:t>other rosacea subtypes.</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54" w14:textId="77777777" w:rsidR="00C71FF1" w:rsidRPr="00BF3A4E" w:rsidRDefault="00C71FF1" w:rsidP="004553BB">
            <w:pPr>
              <w:ind w:left="0" w:right="0"/>
              <w:rPr>
                <w:sz w:val="18"/>
                <w:szCs w:val="18"/>
              </w:rPr>
            </w:pPr>
            <w:r w:rsidRPr="00BF3A4E">
              <w:rPr>
                <w:sz w:val="18"/>
                <w:szCs w:val="18"/>
              </w:rPr>
              <w:lastRenderedPageBreak/>
              <w:t xml:space="preserve">This outstanding issue is referred to the </w:t>
            </w:r>
            <w:r w:rsidR="006F6336" w:rsidRPr="00BF3A4E">
              <w:rPr>
                <w:sz w:val="18"/>
                <w:szCs w:val="18"/>
              </w:rPr>
              <w:t>Delegate</w:t>
            </w:r>
            <w:r w:rsidRPr="00BF3A4E">
              <w:rPr>
                <w:sz w:val="18"/>
                <w:szCs w:val="18"/>
              </w:rPr>
              <w:t xml:space="preserve"> for consideration.</w:t>
            </w:r>
            <w:r w:rsidR="005D7E16" w:rsidRPr="00BF3A4E">
              <w:rPr>
                <w:sz w:val="18"/>
                <w:szCs w:val="18"/>
              </w:rPr>
              <w:t xml:space="preserve"> </w:t>
            </w:r>
            <w:r w:rsidRPr="00BF3A4E">
              <w:rPr>
                <w:sz w:val="18"/>
                <w:szCs w:val="18"/>
              </w:rPr>
              <w:t xml:space="preserve">It is also brought to the </w:t>
            </w:r>
            <w:r w:rsidR="006F6336" w:rsidRPr="00BF3A4E">
              <w:rPr>
                <w:sz w:val="18"/>
                <w:szCs w:val="18"/>
              </w:rPr>
              <w:t>Delegate</w:t>
            </w:r>
            <w:r w:rsidRPr="00BF3A4E">
              <w:rPr>
                <w:sz w:val="18"/>
                <w:szCs w:val="18"/>
              </w:rPr>
              <w:t xml:space="preserve">’s attention that the proposed indication in Europe differs from the proposed indication for </w:t>
            </w:r>
            <w:r w:rsidRPr="00BF3A4E">
              <w:rPr>
                <w:sz w:val="18"/>
                <w:szCs w:val="18"/>
              </w:rPr>
              <w:lastRenderedPageBreak/>
              <w:t>Australia and is as follows: Soolantra is indicated for the topical treatment of inflammatory lesions of rosacea (</w:t>
            </w:r>
            <w:proofErr w:type="spellStart"/>
            <w:r w:rsidR="00F475F1" w:rsidRPr="00BF3A4E">
              <w:rPr>
                <w:sz w:val="18"/>
                <w:szCs w:val="18"/>
              </w:rPr>
              <w:t>papulo</w:t>
            </w:r>
            <w:proofErr w:type="spellEnd"/>
            <w:r w:rsidR="00F475F1" w:rsidRPr="00BF3A4E">
              <w:rPr>
                <w:sz w:val="18"/>
                <w:szCs w:val="18"/>
              </w:rPr>
              <w:t>-pustular</w:t>
            </w:r>
            <w:r w:rsidRPr="00BF3A4E">
              <w:rPr>
                <w:sz w:val="18"/>
                <w:szCs w:val="18"/>
              </w:rPr>
              <w:t>) in adult patients.</w:t>
            </w:r>
          </w:p>
        </w:tc>
      </w:tr>
      <w:tr w:rsidR="00C71FF1" w:rsidRPr="006625F4" w14:paraId="6AD89E63" w14:textId="77777777" w:rsidTr="00C71FF1">
        <w:trPr>
          <w:jc w:val="center"/>
        </w:trPr>
        <w:tc>
          <w:tcPr>
            <w:tcW w:w="1769"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56" w14:textId="77777777" w:rsidR="00C71FF1" w:rsidRPr="00BF3A4E" w:rsidRDefault="005D7E16" w:rsidP="004553BB">
            <w:pPr>
              <w:ind w:left="0" w:right="0"/>
              <w:rPr>
                <w:sz w:val="18"/>
                <w:szCs w:val="18"/>
              </w:rPr>
            </w:pPr>
            <w:r w:rsidRPr="00BF3A4E">
              <w:rPr>
                <w:sz w:val="18"/>
                <w:szCs w:val="18"/>
              </w:rPr>
              <w:lastRenderedPageBreak/>
              <w:t>8.</w:t>
            </w:r>
            <w:r w:rsidR="00C71FF1" w:rsidRPr="00BF3A4E">
              <w:rPr>
                <w:sz w:val="18"/>
                <w:szCs w:val="18"/>
              </w:rPr>
              <w:t xml:space="preserve"> No risk-minimisation is proposed to be conducted in the Australian PI for the important missing </w:t>
            </w:r>
            <w:r w:rsidRPr="00BF3A4E">
              <w:rPr>
                <w:sz w:val="18"/>
                <w:szCs w:val="18"/>
              </w:rPr>
              <w:t>information of ‘</w:t>
            </w:r>
            <w:r w:rsidR="00C71FF1" w:rsidRPr="00BF3A4E">
              <w:rPr>
                <w:i/>
                <w:sz w:val="18"/>
                <w:szCs w:val="18"/>
              </w:rPr>
              <w:t>Use longer than one year</w:t>
            </w:r>
            <w:r w:rsidRPr="00BF3A4E">
              <w:rPr>
                <w:sz w:val="18"/>
                <w:szCs w:val="18"/>
              </w:rPr>
              <w:t>'</w:t>
            </w:r>
            <w:r w:rsidR="00C71FF1" w:rsidRPr="00BF3A4E">
              <w:rPr>
                <w:sz w:val="18"/>
                <w:szCs w:val="18"/>
              </w:rPr>
              <w:t xml:space="preserve">, </w:t>
            </w:r>
            <w:r w:rsidR="00356678" w:rsidRPr="00BF3A4E">
              <w:rPr>
                <w:sz w:val="18"/>
                <w:szCs w:val="18"/>
              </w:rPr>
              <w:t>‘</w:t>
            </w:r>
            <w:r w:rsidR="00C71FF1" w:rsidRPr="00BF3A4E">
              <w:rPr>
                <w:i/>
                <w:sz w:val="18"/>
                <w:szCs w:val="18"/>
              </w:rPr>
              <w:t>Use with other concomitant topical rosacea treatments</w:t>
            </w:r>
            <w:r w:rsidR="00356678" w:rsidRPr="00BF3A4E">
              <w:rPr>
                <w:sz w:val="18"/>
                <w:szCs w:val="18"/>
              </w:rPr>
              <w:t>’</w:t>
            </w:r>
            <w:r w:rsidR="00C71FF1" w:rsidRPr="00BF3A4E">
              <w:rPr>
                <w:sz w:val="18"/>
                <w:szCs w:val="18"/>
              </w:rPr>
              <w:t xml:space="preserve"> and </w:t>
            </w:r>
            <w:r w:rsidR="00356678" w:rsidRPr="00BF3A4E">
              <w:rPr>
                <w:sz w:val="18"/>
                <w:szCs w:val="18"/>
              </w:rPr>
              <w:t>‘</w:t>
            </w:r>
            <w:r w:rsidR="00C71FF1" w:rsidRPr="00BF3A4E">
              <w:rPr>
                <w:i/>
                <w:sz w:val="18"/>
                <w:szCs w:val="18"/>
              </w:rPr>
              <w:t>Use with laser or UV radiation</w:t>
            </w:r>
            <w:r w:rsidR="00356678" w:rsidRPr="00BF3A4E">
              <w:rPr>
                <w:sz w:val="18"/>
                <w:szCs w:val="18"/>
              </w:rPr>
              <w:t>’</w:t>
            </w:r>
            <w:r w:rsidR="00C71FF1" w:rsidRPr="00BF3A4E">
              <w:rPr>
                <w:sz w:val="18"/>
                <w:szCs w:val="18"/>
              </w:rPr>
              <w:t>. Provision of information for</w:t>
            </w:r>
            <w:r w:rsidR="00356678" w:rsidRPr="00BF3A4E">
              <w:rPr>
                <w:sz w:val="18"/>
                <w:szCs w:val="18"/>
              </w:rPr>
              <w:t xml:space="preserve"> </w:t>
            </w:r>
            <w:r w:rsidR="00C71FF1" w:rsidRPr="00BF3A4E">
              <w:rPr>
                <w:sz w:val="18"/>
                <w:szCs w:val="18"/>
              </w:rPr>
              <w:t>all these missing information is recommended to be included in the Australian-PI. This will ensure that physicians are comprehensively informed about the safety profile of the</w:t>
            </w:r>
            <w:r w:rsidR="00356678" w:rsidRPr="00BF3A4E">
              <w:rPr>
                <w:sz w:val="18"/>
                <w:szCs w:val="18"/>
              </w:rPr>
              <w:t xml:space="preserve"> </w:t>
            </w:r>
            <w:r w:rsidR="00C71FF1" w:rsidRPr="00BF3A4E">
              <w:rPr>
                <w:sz w:val="18"/>
                <w:szCs w:val="18"/>
              </w:rPr>
              <w:t>product, and will allow balancing the benefit of treatment versus the missing information for each individual patient.</w:t>
            </w:r>
          </w:p>
        </w:tc>
        <w:tc>
          <w:tcPr>
            <w:tcW w:w="2246"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57" w14:textId="77777777" w:rsidR="00C71FF1" w:rsidRPr="00BF3A4E" w:rsidRDefault="00C71FF1" w:rsidP="004553BB">
            <w:pPr>
              <w:ind w:left="0" w:right="0"/>
              <w:rPr>
                <w:sz w:val="18"/>
                <w:szCs w:val="18"/>
              </w:rPr>
            </w:pPr>
            <w:r w:rsidRPr="00BF3A4E">
              <w:rPr>
                <w:sz w:val="18"/>
                <w:szCs w:val="18"/>
              </w:rPr>
              <w:t xml:space="preserve">Use longer than one year: Efficacy and safety information has been collected in the development program of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in subjects with PPR</w:t>
            </w:r>
            <w:r w:rsidR="00356678" w:rsidRPr="00BF3A4E">
              <w:rPr>
                <w:sz w:val="18"/>
                <w:szCs w:val="18"/>
              </w:rPr>
              <w:t xml:space="preserve">, including during long </w:t>
            </w:r>
            <w:r w:rsidRPr="00BF3A4E">
              <w:rPr>
                <w:sz w:val="18"/>
                <w:szCs w:val="18"/>
              </w:rPr>
              <w:t xml:space="preserve">term extensions of the clinical studies. The global analysis of treatment duration presented indicates that, in terms of categories of durations, a total of 519 subjects (33.6%) were treated with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for more than 359 days. See also, P</w:t>
            </w:r>
            <w:r w:rsidR="00356678" w:rsidRPr="00BF3A4E">
              <w:rPr>
                <w:sz w:val="18"/>
                <w:szCs w:val="18"/>
              </w:rPr>
              <w:t>I</w:t>
            </w:r>
            <w:r w:rsidRPr="00BF3A4E">
              <w:rPr>
                <w:sz w:val="18"/>
                <w:szCs w:val="18"/>
              </w:rPr>
              <w:t xml:space="preserve">, Adverse effects: </w:t>
            </w:r>
            <w:r w:rsidR="00356678" w:rsidRPr="00BF3A4E">
              <w:rPr>
                <w:sz w:val="18"/>
                <w:szCs w:val="18"/>
              </w:rPr>
              <w:t>‘</w:t>
            </w:r>
            <w:r w:rsidRPr="00BF3A4E">
              <w:rPr>
                <w:i/>
                <w:sz w:val="18"/>
                <w:szCs w:val="18"/>
              </w:rPr>
              <w:t>During clinical trials, 2</w:t>
            </w:r>
            <w:r w:rsidR="00581F9E" w:rsidRPr="00BF3A4E">
              <w:rPr>
                <w:i/>
                <w:sz w:val="18"/>
                <w:szCs w:val="18"/>
              </w:rPr>
              <w:t>,</w:t>
            </w:r>
            <w:r w:rsidRPr="00BF3A4E">
              <w:rPr>
                <w:i/>
                <w:sz w:val="18"/>
                <w:szCs w:val="18"/>
              </w:rPr>
              <w:t xml:space="preserve">047 subjects with inflammatory lesions of rosacea received </w:t>
            </w:r>
            <w:r w:rsidR="00356678" w:rsidRPr="00BF3A4E">
              <w:rPr>
                <w:i/>
                <w:sz w:val="18"/>
                <w:szCs w:val="18"/>
              </w:rPr>
              <w:t>Soolantra</w:t>
            </w:r>
            <w:r w:rsidRPr="00BF3A4E">
              <w:rPr>
                <w:i/>
                <w:sz w:val="18"/>
                <w:szCs w:val="18"/>
              </w:rPr>
              <w:t xml:space="preserve"> cream once daily. A total of 1</w:t>
            </w:r>
            <w:r w:rsidR="00581F9E" w:rsidRPr="00BF3A4E">
              <w:rPr>
                <w:i/>
                <w:sz w:val="18"/>
                <w:szCs w:val="18"/>
              </w:rPr>
              <w:t>,</w:t>
            </w:r>
            <w:r w:rsidRPr="00BF3A4E">
              <w:rPr>
                <w:i/>
                <w:sz w:val="18"/>
                <w:szCs w:val="18"/>
              </w:rPr>
              <w:t>555 subjects were treated once daily for more than 12 weeks, and 519 for approximately one year.</w:t>
            </w:r>
            <w:r w:rsidR="00356678" w:rsidRPr="00BF3A4E">
              <w:rPr>
                <w:sz w:val="18"/>
                <w:szCs w:val="18"/>
              </w:rPr>
              <w:t>’</w:t>
            </w:r>
          </w:p>
          <w:p w14:paraId="6AD89E58" w14:textId="77777777" w:rsidR="00C71FF1" w:rsidRPr="00BF3A4E" w:rsidRDefault="00C71FF1" w:rsidP="004553BB">
            <w:pPr>
              <w:ind w:left="0" w:right="0"/>
              <w:rPr>
                <w:sz w:val="18"/>
                <w:szCs w:val="18"/>
              </w:rPr>
            </w:pPr>
            <w:r w:rsidRPr="00BF3A4E">
              <w:rPr>
                <w:sz w:val="18"/>
                <w:szCs w:val="18"/>
              </w:rPr>
              <w:t xml:space="preserve">Overall, the data obtained in the clinical development program showed the absence of any trend toward emerging safety signals with the use of </w:t>
            </w:r>
            <w:r w:rsidR="006D61C3" w:rsidRPr="00BF3A4E">
              <w:rPr>
                <w:sz w:val="18"/>
                <w:szCs w:val="18"/>
              </w:rPr>
              <w:t>ivermectin</w:t>
            </w:r>
            <w:r w:rsidR="00C66A55" w:rsidRPr="00BF3A4E">
              <w:rPr>
                <w:sz w:val="18"/>
                <w:szCs w:val="18"/>
              </w:rPr>
              <w:t xml:space="preserve"> 1% </w:t>
            </w:r>
            <w:r w:rsidR="00F2439E" w:rsidRPr="00BF3A4E">
              <w:rPr>
                <w:sz w:val="18"/>
                <w:szCs w:val="18"/>
              </w:rPr>
              <w:t>cream</w:t>
            </w:r>
            <w:r w:rsidR="00C66A55" w:rsidRPr="00BF3A4E">
              <w:rPr>
                <w:sz w:val="18"/>
                <w:szCs w:val="18"/>
              </w:rPr>
              <w:t xml:space="preserve"> over time and the </w:t>
            </w:r>
            <w:r w:rsidRPr="00BF3A4E">
              <w:rPr>
                <w:sz w:val="18"/>
                <w:szCs w:val="18"/>
              </w:rPr>
              <w:t xml:space="preserve">persistence of a </w:t>
            </w:r>
            <w:r w:rsidR="00C66A55" w:rsidRPr="00BF3A4E">
              <w:rPr>
                <w:sz w:val="18"/>
                <w:szCs w:val="18"/>
              </w:rPr>
              <w:t>favourable</w:t>
            </w:r>
            <w:r w:rsidRPr="00BF3A4E">
              <w:rPr>
                <w:sz w:val="18"/>
                <w:szCs w:val="18"/>
              </w:rPr>
              <w:t xml:space="preserve"> benefit/risk ratio for periods of up to</w:t>
            </w:r>
            <w:r w:rsidR="00C66A55" w:rsidRPr="00BF3A4E">
              <w:rPr>
                <w:sz w:val="18"/>
                <w:szCs w:val="18"/>
              </w:rPr>
              <w:t xml:space="preserve"> 1 year of daily treatment. The </w:t>
            </w:r>
            <w:r w:rsidR="006F6336" w:rsidRPr="00BF3A4E">
              <w:rPr>
                <w:sz w:val="18"/>
                <w:szCs w:val="18"/>
              </w:rPr>
              <w:t>sponsor</w:t>
            </w:r>
            <w:r w:rsidRPr="00BF3A4E">
              <w:rPr>
                <w:sz w:val="18"/>
                <w:szCs w:val="18"/>
              </w:rPr>
              <w:t xml:space="preserve"> acknowledges that, at this point, no safety informa</w:t>
            </w:r>
            <w:r w:rsidR="00C66A55" w:rsidRPr="00BF3A4E">
              <w:rPr>
                <w:sz w:val="18"/>
                <w:szCs w:val="18"/>
              </w:rPr>
              <w:t xml:space="preserve">tion is available for treatment </w:t>
            </w:r>
            <w:r w:rsidRPr="00BF3A4E">
              <w:rPr>
                <w:sz w:val="18"/>
                <w:szCs w:val="18"/>
              </w:rPr>
              <w:t>durations beyond the 1 year duration of the pivotal studies</w:t>
            </w:r>
            <w:r w:rsidR="00C66A55" w:rsidRPr="00BF3A4E">
              <w:rPr>
                <w:sz w:val="18"/>
                <w:szCs w:val="18"/>
              </w:rPr>
              <w:t xml:space="preserve"> and their </w:t>
            </w:r>
            <w:r w:rsidR="008719BD" w:rsidRPr="00BF3A4E">
              <w:rPr>
                <w:sz w:val="18"/>
                <w:szCs w:val="18"/>
              </w:rPr>
              <w:t>long term</w:t>
            </w:r>
            <w:r w:rsidR="00C66A55" w:rsidRPr="00BF3A4E">
              <w:rPr>
                <w:sz w:val="18"/>
                <w:szCs w:val="18"/>
              </w:rPr>
              <w:t xml:space="preserve"> extension. </w:t>
            </w:r>
            <w:r w:rsidRPr="00BF3A4E">
              <w:rPr>
                <w:sz w:val="18"/>
                <w:szCs w:val="18"/>
              </w:rPr>
              <w:t>However, rather to include a specific statement about the la</w:t>
            </w:r>
            <w:r w:rsidR="00C66A55" w:rsidRPr="00BF3A4E">
              <w:rPr>
                <w:sz w:val="18"/>
                <w:szCs w:val="18"/>
              </w:rPr>
              <w:t xml:space="preserve">ck of safety information beyond </w:t>
            </w:r>
            <w:r w:rsidRPr="00BF3A4E">
              <w:rPr>
                <w:sz w:val="18"/>
                <w:szCs w:val="18"/>
              </w:rPr>
              <w:t xml:space="preserve">1 year for this product into the </w:t>
            </w:r>
            <w:r w:rsidR="00C66A55" w:rsidRPr="00BF3A4E">
              <w:rPr>
                <w:sz w:val="18"/>
                <w:szCs w:val="18"/>
              </w:rPr>
              <w:t>PI</w:t>
            </w:r>
            <w:r w:rsidRPr="00BF3A4E">
              <w:rPr>
                <w:sz w:val="18"/>
                <w:szCs w:val="18"/>
              </w:rPr>
              <w:t xml:space="preserve">, the </w:t>
            </w:r>
            <w:r w:rsidR="006F6336" w:rsidRPr="00BF3A4E">
              <w:rPr>
                <w:sz w:val="18"/>
                <w:szCs w:val="18"/>
              </w:rPr>
              <w:t>sponsor</w:t>
            </w:r>
            <w:r w:rsidR="00C66A55" w:rsidRPr="00BF3A4E">
              <w:rPr>
                <w:sz w:val="18"/>
                <w:szCs w:val="18"/>
              </w:rPr>
              <w:t xml:space="preserve"> has proposed the following </w:t>
            </w:r>
            <w:r w:rsidRPr="00BF3A4E">
              <w:rPr>
                <w:sz w:val="18"/>
                <w:szCs w:val="18"/>
              </w:rPr>
              <w:t xml:space="preserve">wording in the </w:t>
            </w:r>
            <w:r w:rsidR="00581F9E" w:rsidRPr="00BF3A4E">
              <w:rPr>
                <w:sz w:val="18"/>
                <w:szCs w:val="18"/>
              </w:rPr>
              <w:t xml:space="preserve">dosage and administration </w:t>
            </w:r>
            <w:r w:rsidRPr="00BF3A4E">
              <w:rPr>
                <w:sz w:val="18"/>
                <w:szCs w:val="18"/>
              </w:rPr>
              <w:t xml:space="preserve">section in the </w:t>
            </w:r>
            <w:r w:rsidR="00C66A55" w:rsidRPr="00BF3A4E">
              <w:rPr>
                <w:sz w:val="18"/>
                <w:szCs w:val="18"/>
              </w:rPr>
              <w:t xml:space="preserve">PI: </w:t>
            </w:r>
            <w:r w:rsidR="00356678" w:rsidRPr="00BF3A4E">
              <w:rPr>
                <w:sz w:val="18"/>
                <w:szCs w:val="18"/>
              </w:rPr>
              <w:t>‘</w:t>
            </w:r>
            <w:r w:rsidRPr="00BF3A4E">
              <w:rPr>
                <w:i/>
                <w:sz w:val="18"/>
                <w:szCs w:val="18"/>
              </w:rPr>
              <w:t>One application a day for up to 4 months. Soolantra should be applied daily over the treatment course. The treatment course may be repeated. In case of no improvement after 3 months, the treatment should be discontinued</w:t>
            </w:r>
            <w:r w:rsidRPr="00BF3A4E">
              <w:rPr>
                <w:sz w:val="18"/>
                <w:szCs w:val="18"/>
              </w:rPr>
              <w:t>.</w:t>
            </w:r>
            <w:r w:rsidR="00356678" w:rsidRPr="00BF3A4E">
              <w:rPr>
                <w:sz w:val="18"/>
                <w:szCs w:val="18"/>
              </w:rPr>
              <w:t>’</w:t>
            </w:r>
          </w:p>
          <w:p w14:paraId="6AD89E59" w14:textId="77777777" w:rsidR="00C66A55" w:rsidRPr="00BF3A4E" w:rsidRDefault="00C71FF1" w:rsidP="004553BB">
            <w:pPr>
              <w:ind w:left="0" w:right="0"/>
              <w:rPr>
                <w:sz w:val="18"/>
                <w:szCs w:val="18"/>
              </w:rPr>
            </w:pPr>
            <w:r w:rsidRPr="00BF3A4E">
              <w:rPr>
                <w:sz w:val="18"/>
                <w:szCs w:val="18"/>
              </w:rPr>
              <w:t>In addition, the CMI has also been updated accordingl</w:t>
            </w:r>
            <w:r w:rsidR="00C66A55" w:rsidRPr="00BF3A4E">
              <w:rPr>
                <w:sz w:val="18"/>
                <w:szCs w:val="18"/>
              </w:rPr>
              <w:t>y (Section</w:t>
            </w:r>
            <w:r w:rsidR="00581F9E" w:rsidRPr="00BF3A4E">
              <w:rPr>
                <w:sz w:val="18"/>
                <w:szCs w:val="18"/>
              </w:rPr>
              <w:t>;</w:t>
            </w:r>
            <w:r w:rsidR="00C66A55" w:rsidRPr="00BF3A4E">
              <w:rPr>
                <w:sz w:val="18"/>
                <w:szCs w:val="18"/>
              </w:rPr>
              <w:t xml:space="preserve"> How long to use it):</w:t>
            </w:r>
            <w:r w:rsidR="00356678" w:rsidRPr="00BF3A4E">
              <w:rPr>
                <w:sz w:val="18"/>
                <w:szCs w:val="18"/>
              </w:rPr>
              <w:t>‘</w:t>
            </w:r>
            <w:r w:rsidRPr="00BF3A4E">
              <w:rPr>
                <w:i/>
                <w:sz w:val="18"/>
                <w:szCs w:val="18"/>
              </w:rPr>
              <w:t xml:space="preserve">You should use </w:t>
            </w:r>
            <w:r w:rsidR="00356678" w:rsidRPr="00BF3A4E">
              <w:rPr>
                <w:i/>
                <w:sz w:val="18"/>
                <w:szCs w:val="18"/>
              </w:rPr>
              <w:t>Soolantra</w:t>
            </w:r>
            <w:r w:rsidRPr="00BF3A4E">
              <w:rPr>
                <w:i/>
                <w:sz w:val="18"/>
                <w:szCs w:val="18"/>
              </w:rPr>
              <w:t xml:space="preserve"> / </w:t>
            </w:r>
            <w:r w:rsidR="006F6336" w:rsidRPr="00BF3A4E">
              <w:rPr>
                <w:i/>
                <w:sz w:val="18"/>
                <w:szCs w:val="18"/>
              </w:rPr>
              <w:t>Vastreka</w:t>
            </w:r>
            <w:r w:rsidRPr="00BF3A4E">
              <w:rPr>
                <w:i/>
                <w:sz w:val="18"/>
                <w:szCs w:val="18"/>
              </w:rPr>
              <w:t xml:space="preserve"> daily over the t</w:t>
            </w:r>
            <w:r w:rsidR="00C66A55" w:rsidRPr="00BF3A4E">
              <w:rPr>
                <w:i/>
                <w:sz w:val="18"/>
                <w:szCs w:val="18"/>
              </w:rPr>
              <w:t xml:space="preserve">reatment course. The doctor may </w:t>
            </w:r>
            <w:r w:rsidRPr="00BF3A4E">
              <w:rPr>
                <w:i/>
                <w:sz w:val="18"/>
                <w:szCs w:val="18"/>
              </w:rPr>
              <w:t>decide that the treatment course should be repeated. The dura</w:t>
            </w:r>
            <w:r w:rsidR="00C66A55" w:rsidRPr="00BF3A4E">
              <w:rPr>
                <w:i/>
                <w:sz w:val="18"/>
                <w:szCs w:val="18"/>
              </w:rPr>
              <w:t xml:space="preserve">tion of treatment can vary from </w:t>
            </w:r>
            <w:r w:rsidRPr="00BF3A4E">
              <w:rPr>
                <w:i/>
                <w:sz w:val="18"/>
                <w:szCs w:val="18"/>
              </w:rPr>
              <w:t>person to person and depends on the severity of your skin condition</w:t>
            </w:r>
            <w:r w:rsidRPr="00BF3A4E">
              <w:rPr>
                <w:sz w:val="18"/>
                <w:szCs w:val="18"/>
              </w:rPr>
              <w:t>.</w:t>
            </w:r>
            <w:r w:rsidR="00356678" w:rsidRPr="00BF3A4E">
              <w:rPr>
                <w:sz w:val="18"/>
                <w:szCs w:val="18"/>
              </w:rPr>
              <w:t>’</w:t>
            </w:r>
          </w:p>
          <w:p w14:paraId="6AD89E5A" w14:textId="77777777" w:rsidR="00C71FF1" w:rsidRPr="00BF3A4E" w:rsidRDefault="00C71FF1" w:rsidP="004553BB">
            <w:pPr>
              <w:ind w:left="0" w:right="0"/>
              <w:rPr>
                <w:sz w:val="18"/>
                <w:szCs w:val="18"/>
              </w:rPr>
            </w:pPr>
            <w:r w:rsidRPr="00BF3A4E">
              <w:rPr>
                <w:sz w:val="18"/>
                <w:szCs w:val="18"/>
              </w:rPr>
              <w:t xml:space="preserve">Use with other concomitant topical rosacea </w:t>
            </w:r>
            <w:r w:rsidRPr="00BF3A4E">
              <w:rPr>
                <w:sz w:val="18"/>
                <w:szCs w:val="18"/>
              </w:rPr>
              <w:lastRenderedPageBreak/>
              <w:t xml:space="preserve">treatments: During the clinical studies performed by the </w:t>
            </w:r>
            <w:r w:rsidR="006F6336" w:rsidRPr="00BF3A4E">
              <w:rPr>
                <w:sz w:val="18"/>
                <w:szCs w:val="18"/>
              </w:rPr>
              <w:t>sponsor</w:t>
            </w:r>
            <w:r w:rsidRPr="00BF3A4E">
              <w:rPr>
                <w:sz w:val="18"/>
                <w:szCs w:val="18"/>
              </w:rPr>
              <w:t xml:space="preserve"> in subjects with PPR, only moistur</w:t>
            </w:r>
            <w:r w:rsidR="00603F07" w:rsidRPr="00BF3A4E">
              <w:rPr>
                <w:sz w:val="18"/>
                <w:szCs w:val="18"/>
              </w:rPr>
              <w:t>ise</w:t>
            </w:r>
            <w:r w:rsidRPr="00BF3A4E">
              <w:rPr>
                <w:sz w:val="18"/>
                <w:szCs w:val="18"/>
              </w:rPr>
              <w:t>rs and sunscreens were permitted as</w:t>
            </w:r>
            <w:r w:rsidR="00F5755F" w:rsidRPr="00BF3A4E">
              <w:rPr>
                <w:sz w:val="18"/>
                <w:szCs w:val="18"/>
              </w:rPr>
              <w:t xml:space="preserve"> topical therapies on the face. </w:t>
            </w:r>
            <w:r w:rsidRPr="00BF3A4E">
              <w:rPr>
                <w:sz w:val="18"/>
                <w:szCs w:val="18"/>
              </w:rPr>
              <w:t xml:space="preserve">The </w:t>
            </w:r>
            <w:r w:rsidR="006F6336" w:rsidRPr="00BF3A4E">
              <w:rPr>
                <w:sz w:val="18"/>
                <w:szCs w:val="18"/>
              </w:rPr>
              <w:t>sponsor</w:t>
            </w:r>
            <w:r w:rsidRPr="00BF3A4E">
              <w:rPr>
                <w:sz w:val="18"/>
                <w:szCs w:val="18"/>
              </w:rPr>
              <w:t xml:space="preserve"> agrees that there is no safety information available in case of concomitant use of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(with the exception of antibiotics for prophylaxis and anti-infective use which were permitted during the </w:t>
            </w:r>
            <w:r w:rsidR="008719BD" w:rsidRPr="00BF3A4E">
              <w:rPr>
                <w:sz w:val="18"/>
                <w:szCs w:val="18"/>
              </w:rPr>
              <w:t>long term</w:t>
            </w:r>
            <w:r w:rsidRPr="00BF3A4E">
              <w:rPr>
                <w:sz w:val="18"/>
                <w:szCs w:val="18"/>
              </w:rPr>
              <w:t xml:space="preserve"> ext</w:t>
            </w:r>
            <w:r w:rsidR="00F5755F" w:rsidRPr="00BF3A4E">
              <w:rPr>
                <w:sz w:val="18"/>
                <w:szCs w:val="18"/>
              </w:rPr>
              <w:t xml:space="preserve">ension of the pivotal studies). </w:t>
            </w:r>
            <w:r w:rsidRPr="00BF3A4E">
              <w:rPr>
                <w:sz w:val="18"/>
                <w:szCs w:val="18"/>
              </w:rPr>
              <w:t xml:space="preserve">As such, the </w:t>
            </w:r>
            <w:r w:rsidR="006F6336" w:rsidRPr="00BF3A4E">
              <w:rPr>
                <w:sz w:val="18"/>
                <w:szCs w:val="18"/>
              </w:rPr>
              <w:t>sponsor</w:t>
            </w:r>
            <w:r w:rsidRPr="00BF3A4E">
              <w:rPr>
                <w:sz w:val="18"/>
                <w:szCs w:val="18"/>
              </w:rPr>
              <w:t xml:space="preserve"> has included the f</w:t>
            </w:r>
            <w:r w:rsidR="00F5755F" w:rsidRPr="00BF3A4E">
              <w:rPr>
                <w:sz w:val="18"/>
                <w:szCs w:val="18"/>
              </w:rPr>
              <w:t xml:space="preserve">ollowing information in the PI: </w:t>
            </w:r>
            <w:r w:rsidRPr="00BF3A4E">
              <w:rPr>
                <w:sz w:val="18"/>
                <w:szCs w:val="18"/>
              </w:rPr>
              <w:t xml:space="preserve">Section </w:t>
            </w:r>
            <w:r w:rsidR="00581F9E" w:rsidRPr="00BF3A4E">
              <w:rPr>
                <w:sz w:val="18"/>
                <w:szCs w:val="18"/>
              </w:rPr>
              <w:t xml:space="preserve">dosage and administration </w:t>
            </w:r>
            <w:r w:rsidRPr="00BF3A4E">
              <w:rPr>
                <w:sz w:val="18"/>
                <w:szCs w:val="18"/>
              </w:rPr>
              <w:t xml:space="preserve">of the PI: </w:t>
            </w:r>
            <w:r w:rsidR="00356678" w:rsidRPr="00BF3A4E">
              <w:rPr>
                <w:sz w:val="18"/>
                <w:szCs w:val="18"/>
              </w:rPr>
              <w:t>‘</w:t>
            </w:r>
            <w:r w:rsidRPr="00BF3A4E">
              <w:rPr>
                <w:i/>
                <w:sz w:val="18"/>
                <w:szCs w:val="18"/>
              </w:rPr>
              <w:t xml:space="preserve">Cosmetics and sunscreens may also be applied after </w:t>
            </w:r>
            <w:r w:rsidR="00356678" w:rsidRPr="00BF3A4E">
              <w:rPr>
                <w:i/>
                <w:sz w:val="18"/>
                <w:szCs w:val="18"/>
              </w:rPr>
              <w:t>Soolantra</w:t>
            </w:r>
            <w:r w:rsidRPr="00BF3A4E">
              <w:rPr>
                <w:i/>
                <w:sz w:val="18"/>
                <w:szCs w:val="18"/>
              </w:rPr>
              <w:t xml:space="preserve"> has dried</w:t>
            </w:r>
            <w:r w:rsidRPr="00BF3A4E">
              <w:rPr>
                <w:sz w:val="18"/>
                <w:szCs w:val="18"/>
              </w:rPr>
              <w:t>.</w:t>
            </w:r>
            <w:r w:rsidR="00356678" w:rsidRPr="00BF3A4E">
              <w:rPr>
                <w:sz w:val="18"/>
                <w:szCs w:val="18"/>
              </w:rPr>
              <w:t>’</w:t>
            </w:r>
          </w:p>
          <w:p w14:paraId="6AD89E5B" w14:textId="77777777" w:rsidR="00C71FF1" w:rsidRPr="00BF3A4E" w:rsidRDefault="00C71FF1" w:rsidP="004553BB">
            <w:pPr>
              <w:ind w:left="0" w:right="0"/>
              <w:rPr>
                <w:sz w:val="18"/>
                <w:szCs w:val="18"/>
              </w:rPr>
            </w:pPr>
            <w:r w:rsidRPr="00BF3A4E">
              <w:rPr>
                <w:sz w:val="18"/>
                <w:szCs w:val="18"/>
              </w:rPr>
              <w:t xml:space="preserve">Section </w:t>
            </w:r>
            <w:r w:rsidR="00581F9E" w:rsidRPr="00BF3A4E">
              <w:rPr>
                <w:sz w:val="18"/>
                <w:szCs w:val="18"/>
              </w:rPr>
              <w:t xml:space="preserve">interactions with other medicines </w:t>
            </w:r>
            <w:r w:rsidRPr="00BF3A4E">
              <w:rPr>
                <w:sz w:val="18"/>
                <w:szCs w:val="18"/>
              </w:rPr>
              <w:t xml:space="preserve">of the PI: </w:t>
            </w:r>
            <w:r w:rsidR="00356678" w:rsidRPr="00BF3A4E">
              <w:rPr>
                <w:sz w:val="18"/>
                <w:szCs w:val="18"/>
              </w:rPr>
              <w:t>‘</w:t>
            </w:r>
            <w:r w:rsidRPr="00BF3A4E">
              <w:rPr>
                <w:i/>
                <w:sz w:val="18"/>
                <w:szCs w:val="18"/>
              </w:rPr>
              <w:t xml:space="preserve">Concomitant use of </w:t>
            </w:r>
            <w:r w:rsidR="00356678" w:rsidRPr="00BF3A4E">
              <w:rPr>
                <w:i/>
                <w:sz w:val="18"/>
                <w:szCs w:val="18"/>
              </w:rPr>
              <w:t>Soolantra</w:t>
            </w:r>
            <w:r w:rsidRPr="00BF3A4E">
              <w:rPr>
                <w:i/>
                <w:sz w:val="18"/>
                <w:szCs w:val="18"/>
              </w:rPr>
              <w:t xml:space="preserve"> / </w:t>
            </w:r>
            <w:r w:rsidR="006F6336" w:rsidRPr="00BF3A4E">
              <w:rPr>
                <w:i/>
                <w:sz w:val="18"/>
                <w:szCs w:val="18"/>
              </w:rPr>
              <w:t>Vastreka</w:t>
            </w:r>
            <w:r w:rsidRPr="00BF3A4E">
              <w:rPr>
                <w:i/>
                <w:sz w:val="18"/>
                <w:szCs w:val="18"/>
              </w:rPr>
              <w:t xml:space="preserve"> with other topical or systemic medicinal products for the treatment of rosacea has not been investigated.</w:t>
            </w:r>
            <w:r w:rsidR="00356678" w:rsidRPr="00BF3A4E">
              <w:rPr>
                <w:sz w:val="18"/>
                <w:szCs w:val="18"/>
              </w:rPr>
              <w:t>’</w:t>
            </w:r>
          </w:p>
          <w:p w14:paraId="6AD89E5C" w14:textId="77777777" w:rsidR="00C71FF1" w:rsidRPr="00BF3A4E" w:rsidRDefault="00C71FF1" w:rsidP="004553BB">
            <w:pPr>
              <w:ind w:left="0" w:right="0"/>
              <w:rPr>
                <w:sz w:val="18"/>
                <w:szCs w:val="18"/>
              </w:rPr>
            </w:pPr>
            <w:r w:rsidRPr="00BF3A4E">
              <w:rPr>
                <w:sz w:val="18"/>
                <w:szCs w:val="18"/>
              </w:rPr>
              <w:t>Use with laser or UV radiation: Please refer to information presente</w:t>
            </w:r>
            <w:r w:rsidR="00F5755F" w:rsidRPr="00BF3A4E">
              <w:rPr>
                <w:sz w:val="18"/>
                <w:szCs w:val="18"/>
              </w:rPr>
              <w:t xml:space="preserve">d in point 5 and point 6 above. </w:t>
            </w:r>
            <w:r w:rsidRPr="00BF3A4E">
              <w:rPr>
                <w:sz w:val="18"/>
                <w:szCs w:val="18"/>
              </w:rPr>
              <w:t xml:space="preserve">The </w:t>
            </w:r>
            <w:r w:rsidR="006F6336" w:rsidRPr="00BF3A4E">
              <w:rPr>
                <w:sz w:val="18"/>
                <w:szCs w:val="18"/>
              </w:rPr>
              <w:t>sponsor</w:t>
            </w:r>
            <w:r w:rsidRPr="00BF3A4E">
              <w:rPr>
                <w:sz w:val="18"/>
                <w:szCs w:val="18"/>
              </w:rPr>
              <w:t xml:space="preserve"> would like to additionally highlight that the dose-ranging, Phase </w:t>
            </w:r>
            <w:r w:rsidR="00F5755F" w:rsidRPr="00BF3A4E">
              <w:rPr>
                <w:sz w:val="18"/>
                <w:szCs w:val="18"/>
              </w:rPr>
              <w:t>II</w:t>
            </w:r>
            <w:r w:rsidRPr="00BF3A4E">
              <w:rPr>
                <w:sz w:val="18"/>
                <w:szCs w:val="18"/>
              </w:rPr>
              <w:t xml:space="preserve"> Study 40027 comparing the efficacy and safety of three concentrations of </w:t>
            </w:r>
            <w:r w:rsidR="006D61C3" w:rsidRPr="00BF3A4E">
              <w:rPr>
                <w:sz w:val="18"/>
                <w:szCs w:val="18"/>
              </w:rPr>
              <w:t>ivermectin</w:t>
            </w:r>
            <w:r w:rsidRPr="00BF3A4E">
              <w:rPr>
                <w:sz w:val="18"/>
                <w:szCs w:val="18"/>
              </w:rPr>
              <w:t xml:space="preserve"> </w:t>
            </w:r>
            <w:r w:rsidR="00F2439E" w:rsidRPr="00BF3A4E">
              <w:rPr>
                <w:sz w:val="18"/>
                <w:szCs w:val="18"/>
              </w:rPr>
              <w:t>cream</w:t>
            </w:r>
            <w:r w:rsidRPr="00BF3A4E">
              <w:rPr>
                <w:sz w:val="18"/>
                <w:szCs w:val="18"/>
              </w:rPr>
              <w:t xml:space="preserve"> once daily (0.1%, 0.3%, and 1%) with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twice daily, </w:t>
            </w:r>
            <w:r w:rsidR="00324098" w:rsidRPr="00BF3A4E">
              <w:rPr>
                <w:sz w:val="18"/>
                <w:szCs w:val="18"/>
              </w:rPr>
              <w:t>metronidazole</w:t>
            </w:r>
            <w:r w:rsidRPr="00BF3A4E">
              <w:rPr>
                <w:sz w:val="18"/>
                <w:szCs w:val="18"/>
              </w:rPr>
              <w:t xml:space="preserve"> 0.75% </w:t>
            </w:r>
            <w:r w:rsidR="00F2439E" w:rsidRPr="00BF3A4E">
              <w:rPr>
                <w:sz w:val="18"/>
                <w:szCs w:val="18"/>
              </w:rPr>
              <w:t>cream</w:t>
            </w:r>
            <w:r w:rsidRPr="00BF3A4E">
              <w:rPr>
                <w:sz w:val="18"/>
                <w:szCs w:val="18"/>
              </w:rPr>
              <w:t xml:space="preserve"> twice daily, and Vehicle </w:t>
            </w:r>
            <w:r w:rsidR="00F2439E" w:rsidRPr="00BF3A4E">
              <w:rPr>
                <w:sz w:val="18"/>
                <w:szCs w:val="18"/>
              </w:rPr>
              <w:t>cream</w:t>
            </w:r>
            <w:r w:rsidRPr="00BF3A4E">
              <w:rPr>
                <w:sz w:val="18"/>
                <w:szCs w:val="18"/>
              </w:rPr>
              <w:t>, was conducted in 296 subjects with PPR enrolled in a total of 26 investigator sites including 6 sites in Aust</w:t>
            </w:r>
            <w:r w:rsidR="00F5755F" w:rsidRPr="00BF3A4E">
              <w:rPr>
                <w:sz w:val="18"/>
                <w:szCs w:val="18"/>
              </w:rPr>
              <w:t xml:space="preserve">ralia (67 subjects). </w:t>
            </w:r>
            <w:r w:rsidRPr="00BF3A4E">
              <w:rPr>
                <w:sz w:val="18"/>
                <w:szCs w:val="18"/>
              </w:rPr>
              <w:t xml:space="preserve">As presented, suspected photosensitivity reactions were reported for 2 subjects under treatment with the lower concentrations of </w:t>
            </w:r>
            <w:r w:rsidR="006D61C3" w:rsidRPr="00BF3A4E">
              <w:rPr>
                <w:sz w:val="18"/>
                <w:szCs w:val="18"/>
              </w:rPr>
              <w:t>ivermectin</w:t>
            </w:r>
            <w:r w:rsidRPr="00BF3A4E">
              <w:rPr>
                <w:sz w:val="18"/>
                <w:szCs w:val="18"/>
              </w:rPr>
              <w:t xml:space="preserve"> </w:t>
            </w:r>
            <w:r w:rsidR="00F2439E" w:rsidRPr="00BF3A4E">
              <w:rPr>
                <w:sz w:val="18"/>
                <w:szCs w:val="18"/>
              </w:rPr>
              <w:t>cream</w:t>
            </w:r>
            <w:r w:rsidRPr="00BF3A4E">
              <w:rPr>
                <w:sz w:val="18"/>
                <w:szCs w:val="18"/>
              </w:rPr>
              <w:t xml:space="preserve"> (&lt;</w:t>
            </w:r>
            <w:r w:rsidR="00F5755F" w:rsidRPr="00BF3A4E">
              <w:rPr>
                <w:sz w:val="18"/>
                <w:szCs w:val="18"/>
              </w:rPr>
              <w:t xml:space="preserve"> </w:t>
            </w:r>
            <w:r w:rsidRPr="00BF3A4E">
              <w:rPr>
                <w:sz w:val="18"/>
                <w:szCs w:val="18"/>
              </w:rPr>
              <w:t xml:space="preserve">1%). These reactions were observed during the Australian summer in 1 of the Australian </w:t>
            </w:r>
            <w:r w:rsidR="00F5755F" w:rsidRPr="00BF3A4E">
              <w:rPr>
                <w:sz w:val="18"/>
                <w:szCs w:val="18"/>
              </w:rPr>
              <w:t>centres</w:t>
            </w:r>
            <w:r w:rsidRPr="00BF3A4E">
              <w:rPr>
                <w:sz w:val="18"/>
                <w:szCs w:val="18"/>
              </w:rPr>
              <w:t xml:space="preserve"> and were consider</w:t>
            </w:r>
            <w:r w:rsidR="00581F9E" w:rsidRPr="00BF3A4E">
              <w:rPr>
                <w:sz w:val="18"/>
                <w:szCs w:val="18"/>
              </w:rPr>
              <w:t>ed related to treatment by the i</w:t>
            </w:r>
            <w:r w:rsidRPr="00BF3A4E">
              <w:rPr>
                <w:sz w:val="18"/>
                <w:szCs w:val="18"/>
              </w:rPr>
              <w:t xml:space="preserve">nvestigators. The first case occurred in 1 subject (2.0%) treated with </w:t>
            </w:r>
            <w:r w:rsidR="006D61C3" w:rsidRPr="00BF3A4E">
              <w:rPr>
                <w:sz w:val="18"/>
                <w:szCs w:val="18"/>
              </w:rPr>
              <w:t>ivermectin</w:t>
            </w:r>
            <w:r w:rsidRPr="00BF3A4E">
              <w:rPr>
                <w:sz w:val="18"/>
                <w:szCs w:val="18"/>
              </w:rPr>
              <w:t xml:space="preserve"> 0.1% </w:t>
            </w:r>
            <w:r w:rsidR="00F2439E" w:rsidRPr="00BF3A4E">
              <w:rPr>
                <w:sz w:val="18"/>
                <w:szCs w:val="18"/>
              </w:rPr>
              <w:t>cream</w:t>
            </w:r>
            <w:r w:rsidRPr="00BF3A4E">
              <w:rPr>
                <w:sz w:val="18"/>
                <w:szCs w:val="18"/>
              </w:rPr>
              <w:t xml:space="preserve"> once daily. The second case occurred in 1 subject (2.1%) treated with </w:t>
            </w:r>
            <w:r w:rsidR="006D61C3" w:rsidRPr="00BF3A4E">
              <w:rPr>
                <w:sz w:val="18"/>
                <w:szCs w:val="18"/>
              </w:rPr>
              <w:t>ivermectin</w:t>
            </w:r>
            <w:r w:rsidRPr="00BF3A4E">
              <w:rPr>
                <w:sz w:val="18"/>
                <w:szCs w:val="18"/>
              </w:rPr>
              <w:t xml:space="preserve"> 0.3% </w:t>
            </w:r>
            <w:r w:rsidR="00F2439E" w:rsidRPr="00BF3A4E">
              <w:rPr>
                <w:sz w:val="18"/>
                <w:szCs w:val="18"/>
              </w:rPr>
              <w:t>cream</w:t>
            </w:r>
            <w:r w:rsidRPr="00BF3A4E">
              <w:rPr>
                <w:sz w:val="18"/>
                <w:szCs w:val="18"/>
              </w:rPr>
              <w:t xml:space="preserve"> once</w:t>
            </w:r>
            <w:r w:rsidR="00F5755F" w:rsidRPr="00BF3A4E">
              <w:rPr>
                <w:sz w:val="18"/>
                <w:szCs w:val="18"/>
              </w:rPr>
              <w:t xml:space="preserve"> daily. Further to a </w:t>
            </w:r>
            <w:proofErr w:type="spellStart"/>
            <w:r w:rsidR="00F5755F" w:rsidRPr="00BF3A4E">
              <w:rPr>
                <w:sz w:val="18"/>
                <w:szCs w:val="18"/>
              </w:rPr>
              <w:t>photopatch</w:t>
            </w:r>
            <w:proofErr w:type="spellEnd"/>
            <w:r w:rsidR="00F5755F" w:rsidRPr="00BF3A4E">
              <w:rPr>
                <w:sz w:val="18"/>
                <w:szCs w:val="18"/>
              </w:rPr>
              <w:t xml:space="preserve"> </w:t>
            </w:r>
            <w:r w:rsidRPr="00BF3A4E">
              <w:rPr>
                <w:sz w:val="18"/>
                <w:szCs w:val="18"/>
              </w:rPr>
              <w:t xml:space="preserve">testing study conducted according the methodology described in </w:t>
            </w:r>
            <w:r w:rsidR="00581F9E" w:rsidRPr="00BF3A4E">
              <w:rPr>
                <w:sz w:val="18"/>
                <w:szCs w:val="18"/>
              </w:rPr>
              <w:t xml:space="preserve">Study </w:t>
            </w:r>
            <w:proofErr w:type="gramStart"/>
            <w:r w:rsidRPr="00BF3A4E">
              <w:rPr>
                <w:sz w:val="18"/>
                <w:szCs w:val="18"/>
              </w:rPr>
              <w:t>RD.03.SRE.40027,</w:t>
            </w:r>
            <w:proofErr w:type="gramEnd"/>
            <w:r w:rsidRPr="00BF3A4E">
              <w:rPr>
                <w:sz w:val="18"/>
                <w:szCs w:val="18"/>
              </w:rPr>
              <w:t xml:space="preserve"> no phototoxic reactions were recorded in both subjects. Thus, the suspected photosensitivity reactions were not confirmed.</w:t>
            </w:r>
          </w:p>
          <w:p w14:paraId="6AD89E5D" w14:textId="77777777" w:rsidR="00C71FF1" w:rsidRPr="00BF3A4E" w:rsidRDefault="00C71FF1" w:rsidP="004553BB">
            <w:pPr>
              <w:ind w:left="0" w:right="0"/>
              <w:rPr>
                <w:sz w:val="18"/>
                <w:szCs w:val="18"/>
              </w:rPr>
            </w:pPr>
            <w:r w:rsidRPr="00BF3A4E">
              <w:rPr>
                <w:sz w:val="18"/>
                <w:szCs w:val="18"/>
              </w:rPr>
              <w:t>Overall</w:t>
            </w:r>
            <w:r w:rsidR="00F5755F" w:rsidRPr="00BF3A4E">
              <w:rPr>
                <w:sz w:val="18"/>
                <w:szCs w:val="18"/>
              </w:rPr>
              <w:t xml:space="preserve">, none of the </w:t>
            </w:r>
            <w:proofErr w:type="spellStart"/>
            <w:r w:rsidR="00F5755F" w:rsidRPr="00BF3A4E">
              <w:rPr>
                <w:sz w:val="18"/>
                <w:szCs w:val="18"/>
              </w:rPr>
              <w:t>photodermatosis</w:t>
            </w:r>
            <w:proofErr w:type="spellEnd"/>
            <w:r w:rsidR="00F5755F" w:rsidRPr="00BF3A4E">
              <w:rPr>
                <w:sz w:val="18"/>
                <w:szCs w:val="18"/>
              </w:rPr>
              <w:t xml:space="preserve"> /</w:t>
            </w:r>
            <w:r w:rsidRPr="00BF3A4E">
              <w:rPr>
                <w:sz w:val="18"/>
                <w:szCs w:val="18"/>
              </w:rPr>
              <w:t xml:space="preserve">photosensitivity reactions reported throughout the development program for subjects receiving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were considered related to treatment in any investigator site in any country, </w:t>
            </w:r>
            <w:r w:rsidR="00F5755F" w:rsidRPr="00BF3A4E">
              <w:rPr>
                <w:sz w:val="18"/>
                <w:szCs w:val="18"/>
              </w:rPr>
              <w:t>that is</w:t>
            </w:r>
            <w:r w:rsidRPr="00BF3A4E">
              <w:rPr>
                <w:sz w:val="18"/>
                <w:szCs w:val="18"/>
              </w:rPr>
              <w:t>, the United States, European Unio</w:t>
            </w:r>
            <w:r w:rsidR="006E51BF" w:rsidRPr="00BF3A4E">
              <w:rPr>
                <w:sz w:val="18"/>
                <w:szCs w:val="18"/>
              </w:rPr>
              <w:t xml:space="preserve">n, Australia, </w:t>
            </w:r>
            <w:r w:rsidR="006E51BF" w:rsidRPr="00BF3A4E">
              <w:rPr>
                <w:sz w:val="18"/>
                <w:szCs w:val="18"/>
              </w:rPr>
              <w:lastRenderedPageBreak/>
              <w:t>Russia</w:t>
            </w:r>
            <w:r w:rsidRPr="00BF3A4E">
              <w:rPr>
                <w:sz w:val="18"/>
                <w:szCs w:val="18"/>
              </w:rPr>
              <w:t xml:space="preserve"> and Ukraine. In all studies, the majority of subjects were White/Caucasian.</w:t>
            </w:r>
          </w:p>
          <w:p w14:paraId="6AD89E5E" w14:textId="77777777" w:rsidR="00C71FF1" w:rsidRPr="00BF3A4E" w:rsidRDefault="00C71FF1" w:rsidP="004553BB">
            <w:pPr>
              <w:ind w:left="0" w:right="0"/>
              <w:rPr>
                <w:sz w:val="18"/>
                <w:szCs w:val="18"/>
              </w:rPr>
            </w:pPr>
            <w:r w:rsidRPr="00BF3A4E">
              <w:rPr>
                <w:sz w:val="18"/>
                <w:szCs w:val="18"/>
              </w:rPr>
              <w:t xml:space="preserve">Available data show the occurrence of only 1 case (0.04%) of moderate sunburn reaction considered related to </w:t>
            </w:r>
            <w:r w:rsidR="006D61C3" w:rsidRPr="00BF3A4E">
              <w:rPr>
                <w:sz w:val="18"/>
                <w:szCs w:val="18"/>
              </w:rPr>
              <w:t>ivermectin</w:t>
            </w:r>
            <w:r w:rsidRPr="00BF3A4E">
              <w:rPr>
                <w:sz w:val="18"/>
                <w:szCs w:val="18"/>
              </w:rPr>
              <w:t xml:space="preserve"> 1% </w:t>
            </w:r>
            <w:r w:rsidR="00F2439E" w:rsidRPr="00BF3A4E">
              <w:rPr>
                <w:sz w:val="18"/>
                <w:szCs w:val="18"/>
              </w:rPr>
              <w:t>cream</w:t>
            </w:r>
            <w:r w:rsidR="00581F9E" w:rsidRPr="00BF3A4E">
              <w:rPr>
                <w:sz w:val="18"/>
                <w:szCs w:val="18"/>
              </w:rPr>
              <w:t xml:space="preserve"> by the i</w:t>
            </w:r>
            <w:r w:rsidRPr="00BF3A4E">
              <w:rPr>
                <w:sz w:val="18"/>
                <w:szCs w:val="18"/>
              </w:rPr>
              <w:t>nvestigator, in 2</w:t>
            </w:r>
            <w:r w:rsidR="00581F9E" w:rsidRPr="00BF3A4E">
              <w:rPr>
                <w:sz w:val="18"/>
                <w:szCs w:val="18"/>
              </w:rPr>
              <w:t>,</w:t>
            </w:r>
            <w:r w:rsidRPr="00BF3A4E">
              <w:rPr>
                <w:sz w:val="18"/>
                <w:szCs w:val="18"/>
              </w:rPr>
              <w:t xml:space="preserve">431 subjects exposed at least once to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xml:space="preserve">. These observations indicate a low incidence of potential sunburn reactions after application of </w:t>
            </w:r>
            <w:r w:rsidR="006D61C3" w:rsidRPr="00BF3A4E">
              <w:rPr>
                <w:sz w:val="18"/>
                <w:szCs w:val="18"/>
              </w:rPr>
              <w:t>ivermectin</w:t>
            </w:r>
            <w:r w:rsidRPr="00BF3A4E">
              <w:rPr>
                <w:sz w:val="18"/>
                <w:szCs w:val="18"/>
              </w:rPr>
              <w:t xml:space="preserve"> 1% </w:t>
            </w:r>
            <w:r w:rsidR="00F2439E" w:rsidRPr="00BF3A4E">
              <w:rPr>
                <w:sz w:val="18"/>
                <w:szCs w:val="18"/>
              </w:rPr>
              <w:t>cream</w:t>
            </w:r>
            <w:r w:rsidRPr="00BF3A4E">
              <w:rPr>
                <w:sz w:val="18"/>
                <w:szCs w:val="18"/>
              </w:rPr>
              <w:t>. The 4 sunburn reactions reported by 4 subjects of the ivermectin group of the pivotal studies (0.3%), all of mild intensi</w:t>
            </w:r>
            <w:r w:rsidR="00581F9E" w:rsidRPr="00BF3A4E">
              <w:rPr>
                <w:sz w:val="18"/>
                <w:szCs w:val="18"/>
              </w:rPr>
              <w:t>ty and not considered treatment related by the i</w:t>
            </w:r>
            <w:r w:rsidRPr="00BF3A4E">
              <w:rPr>
                <w:sz w:val="18"/>
                <w:szCs w:val="18"/>
              </w:rPr>
              <w:t>nvestigators, were reported with the same incidence as those reported for subjects in the vehicle group in these studies (0.3%).</w:t>
            </w:r>
          </w:p>
          <w:p w14:paraId="6AD89E5F" w14:textId="77777777" w:rsidR="00C71FF1" w:rsidRPr="00BF3A4E" w:rsidRDefault="00C71FF1" w:rsidP="004553BB">
            <w:pPr>
              <w:ind w:left="0" w:right="0"/>
              <w:rPr>
                <w:sz w:val="18"/>
                <w:szCs w:val="18"/>
              </w:rPr>
            </w:pPr>
            <w:r w:rsidRPr="00BF3A4E">
              <w:rPr>
                <w:sz w:val="18"/>
                <w:szCs w:val="18"/>
              </w:rPr>
              <w:t>Information provided to the healthcare professional and the patient regarding protection from UV light is given in</w:t>
            </w:r>
            <w:r w:rsidR="00581F9E" w:rsidRPr="00BF3A4E">
              <w:rPr>
                <w:sz w:val="18"/>
                <w:szCs w:val="18"/>
              </w:rPr>
              <w:t xml:space="preserve"> the r</w:t>
            </w:r>
            <w:r w:rsidRPr="00BF3A4E">
              <w:rPr>
                <w:sz w:val="18"/>
                <w:szCs w:val="18"/>
              </w:rPr>
              <w:t xml:space="preserve">esponse </w:t>
            </w:r>
            <w:r w:rsidR="00581F9E" w:rsidRPr="00BF3A4E">
              <w:rPr>
                <w:sz w:val="18"/>
                <w:szCs w:val="18"/>
              </w:rPr>
              <w:t xml:space="preserve">provided </w:t>
            </w:r>
            <w:r w:rsidRPr="00BF3A4E">
              <w:rPr>
                <w:sz w:val="18"/>
                <w:szCs w:val="18"/>
              </w:rPr>
              <w:t xml:space="preserve">to </w:t>
            </w:r>
            <w:r w:rsidR="00581F9E" w:rsidRPr="00BF3A4E">
              <w:rPr>
                <w:sz w:val="18"/>
                <w:szCs w:val="18"/>
              </w:rPr>
              <w:t>TGA request for information.</w:t>
            </w:r>
          </w:p>
        </w:tc>
        <w:tc>
          <w:tcPr>
            <w:tcW w:w="985"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D89E60" w14:textId="77777777" w:rsidR="00C71FF1" w:rsidRPr="00BF3A4E" w:rsidRDefault="00C71FF1" w:rsidP="004553BB">
            <w:pPr>
              <w:ind w:left="0" w:right="0"/>
              <w:rPr>
                <w:sz w:val="18"/>
                <w:szCs w:val="18"/>
              </w:rPr>
            </w:pPr>
            <w:r w:rsidRPr="00BF3A4E">
              <w:rPr>
                <w:sz w:val="18"/>
                <w:szCs w:val="18"/>
              </w:rPr>
              <w:lastRenderedPageBreak/>
              <w:t xml:space="preserve">Use longer than one year: Pending the </w:t>
            </w:r>
            <w:r w:rsidR="006F6336" w:rsidRPr="00BF3A4E">
              <w:rPr>
                <w:sz w:val="18"/>
                <w:szCs w:val="18"/>
              </w:rPr>
              <w:t>Delegate</w:t>
            </w:r>
            <w:r w:rsidRPr="00BF3A4E">
              <w:rPr>
                <w:sz w:val="18"/>
                <w:szCs w:val="18"/>
              </w:rPr>
              <w:t>’s approval, the addition of the proposed statements in the CM</w:t>
            </w:r>
            <w:r w:rsidR="00C66A55" w:rsidRPr="00BF3A4E">
              <w:rPr>
                <w:sz w:val="18"/>
                <w:szCs w:val="18"/>
              </w:rPr>
              <w:t xml:space="preserve">I/PI </w:t>
            </w:r>
            <w:proofErr w:type="gramStart"/>
            <w:r w:rsidR="00C66A55" w:rsidRPr="00BF3A4E">
              <w:rPr>
                <w:sz w:val="18"/>
                <w:szCs w:val="18"/>
              </w:rPr>
              <w:t>are</w:t>
            </w:r>
            <w:proofErr w:type="gramEnd"/>
            <w:r w:rsidR="00C66A55" w:rsidRPr="00BF3A4E">
              <w:rPr>
                <w:sz w:val="18"/>
                <w:szCs w:val="18"/>
              </w:rPr>
              <w:t xml:space="preserve"> considered acceptable.</w:t>
            </w:r>
          </w:p>
          <w:p w14:paraId="6AD89E61" w14:textId="77777777" w:rsidR="00C71FF1" w:rsidRPr="00BF3A4E" w:rsidRDefault="00C71FF1" w:rsidP="004553BB">
            <w:pPr>
              <w:ind w:left="0" w:right="0"/>
              <w:rPr>
                <w:sz w:val="18"/>
                <w:szCs w:val="18"/>
              </w:rPr>
            </w:pPr>
            <w:r w:rsidRPr="00BF3A4E">
              <w:rPr>
                <w:sz w:val="18"/>
                <w:szCs w:val="18"/>
              </w:rPr>
              <w:t>Use with other concomitant topical rosacea treatments:</w:t>
            </w:r>
            <w:r w:rsidR="00BE5FC8" w:rsidRPr="00BF3A4E">
              <w:rPr>
                <w:sz w:val="18"/>
                <w:szCs w:val="18"/>
              </w:rPr>
              <w:t xml:space="preserve"> This is considered acceptable.</w:t>
            </w:r>
          </w:p>
          <w:p w14:paraId="6AD89E62" w14:textId="77777777" w:rsidR="00C71FF1" w:rsidRPr="00BF3A4E" w:rsidRDefault="00C71FF1" w:rsidP="004553BB">
            <w:pPr>
              <w:ind w:left="0" w:right="0"/>
              <w:rPr>
                <w:sz w:val="18"/>
                <w:szCs w:val="18"/>
              </w:rPr>
            </w:pPr>
            <w:r w:rsidRPr="00BF3A4E">
              <w:rPr>
                <w:sz w:val="18"/>
                <w:szCs w:val="18"/>
              </w:rPr>
              <w:t>Use with laser or UV radiation: The sponsor’s response is consid</w:t>
            </w:r>
            <w:r w:rsidR="00BE5FC8" w:rsidRPr="00BF3A4E">
              <w:rPr>
                <w:sz w:val="18"/>
                <w:szCs w:val="18"/>
              </w:rPr>
              <w:t>ered acceptable.</w:t>
            </w:r>
          </w:p>
        </w:tc>
      </w:tr>
    </w:tbl>
    <w:p w14:paraId="6AD89E64" w14:textId="77777777"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14:paraId="6AD89E65" w14:textId="77777777" w:rsidR="00A82F64" w:rsidRPr="00A82F64" w:rsidRDefault="00A82F64" w:rsidP="00A82F64">
      <w:pPr>
        <w:pStyle w:val="Heading5"/>
      </w:pPr>
      <w:r w:rsidRPr="00A82F64">
        <w:t>Outstanding issues</w:t>
      </w:r>
    </w:p>
    <w:p w14:paraId="6AD89E66" w14:textId="044CECFD" w:rsidR="00A82F64" w:rsidRPr="00A82F64" w:rsidRDefault="004553BB" w:rsidP="00A82F64">
      <w:pPr>
        <w:pStyle w:val="Heading6"/>
      </w:pPr>
      <w:r>
        <w:t>Issues in relation to the RMP</w:t>
      </w:r>
    </w:p>
    <w:p w14:paraId="6AD89E67" w14:textId="77777777" w:rsidR="00A82F64" w:rsidRPr="00A82F64" w:rsidRDefault="006E51BF" w:rsidP="00A82F64">
      <w:pPr>
        <w:pStyle w:val="Numberbullet0"/>
      </w:pPr>
      <w:r>
        <w:t>‘</w:t>
      </w:r>
      <w:r w:rsidR="00A82F64" w:rsidRPr="00A82F64">
        <w:t>Effects of significant UV exposure</w:t>
      </w:r>
      <w:r>
        <w:t>’</w:t>
      </w:r>
      <w:r w:rsidR="00A82F64" w:rsidRPr="00A82F64">
        <w:t xml:space="preserve"> and </w:t>
      </w:r>
      <w:r>
        <w:t>‘</w:t>
      </w:r>
      <w:r w:rsidR="00A82F64" w:rsidRPr="00A82F64">
        <w:t xml:space="preserve">Use in patients with particular forms of rosacea ((rosacea </w:t>
      </w:r>
      <w:proofErr w:type="spellStart"/>
      <w:r w:rsidR="00A82F64" w:rsidRPr="00A82F64">
        <w:t>conglobata</w:t>
      </w:r>
      <w:proofErr w:type="spellEnd"/>
      <w:r w:rsidR="00A82F64" w:rsidRPr="00A82F64">
        <w:t xml:space="preserve">, rosacea </w:t>
      </w:r>
      <w:proofErr w:type="spellStart"/>
      <w:r w:rsidR="00A82F64" w:rsidRPr="00A82F64">
        <w:t>fulminans</w:t>
      </w:r>
      <w:proofErr w:type="spellEnd"/>
      <w:r w:rsidR="00A82F64" w:rsidRPr="00A82F64">
        <w:t xml:space="preserve">, isolated </w:t>
      </w:r>
      <w:proofErr w:type="spellStart"/>
      <w:r w:rsidR="00A82F64" w:rsidRPr="00A82F64">
        <w:t>rhinophyma</w:t>
      </w:r>
      <w:proofErr w:type="spellEnd"/>
      <w:r w:rsidR="00A82F64" w:rsidRPr="00A82F64">
        <w:t xml:space="preserve">, isolated </w:t>
      </w:r>
      <w:proofErr w:type="spellStart"/>
      <w:r w:rsidR="00A82F64" w:rsidRPr="00A82F64">
        <w:t>pustulosis</w:t>
      </w:r>
      <w:proofErr w:type="spellEnd"/>
      <w:r w:rsidR="00A82F64" w:rsidRPr="00A82F64">
        <w:t xml:space="preserve"> of the chin) or other facial dermatoses that may be confounded with </w:t>
      </w:r>
      <w:proofErr w:type="spellStart"/>
      <w:r w:rsidR="00F475F1">
        <w:t>papulo</w:t>
      </w:r>
      <w:proofErr w:type="spellEnd"/>
      <w:r w:rsidR="00F475F1">
        <w:t>-pustular</w:t>
      </w:r>
      <w:r w:rsidR="00A82F64" w:rsidRPr="00A82F64">
        <w:t xml:space="preserve"> rosacea, such as peri-oral dermatitis, facial keratosis pilaris, seborrheic dermatitis and acne))</w:t>
      </w:r>
      <w:r>
        <w:t>’</w:t>
      </w:r>
      <w:r w:rsidR="00A82F64" w:rsidRPr="00A82F64">
        <w:t>, should be added as missing information to the table of ongoing safety concerns.</w:t>
      </w:r>
    </w:p>
    <w:p w14:paraId="6AD89E68" w14:textId="77777777" w:rsidR="00A82F64" w:rsidRPr="00A82F64" w:rsidRDefault="00A82F64" w:rsidP="00A82F64">
      <w:pPr>
        <w:pStyle w:val="Numberbullet0"/>
      </w:pPr>
      <w:r w:rsidRPr="00A82F64">
        <w:t xml:space="preserve">The sponsor should describe in the PI that the following patient population were excluded from the clinical development program and therefore, no data about the safety of the product in these patient populations is available: Patients suffering a particular forms of rosacea (rosacea </w:t>
      </w:r>
      <w:proofErr w:type="spellStart"/>
      <w:r w:rsidRPr="00A82F64">
        <w:t>conglobata</w:t>
      </w:r>
      <w:proofErr w:type="spellEnd"/>
      <w:r w:rsidRPr="00A82F64">
        <w:t xml:space="preserve">, rosacea </w:t>
      </w:r>
      <w:proofErr w:type="spellStart"/>
      <w:r w:rsidRPr="00A82F64">
        <w:t>fulminans</w:t>
      </w:r>
      <w:proofErr w:type="spellEnd"/>
      <w:r w:rsidRPr="00A82F64">
        <w:t xml:space="preserve">, isolated </w:t>
      </w:r>
      <w:proofErr w:type="spellStart"/>
      <w:r w:rsidRPr="00A82F64">
        <w:t>rhinophyma</w:t>
      </w:r>
      <w:proofErr w:type="spellEnd"/>
      <w:r w:rsidRPr="00A82F64">
        <w:t xml:space="preserve">, isolated </w:t>
      </w:r>
      <w:proofErr w:type="spellStart"/>
      <w:r w:rsidRPr="00A82F64">
        <w:t>pustulosis</w:t>
      </w:r>
      <w:proofErr w:type="spellEnd"/>
      <w:r w:rsidRPr="00A82F64">
        <w:t xml:space="preserve"> of the chin) or other facial dermatoses that may be confounded with </w:t>
      </w:r>
      <w:proofErr w:type="spellStart"/>
      <w:r w:rsidR="00F475F1">
        <w:t>papulo</w:t>
      </w:r>
      <w:proofErr w:type="spellEnd"/>
      <w:r w:rsidR="00F475F1">
        <w:t>-pustular</w:t>
      </w:r>
      <w:r w:rsidRPr="00A82F64">
        <w:t xml:space="preserve"> rosacea, such as peri-oral dermatitis, facial keratosis pilaris, seborrheic dermatitis and acne.</w:t>
      </w:r>
    </w:p>
    <w:p w14:paraId="6AD89E69" w14:textId="77777777" w:rsidR="00A82F64" w:rsidRPr="00A82F64" w:rsidRDefault="00A82F64" w:rsidP="00A82F64">
      <w:pPr>
        <w:pStyle w:val="Heading5"/>
      </w:pPr>
      <w:r w:rsidRPr="00A82F64">
        <w:t>Advice from the Advisory Committee on the Safety of Medicines (ACSOM)</w:t>
      </w:r>
    </w:p>
    <w:p w14:paraId="6AD89E6A" w14:textId="77777777" w:rsidR="00A82F64" w:rsidRPr="00A82F64" w:rsidRDefault="00A82F64" w:rsidP="00A82F64">
      <w:r w:rsidRPr="00A82F64">
        <w:t>ACSOM advice was not sought for this submission.</w:t>
      </w:r>
    </w:p>
    <w:p w14:paraId="6AD89E6B" w14:textId="77777777" w:rsidR="00A82F64" w:rsidRPr="00A82F64" w:rsidRDefault="00814D85" w:rsidP="00A82F64">
      <w:pPr>
        <w:pStyle w:val="Heading5"/>
      </w:pPr>
      <w:r>
        <w:t>Key changes to the updated RMP</w:t>
      </w:r>
    </w:p>
    <w:p w14:paraId="6AD89E6C" w14:textId="77777777" w:rsidR="00A82F64" w:rsidRPr="00A82F64" w:rsidRDefault="00A82F64" w:rsidP="00A82F64">
      <w:r w:rsidRPr="00A82F64">
        <w:t>Australian Specific Annex Version 1.0, dated July 2014 has been superseded by:</w:t>
      </w:r>
    </w:p>
    <w:p w14:paraId="6AD89E6D" w14:textId="77777777" w:rsidR="00A82F64" w:rsidRPr="00A82F64" w:rsidRDefault="00A82F64" w:rsidP="00A82F64">
      <w:r w:rsidRPr="00A82F64">
        <w:t>Australian Specific Annex Version 1.1, dated March 2015.</w:t>
      </w:r>
    </w:p>
    <w:p w14:paraId="6AD89E6E" w14:textId="77777777" w:rsidR="00A82F64" w:rsidRPr="00A82F64" w:rsidRDefault="00A82F64" w:rsidP="00A82F64">
      <w:r w:rsidRPr="00A82F64">
        <w:t>An updated version of the EU-RMP was not provided.</w:t>
      </w:r>
    </w:p>
    <w:p w14:paraId="6AD89E6F" w14:textId="77777777" w:rsidR="00A82F64" w:rsidRPr="00A82F64" w:rsidRDefault="00A82F64" w:rsidP="00A82F64">
      <w:pPr>
        <w:pStyle w:val="Heading5"/>
      </w:pPr>
      <w:r w:rsidRPr="00A82F64">
        <w:lastRenderedPageBreak/>
        <w:t xml:space="preserve">Suggested wording for conditions of registration </w:t>
      </w:r>
    </w:p>
    <w:p w14:paraId="6AD89E70" w14:textId="77777777" w:rsidR="00A82F64" w:rsidRPr="00A82F64" w:rsidRDefault="00A82F64" w:rsidP="00A82F64">
      <w:pPr>
        <w:pStyle w:val="Heading6"/>
      </w:pPr>
      <w:r w:rsidRPr="00A82F64">
        <w:t>RMP</w:t>
      </w:r>
    </w:p>
    <w:p w14:paraId="6AD89E71" w14:textId="77777777" w:rsidR="00A82F64" w:rsidRPr="00A82F64" w:rsidRDefault="00A82F64" w:rsidP="00A82F64">
      <w:r w:rsidRPr="00A82F64">
        <w:t>Any changes to which the sponsor agreed become part of the risk management system, whether they are included in the currently available version of the RMP document, or not included, inadvertently or otherwise.</w:t>
      </w:r>
    </w:p>
    <w:p w14:paraId="6AD89E72" w14:textId="77777777" w:rsidR="00A82F64" w:rsidRPr="00A82F64" w:rsidRDefault="00A82F64" w:rsidP="00A82F64">
      <w:r w:rsidRPr="00A82F64">
        <w:t>The suggested wording is:</w:t>
      </w:r>
    </w:p>
    <w:p w14:paraId="6AD89E73" w14:textId="77777777" w:rsidR="00A82F64" w:rsidRPr="00A82F64" w:rsidRDefault="00A82F64" w:rsidP="00A82F64">
      <w:r w:rsidRPr="00A82F64">
        <w:t>The European Risk Management Plan (version 1.0, dated 25-Mar-2014, DLP 10-Oct-2013), with Australian Specific Annex (version 1.1, dated March 2015), to be revised to the satisfaction of the TGA, must be implemented.</w:t>
      </w:r>
    </w:p>
    <w:p w14:paraId="6AD89E74" w14:textId="77777777" w:rsidR="008E7846" w:rsidRPr="00792A32" w:rsidRDefault="008E7846" w:rsidP="008E7846">
      <w:pPr>
        <w:pStyle w:val="Heading2"/>
      </w:pPr>
      <w:bookmarkStart w:id="167" w:name="_Toc314842510"/>
      <w:bookmarkStart w:id="168" w:name="_Toc437418403"/>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38"/>
      <w:bookmarkEnd w:id="164"/>
      <w:bookmarkEnd w:id="167"/>
      <w:bookmarkEnd w:id="168"/>
    </w:p>
    <w:p w14:paraId="6AD89E75" w14:textId="77777777" w:rsidR="008E7846" w:rsidRDefault="008E7846" w:rsidP="008E7846">
      <w:bookmarkStart w:id="169" w:name="_Toc247691528"/>
      <w:r>
        <w:t xml:space="preserve">The submission was summarised in the following </w:t>
      </w:r>
      <w:r w:rsidRPr="00EF5C48">
        <w:t xml:space="preserve">Delegate’s </w:t>
      </w:r>
      <w:r>
        <w:t>overview</w:t>
      </w:r>
      <w:r w:rsidRPr="00EF5C48">
        <w:t xml:space="preserve"> and recommendation</w:t>
      </w:r>
      <w:r w:rsidR="00814D85">
        <w:t>s.</w:t>
      </w:r>
    </w:p>
    <w:p w14:paraId="6AD89E76" w14:textId="77777777" w:rsidR="008E7846" w:rsidRDefault="008E7846" w:rsidP="008E7846">
      <w:pPr>
        <w:pStyle w:val="Heading3"/>
      </w:pPr>
      <w:bookmarkStart w:id="170" w:name="_Toc314842511"/>
      <w:bookmarkStart w:id="171" w:name="_Toc437418404"/>
      <w:r>
        <w:t>Quality</w:t>
      </w:r>
      <w:bookmarkEnd w:id="169"/>
      <w:bookmarkEnd w:id="170"/>
      <w:bookmarkEnd w:id="171"/>
    </w:p>
    <w:p w14:paraId="6AD89E77" w14:textId="77777777" w:rsidR="002C0FE2" w:rsidRPr="002C0FE2" w:rsidRDefault="00BE5FC8" w:rsidP="002C0FE2">
      <w:r>
        <w:t xml:space="preserve">Registration of the proposed </w:t>
      </w:r>
      <w:r w:rsidR="00356678">
        <w:t>Soolantra</w:t>
      </w:r>
      <w:r>
        <w:t xml:space="preserve"> and </w:t>
      </w:r>
      <w:r w:rsidR="006F6336">
        <w:t>Vastreka</w:t>
      </w:r>
      <w:r w:rsidR="002C0FE2" w:rsidRPr="002C0FE2">
        <w:t xml:space="preserve"> ivermectin 1% (w/w; </w:t>
      </w:r>
      <w:r w:rsidR="009D6CCA">
        <w:t>10 mg</w:t>
      </w:r>
      <w:r w:rsidR="002C0FE2">
        <w:t xml:space="preserve">/g) cream in pack sizes of </w:t>
      </w:r>
      <w:r w:rsidR="002C0FE2" w:rsidRPr="002C0FE2">
        <w:t>2</w:t>
      </w:r>
      <w:r w:rsidR="006E51BF">
        <w:t xml:space="preserve"> </w:t>
      </w:r>
      <w:r w:rsidR="002C0FE2" w:rsidRPr="002C0FE2">
        <w:t xml:space="preserve">g, </w:t>
      </w:r>
      <w:r w:rsidR="009D6CCA">
        <w:t>15 g</w:t>
      </w:r>
      <w:r w:rsidR="002C0FE2" w:rsidRPr="002C0FE2">
        <w:t xml:space="preserve">, </w:t>
      </w:r>
      <w:r w:rsidR="009D6CCA">
        <w:t>30 g</w:t>
      </w:r>
      <w:r w:rsidR="002C0FE2" w:rsidRPr="002C0FE2">
        <w:t xml:space="preserve">, </w:t>
      </w:r>
      <w:r w:rsidR="009D6CCA">
        <w:t>45 g</w:t>
      </w:r>
      <w:r w:rsidR="002C0FE2" w:rsidRPr="002C0FE2">
        <w:t xml:space="preserve"> and </w:t>
      </w:r>
      <w:r w:rsidR="009D6CCA">
        <w:t>60 g</w:t>
      </w:r>
      <w:r w:rsidR="002C0FE2" w:rsidRPr="002C0FE2">
        <w:t xml:space="preserve"> in laminated HDPE tubes with PP caps, is recommended with respect to quality and biopharmaceutic aspects. All issues raised during the initial evaluation of this application hav</w:t>
      </w:r>
      <w:r w:rsidR="00814D85">
        <w:t>e been satisfactorily resolved.</w:t>
      </w:r>
    </w:p>
    <w:p w14:paraId="6AD89E78" w14:textId="77777777" w:rsidR="00730F8A" w:rsidRDefault="002C0FE2" w:rsidP="008E7846">
      <w:r w:rsidRPr="002C0FE2">
        <w:t>As no significant pharmaceutical chemistry issues were identified, the submission was not referred to the Pharmaceutical Subcommittee</w:t>
      </w:r>
      <w:r w:rsidR="00814D85">
        <w:t xml:space="preserve"> of the ACPM.</w:t>
      </w:r>
    </w:p>
    <w:p w14:paraId="6AD89E79" w14:textId="77777777" w:rsidR="008E7846" w:rsidRDefault="008E7846" w:rsidP="008E7846">
      <w:pPr>
        <w:pStyle w:val="Heading3"/>
      </w:pPr>
      <w:bookmarkStart w:id="172" w:name="_Toc314842512"/>
      <w:bookmarkStart w:id="173" w:name="_Toc437418405"/>
      <w:r>
        <w:t>Nonclinical</w:t>
      </w:r>
      <w:bookmarkEnd w:id="172"/>
      <w:bookmarkEnd w:id="173"/>
    </w:p>
    <w:p w14:paraId="6AD89E7A" w14:textId="77777777" w:rsidR="002C0FE2" w:rsidRPr="002C0FE2" w:rsidRDefault="002C0FE2" w:rsidP="002C0FE2">
      <w:r w:rsidRPr="002C0FE2">
        <w:t xml:space="preserve">There are no </w:t>
      </w:r>
      <w:r w:rsidR="009D6CCA">
        <w:t>nonclinical</w:t>
      </w:r>
      <w:r w:rsidRPr="002C0FE2">
        <w:t xml:space="preserve"> objections to registration.</w:t>
      </w:r>
    </w:p>
    <w:p w14:paraId="6AD89E7B" w14:textId="77777777" w:rsidR="002C0FE2" w:rsidRPr="002C0FE2" w:rsidRDefault="002C0FE2" w:rsidP="002C0FE2">
      <w:r w:rsidRPr="002C0FE2">
        <w:t>Topical Soo</w:t>
      </w:r>
      <w:r w:rsidR="00CE6887">
        <w:t xml:space="preserve">lantra undoubtedly enhances non </w:t>
      </w:r>
      <w:r w:rsidRPr="002C0FE2">
        <w:t>melanoma skin</w:t>
      </w:r>
      <w:r w:rsidR="00CE6887">
        <w:t xml:space="preserve"> photocarcinogenesis in a human relevant mouse model. Long </w:t>
      </w:r>
      <w:r w:rsidRPr="002C0FE2">
        <w:t>term, repeated topical application of Soolantra in sun exposed areas should be avoided or sun protection strategies should be used.</w:t>
      </w:r>
    </w:p>
    <w:p w14:paraId="6AD89E7C" w14:textId="77777777" w:rsidR="002C0FE2" w:rsidRPr="002C0FE2" w:rsidRDefault="002C0FE2" w:rsidP="002C0FE2">
      <w:r w:rsidRPr="002C0FE2">
        <w:t>Long term, repeated topical application of Soolantra may result in cumulative skin irritancy and (rarely) skin contact sensit</w:t>
      </w:r>
      <w:r w:rsidR="00D9155F">
        <w:t>isa</w:t>
      </w:r>
      <w:r w:rsidRPr="002C0FE2">
        <w:t>tion</w:t>
      </w:r>
      <w:r w:rsidR="00902337">
        <w:t xml:space="preserve">. </w:t>
      </w:r>
      <w:r w:rsidRPr="002C0FE2">
        <w:t>However, these issues are adequately dealt with in the PI</w:t>
      </w:r>
      <w:r w:rsidR="00CE6887">
        <w:t>.</w:t>
      </w:r>
    </w:p>
    <w:p w14:paraId="6AD89E7D" w14:textId="77777777" w:rsidR="002C0FE2" w:rsidRPr="002C0FE2" w:rsidRDefault="002C0FE2" w:rsidP="002C0FE2">
      <w:r w:rsidRPr="002C0FE2">
        <w:t>Because of the lack of nonclinical drug interactional data, some care should be exercised when drugs that are known to completely block or very substantially inhibit ABC B1 (p-glycoprotein) efflux transporters are used concurrently with Soolantra</w:t>
      </w:r>
      <w:r w:rsidR="00902337">
        <w:t xml:space="preserve">. </w:t>
      </w:r>
      <w:r w:rsidRPr="002C0FE2">
        <w:t>Theoretically drug interactions at ABC B1 (p-glycopro</w:t>
      </w:r>
      <w:r w:rsidR="00CE6887">
        <w:t xml:space="preserve">tein) efflux transporters will </w:t>
      </w:r>
      <w:r w:rsidRPr="002C0FE2">
        <w:t>affect the safety properties of Soolantra and adverse drug interactions may occur via these mechanisms.</w:t>
      </w:r>
    </w:p>
    <w:p w14:paraId="6AD89E7E" w14:textId="77777777" w:rsidR="002C0FE2" w:rsidRPr="002C0FE2" w:rsidRDefault="00CE6887" w:rsidP="002C0FE2">
      <w:r>
        <w:t xml:space="preserve">The presence of an intact blood </w:t>
      </w:r>
      <w:r w:rsidR="002C0FE2" w:rsidRPr="002C0FE2">
        <w:t>brain barrier critically affects the safety properties of ivermectin</w:t>
      </w:r>
      <w:r w:rsidR="00902337">
        <w:t xml:space="preserve">. </w:t>
      </w:r>
      <w:r w:rsidR="002C0FE2" w:rsidRPr="002C0FE2">
        <w:t>No nonclinical data was provided on these issues</w:t>
      </w:r>
      <w:r w:rsidR="00902337">
        <w:t xml:space="preserve">. </w:t>
      </w:r>
      <w:r w:rsidR="002C0FE2" w:rsidRPr="002C0FE2">
        <w:t xml:space="preserve">Pharmacogenetic effects on ABC B1 in the </w:t>
      </w:r>
      <w:r w:rsidRPr="00CE6887">
        <w:t>blood brain barrier</w:t>
      </w:r>
      <w:r w:rsidR="002C0FE2" w:rsidRPr="002C0FE2">
        <w:t xml:space="preserve">, the </w:t>
      </w:r>
      <w:r w:rsidR="00BD1775">
        <w:t>blood testis barrier</w:t>
      </w:r>
      <w:r w:rsidR="002C0FE2" w:rsidRPr="002C0FE2">
        <w:t xml:space="preserve">, placenta and the intestinal </w:t>
      </w:r>
      <w:proofErr w:type="spellStart"/>
      <w:r w:rsidR="002C0FE2" w:rsidRPr="002C0FE2">
        <w:t>enterothelium</w:t>
      </w:r>
      <w:proofErr w:type="spellEnd"/>
      <w:r w:rsidR="002C0FE2" w:rsidRPr="002C0FE2">
        <w:t>, substantially increase the risk of ivermectin toxicity (including fertility, reproductive and developmental toxicity) in animals</w:t>
      </w:r>
      <w:r w:rsidR="00902337">
        <w:t xml:space="preserve">. </w:t>
      </w:r>
      <w:r w:rsidR="002C0FE2" w:rsidRPr="002C0FE2">
        <w:t>These pharmacogenetic differences are poorly documented in humans</w:t>
      </w:r>
      <w:r w:rsidR="00BD1775">
        <w:t xml:space="preserve">. </w:t>
      </w:r>
      <w:r w:rsidR="002C0FE2" w:rsidRPr="002C0FE2">
        <w:t xml:space="preserve">However, Soolantra appears to have adequate </w:t>
      </w:r>
      <w:r w:rsidRPr="002C0FE2">
        <w:t>animal: human</w:t>
      </w:r>
      <w:r w:rsidR="002C0FE2" w:rsidRPr="002C0FE2">
        <w:t xml:space="preserve"> AUC ratios at the relevant </w:t>
      </w:r>
      <w:r w:rsidR="009D6CCA">
        <w:t>nonclinical</w:t>
      </w:r>
      <w:r w:rsidR="002C0FE2" w:rsidRPr="002C0FE2">
        <w:t xml:space="preserve"> NOAELs</w:t>
      </w:r>
      <w:r w:rsidR="00902337">
        <w:t xml:space="preserve">. </w:t>
      </w:r>
      <w:r w:rsidR="002C0FE2" w:rsidRPr="002C0FE2">
        <w:t>Given the topical route of exposure and relatively low systemic exposure, the risks of these types of effects with iver</w:t>
      </w:r>
      <w:r>
        <w:t>mectin use are greatly reduced.</w:t>
      </w:r>
    </w:p>
    <w:p w14:paraId="6AD89E7F" w14:textId="77777777" w:rsidR="002C0FE2" w:rsidRPr="002C0FE2" w:rsidRDefault="002C0FE2" w:rsidP="002C0FE2">
      <w:r w:rsidRPr="002C0FE2">
        <w:lastRenderedPageBreak/>
        <w:t xml:space="preserve">There is potential for Soolantra use to contribute to the induction of anthelmintic resistance to ivermectin and other members of the </w:t>
      </w:r>
      <w:proofErr w:type="spellStart"/>
      <w:r w:rsidRPr="002C0FE2">
        <w:t>avermectin</w:t>
      </w:r>
      <w:proofErr w:type="spellEnd"/>
      <w:r w:rsidRPr="002C0FE2">
        <w:t xml:space="preserve"> </w:t>
      </w:r>
      <w:proofErr w:type="spellStart"/>
      <w:r w:rsidRPr="002C0FE2">
        <w:t>parasiticidal</w:t>
      </w:r>
      <w:proofErr w:type="spellEnd"/>
      <w:r w:rsidRPr="002C0FE2">
        <w:t xml:space="preserve"> drug class because an important pathway of excretion is active transport in to the gut via </w:t>
      </w:r>
      <w:proofErr w:type="spellStart"/>
      <w:r w:rsidRPr="002C0FE2">
        <w:t>enterothel</w:t>
      </w:r>
      <w:r w:rsidR="003045AD">
        <w:t>ial</w:t>
      </w:r>
      <w:proofErr w:type="spellEnd"/>
      <w:r w:rsidR="003045AD">
        <w:t xml:space="preserve"> ABC B1 efflux transporters.</w:t>
      </w:r>
    </w:p>
    <w:p w14:paraId="6AD89E80" w14:textId="77777777" w:rsidR="002C0FE2" w:rsidRPr="002C0FE2" w:rsidRDefault="002C0FE2" w:rsidP="002C0FE2">
      <w:r w:rsidRPr="002C0FE2">
        <w:t>The mechanism of action of ivermectin treatment of rosacea is not fully established</w:t>
      </w:r>
      <w:r w:rsidR="00902337">
        <w:t xml:space="preserve">. </w:t>
      </w:r>
      <w:r w:rsidRPr="002C0FE2">
        <w:t xml:space="preserve">Possible </w:t>
      </w:r>
      <w:r w:rsidR="003045AD" w:rsidRPr="003045AD">
        <w:t>mechanism</w:t>
      </w:r>
      <w:r w:rsidR="003045AD">
        <w:t>s</w:t>
      </w:r>
      <w:r w:rsidR="003045AD" w:rsidRPr="003045AD">
        <w:t xml:space="preserve"> of action</w:t>
      </w:r>
      <w:r w:rsidRPr="002C0FE2">
        <w:t xml:space="preserve"> include suppression of inflammation</w:t>
      </w:r>
      <w:r w:rsidR="003045AD">
        <w:t xml:space="preserve">, a </w:t>
      </w:r>
      <w:proofErr w:type="spellStart"/>
      <w:r w:rsidR="003045AD">
        <w:t>mitocidal</w:t>
      </w:r>
      <w:proofErr w:type="spellEnd"/>
      <w:r w:rsidR="003045AD">
        <w:t xml:space="preserve"> effect</w:t>
      </w:r>
      <w:r w:rsidRPr="002C0FE2">
        <w:t xml:space="preserve"> on </w:t>
      </w:r>
      <w:proofErr w:type="spellStart"/>
      <w:r w:rsidRPr="002C0FE2">
        <w:t>Demodex</w:t>
      </w:r>
      <w:proofErr w:type="spellEnd"/>
      <w:r w:rsidRPr="002C0FE2">
        <w:t xml:space="preserve"> sp</w:t>
      </w:r>
      <w:r w:rsidR="003045AD">
        <w:t>ecies</w:t>
      </w:r>
      <w:r w:rsidR="00902337">
        <w:t xml:space="preserve">. </w:t>
      </w:r>
      <w:r w:rsidRPr="002C0FE2">
        <w:t xml:space="preserve">Notably ivermectin has often been combined with a </w:t>
      </w:r>
      <w:proofErr w:type="spellStart"/>
      <w:r w:rsidRPr="002C0FE2">
        <w:t>pyrethroid</w:t>
      </w:r>
      <w:proofErr w:type="spellEnd"/>
      <w:r w:rsidRPr="002C0FE2">
        <w:t xml:space="preserve"> or neonicotinoid </w:t>
      </w:r>
      <w:proofErr w:type="spellStart"/>
      <w:r w:rsidRPr="002C0FE2">
        <w:t>arthrocide</w:t>
      </w:r>
      <w:proofErr w:type="spellEnd"/>
      <w:r w:rsidRPr="002C0FE2">
        <w:t xml:space="preserve"> when used to treat </w:t>
      </w:r>
      <w:proofErr w:type="spellStart"/>
      <w:r w:rsidRPr="002C0FE2">
        <w:t>demodicosis</w:t>
      </w:r>
      <w:proofErr w:type="spellEnd"/>
      <w:r w:rsidRPr="002C0FE2">
        <w:t>, presumably in the hope of increased efficacy</w:t>
      </w:r>
      <w:r w:rsidR="003045AD">
        <w:t>.</w:t>
      </w:r>
    </w:p>
    <w:p w14:paraId="6AD89E81" w14:textId="77777777" w:rsidR="002C0FE2" w:rsidRPr="002C0FE2" w:rsidRDefault="002C0FE2" w:rsidP="002C0FE2">
      <w:r w:rsidRPr="002C0FE2">
        <w:t>Overall, Soolantra does not present any particularly overt safety pharmacology concerns with the proposed pattern of use</w:t>
      </w:r>
      <w:r w:rsidR="003045AD">
        <w:t>.</w:t>
      </w:r>
    </w:p>
    <w:p w14:paraId="6AD89E82" w14:textId="77777777" w:rsidR="002C0FE2" w:rsidRPr="002C0FE2" w:rsidRDefault="002C0FE2" w:rsidP="002C0FE2">
      <w:r w:rsidRPr="002C0FE2">
        <w:t xml:space="preserve">Because of the pharmacokinetic and dosing pattern differences between </w:t>
      </w:r>
      <w:proofErr w:type="spellStart"/>
      <w:r w:rsidRPr="002C0FE2">
        <w:t>Stromectol</w:t>
      </w:r>
      <w:proofErr w:type="spellEnd"/>
      <w:r w:rsidRPr="002C0FE2">
        <w:t xml:space="preserve"> (</w:t>
      </w:r>
      <w:r w:rsidR="00F941D7">
        <w:t xml:space="preserve">that is </w:t>
      </w:r>
      <w:r w:rsidRPr="002C0FE2">
        <w:t xml:space="preserve">occasional single </w:t>
      </w:r>
      <w:r w:rsidR="003045AD">
        <w:t xml:space="preserve">dose oral </w:t>
      </w:r>
      <w:proofErr w:type="spellStart"/>
      <w:r w:rsidR="003045AD">
        <w:t>parasiticide</w:t>
      </w:r>
      <w:proofErr w:type="spellEnd"/>
      <w:r w:rsidR="003045AD">
        <w:t xml:space="preserve"> use) and</w:t>
      </w:r>
      <w:r w:rsidRPr="002C0FE2">
        <w:t xml:space="preserve"> </w:t>
      </w:r>
      <w:proofErr w:type="spellStart"/>
      <w:r w:rsidRPr="002C0FE2">
        <w:t>Soolantra</w:t>
      </w:r>
      <w:proofErr w:type="spellEnd"/>
      <w:r w:rsidRPr="002C0FE2">
        <w:t>, some degree of caution should be applied if Soolantra is used during pregnancy (particularly during brain development) and substantial compromise (</w:t>
      </w:r>
      <w:r w:rsidR="004079D0">
        <w:t>for example</w:t>
      </w:r>
      <w:r w:rsidRPr="002C0FE2">
        <w:t xml:space="preserve"> complete blocking) of placental ABC B1 function is likely</w:t>
      </w:r>
      <w:r w:rsidR="00BD1775">
        <w:t xml:space="preserve">. </w:t>
      </w:r>
      <w:r w:rsidRPr="002C0FE2">
        <w:t>Again because of the topical route of exposure and relatively low systemic absorption, the risks of these types of effects with ivermectin are substantially reduced</w:t>
      </w:r>
      <w:r w:rsidR="003045AD">
        <w:t>.</w:t>
      </w:r>
    </w:p>
    <w:p w14:paraId="6AD89E83" w14:textId="77777777" w:rsidR="002C0FE2" w:rsidRPr="002C0FE2" w:rsidRDefault="002C0FE2" w:rsidP="002C0FE2">
      <w:r w:rsidRPr="002C0FE2">
        <w:t>Ivermectin is detectable in human milk following oral dosing; however milk steady state levels are low following single acute exposures</w:t>
      </w:r>
      <w:r w:rsidR="00902337">
        <w:t xml:space="preserve">. </w:t>
      </w:r>
      <w:r w:rsidRPr="002C0FE2">
        <w:t>Unlike the single episodic use of ivermectin for treatment of parasitic diseases, the chronic use of Soolantra will res</w:t>
      </w:r>
      <w:r w:rsidR="003045AD">
        <w:t xml:space="preserve">ult in sustained neonatal </w:t>
      </w:r>
      <w:proofErr w:type="gramStart"/>
      <w:r w:rsidR="003045AD">
        <w:t>trans</w:t>
      </w:r>
      <w:proofErr w:type="gramEnd"/>
      <w:r w:rsidR="003045AD">
        <w:t xml:space="preserve"> </w:t>
      </w:r>
      <w:r w:rsidRPr="002C0FE2">
        <w:t>mammary exposure</w:t>
      </w:r>
      <w:r w:rsidR="00902337">
        <w:t xml:space="preserve">. </w:t>
      </w:r>
      <w:r w:rsidRPr="002C0FE2">
        <w:t>Based on rodent studies, chronic maternal exposure will result in mi</w:t>
      </w:r>
      <w:r w:rsidR="003045AD">
        <w:t>lk ivermectin levels at least 3 to 4 times</w:t>
      </w:r>
      <w:r w:rsidRPr="002C0FE2">
        <w:t xml:space="preserve"> higher than those observed with single acute </w:t>
      </w:r>
      <w:r w:rsidR="003045AD" w:rsidRPr="002C0FE2">
        <w:t>ivermectin</w:t>
      </w:r>
      <w:r w:rsidRPr="002C0FE2">
        <w:t xml:space="preserve"> exposures</w:t>
      </w:r>
      <w:r w:rsidR="00902337">
        <w:t xml:space="preserve">. </w:t>
      </w:r>
      <w:r w:rsidRPr="002C0FE2">
        <w:t xml:space="preserve">Provided that the human neonatal </w:t>
      </w:r>
      <w:r w:rsidR="003045AD" w:rsidRPr="003045AD">
        <w:t>blood brain barrier</w:t>
      </w:r>
      <w:r w:rsidRPr="002C0FE2">
        <w:t xml:space="preserve"> ABC B1 function remains intact, these phenomena should not adversely effect on human neonatal development</w:t>
      </w:r>
      <w:r w:rsidR="003045AD">
        <w:t>.</w:t>
      </w:r>
    </w:p>
    <w:p w14:paraId="6AD89E84" w14:textId="77777777" w:rsidR="008E7846" w:rsidRDefault="008E7846" w:rsidP="008E7846">
      <w:pPr>
        <w:pStyle w:val="Heading3"/>
      </w:pPr>
      <w:bookmarkStart w:id="174" w:name="_Toc247691530"/>
      <w:bookmarkStart w:id="175" w:name="_Toc314842513"/>
      <w:bookmarkStart w:id="176" w:name="_Toc437418406"/>
      <w:r>
        <w:t>Clinical</w:t>
      </w:r>
      <w:bookmarkEnd w:id="174"/>
      <w:bookmarkEnd w:id="175"/>
      <w:bookmarkEnd w:id="176"/>
    </w:p>
    <w:p w14:paraId="6AD89E85" w14:textId="77777777" w:rsidR="002C6DB6" w:rsidRDefault="002C0FE2" w:rsidP="002C6DB6">
      <w:pPr>
        <w:pStyle w:val="Heading4"/>
      </w:pPr>
      <w:r w:rsidRPr="002C0FE2">
        <w:t xml:space="preserve">Pharmacology </w:t>
      </w:r>
    </w:p>
    <w:p w14:paraId="6AD89E86" w14:textId="77777777" w:rsidR="002C0FE2" w:rsidRPr="002C0FE2" w:rsidRDefault="00BE5FC8" w:rsidP="002C0FE2">
      <w:r>
        <w:t>Pharmacokinetics</w:t>
      </w:r>
      <w:r w:rsidR="002C0FE2" w:rsidRPr="002C0FE2">
        <w:t xml:space="preserve"> following single and repeated dosage of </w:t>
      </w:r>
      <w:r w:rsidR="003045AD" w:rsidRPr="002C0FE2">
        <w:t>ivermectin</w:t>
      </w:r>
      <w:r w:rsidR="002C0FE2" w:rsidRPr="002C0FE2">
        <w:t xml:space="preserve"> 1% cream 1g daily</w:t>
      </w:r>
      <w:r w:rsidR="003045AD">
        <w:t xml:space="preserve"> in patients with severe PPR</w:t>
      </w:r>
      <w:r w:rsidR="002C0FE2" w:rsidRPr="002C0FE2">
        <w:t xml:space="preserve"> </w:t>
      </w:r>
      <w:proofErr w:type="gramStart"/>
      <w:r w:rsidR="002C0FE2" w:rsidRPr="002C0FE2">
        <w:t>were</w:t>
      </w:r>
      <w:proofErr w:type="gramEnd"/>
      <w:r w:rsidR="002C0FE2" w:rsidRPr="002C0FE2">
        <w:t xml:space="preserve"> examined in Study RD.03.SRE.40064</w:t>
      </w:r>
      <w:r w:rsidR="00902337">
        <w:t xml:space="preserve">. </w:t>
      </w:r>
      <w:r w:rsidR="00463EF7" w:rsidRPr="00463EF7">
        <w:t xml:space="preserve">Minimum concentration </w:t>
      </w:r>
      <w:r w:rsidR="00463EF7">
        <w:t>(</w:t>
      </w:r>
      <w:proofErr w:type="spellStart"/>
      <w:r w:rsidR="002C0FE2" w:rsidRPr="002C0FE2">
        <w:t>C</w:t>
      </w:r>
      <w:r w:rsidR="002C0FE2" w:rsidRPr="003045AD">
        <w:rPr>
          <w:vertAlign w:val="subscript"/>
        </w:rPr>
        <w:t>min</w:t>
      </w:r>
      <w:proofErr w:type="spellEnd"/>
      <w:r w:rsidR="00463EF7">
        <w:t>)</w:t>
      </w:r>
      <w:r w:rsidR="002C0FE2" w:rsidRPr="002C0FE2">
        <w:t xml:space="preserve"> mean concentrations were </w:t>
      </w:r>
      <w:proofErr w:type="gramStart"/>
      <w:r w:rsidR="002C0FE2" w:rsidRPr="002C0FE2">
        <w:t>1.26 ng/mL at Day 14</w:t>
      </w:r>
      <w:proofErr w:type="gramEnd"/>
      <w:r w:rsidR="002C0FE2" w:rsidRPr="002C0FE2">
        <w:t xml:space="preserve"> and 1.36 ng/mL at Day 28</w:t>
      </w:r>
      <w:r w:rsidR="00902337">
        <w:t xml:space="preserve">. </w:t>
      </w:r>
      <w:r w:rsidR="00463EF7" w:rsidRPr="00463EF7">
        <w:t xml:space="preserve">Maximum concentration </w:t>
      </w:r>
      <w:r w:rsidR="00463EF7">
        <w:t>(</w:t>
      </w:r>
      <w:proofErr w:type="spellStart"/>
      <w:r w:rsidR="002C0FE2" w:rsidRPr="002C0FE2">
        <w:t>C</w:t>
      </w:r>
      <w:r w:rsidR="002C0FE2" w:rsidRPr="003045AD">
        <w:rPr>
          <w:vertAlign w:val="subscript"/>
        </w:rPr>
        <w:t>ma</w:t>
      </w:r>
      <w:r w:rsidR="003045AD" w:rsidRPr="003045AD">
        <w:rPr>
          <w:vertAlign w:val="subscript"/>
        </w:rPr>
        <w:t>x</w:t>
      </w:r>
      <w:proofErr w:type="spellEnd"/>
      <w:r w:rsidR="00463EF7">
        <w:t>)</w:t>
      </w:r>
      <w:r w:rsidR="003045AD">
        <w:t xml:space="preserve"> upper range was</w:t>
      </w:r>
      <w:r w:rsidR="002C0FE2" w:rsidRPr="002C0FE2">
        <w:t xml:space="preserve"> </w:t>
      </w:r>
      <w:proofErr w:type="gramStart"/>
      <w:r w:rsidR="002C0FE2" w:rsidRPr="002C0FE2">
        <w:t>4.02 ng/</w:t>
      </w:r>
      <w:proofErr w:type="spellStart"/>
      <w:r w:rsidR="002C0FE2" w:rsidRPr="002C0FE2">
        <w:t>mL</w:t>
      </w:r>
      <w:proofErr w:type="gramEnd"/>
      <w:r w:rsidR="002C0FE2" w:rsidRPr="002C0FE2">
        <w:t>.</w:t>
      </w:r>
      <w:proofErr w:type="spellEnd"/>
      <w:r w:rsidR="002C0FE2" w:rsidRPr="002C0FE2">
        <w:t xml:space="preserve"> Ivermectin measurements were also made during chronic dosing in Studies RD.03.SRE.40027, RD.03.SRE.40106, RD.03.SRE.40051, RD.06.SRE.18170 and RD.06.SRE.18171. Results are </w:t>
      </w:r>
      <w:r w:rsidR="002C0FE2" w:rsidRPr="00C16EC9">
        <w:t xml:space="preserve">presented in </w:t>
      </w:r>
      <w:r w:rsidR="00100E19" w:rsidRPr="00C16EC9">
        <w:t xml:space="preserve">Table </w:t>
      </w:r>
      <w:r w:rsidR="00C16EC9" w:rsidRPr="00C16EC9">
        <w:t>7 above</w:t>
      </w:r>
      <w:r w:rsidR="002C0FE2" w:rsidRPr="00C16EC9">
        <w:t xml:space="preserve">. The data </w:t>
      </w:r>
      <w:r w:rsidR="002C0FE2" w:rsidRPr="002C0FE2">
        <w:t xml:space="preserve">submitted are sufficient to characterise the PK following topical application of the product in patients with </w:t>
      </w:r>
      <w:r w:rsidR="00AE6D22">
        <w:t>PPR</w:t>
      </w:r>
      <w:r w:rsidR="002C0FE2" w:rsidRPr="002C0FE2">
        <w:t>, and provide reassurance that accumulation i</w:t>
      </w:r>
      <w:r w:rsidR="003045AD">
        <w:t>s not likely to be significant.</w:t>
      </w:r>
    </w:p>
    <w:p w14:paraId="6AD89E87" w14:textId="77777777" w:rsidR="002C6DB6" w:rsidRDefault="002C6DB6" w:rsidP="002C6DB6">
      <w:pPr>
        <w:pStyle w:val="Heading4"/>
      </w:pPr>
      <w:r>
        <w:t>Dose selection</w:t>
      </w:r>
    </w:p>
    <w:p w14:paraId="6AD89E88" w14:textId="77777777" w:rsidR="002C0FE2" w:rsidRPr="002C0FE2" w:rsidRDefault="002C0FE2" w:rsidP="002C0FE2">
      <w:r w:rsidRPr="002C0FE2">
        <w:t>Study RD.03.SRE.40027 is a dose finding study in pat</w:t>
      </w:r>
      <w:r w:rsidR="003045AD">
        <w:t>ients with PPR</w:t>
      </w:r>
      <w:r w:rsidRPr="002C0FE2">
        <w:t>. Treatment was applied for 12</w:t>
      </w:r>
      <w:r w:rsidR="00AE6D22">
        <w:t xml:space="preserve"> weeks and treatment arms were:</w:t>
      </w:r>
    </w:p>
    <w:p w14:paraId="6AD89E89" w14:textId="65EE4E80" w:rsidR="002C0FE2" w:rsidRPr="002C0FE2" w:rsidRDefault="002C0FE2" w:rsidP="00AE6D22">
      <w:pPr>
        <w:pStyle w:val="ListBullet"/>
      </w:pPr>
      <w:r w:rsidRPr="002C0FE2">
        <w:t>Group 1:</w:t>
      </w:r>
      <w:r w:rsidR="005F1306">
        <w:t xml:space="preserve"> </w:t>
      </w:r>
      <w:proofErr w:type="spellStart"/>
      <w:r w:rsidRPr="002C0FE2">
        <w:t>ivermectin</w:t>
      </w:r>
      <w:proofErr w:type="spellEnd"/>
      <w:r w:rsidRPr="002C0FE2">
        <w:t xml:space="preserve"> 1% cream (formulation proposed for registration) </w:t>
      </w:r>
      <w:r w:rsidR="00F757B6">
        <w:t>BD</w:t>
      </w:r>
      <w:r w:rsidRPr="002C0FE2">
        <w:t xml:space="preserve"> </w:t>
      </w:r>
    </w:p>
    <w:p w14:paraId="6AD89E8A" w14:textId="77777777" w:rsidR="002C0FE2" w:rsidRPr="002C0FE2" w:rsidRDefault="002C0FE2" w:rsidP="00AE6D22">
      <w:pPr>
        <w:pStyle w:val="ListBullet"/>
      </w:pPr>
      <w:r w:rsidRPr="002C0FE2">
        <w:t xml:space="preserve">Group 2: ivermectin 1% cream (formulation proposed for registration) daily </w:t>
      </w:r>
    </w:p>
    <w:p w14:paraId="6AD89E8B" w14:textId="77777777" w:rsidR="002C0FE2" w:rsidRPr="002C0FE2" w:rsidRDefault="002C0FE2" w:rsidP="00AE6D22">
      <w:pPr>
        <w:pStyle w:val="ListBullet"/>
      </w:pPr>
      <w:r w:rsidRPr="002C0FE2">
        <w:t>Group 3: ivermectin 0.3% cream daily</w:t>
      </w:r>
    </w:p>
    <w:p w14:paraId="6AD89E8C" w14:textId="77777777" w:rsidR="002C0FE2" w:rsidRPr="002C0FE2" w:rsidRDefault="002C0FE2" w:rsidP="00AE6D22">
      <w:pPr>
        <w:pStyle w:val="ListBullet"/>
      </w:pPr>
      <w:r w:rsidRPr="002C0FE2">
        <w:t>Group 4: ivermectin 0.1% cream daily</w:t>
      </w:r>
    </w:p>
    <w:p w14:paraId="6AD89E8D" w14:textId="77777777" w:rsidR="002C0FE2" w:rsidRPr="002C0FE2" w:rsidRDefault="002C0FE2" w:rsidP="00AE6D22">
      <w:pPr>
        <w:pStyle w:val="ListBullet"/>
      </w:pPr>
      <w:r w:rsidRPr="002C0FE2">
        <w:lastRenderedPageBreak/>
        <w:t>Group 5: vehicle cream daily</w:t>
      </w:r>
    </w:p>
    <w:p w14:paraId="6AD89E8E" w14:textId="77777777" w:rsidR="002C0FE2" w:rsidRDefault="002C0FE2" w:rsidP="00AE6D22">
      <w:pPr>
        <w:pStyle w:val="ListBullet"/>
      </w:pPr>
      <w:r w:rsidRPr="002C0FE2">
        <w:t>Group 6: metronidazole 0.75% cream (</w:t>
      </w:r>
      <w:proofErr w:type="spellStart"/>
      <w:r w:rsidRPr="002C0FE2">
        <w:t>Rozex</w:t>
      </w:r>
      <w:proofErr w:type="spellEnd"/>
      <w:r w:rsidRPr="002C0FE2">
        <w:t xml:space="preserve">) </w:t>
      </w:r>
      <w:r w:rsidR="00F757B6">
        <w:t>BD</w:t>
      </w:r>
      <w:r w:rsidRPr="002C0FE2">
        <w:t>.</w:t>
      </w:r>
    </w:p>
    <w:p w14:paraId="6AD89E8F" w14:textId="77777777" w:rsidR="002C6DB6" w:rsidRDefault="002C0FE2" w:rsidP="002C0FE2">
      <w:r w:rsidRPr="002C0FE2">
        <w:t>Primary efficacy endpoint was percentage change in inflammatory lesion</w:t>
      </w:r>
      <w:r w:rsidR="002C6DB6">
        <w:t xml:space="preserve"> counts (papules, pustules) at W</w:t>
      </w:r>
      <w:r w:rsidRPr="002C0FE2">
        <w:t xml:space="preserve">eek 12. The </w:t>
      </w:r>
      <w:r w:rsidR="00463EF7">
        <w:t>i</w:t>
      </w:r>
      <w:r w:rsidR="00463EF7" w:rsidRPr="00463EF7">
        <w:t>ntention to treat</w:t>
      </w:r>
      <w:r w:rsidR="00463EF7">
        <w:t xml:space="preserve"> (ITT)</w:t>
      </w:r>
      <w:r w:rsidRPr="002C0FE2">
        <w:t xml:space="preserve"> population numbered 296, and the per protoco</w:t>
      </w:r>
      <w:r w:rsidR="00463EF7">
        <w:t>l population numbered 271.</w:t>
      </w:r>
    </w:p>
    <w:p w14:paraId="6AD89E90" w14:textId="77777777" w:rsidR="002C0FE2" w:rsidRPr="002C0FE2" w:rsidRDefault="002C0FE2" w:rsidP="002C0FE2">
      <w:r w:rsidRPr="002C0FE2">
        <w:t xml:space="preserve">Results are shown in </w:t>
      </w:r>
      <w:r w:rsidR="002C6DB6">
        <w:t>T</w:t>
      </w:r>
      <w:r w:rsidRPr="002C0FE2">
        <w:t>able</w:t>
      </w:r>
      <w:r w:rsidR="00100E19">
        <w:t xml:space="preserve"> 7</w:t>
      </w:r>
      <w:r w:rsidRPr="002C0FE2">
        <w:t xml:space="preserve"> </w:t>
      </w:r>
      <w:r w:rsidR="002C6DB6">
        <w:t>of Attachment 2. At Week 12, l</w:t>
      </w:r>
      <w:r w:rsidR="002C6DB6" w:rsidRPr="002C6DB6">
        <w:t xml:space="preserve">ast observation carried forward </w:t>
      </w:r>
      <w:r w:rsidR="002C6DB6">
        <w:t>(</w:t>
      </w:r>
      <w:r w:rsidRPr="002C0FE2">
        <w:t>LOCF</w:t>
      </w:r>
      <w:r w:rsidR="002C6DB6">
        <w:t>)</w:t>
      </w:r>
      <w:r w:rsidRPr="002C0FE2">
        <w:t xml:space="preserve"> (ITT) analysis mean % reduction in inflammatory lesions was 46.5% in vehicle </w:t>
      </w:r>
      <w:r w:rsidR="00FD3E5F">
        <w:t>QD</w:t>
      </w:r>
      <w:r w:rsidRPr="002C0FE2">
        <w:t xml:space="preserve"> group, 65.5% in 0.1% ivermectin </w:t>
      </w:r>
      <w:r w:rsidR="00FD3E5F">
        <w:t>QD</w:t>
      </w:r>
      <w:r w:rsidRPr="002C0FE2">
        <w:t xml:space="preserve"> group, 67.5</w:t>
      </w:r>
      <w:r w:rsidR="002C6DB6">
        <w:t xml:space="preserve">% in 0.3% ivermectin </w:t>
      </w:r>
      <w:r w:rsidR="00FD3E5F">
        <w:t>QD</w:t>
      </w:r>
      <w:r w:rsidR="002C6DB6">
        <w:t xml:space="preserve"> group, </w:t>
      </w:r>
      <w:r w:rsidRPr="002C0FE2">
        <w:t xml:space="preserve">70% in 1% </w:t>
      </w:r>
      <w:r w:rsidR="002C6DB6" w:rsidRPr="002C0FE2">
        <w:t>ivermectin</w:t>
      </w:r>
      <w:r w:rsidRPr="002C0FE2">
        <w:t xml:space="preserve"> </w:t>
      </w:r>
      <w:r w:rsidR="00FD3E5F">
        <w:t>QD</w:t>
      </w:r>
      <w:r w:rsidRPr="002C0FE2">
        <w:t xml:space="preserve"> group and 69.2% in 1% ivermectin </w:t>
      </w:r>
      <w:r w:rsidR="00F757B6">
        <w:t>BD</w:t>
      </w:r>
      <w:r w:rsidRPr="002C0FE2">
        <w:t xml:space="preserve"> group. At Week 12-LOCF (ITT), efficacy of ivermectin 1% daily and </w:t>
      </w:r>
      <w:r w:rsidR="00F757B6">
        <w:t>BD</w:t>
      </w:r>
      <w:r w:rsidRPr="002C0FE2">
        <w:t xml:space="preserve"> was statistically superior to that of the vehicle (p = 0.006 and p = 0.014); ivermectin 0.1% daily and 0.3% </w:t>
      </w:r>
      <w:r w:rsidR="00F757B6">
        <w:t>BD</w:t>
      </w:r>
      <w:r w:rsidRPr="002C0FE2">
        <w:t xml:space="preserve"> were not statistically different from the vehicle (p-values &gt; 0.06). None of the ivermectin doses was statistically different from metronidazole 0.75% </w:t>
      </w:r>
      <w:r w:rsidR="00F757B6">
        <w:t>BD</w:t>
      </w:r>
      <w:r w:rsidRPr="002C0FE2">
        <w:t>.</w:t>
      </w:r>
    </w:p>
    <w:p w14:paraId="6AD89E91" w14:textId="77777777" w:rsidR="002C0FE2" w:rsidRPr="002C0FE2" w:rsidRDefault="002C6DB6" w:rsidP="002C6DB6">
      <w:pPr>
        <w:pStyle w:val="Heading4"/>
      </w:pPr>
      <w:r>
        <w:t>Efficacy</w:t>
      </w:r>
    </w:p>
    <w:p w14:paraId="6AD89E92" w14:textId="77777777" w:rsidR="002C0FE2" w:rsidRDefault="002C0FE2" w:rsidP="002C0FE2">
      <w:r w:rsidRPr="002C0FE2">
        <w:t>Two pivotal efficacy/safety studies were submitted</w:t>
      </w:r>
      <w:r w:rsidR="002C6DB6">
        <w:t>.</w:t>
      </w:r>
    </w:p>
    <w:p w14:paraId="6AD89E93" w14:textId="77777777" w:rsidR="002C6DB6" w:rsidRPr="002C0FE2" w:rsidRDefault="002C6DB6" w:rsidP="002C6DB6">
      <w:pPr>
        <w:pStyle w:val="Heading5"/>
      </w:pPr>
      <w:r w:rsidRPr="002C6DB6">
        <w:t>Study RD.06.SRE.18170</w:t>
      </w:r>
    </w:p>
    <w:p w14:paraId="6AD89E94" w14:textId="77777777" w:rsidR="002C0FE2" w:rsidRPr="002C0FE2" w:rsidRDefault="002C0FE2" w:rsidP="002C0FE2">
      <w:r w:rsidRPr="002C0FE2">
        <w:t xml:space="preserve">Study RD.06.SRE.18170 is described </w:t>
      </w:r>
      <w:r w:rsidR="001F3D14">
        <w:t>in Section 7.1.1 of Attachment 2</w:t>
      </w:r>
      <w:r w:rsidRPr="002C0FE2">
        <w:t>. This was a mu</w:t>
      </w:r>
      <w:r w:rsidR="001F3D14">
        <w:t xml:space="preserve">lticentre, randomised, parallel </w:t>
      </w:r>
      <w:r w:rsidRPr="002C0FE2">
        <w:t>group study conducted at 50 sites in USA and Canada between Dec</w:t>
      </w:r>
      <w:r w:rsidR="001F3D14">
        <w:t xml:space="preserve">ember </w:t>
      </w:r>
      <w:r w:rsidRPr="002C0FE2">
        <w:t>2011 and July 2013. Up to and includin</w:t>
      </w:r>
      <w:r w:rsidR="001F3D14">
        <w:t xml:space="preserve">g Week 12, the design was double blind and vehicle </w:t>
      </w:r>
      <w:r w:rsidRPr="002C0FE2">
        <w:t>controlled. In a 40 week extens</w:t>
      </w:r>
      <w:r w:rsidR="001F3D14">
        <w:t xml:space="preserve">ion the design was investigator </w:t>
      </w:r>
      <w:r w:rsidRPr="002C0FE2">
        <w:t xml:space="preserve">blind and </w:t>
      </w:r>
      <w:proofErr w:type="spellStart"/>
      <w:r w:rsidRPr="002C0FE2">
        <w:t>azelaic</w:t>
      </w:r>
      <w:proofErr w:type="spellEnd"/>
      <w:r w:rsidRPr="002C0FE2">
        <w:t xml:space="preserve"> acid 15% gel was comparator.</w:t>
      </w:r>
    </w:p>
    <w:p w14:paraId="6AD89E95" w14:textId="77777777" w:rsidR="002C0FE2" w:rsidRPr="002C0FE2" w:rsidRDefault="002C0FE2" w:rsidP="002C0FE2">
      <w:r w:rsidRPr="002C0FE2">
        <w:t xml:space="preserve">Inclusion criteria were adults with </w:t>
      </w:r>
      <w:r w:rsidR="001F3D14">
        <w:t xml:space="preserve">PPR, </w:t>
      </w:r>
      <w:r w:rsidR="00463EF7">
        <w:t>i</w:t>
      </w:r>
      <w:r w:rsidR="00463EF7" w:rsidRPr="00463EF7">
        <w:t xml:space="preserve">nvestigator global assessment </w:t>
      </w:r>
      <w:r w:rsidR="00463EF7">
        <w:t>(</w:t>
      </w:r>
      <w:r w:rsidR="001F3D14">
        <w:t>IGA</w:t>
      </w:r>
      <w:r w:rsidR="00463EF7">
        <w:t>)</w:t>
      </w:r>
      <w:r w:rsidR="001F3D14">
        <w:t xml:space="preserve"> </w:t>
      </w:r>
      <w:r w:rsidRPr="002C0FE2">
        <w:t>score of 3 (moderate) or 4 (severe) and at least 15 but not more than 70 inflammatory lesions on the face. Exclusion criteria included particular forms of rosacea or other facial dermatos</w:t>
      </w:r>
      <w:r w:rsidR="001F3D14">
        <w:t xml:space="preserve">es that may be confounded with </w:t>
      </w:r>
      <w:r w:rsidRPr="002C0FE2">
        <w:t>PPR. Excessive UV radiation within 2 weeks prior to baseline or planned during the study was an exclusion criteria. Exclusion treatments and washout periods are listed</w:t>
      </w:r>
      <w:r w:rsidR="001F3D14">
        <w:t xml:space="preserve"> (Attachment 2 Section 7.1.1.2</w:t>
      </w:r>
      <w:r w:rsidRPr="002C0FE2">
        <w:t>.</w:t>
      </w:r>
      <w:r w:rsidR="001F3D14">
        <w:t>)</w:t>
      </w:r>
    </w:p>
    <w:p w14:paraId="6AD89E96" w14:textId="77777777" w:rsidR="002C0FE2" w:rsidRPr="001F3D14" w:rsidRDefault="002C0FE2" w:rsidP="001F3D14">
      <w:r w:rsidRPr="001F3D14">
        <w:t xml:space="preserve">The main efficacy variables are described </w:t>
      </w:r>
      <w:r w:rsidR="00893671">
        <w:t>in Attachment 2 Section 7.1.1.4</w:t>
      </w:r>
      <w:r w:rsidRPr="001F3D14">
        <w:t xml:space="preserve"> and were:</w:t>
      </w:r>
    </w:p>
    <w:p w14:paraId="6AD89E97" w14:textId="77777777" w:rsidR="002C0FE2" w:rsidRPr="001F3D14" w:rsidRDefault="002C0FE2" w:rsidP="00893671">
      <w:pPr>
        <w:pStyle w:val="ListBullet"/>
      </w:pPr>
      <w:r w:rsidRPr="001F3D14">
        <w:t>Investigator Global Assessment (IGA) score (preferably but not necessarily determined by the same investigator for each given subject at each time-point)</w:t>
      </w:r>
    </w:p>
    <w:p w14:paraId="6AD89E98" w14:textId="77777777" w:rsidR="002C0FE2" w:rsidRPr="001F3D14" w:rsidRDefault="002C0FE2" w:rsidP="00893671">
      <w:pPr>
        <w:pStyle w:val="ListBullet"/>
      </w:pPr>
      <w:r w:rsidRPr="001F3D14">
        <w:t>Inflammatory lesion count (preferably but not necessarily determined by the same investigator for each given subject at each time-point)</w:t>
      </w:r>
    </w:p>
    <w:p w14:paraId="6AD89E99" w14:textId="77777777" w:rsidR="002C0FE2" w:rsidRPr="001F3D14" w:rsidRDefault="002C0FE2" w:rsidP="00893671">
      <w:pPr>
        <w:pStyle w:val="ListBullet"/>
      </w:pPr>
      <w:r w:rsidRPr="001F3D14">
        <w:t>Subject’s Assessment of Rosacea Improvement (SARI) score.</w:t>
      </w:r>
    </w:p>
    <w:p w14:paraId="6AD89E9A" w14:textId="77777777" w:rsidR="002C0FE2" w:rsidRPr="002C0FE2" w:rsidRDefault="002C0FE2" w:rsidP="002C0FE2">
      <w:r w:rsidRPr="001F3D14">
        <w:t xml:space="preserve">The co-primary efficacy endpoints were Success Rate (defined as the percentage of subjects with </w:t>
      </w:r>
      <w:r w:rsidR="00BD1775" w:rsidRPr="001F3D14">
        <w:t>‘</w:t>
      </w:r>
      <w:r w:rsidRPr="001F3D14">
        <w:t>0 = Clear</w:t>
      </w:r>
      <w:r w:rsidR="00BD1775" w:rsidRPr="001F3D14">
        <w:t>’</w:t>
      </w:r>
      <w:r w:rsidRPr="001F3D14">
        <w:t xml:space="preserve"> or </w:t>
      </w:r>
      <w:r w:rsidR="00BD1775" w:rsidRPr="001F3D14">
        <w:t>‘</w:t>
      </w:r>
      <w:r w:rsidRPr="001F3D14">
        <w:t>1 = Almost Clear</w:t>
      </w:r>
      <w:r w:rsidR="00BD1775" w:rsidRPr="001F3D14">
        <w:t>’</w:t>
      </w:r>
      <w:r w:rsidRPr="001F3D14">
        <w:t xml:space="preserve"> on the IGA) and absolute change in inflammatory lesion counts from</w:t>
      </w:r>
      <w:r w:rsidR="00893671">
        <w:t xml:space="preserve"> Baseline to Week 12 (ITT-LOCF)</w:t>
      </w:r>
      <w:r w:rsidR="00814D85">
        <w:t>.</w:t>
      </w:r>
    </w:p>
    <w:p w14:paraId="6AD89E9B" w14:textId="77777777" w:rsidR="002C0FE2" w:rsidRPr="002C0FE2" w:rsidRDefault="00893671" w:rsidP="002C0FE2">
      <w:r>
        <w:t xml:space="preserve">Some </w:t>
      </w:r>
      <w:r w:rsidR="002C0FE2" w:rsidRPr="002C0FE2">
        <w:t>683 subjects were randomised in a 2:1 ratio to ivermectin 1% cream and vehicle/</w:t>
      </w:r>
      <w:proofErr w:type="spellStart"/>
      <w:r w:rsidR="002C0FE2" w:rsidRPr="002C0FE2">
        <w:t>azelaic</w:t>
      </w:r>
      <w:proofErr w:type="spellEnd"/>
      <w:r w:rsidR="002C0FE2" w:rsidRPr="002C0FE2">
        <w:t xml:space="preserve"> acid. Subject disposition is shown in </w:t>
      </w:r>
      <w:r>
        <w:t>Attachment 2 Figure 2</w:t>
      </w:r>
      <w:r w:rsidR="002C0FE2" w:rsidRPr="002C0FE2">
        <w:t>. In the ivermectin group 91.8% completed Part A and 85% continued in Part C. In the vehicle/</w:t>
      </w:r>
      <w:proofErr w:type="spellStart"/>
      <w:r w:rsidR="002C0FE2" w:rsidRPr="002C0FE2">
        <w:t>azelaic</w:t>
      </w:r>
      <w:proofErr w:type="spellEnd"/>
      <w:r w:rsidR="002C0FE2" w:rsidRPr="002C0FE2">
        <w:t xml:space="preserve"> acid group 90.5% completed Part A and 83.3% continued in Part C. A total of 77 subjects (11.3%) had protocol deviations that were classified as major at the Blind Review Meeting: 49 subjects (10.9%) in the ivermectin 1% </w:t>
      </w:r>
      <w:r w:rsidR="00F2439E">
        <w:t>cream</w:t>
      </w:r>
      <w:r w:rsidR="002C0FE2" w:rsidRPr="002C0FE2">
        <w:t xml:space="preserve"> group and 28 subjects (12.1%) in</w:t>
      </w:r>
      <w:r>
        <w:t xml:space="preserve"> the Vehicle </w:t>
      </w:r>
      <w:r w:rsidR="00F2439E">
        <w:t>cream</w:t>
      </w:r>
      <w:r>
        <w:t xml:space="preserve"> daily group.</w:t>
      </w:r>
    </w:p>
    <w:p w14:paraId="6AD89E9C" w14:textId="77777777" w:rsidR="002C0FE2" w:rsidRPr="002C0FE2" w:rsidRDefault="002C0FE2" w:rsidP="002C0FE2">
      <w:r w:rsidRPr="002C0FE2">
        <w:t xml:space="preserve">Demographic and Baseline disease characteristics were similar between treatment groups. The majority of subjects were female (68.2%) and White (96.2%). The mean overall age was 50.4 years. Hispanic/Latino subjects comprised 11.4% of all enrolled subjects, and </w:t>
      </w:r>
      <w:r w:rsidRPr="002C0FE2">
        <w:lastRenderedPageBreak/>
        <w:t>most subjects (77.3%) had a skin phototype of II or III. All subjects presented with a Baseline IGA score of 3 (moderate) or 4 (severe) and most subjects (560 subjects, 82.0%) had a Baseline IGA score of 3. The overall mean inflammatory lesion count was 30.9±14.33 lesions at Baseline.</w:t>
      </w:r>
    </w:p>
    <w:p w14:paraId="6AD89E9D" w14:textId="77777777" w:rsidR="002C0FE2" w:rsidRPr="002C0FE2" w:rsidRDefault="002C0FE2" w:rsidP="002C0FE2">
      <w:r w:rsidRPr="002C0FE2">
        <w:t xml:space="preserve">Success Rate based on IGA was 38.4% for ivermectin 1% </w:t>
      </w:r>
      <w:r w:rsidR="00F2439E">
        <w:t>cream</w:t>
      </w:r>
      <w:r w:rsidRPr="002C0FE2">
        <w:t xml:space="preserve"> daily and 11.6% for Vehicle </w:t>
      </w:r>
      <w:r w:rsidR="00F2439E">
        <w:t>cream</w:t>
      </w:r>
      <w:r w:rsidRPr="002C0FE2">
        <w:t xml:space="preserve"> daily at Week 12 (ITT-LOCF), a statistically significant difference </w:t>
      </w:r>
      <w:r w:rsidR="00893671">
        <w:t>(p &lt; </w:t>
      </w:r>
      <w:r w:rsidRPr="002C0FE2">
        <w:t>0.001)</w:t>
      </w:r>
      <w:r w:rsidR="00902337">
        <w:t xml:space="preserve">. </w:t>
      </w:r>
      <w:r w:rsidRPr="002C0FE2">
        <w:t xml:space="preserve">At Week 12 (ITT-LOCF), the mean (±SD) Absolute Change in Inflammatory Lesion Counts from Baseline was -20.5 ± 15.95 in subjects treated with ivermectin 1% </w:t>
      </w:r>
      <w:r w:rsidR="00F2439E">
        <w:t>cream</w:t>
      </w:r>
      <w:r w:rsidRPr="002C0FE2">
        <w:t xml:space="preserve"> daily versus -12.0 ± 13.55 in subjects treated</w:t>
      </w:r>
      <w:r w:rsidR="00893671">
        <w:t xml:space="preserve"> with Vehicle </w:t>
      </w:r>
      <w:r w:rsidR="00F2439E">
        <w:t>cream</w:t>
      </w:r>
      <w:r w:rsidR="00893671">
        <w:t xml:space="preserve"> daily. The </w:t>
      </w:r>
      <w:r w:rsidRPr="002C0FE2">
        <w:t xml:space="preserve">difference was statistically significantly in favour of ivermectin 1% </w:t>
      </w:r>
      <w:r w:rsidR="00F2439E">
        <w:t>cream</w:t>
      </w:r>
      <w:r w:rsidRPr="002C0FE2">
        <w:t xml:space="preserve"> daily </w:t>
      </w:r>
      <w:r w:rsidR="00A1416E">
        <w:t>(p &lt; </w:t>
      </w:r>
      <w:r w:rsidRPr="002C0FE2">
        <w:t>0.001).</w:t>
      </w:r>
    </w:p>
    <w:p w14:paraId="6AD89E9E" w14:textId="77777777" w:rsidR="002C0FE2" w:rsidRPr="002C0FE2" w:rsidRDefault="00A1416E" w:rsidP="002C0FE2">
      <w:r>
        <w:t>‘</w:t>
      </w:r>
      <w:r w:rsidR="002C0FE2" w:rsidRPr="00A1416E">
        <w:rPr>
          <w:i/>
        </w:rPr>
        <w:t xml:space="preserve">Time to onset of efficacy </w:t>
      </w:r>
      <w:proofErr w:type="gramStart"/>
      <w:r w:rsidR="002C0FE2" w:rsidRPr="00A1416E">
        <w:rPr>
          <w:i/>
        </w:rPr>
        <w:t>analysis</w:t>
      </w:r>
      <w:r w:rsidR="00BD1775">
        <w:t>’</w:t>
      </w:r>
      <w:proofErr w:type="gramEnd"/>
      <w:r w:rsidR="002C0FE2" w:rsidRPr="002C0FE2">
        <w:t xml:space="preserve"> was changed from being a secondary endpoint to a </w:t>
      </w:r>
      <w:r w:rsidR="00BD1775">
        <w:t>‘</w:t>
      </w:r>
      <w:r w:rsidR="002C0FE2" w:rsidRPr="00A1416E">
        <w:rPr>
          <w:i/>
        </w:rPr>
        <w:t>supplemental analysis of co-primary endpoints at earlier time points</w:t>
      </w:r>
      <w:r w:rsidR="00BD1775" w:rsidRPr="00A1416E">
        <w:rPr>
          <w:i/>
        </w:rPr>
        <w:t>’</w:t>
      </w:r>
      <w:r w:rsidR="002C0FE2" w:rsidRPr="002C0FE2">
        <w:t>. The time to onset of efficacy, defined as the earliest time-point at which a statistically significant difference between treatment groups was seen for both primary endpoints, was observed beginning at Week 4 and was sustained</w:t>
      </w:r>
      <w:r>
        <w:t xml:space="preserve"> through to Week 12 (ITT-LOCF).</w:t>
      </w:r>
    </w:p>
    <w:p w14:paraId="6AD89E9F" w14:textId="77777777" w:rsidR="002C0FE2" w:rsidRPr="002C0FE2" w:rsidRDefault="002C0FE2" w:rsidP="002C0FE2">
      <w:r w:rsidRPr="002C0FE2">
        <w:t>The SARI was performed at Week 12. For the ITT population, in the Soolantra group, 149 subjects (34.3%) reported excellent improvement and 151 subjects (34.7%) reported good improvement in their rosacea with use of the study drug. In the Vehicle group, 21 subjects (9.5%) reported excellent improvement and 64 subjects (29.1%) reported good improvement in their rosacea with use of the study drug. There was a statistically significant difference (</w:t>
      </w:r>
      <w:r w:rsidR="003408FA">
        <w:t>p &lt; 0.001</w:t>
      </w:r>
      <w:r w:rsidRPr="002C0FE2">
        <w:t>) favouring ivermectin 1% over its vehicle.</w:t>
      </w:r>
    </w:p>
    <w:p w14:paraId="6AD89EA0" w14:textId="77777777" w:rsidR="002C0FE2" w:rsidRPr="002C0FE2" w:rsidRDefault="00A1416E" w:rsidP="00A1416E">
      <w:pPr>
        <w:pStyle w:val="Heading5"/>
      </w:pPr>
      <w:r w:rsidRPr="00A1416E">
        <w:t>Study RD.06.SRE.18171</w:t>
      </w:r>
    </w:p>
    <w:p w14:paraId="6AD89EA1" w14:textId="77777777" w:rsidR="002C0FE2" w:rsidRPr="002C0FE2" w:rsidRDefault="002C0FE2" w:rsidP="002C0FE2">
      <w:r w:rsidRPr="002C0FE2">
        <w:t xml:space="preserve">Study RD.06.SRE.18171 is described in </w:t>
      </w:r>
      <w:r w:rsidR="003408FA">
        <w:t>Attachment</w:t>
      </w:r>
      <w:r w:rsidR="00A1416E">
        <w:t xml:space="preserve"> 2</w:t>
      </w:r>
      <w:r w:rsidR="003408FA">
        <w:t>,</w:t>
      </w:r>
      <w:r w:rsidR="00A1416E">
        <w:t xml:space="preserve"> Section 7.1.2</w:t>
      </w:r>
      <w:r w:rsidRPr="002C0FE2">
        <w:t>. This was a multicentr</w:t>
      </w:r>
      <w:r w:rsidR="003408FA">
        <w:t xml:space="preserve">e, randomised, parallel </w:t>
      </w:r>
      <w:r w:rsidRPr="002C0FE2">
        <w:t>group study conducted at 50 sites in USA and Canada between Dec</w:t>
      </w:r>
      <w:r w:rsidR="00A1416E">
        <w:t>ember</w:t>
      </w:r>
      <w:r w:rsidRPr="002C0FE2">
        <w:t xml:space="preserve"> 2011 and Aug</w:t>
      </w:r>
      <w:r w:rsidR="003408FA">
        <w:t>ust</w:t>
      </w:r>
      <w:r w:rsidRPr="002C0FE2">
        <w:t xml:space="preserve"> 2013. Study design and objectiv</w:t>
      </w:r>
      <w:r w:rsidR="003408FA">
        <w:t>es were as for RD.06.SRE.18170.</w:t>
      </w:r>
    </w:p>
    <w:p w14:paraId="6AD89EA2" w14:textId="77777777" w:rsidR="002C0FE2" w:rsidRPr="002C0FE2" w:rsidRDefault="003408FA" w:rsidP="002C0FE2">
      <w:r>
        <w:t xml:space="preserve">Some </w:t>
      </w:r>
      <w:r w:rsidR="002C0FE2" w:rsidRPr="002C0FE2">
        <w:t>688 subjects were randomised and in a 2:1 ratio to ivermectin 1% cream and vehicle/</w:t>
      </w:r>
      <w:proofErr w:type="spellStart"/>
      <w:r w:rsidR="002C0FE2" w:rsidRPr="002C0FE2">
        <w:t>azelaic</w:t>
      </w:r>
      <w:proofErr w:type="spellEnd"/>
      <w:r w:rsidR="002C0FE2" w:rsidRPr="002C0FE2">
        <w:t xml:space="preserve"> acid. Patient disposition is shown in Figure </w:t>
      </w:r>
      <w:r>
        <w:t>3 Attachment 2</w:t>
      </w:r>
      <w:r w:rsidR="002C0FE2" w:rsidRPr="002C0FE2">
        <w:t>. In the ivermecti</w:t>
      </w:r>
      <w:r>
        <w:t xml:space="preserve">n group 93.5% completed Part A </w:t>
      </w:r>
      <w:r w:rsidR="002C0FE2" w:rsidRPr="002C0FE2">
        <w:t>and 82.5% continued in Part C. In the vehicle/</w:t>
      </w:r>
      <w:proofErr w:type="spellStart"/>
      <w:r w:rsidR="002C0FE2" w:rsidRPr="002C0FE2">
        <w:t>azelaic</w:t>
      </w:r>
      <w:proofErr w:type="spellEnd"/>
      <w:r w:rsidR="002C0FE2" w:rsidRPr="002C0FE2">
        <w:t xml:space="preserve"> acid group 90.8% completed Part A and 76.4% continued in Part C</w:t>
      </w:r>
      <w:r w:rsidR="00BD1775">
        <w:t xml:space="preserve">. </w:t>
      </w:r>
      <w:r w:rsidR="002C0FE2" w:rsidRPr="002C0FE2">
        <w:t>A total of 92 subjects (13.4%) had protocol deviations that were classified as major at the Blind Review Meeting, with similar perce</w:t>
      </w:r>
      <w:r>
        <w:t>ntages in each treatment group.</w:t>
      </w:r>
    </w:p>
    <w:p w14:paraId="6AD89EA3" w14:textId="77777777" w:rsidR="002C0FE2" w:rsidRPr="002C0FE2" w:rsidRDefault="002C0FE2" w:rsidP="002C0FE2">
      <w:r w:rsidRPr="002C0FE2">
        <w:t>Demographic and Baseline disease characteristics were similar between treatment groups. In the ITT Population, the majority of subjects were female (66.7%) and White (95.3%), and the mean age was 50.2 years (range: 18 to 89 years). Most subjects were of skin phototypes II or III. All subjects presented with a Baseline IGA score of 3 (moderate) or 4 (severe), and most (522 subjects, 75.9%) had an IGA score of 3 at Baseline. Overall, at Baseline, the mean inflammatory lesion count was 32.9, with a range of 14 to 70 lesions. Baseline papule and pustule counts were simil</w:t>
      </w:r>
      <w:r w:rsidR="003408FA">
        <w:t>ar across the treatment groups.</w:t>
      </w:r>
    </w:p>
    <w:p w14:paraId="6AD89EA4" w14:textId="77777777" w:rsidR="002C0FE2" w:rsidRPr="002C0FE2" w:rsidRDefault="002C0FE2" w:rsidP="002C0FE2">
      <w:r w:rsidRPr="002C0FE2">
        <w:t xml:space="preserve">Success rates, based on IGA where success was defined as achieving a </w:t>
      </w:r>
      <w:r w:rsidR="00BD1775">
        <w:t>‘</w:t>
      </w:r>
      <w:r w:rsidRPr="002C0FE2">
        <w:t>clear</w:t>
      </w:r>
      <w:r w:rsidR="00BD1775">
        <w:t>’</w:t>
      </w:r>
      <w:r w:rsidRPr="002C0FE2">
        <w:t xml:space="preserve"> (IGA = 0) or </w:t>
      </w:r>
      <w:r w:rsidR="00BD1775">
        <w:t>‘</w:t>
      </w:r>
      <w:r w:rsidRPr="002C0FE2">
        <w:t>almost clear</w:t>
      </w:r>
      <w:r w:rsidR="00BD1775">
        <w:t>’</w:t>
      </w:r>
      <w:r w:rsidRPr="002C0FE2">
        <w:t xml:space="preserve"> (IGA = 1) outcome at Week 12 (ITT-LOCF), were 40.1% for the ivermectin 1% </w:t>
      </w:r>
      <w:r w:rsidR="00F2439E">
        <w:t>cream</w:t>
      </w:r>
      <w:r w:rsidRPr="002C0FE2">
        <w:t xml:space="preserve"> daily group and 18.8% for the Vehicle </w:t>
      </w:r>
      <w:r w:rsidR="00F2439E">
        <w:t>cream</w:t>
      </w:r>
      <w:r w:rsidRPr="002C0FE2">
        <w:t xml:space="preserve"> daily group. The difference between the two treatment groups was statistically significant at Week 12 (ITT-LOCF; </w:t>
      </w:r>
      <w:r w:rsidR="003408FA">
        <w:t>p &lt; </w:t>
      </w:r>
      <w:r w:rsidRPr="002C0FE2">
        <w:t>0.001). Both active and vehicle treatment groups had reduced inflammatory lesion counts co</w:t>
      </w:r>
      <w:r w:rsidR="003408FA">
        <w:t xml:space="preserve">mpared to Baseline at each post Baseline time </w:t>
      </w:r>
      <w:r w:rsidRPr="002C0FE2">
        <w:t xml:space="preserve">point up to the end of Part A. At Week 12 (ITT-LOCF), the mean (± SD) Absolute Change in Inflammatory Lesion Counts from Baseline was -22.2 ± 14.87 for the ivermectin 1% </w:t>
      </w:r>
      <w:r w:rsidR="00F2439E">
        <w:t>cream</w:t>
      </w:r>
      <w:r w:rsidRPr="002C0FE2">
        <w:t xml:space="preserve"> daily group and -13.4 ± 14.48 for the Vehicle </w:t>
      </w:r>
      <w:r w:rsidR="00F2439E">
        <w:t>cream</w:t>
      </w:r>
      <w:r w:rsidRPr="002C0FE2">
        <w:t xml:space="preserve"> daily group. The difference between the two treatment groups was clinically relevant and statistically significant at Week 12 (ITT-LOCF; p &lt; 0.001).</w:t>
      </w:r>
    </w:p>
    <w:p w14:paraId="6AD89EA5" w14:textId="77777777" w:rsidR="002C0FE2" w:rsidRPr="002C0FE2" w:rsidRDefault="002C0FE2" w:rsidP="002C0FE2">
      <w:r w:rsidRPr="002C0FE2">
        <w:lastRenderedPageBreak/>
        <w:t>The SARI was performed at Week 12. For the ITT Population, in the Soolantra group, 143 subjects (32.0%) reported excellent improvement and 153 subjects (34.2%) reported good improvement in their rosacea with use of the study drug. In the Vehicle group, 16 subjects (7.3%) reported excellent improvement and 59 subjects (27.1%) reported good improvement in their rosacea with use of the study drug. There was a statistically significant difference (</w:t>
      </w:r>
      <w:r w:rsidR="003408FA">
        <w:t>p &lt; 0.001</w:t>
      </w:r>
      <w:r w:rsidRPr="002C0FE2">
        <w:t>) favouring ivermectin over its vehicle.</w:t>
      </w:r>
    </w:p>
    <w:p w14:paraId="6AD89EA6" w14:textId="77777777" w:rsidR="003408FA" w:rsidRDefault="003408FA" w:rsidP="003408FA">
      <w:pPr>
        <w:pStyle w:val="Heading5"/>
      </w:pPr>
      <w:r w:rsidRPr="003408FA">
        <w:t>Study RD.03.SRE.40173</w:t>
      </w:r>
    </w:p>
    <w:p w14:paraId="6AD89EA7" w14:textId="77777777" w:rsidR="002C0FE2" w:rsidRPr="002C0FE2" w:rsidRDefault="002C0FE2" w:rsidP="002C0FE2">
      <w:r w:rsidRPr="002C0FE2">
        <w:t xml:space="preserve">Study RD.03.SRE.40173 is described in </w:t>
      </w:r>
      <w:r w:rsidR="004C68A1">
        <w:t>Attachment 2, Section 7.2.5</w:t>
      </w:r>
      <w:r w:rsidRPr="002C0FE2">
        <w:t>. This was a mu</w:t>
      </w:r>
      <w:r w:rsidR="004C68A1">
        <w:t xml:space="preserve">lticentre, randomised, parallel </w:t>
      </w:r>
      <w:r w:rsidRPr="002C0FE2">
        <w:t xml:space="preserve">group </w:t>
      </w:r>
      <w:r w:rsidR="00F941D7">
        <w:t>Phase III</w:t>
      </w:r>
      <w:r w:rsidR="004C68A1">
        <w:t xml:space="preserve"> study conducted at 64 </w:t>
      </w:r>
      <w:r w:rsidRPr="002C0FE2">
        <w:t>sites in Europe to evaluate the efficacy and safety of once daily application of ivermectin 1% cream versus twice daily application of metronidazole 0.75% cream (</w:t>
      </w:r>
      <w:proofErr w:type="spellStart"/>
      <w:r w:rsidRPr="002C0FE2">
        <w:t>Rozex</w:t>
      </w:r>
      <w:proofErr w:type="spellEnd"/>
      <w:r w:rsidRPr="002C0FE2">
        <w:t xml:space="preserve">) in subjects with </w:t>
      </w:r>
      <w:r w:rsidR="004C68A1">
        <w:t>PPR</w:t>
      </w:r>
      <w:r w:rsidRPr="002C0FE2">
        <w:t xml:space="preserve">, for 16 </w:t>
      </w:r>
      <w:r w:rsidR="004C68A1">
        <w:t xml:space="preserve">weeks with a 36 </w:t>
      </w:r>
      <w:r w:rsidRPr="002C0FE2">
        <w:t xml:space="preserve">week extension period. The submitted report with a cut-off date of April 2013 is complete for the first 16 weeks of the study and provides preliminary </w:t>
      </w:r>
      <w:r w:rsidR="00FC7051">
        <w:t>data on the 36 week extension.</w:t>
      </w:r>
    </w:p>
    <w:p w14:paraId="6AD89EA8" w14:textId="77777777" w:rsidR="002C0FE2" w:rsidRPr="002C0FE2" w:rsidRDefault="004C68A1" w:rsidP="002C0FE2">
      <w:r>
        <w:t xml:space="preserve">Some </w:t>
      </w:r>
      <w:r w:rsidR="002C0FE2" w:rsidRPr="002C0FE2">
        <w:t xml:space="preserve">478 subjects received ivermectin and 484 received metronidazole 0.75% cream. Demographic and Baseline disease characteristics were similar between treatment groups. The majority of subjects were female (65%) and White (99%), and the mean age was 51.5 years. Most subjects were of skin phototypes II or III. All subjects presented with a Baseline IGA score of 3 (moderate) or 4 (severe), and most (801 subjects, 83%) had an IGA score of 3 at Baseline. Overall, at Baseline, the mean papule count was 25 and </w:t>
      </w:r>
      <w:r w:rsidRPr="002C0FE2">
        <w:t>pustule counts were</w:t>
      </w:r>
      <w:r w:rsidR="002C0FE2" w:rsidRPr="002C0FE2">
        <w:t xml:space="preserve"> 7.4 and simil</w:t>
      </w:r>
      <w:r w:rsidR="00FC7051">
        <w:t>ar across the treatment groups.</w:t>
      </w:r>
    </w:p>
    <w:p w14:paraId="6AD89EA9" w14:textId="77777777" w:rsidR="002C0FE2" w:rsidRPr="002C0FE2" w:rsidRDefault="002C0FE2" w:rsidP="002C0FE2">
      <w:r w:rsidRPr="002C0FE2">
        <w:t>Primary efficacy endpoints were:</w:t>
      </w:r>
    </w:p>
    <w:p w14:paraId="6AD89EAA" w14:textId="77777777" w:rsidR="002C0FE2" w:rsidRPr="002C0FE2" w:rsidRDefault="002C0FE2" w:rsidP="004C68A1">
      <w:pPr>
        <w:pStyle w:val="ListBullet"/>
      </w:pPr>
      <w:r w:rsidRPr="002C0FE2">
        <w:t>Percent change in inflammatory lesions from Baseline to Week 16 (ITT-LOCF).</w:t>
      </w:r>
    </w:p>
    <w:p w14:paraId="6AD89EAB" w14:textId="77777777" w:rsidR="002C0FE2" w:rsidRPr="002C0FE2" w:rsidRDefault="002C0FE2" w:rsidP="004C68A1">
      <w:pPr>
        <w:pStyle w:val="ListBullet"/>
      </w:pPr>
      <w:r w:rsidRPr="002C0FE2">
        <w:t xml:space="preserve">Time to first difference between </w:t>
      </w:r>
      <w:proofErr w:type="gramStart"/>
      <w:r w:rsidRPr="002C0FE2">
        <w:t>treatment</w:t>
      </w:r>
      <w:proofErr w:type="gramEnd"/>
      <w:r w:rsidRPr="002C0FE2">
        <w:t xml:space="preserve">, determined by sequentially </w:t>
      </w:r>
      <w:r w:rsidR="00BE5FC8" w:rsidRPr="002C0FE2">
        <w:t>analysing</w:t>
      </w:r>
      <w:r w:rsidRPr="002C0FE2">
        <w:t xml:space="preserve"> preceding time points, once there was a statistically significant difference between groups in percent change in inflammatory lesion count. Superiority analysis was st</w:t>
      </w:r>
      <w:r w:rsidR="00FC7051">
        <w:t>ipulated.</w:t>
      </w:r>
    </w:p>
    <w:p w14:paraId="6AD89EAC" w14:textId="77777777" w:rsidR="002C0FE2" w:rsidRPr="002C0FE2" w:rsidRDefault="002C0FE2" w:rsidP="002C0FE2">
      <w:r w:rsidRPr="002C0FE2">
        <w:t>In the Week 16 LOCF –ITT analysis present mean change from baseline was</w:t>
      </w:r>
      <w:r w:rsidR="004C68A1">
        <w:t xml:space="preserve"> </w:t>
      </w:r>
      <w:r w:rsidRPr="002C0FE2">
        <w:t>-83% in the ivermectin 1% and -73.7</w:t>
      </w:r>
      <w:r w:rsidR="004C68A1">
        <w:t>%</w:t>
      </w:r>
      <w:r w:rsidRPr="002C0FE2">
        <w:t xml:space="preserve"> in </w:t>
      </w:r>
      <w:r w:rsidR="00324098">
        <w:t>metronidazole</w:t>
      </w:r>
      <w:r w:rsidRPr="002C0FE2">
        <w:t xml:space="preserve"> group (p</w:t>
      </w:r>
      <w:r w:rsidR="004C68A1">
        <w:t xml:space="preserve"> </w:t>
      </w:r>
      <w:r w:rsidRPr="002C0FE2">
        <w:t>&lt;</w:t>
      </w:r>
      <w:r w:rsidR="004C68A1">
        <w:t xml:space="preserve"> 0</w:t>
      </w:r>
      <w:r w:rsidRPr="002C0FE2">
        <w:t xml:space="preserve">.001) and median change from baseline was -92% and -88.3% The </w:t>
      </w:r>
      <w:r w:rsidR="00F941D7">
        <w:t>Phase III</w:t>
      </w:r>
      <w:r w:rsidRPr="002C0FE2">
        <w:t xml:space="preserve"> </w:t>
      </w:r>
      <w:r w:rsidR="00F941D7">
        <w:t>Study</w:t>
      </w:r>
      <w:r w:rsidRPr="002C0FE2">
        <w:t xml:space="preserve"> RD.03.SRE.40173 provided statistically significant evidence of the superiority of daily ivermectin 1% over </w:t>
      </w:r>
      <w:r w:rsidR="00F757B6">
        <w:t>BD</w:t>
      </w:r>
      <w:r w:rsidRPr="002C0FE2">
        <w:t xml:space="preserve"> </w:t>
      </w:r>
      <w:proofErr w:type="spellStart"/>
      <w:r w:rsidRPr="002C0FE2">
        <w:t>Rozex</w:t>
      </w:r>
      <w:proofErr w:type="spellEnd"/>
      <w:r w:rsidRPr="002C0FE2">
        <w:t>. Data on relapse rates from the 36 week e</w:t>
      </w:r>
      <w:r w:rsidR="00FC7051">
        <w:t xml:space="preserve">xtension of study are </w:t>
      </w:r>
      <w:r w:rsidR="004C68A1">
        <w:t>pending</w:t>
      </w:r>
      <w:r w:rsidR="00FC7051">
        <w:t>.</w:t>
      </w:r>
    </w:p>
    <w:p w14:paraId="6AD89EAD" w14:textId="77777777" w:rsidR="002C0FE2" w:rsidRPr="002C0FE2" w:rsidRDefault="004C68A1" w:rsidP="004C68A1">
      <w:pPr>
        <w:pStyle w:val="Heading5"/>
      </w:pPr>
      <w:r>
        <w:t>Other Efficacy Studies</w:t>
      </w:r>
    </w:p>
    <w:p w14:paraId="6AD89EAE" w14:textId="77777777" w:rsidR="004C68A1" w:rsidRDefault="004C68A1" w:rsidP="004C68A1">
      <w:pPr>
        <w:pStyle w:val="Heading6"/>
      </w:pPr>
      <w:r>
        <w:t>Study RD.03.SRE.40006</w:t>
      </w:r>
    </w:p>
    <w:p w14:paraId="6AD89EAF" w14:textId="77777777" w:rsidR="002C0FE2" w:rsidRPr="002C0FE2" w:rsidRDefault="004C68A1" w:rsidP="002C0FE2">
      <w:r w:rsidRPr="004C68A1">
        <w:t xml:space="preserve">Study RD.03.SRE.40006 </w:t>
      </w:r>
      <w:r w:rsidR="002C0FE2" w:rsidRPr="002C0FE2">
        <w:t>was a preliminary efficacy and safety study of ivermectin 1% cream (formulation proposed for registration). Design was multic</w:t>
      </w:r>
      <w:r w:rsidR="003D2108">
        <w:t xml:space="preserve">entre, randomised, investigator </w:t>
      </w:r>
      <w:r w:rsidR="002C0FE2" w:rsidRPr="002C0FE2">
        <w:t xml:space="preserve">blinded, parallel group with 3 arms: active cream, vehicle, and </w:t>
      </w:r>
      <w:proofErr w:type="spellStart"/>
      <w:r w:rsidR="002C0FE2" w:rsidRPr="002C0FE2">
        <w:t>Rozex</w:t>
      </w:r>
      <w:proofErr w:type="spellEnd"/>
      <w:r w:rsidR="002C0FE2" w:rsidRPr="002C0FE2">
        <w:t xml:space="preserve">, applied </w:t>
      </w:r>
      <w:r w:rsidR="00F757B6">
        <w:t>BD</w:t>
      </w:r>
      <w:r w:rsidR="002C0FE2" w:rsidRPr="002C0FE2">
        <w:t xml:space="preserve"> for 9 weeks in patients with PPR. The ITT population numbered 147. The differences between ivermectin and vehicle, and between </w:t>
      </w:r>
      <w:r w:rsidR="003D2108" w:rsidRPr="002C0FE2">
        <w:t>ivermectin</w:t>
      </w:r>
      <w:r w:rsidR="002C0FE2" w:rsidRPr="002C0FE2">
        <w:t xml:space="preserve"> and metronidazole, did not reach statistical significance, for either the ITT or the per protocol set.</w:t>
      </w:r>
    </w:p>
    <w:p w14:paraId="6AD89EB0" w14:textId="77777777" w:rsidR="003D2108" w:rsidRDefault="003D2108" w:rsidP="003D2108">
      <w:pPr>
        <w:pStyle w:val="Heading6"/>
      </w:pPr>
      <w:r w:rsidRPr="003D2108">
        <w:t>Study RD.03.SRE.40037</w:t>
      </w:r>
    </w:p>
    <w:p w14:paraId="6AD89EB1" w14:textId="77777777" w:rsidR="002C0FE2" w:rsidRPr="002C0FE2" w:rsidRDefault="003D2108" w:rsidP="002C0FE2">
      <w:r>
        <w:t xml:space="preserve">Study RD.03.SRE.40037 was a treatment </w:t>
      </w:r>
      <w:r w:rsidR="002C0FE2" w:rsidRPr="002C0FE2">
        <w:t xml:space="preserve">free extension of Study RD.03.SRE.40027. The objective of </w:t>
      </w:r>
      <w:r w:rsidRPr="003D2108">
        <w:t>Study RD.03.SRE.</w:t>
      </w:r>
      <w:r w:rsidR="002C0FE2" w:rsidRPr="002C0FE2">
        <w:t>40037 was to evaluate relapses in patients successful</w:t>
      </w:r>
      <w:r>
        <w:t xml:space="preserve">ly treated in the dose finding </w:t>
      </w:r>
      <w:r w:rsidR="002C0FE2" w:rsidRPr="002C0FE2">
        <w:t xml:space="preserve">study. </w:t>
      </w:r>
      <w:r w:rsidR="00D75195">
        <w:t xml:space="preserve">Some </w:t>
      </w:r>
      <w:r w:rsidR="002C0FE2" w:rsidRPr="002C0FE2">
        <w:t xml:space="preserve">149 subjects were enrolled in </w:t>
      </w:r>
      <w:r w:rsidRPr="003D2108">
        <w:t>Study RD.03.SRE.</w:t>
      </w:r>
      <w:r w:rsidR="002C0FE2" w:rsidRPr="002C0FE2">
        <w:t>40037, of whom 101 completed. The main efficacy endpoints stipulated on the Pr</w:t>
      </w:r>
      <w:r w:rsidR="00BE5FC8">
        <w:t>otocol were (1) Time to relapse</w:t>
      </w:r>
      <w:r w:rsidR="002C0FE2" w:rsidRPr="002C0FE2">
        <w:t xml:space="preserve"> and </w:t>
      </w:r>
      <w:proofErr w:type="gramStart"/>
      <w:r w:rsidR="002C0FE2" w:rsidRPr="002C0FE2">
        <w:t>(2) Relapse</w:t>
      </w:r>
      <w:proofErr w:type="gramEnd"/>
      <w:r w:rsidR="002C0FE2" w:rsidRPr="002C0FE2">
        <w:t xml:space="preserve"> rate. With Definition 1 and Convention 1, 36 (24.8%) subjects had relapsed by Day 84 whatever the treatment in </w:t>
      </w:r>
      <w:r w:rsidR="00F941D7">
        <w:t>Study</w:t>
      </w:r>
      <w:r w:rsidR="002C0FE2" w:rsidRPr="002C0FE2">
        <w:t xml:space="preserve"> RD.03.SRE.40027; this number increased to 53 (37.9%) subjects by Day 168. In other words, &gt; 75% of patients remained </w:t>
      </w:r>
      <w:r w:rsidR="00BD1775">
        <w:t>‘</w:t>
      </w:r>
      <w:r w:rsidR="002C0FE2" w:rsidRPr="002C0FE2">
        <w:t>clear</w:t>
      </w:r>
      <w:r w:rsidR="00BD1775">
        <w:t>’</w:t>
      </w:r>
      <w:r w:rsidR="002C0FE2" w:rsidRPr="002C0FE2">
        <w:t xml:space="preserve"> and </w:t>
      </w:r>
      <w:r w:rsidR="00BD1775">
        <w:t>‘</w:t>
      </w:r>
      <w:r w:rsidR="002C0FE2" w:rsidRPr="002C0FE2">
        <w:t>almost clear</w:t>
      </w:r>
      <w:r w:rsidR="00BD1775">
        <w:t>’</w:t>
      </w:r>
      <w:r w:rsidR="002C0FE2" w:rsidRPr="002C0FE2">
        <w:t xml:space="preserve"> three months after an ini</w:t>
      </w:r>
      <w:r>
        <w:t xml:space="preserve">tial </w:t>
      </w:r>
      <w:r>
        <w:lastRenderedPageBreak/>
        <w:t>successful treatment and &gt; </w:t>
      </w:r>
      <w:r w:rsidR="002C0FE2" w:rsidRPr="002C0FE2">
        <w:t>60% remained so even six months after the</w:t>
      </w:r>
      <w:r w:rsidR="00FC7051">
        <w:t xml:space="preserve"> initial treatment was stopped.</w:t>
      </w:r>
    </w:p>
    <w:p w14:paraId="6AD89EB2" w14:textId="77777777" w:rsidR="003D2108" w:rsidRDefault="003D2108" w:rsidP="003D2108">
      <w:pPr>
        <w:pStyle w:val="Heading5"/>
      </w:pPr>
      <w:r>
        <w:t>Clinical evaluator’s Conclusions on Efficacy</w:t>
      </w:r>
    </w:p>
    <w:p w14:paraId="6AD89EB3" w14:textId="77777777" w:rsidR="002C0FE2" w:rsidRPr="002C0FE2" w:rsidRDefault="002C0FE2" w:rsidP="002C0FE2">
      <w:r w:rsidRPr="002C0FE2">
        <w:t xml:space="preserve">In the pivotal </w:t>
      </w:r>
      <w:r w:rsidR="00F941D7">
        <w:t>Studies</w:t>
      </w:r>
      <w:r w:rsidRPr="002C0FE2">
        <w:t xml:space="preserve"> RD.06.SRE.18170 and RD.06.SRE.18171, Soolantra was shown to </w:t>
      </w:r>
      <w:r w:rsidR="003D2108">
        <w:t xml:space="preserve">be superior to vehicle; </w:t>
      </w:r>
      <w:r w:rsidRPr="002C0FE2">
        <w:t xml:space="preserve">consistent with the </w:t>
      </w:r>
      <w:r w:rsidR="00F941D7">
        <w:t>Phase II</w:t>
      </w:r>
      <w:r w:rsidRPr="002C0FE2">
        <w:t xml:space="preserve"> </w:t>
      </w:r>
      <w:r w:rsidR="00F941D7">
        <w:t>Studies</w:t>
      </w:r>
      <w:r w:rsidRPr="002C0FE2">
        <w:t xml:space="preserve"> RD.03.SRE.40027</w:t>
      </w:r>
      <w:r w:rsidR="00D75195">
        <w:t xml:space="preserve"> </w:t>
      </w:r>
      <w:r w:rsidR="00F941D7">
        <w:t>and RD.03.SRE.40106. The Phase III</w:t>
      </w:r>
      <w:r w:rsidRPr="002C0FE2">
        <w:t xml:space="preserve"> </w:t>
      </w:r>
      <w:r w:rsidR="00F941D7">
        <w:t>Study</w:t>
      </w:r>
      <w:r w:rsidRPr="002C0FE2">
        <w:t xml:space="preserve"> RD.03.SRE.40173 provided statistically significant </w:t>
      </w:r>
      <w:r w:rsidR="003D2108">
        <w:t>evidence of the superiority of d</w:t>
      </w:r>
      <w:r w:rsidRPr="002C0FE2">
        <w:t xml:space="preserve">aily </w:t>
      </w:r>
      <w:proofErr w:type="spellStart"/>
      <w:r w:rsidRPr="002C0FE2">
        <w:t>Soolantra</w:t>
      </w:r>
      <w:proofErr w:type="spellEnd"/>
      <w:r w:rsidRPr="002C0FE2">
        <w:t xml:space="preserve"> over </w:t>
      </w:r>
      <w:r w:rsidR="00F757B6">
        <w:t>BD</w:t>
      </w:r>
      <w:r w:rsidRPr="002C0FE2">
        <w:t xml:space="preserve"> </w:t>
      </w:r>
      <w:proofErr w:type="spellStart"/>
      <w:r w:rsidRPr="002C0FE2">
        <w:t>Rozex</w:t>
      </w:r>
      <w:proofErr w:type="spellEnd"/>
      <w:r w:rsidRPr="002C0FE2">
        <w:t xml:space="preserve">. Data on relapse rates from the 36 week extension of </w:t>
      </w:r>
      <w:r w:rsidR="00F941D7">
        <w:t>Study</w:t>
      </w:r>
      <w:r w:rsidR="00FC7051">
        <w:t xml:space="preserve"> RD.03.SRE.40173 are </w:t>
      </w:r>
      <w:r w:rsidR="003D2108">
        <w:t>pending</w:t>
      </w:r>
      <w:r w:rsidR="00FC7051">
        <w:t>.</w:t>
      </w:r>
    </w:p>
    <w:p w14:paraId="6AD89EB4" w14:textId="77777777" w:rsidR="002C0FE2" w:rsidRPr="002C0FE2" w:rsidRDefault="002C0FE2" w:rsidP="003D2108">
      <w:pPr>
        <w:pStyle w:val="Heading4"/>
      </w:pPr>
      <w:r w:rsidRPr="002C0FE2">
        <w:t>Safety</w:t>
      </w:r>
    </w:p>
    <w:p w14:paraId="6AD89EB5" w14:textId="77777777" w:rsidR="002C0FE2" w:rsidRPr="002C0FE2" w:rsidRDefault="002C0FE2" w:rsidP="002C0FE2">
      <w:r w:rsidRPr="002C0FE2">
        <w:t>A total of 2</w:t>
      </w:r>
      <w:r w:rsidR="003D2108">
        <w:t>,</w:t>
      </w:r>
      <w:r w:rsidRPr="002C0FE2">
        <w:t>431 of the 3</w:t>
      </w:r>
      <w:r w:rsidR="003D2108">
        <w:t>,</w:t>
      </w:r>
      <w:r w:rsidRPr="002C0FE2">
        <w:t>999 subjects in the clinical development program were exposed to ivermectin1% cream, 268 healthy subjects and 2</w:t>
      </w:r>
      <w:r w:rsidR="003D2108">
        <w:t>,</w:t>
      </w:r>
      <w:r w:rsidRPr="002C0FE2">
        <w:t>163 subjects with PPR. A total of 2</w:t>
      </w:r>
      <w:r w:rsidR="003D2108">
        <w:t>,</w:t>
      </w:r>
      <w:r w:rsidRPr="002C0FE2">
        <w:t>047 subjects with PPR were exposed to the formulation and reg</w:t>
      </w:r>
      <w:r w:rsidR="00FC7051">
        <w:t>imen proposed for registration.</w:t>
      </w:r>
    </w:p>
    <w:p w14:paraId="6AD89EB6" w14:textId="77777777" w:rsidR="002C0FE2" w:rsidRDefault="002C0FE2" w:rsidP="003D2108">
      <w:pPr>
        <w:pStyle w:val="Heading5"/>
      </w:pPr>
      <w:r w:rsidRPr="002C0FE2">
        <w:t>Pivotal studies assessed safety as well as</w:t>
      </w:r>
      <w:r w:rsidR="003D2108">
        <w:t xml:space="preserve"> efficacy as a primary outcom</w:t>
      </w:r>
      <w:r w:rsidR="00814D85">
        <w:t>e</w:t>
      </w:r>
    </w:p>
    <w:p w14:paraId="6AD89EB7" w14:textId="77777777" w:rsidR="0058555B" w:rsidRPr="0058555B" w:rsidRDefault="0058555B" w:rsidP="0058555B">
      <w:pPr>
        <w:pStyle w:val="Heading6"/>
      </w:pPr>
      <w:r w:rsidRPr="0058555B">
        <w:t>Study 18170</w:t>
      </w:r>
    </w:p>
    <w:p w14:paraId="6AD89EB8" w14:textId="77777777" w:rsidR="002C0FE2" w:rsidRPr="002C0FE2" w:rsidRDefault="002C0FE2" w:rsidP="002C0FE2">
      <w:r w:rsidRPr="002C0FE2">
        <w:t xml:space="preserve">Table </w:t>
      </w:r>
      <w:r w:rsidR="00100E19">
        <w:t>27</w:t>
      </w:r>
      <w:r w:rsidR="00764257">
        <w:t xml:space="preserve"> Attachment 2</w:t>
      </w:r>
      <w:r w:rsidRPr="002C0FE2">
        <w:t xml:space="preserve"> shows AE in pivotal </w:t>
      </w:r>
      <w:r w:rsidR="00F941D7">
        <w:t>Study</w:t>
      </w:r>
      <w:r w:rsidRPr="002C0FE2">
        <w:t xml:space="preserve"> 18170. Overall 69.5% of subjects in the ivermectin group and 70.3% in the vehicle/</w:t>
      </w:r>
      <w:proofErr w:type="spellStart"/>
      <w:r w:rsidRPr="002C0FE2">
        <w:t>azelaic</w:t>
      </w:r>
      <w:proofErr w:type="spellEnd"/>
      <w:r w:rsidRPr="002C0FE2">
        <w:t xml:space="preserve"> acid group had AEs. In Part A, 40.5% of subjects in the ivermectin group and 39.4% in the vehicle group had AEs. In Part B</w:t>
      </w:r>
      <w:r w:rsidR="00764257">
        <w:t>, 60.4% in the ivermectin group</w:t>
      </w:r>
      <w:r w:rsidRPr="002C0FE2">
        <w:t xml:space="preserve"> and 60.5% in the </w:t>
      </w:r>
      <w:proofErr w:type="spellStart"/>
      <w:r w:rsidRPr="002C0FE2">
        <w:t>azelaic</w:t>
      </w:r>
      <w:proofErr w:type="spellEnd"/>
      <w:r w:rsidRPr="002C0FE2">
        <w:t xml:space="preserve"> acid group had AEs</w:t>
      </w:r>
      <w:r w:rsidR="00902337">
        <w:t xml:space="preserve">. </w:t>
      </w:r>
      <w:r w:rsidRPr="002C0FE2">
        <w:t>Overall 14.4% of subjects had skin and subcutaneous AE in the ivermectin group and 19.4% in the vehicle/</w:t>
      </w:r>
      <w:proofErr w:type="spellStart"/>
      <w:r w:rsidRPr="002C0FE2">
        <w:t>azelaic</w:t>
      </w:r>
      <w:proofErr w:type="spellEnd"/>
      <w:r w:rsidRPr="002C0FE2">
        <w:t xml:space="preserve"> acid group. In Part A, 7.5% of subjects had skin and subcutaneous AE in the ivermectin group and 10% in the vehicle group. In Part B, 7.8% of subjects had skin and subcutaneous AE in the ivermectin group and 1</w:t>
      </w:r>
      <w:r w:rsidR="00FC7051">
        <w:t xml:space="preserve">2.9% in the </w:t>
      </w:r>
      <w:proofErr w:type="spellStart"/>
      <w:r w:rsidR="00FC7051">
        <w:t>azelaic</w:t>
      </w:r>
      <w:proofErr w:type="spellEnd"/>
      <w:r w:rsidR="00FC7051">
        <w:t xml:space="preserve"> acid group.</w:t>
      </w:r>
    </w:p>
    <w:p w14:paraId="6AD89EB9" w14:textId="77777777" w:rsidR="002C0FE2" w:rsidRPr="002C0FE2" w:rsidRDefault="002C0FE2" w:rsidP="002C0FE2">
      <w:r w:rsidRPr="002C0FE2">
        <w:t xml:space="preserve">Table </w:t>
      </w:r>
      <w:r w:rsidR="00100E19">
        <w:t>42</w:t>
      </w:r>
      <w:r w:rsidRPr="002C0FE2">
        <w:t xml:space="preserve"> </w:t>
      </w:r>
      <w:r w:rsidR="008149D4">
        <w:t>Attachment 2,</w:t>
      </w:r>
      <w:r w:rsidRPr="002C0FE2">
        <w:t xml:space="preserve"> shows AEs classified as related to study drug in </w:t>
      </w:r>
      <w:r w:rsidR="00F941D7">
        <w:t>Study</w:t>
      </w:r>
      <w:r w:rsidR="008149D4">
        <w:t xml:space="preserve"> 18170. </w:t>
      </w:r>
      <w:r w:rsidRPr="002C0FE2">
        <w:t>Overall 6% of subjects in the ivermectin group and 12% in the vehicle/</w:t>
      </w:r>
      <w:proofErr w:type="spellStart"/>
      <w:r w:rsidRPr="002C0FE2">
        <w:t>azelaic</w:t>
      </w:r>
      <w:proofErr w:type="spellEnd"/>
      <w:r w:rsidRPr="002C0FE2">
        <w:t xml:space="preserve"> acid group had related AEs. In Part A, 4.2% of subjects in the ivermectin group and 7.8% in the vehicle group had such AEs. In Part B, 1.9% of and 6.7% in the </w:t>
      </w:r>
      <w:proofErr w:type="spellStart"/>
      <w:r w:rsidRPr="002C0FE2">
        <w:t>azelaic</w:t>
      </w:r>
      <w:proofErr w:type="spellEnd"/>
      <w:r w:rsidRPr="002C0FE2">
        <w:t xml:space="preserve"> acid group had such AEs. In the ivermectin group overall 23 related AEs were skin and subcutaneous disorders of the total of 35 related AEs. In the ivermectin group, other related AE included </w:t>
      </w:r>
      <w:r w:rsidR="008149D4" w:rsidRPr="002C0FE2">
        <w:t>neutropenia</w:t>
      </w:r>
      <w:r w:rsidRPr="002C0FE2">
        <w:t xml:space="preserve"> (n=1), lacrimation increased (n=1)</w:t>
      </w:r>
      <w:r w:rsidR="005B726E" w:rsidRPr="002C0FE2">
        <w:t>, hepatic</w:t>
      </w:r>
      <w:r w:rsidRPr="002C0FE2">
        <w:t xml:space="preserve"> enzyme increase (n=1), flus</w:t>
      </w:r>
      <w:r w:rsidR="008149D4">
        <w:t>hing n=1), and overdose (n=1).</w:t>
      </w:r>
    </w:p>
    <w:p w14:paraId="6AD89EBA" w14:textId="77777777" w:rsidR="002C0FE2" w:rsidRPr="002C0FE2" w:rsidRDefault="00100E19" w:rsidP="002C0FE2">
      <w:r>
        <w:t>Table 49</w:t>
      </w:r>
      <w:r w:rsidR="008149D4">
        <w:t xml:space="preserve"> Attachment 2 </w:t>
      </w:r>
      <w:r w:rsidR="002C0FE2" w:rsidRPr="002C0FE2">
        <w:t xml:space="preserve">shows SAE in pivotal </w:t>
      </w:r>
      <w:r w:rsidR="00F941D7">
        <w:t>Study</w:t>
      </w:r>
      <w:r w:rsidR="002C0FE2" w:rsidRPr="002C0FE2">
        <w:t xml:space="preserve"> 18170 which did include AE terms classified as related to study</w:t>
      </w:r>
      <w:r w:rsidR="00FC7051">
        <w:t xml:space="preserve"> drug. No deaths were reported.</w:t>
      </w:r>
      <w:r w:rsidR="008149D4">
        <w:t xml:space="preserve"> </w:t>
      </w:r>
      <w:r w:rsidR="002C0FE2" w:rsidRPr="002C0FE2">
        <w:t>Overall, 12 subjects (2.7%) in the Soolantra (Part A and Part B) group prematurely discontinued the study due to AEs and 9 subjects</w:t>
      </w:r>
      <w:r w:rsidR="00814D85">
        <w:t xml:space="preserve"> (3.9%) in the Vehicle/</w:t>
      </w:r>
      <w:proofErr w:type="spellStart"/>
      <w:r w:rsidR="00814D85">
        <w:t>Azelaic</w:t>
      </w:r>
      <w:proofErr w:type="spellEnd"/>
      <w:r w:rsidR="00814D85">
        <w:t xml:space="preserve"> a</w:t>
      </w:r>
      <w:r w:rsidR="002C0FE2" w:rsidRPr="002C0FE2">
        <w:t>cid group prematurely discontinued the study due to AEs. For both treatment groups, the majority of subjects who discontinued the study did so due to AEs in the</w:t>
      </w:r>
      <w:r w:rsidR="00D75195">
        <w:t xml:space="preserve"> s</w:t>
      </w:r>
      <w:r w:rsidR="00D75195" w:rsidRPr="00D75195">
        <w:t>ystem organ class</w:t>
      </w:r>
      <w:r w:rsidR="002C0FE2" w:rsidRPr="002C0FE2">
        <w:t xml:space="preserve"> </w:t>
      </w:r>
      <w:r w:rsidR="00D75195">
        <w:t>(</w:t>
      </w:r>
      <w:r w:rsidR="002C0FE2" w:rsidRPr="002C0FE2">
        <w:t>SOC</w:t>
      </w:r>
      <w:r w:rsidR="00D75195">
        <w:t>)</w:t>
      </w:r>
      <w:r w:rsidR="002C0FE2" w:rsidRPr="002C0FE2">
        <w:t xml:space="preserve"> Skin and subcutaneous tissue disorders: 8 subjects (1.8%) in the Soolantra (Part A and Part B) group and 6 subjects</w:t>
      </w:r>
      <w:r w:rsidR="00814D85">
        <w:t xml:space="preserve"> (2.6%) in the Vehicle/</w:t>
      </w:r>
      <w:proofErr w:type="spellStart"/>
      <w:r w:rsidR="00814D85">
        <w:t>Azelaic</w:t>
      </w:r>
      <w:proofErr w:type="spellEnd"/>
      <w:r w:rsidR="00814D85">
        <w:t xml:space="preserve"> a</w:t>
      </w:r>
      <w:r w:rsidR="002C0FE2" w:rsidRPr="002C0FE2">
        <w:t>cid group. All remaining subjects who discontinued the study reported isolated incidences of AEs that occurred in various other SOC categories. 6 subjects (1.3%) in the Soolantra (Part A and Part B) group reported 8 AEs leading to discontinuation that were considered by the investigator to be related to the study drug: Dermatitis allergic, Pain of skin, Skin burning sensation (2 events), Skin irritation (3 events), and Flushing. 5 subjects</w:t>
      </w:r>
      <w:r w:rsidR="00814D85">
        <w:t xml:space="preserve"> (2.2%) in the Vehicle/</w:t>
      </w:r>
      <w:proofErr w:type="spellStart"/>
      <w:r w:rsidR="00814D85">
        <w:t>Azelaic</w:t>
      </w:r>
      <w:proofErr w:type="spellEnd"/>
      <w:r w:rsidR="00814D85">
        <w:t xml:space="preserve"> a</w:t>
      </w:r>
      <w:r w:rsidR="002C0FE2" w:rsidRPr="002C0FE2">
        <w:t>cid group reported 7 AEs leading to discontinuation that were considered by the investigator to be related to the study drug: Rosacea, Skin irritation (3 events), Eye irritation, Irritant dermatitis, Pain of skin, and Skin burning sensation.</w:t>
      </w:r>
    </w:p>
    <w:p w14:paraId="6AD89EBB" w14:textId="77777777" w:rsidR="0058555B" w:rsidRDefault="0058555B" w:rsidP="0058555B">
      <w:pPr>
        <w:pStyle w:val="Heading6"/>
      </w:pPr>
      <w:r w:rsidRPr="0058555B">
        <w:lastRenderedPageBreak/>
        <w:t>Study 18171</w:t>
      </w:r>
    </w:p>
    <w:p w14:paraId="6AD89EBC" w14:textId="77777777" w:rsidR="002C0FE2" w:rsidRPr="002C0FE2" w:rsidRDefault="002C0FE2" w:rsidP="002C0FE2">
      <w:r w:rsidRPr="002C0FE2">
        <w:t xml:space="preserve">Table </w:t>
      </w:r>
      <w:r w:rsidR="00100E19">
        <w:t>28</w:t>
      </w:r>
      <w:r w:rsidRPr="002C0FE2">
        <w:t xml:space="preserve"> </w:t>
      </w:r>
      <w:r w:rsidR="008149D4">
        <w:t>Attachment 2</w:t>
      </w:r>
      <w:r w:rsidRPr="002C0FE2">
        <w:t xml:space="preserve"> shows AE in pivotal </w:t>
      </w:r>
      <w:r w:rsidR="00F941D7">
        <w:t>Study</w:t>
      </w:r>
      <w:r w:rsidRPr="002C0FE2">
        <w:t xml:space="preserve"> 18171. Overall 68% of subjects in the ivermectin group and 66.7% in the vehicle/</w:t>
      </w:r>
      <w:proofErr w:type="spellStart"/>
      <w:r w:rsidRPr="002C0FE2">
        <w:t>azelaic</w:t>
      </w:r>
      <w:proofErr w:type="spellEnd"/>
      <w:r w:rsidRPr="002C0FE2">
        <w:t xml:space="preserve"> acid group had AEs. In Part A, 36.5% of subjects in the ivermectin group and 36.5% in the vehicle group has AEs. In Part B, 59.3 % in the ivermectin group and 58.7% in the </w:t>
      </w:r>
      <w:proofErr w:type="spellStart"/>
      <w:r w:rsidRPr="002C0FE2">
        <w:t>azelaic</w:t>
      </w:r>
      <w:proofErr w:type="spellEnd"/>
      <w:r w:rsidRPr="002C0FE2">
        <w:t xml:space="preserve"> acid group had AEs</w:t>
      </w:r>
      <w:r w:rsidR="00902337">
        <w:t xml:space="preserve">. </w:t>
      </w:r>
      <w:r w:rsidRPr="002C0FE2">
        <w:t>Overall 14.1% of subjects had skin and subcutaneous AE in the ivermectin group and 24.2% in the vehicle/</w:t>
      </w:r>
      <w:proofErr w:type="spellStart"/>
      <w:r w:rsidRPr="002C0FE2">
        <w:t>azelaic</w:t>
      </w:r>
      <w:proofErr w:type="spellEnd"/>
      <w:r w:rsidRPr="002C0FE2">
        <w:t xml:space="preserve"> acid group. In Part A, 6.1% of subjects had skin and subcutaneous AE in the ivermectin group and 11.3% in the vehicle group. In Part B, 9.8% of subjects had skin and subcutaneous AE in the ivermectin group and 1</w:t>
      </w:r>
      <w:r w:rsidR="00FC7051">
        <w:t xml:space="preserve">6.3% in the </w:t>
      </w:r>
      <w:proofErr w:type="spellStart"/>
      <w:r w:rsidR="00FC7051">
        <w:t>azelaic</w:t>
      </w:r>
      <w:proofErr w:type="spellEnd"/>
      <w:r w:rsidR="00FC7051">
        <w:t xml:space="preserve"> acid group.</w:t>
      </w:r>
    </w:p>
    <w:p w14:paraId="6AD89EBD" w14:textId="77777777" w:rsidR="002C0FE2" w:rsidRPr="002C0FE2" w:rsidRDefault="002C0FE2" w:rsidP="002C0FE2">
      <w:r w:rsidRPr="002C0FE2">
        <w:t xml:space="preserve">Table </w:t>
      </w:r>
      <w:r w:rsidR="00100E19">
        <w:t>43</w:t>
      </w:r>
      <w:r w:rsidR="000E7F8A">
        <w:t xml:space="preserve"> Attachment 2</w:t>
      </w:r>
      <w:r w:rsidRPr="002C0FE2">
        <w:t xml:space="preserve"> shows AEs classified as related to study drug in pivotal </w:t>
      </w:r>
      <w:r w:rsidR="00F941D7">
        <w:t>Study</w:t>
      </w:r>
      <w:r w:rsidRPr="002C0FE2">
        <w:t xml:space="preserve"> 18171</w:t>
      </w:r>
      <w:r w:rsidR="00902337">
        <w:t xml:space="preserve">. </w:t>
      </w:r>
      <w:r w:rsidRPr="002C0FE2">
        <w:t>Overall 4.6% of subjects in the ivermectin group and 11% in the vehicle/</w:t>
      </w:r>
      <w:proofErr w:type="spellStart"/>
      <w:r w:rsidRPr="002C0FE2">
        <w:t>azelaic</w:t>
      </w:r>
      <w:proofErr w:type="spellEnd"/>
      <w:r w:rsidRPr="002C0FE2">
        <w:t xml:space="preserve"> acid group had related AEs. In Part A, 2.6% of subjects in the ivermectin group and 6.5% in the vehicle group had such AEs. In Part B, 2.1% of the ivermectin group and 5.8% in the </w:t>
      </w:r>
      <w:proofErr w:type="spellStart"/>
      <w:r w:rsidRPr="002C0FE2">
        <w:t>azelaic</w:t>
      </w:r>
      <w:proofErr w:type="spellEnd"/>
      <w:r w:rsidRPr="002C0FE2">
        <w:t xml:space="preserve"> acid group had such AEs. In the ivermectin group overall 11 related AEs were skin and subcutaneous disorders of the total of 27 related AEs. In the ivermectin group, other related AE included eye d</w:t>
      </w:r>
      <w:r w:rsidR="000E7F8A">
        <w:t xml:space="preserve">isorders (n=5), sunburn (n=1), </w:t>
      </w:r>
      <w:r w:rsidRPr="002C0FE2">
        <w:t>alcohol intolerance (n=1), paraesthesia (n=1</w:t>
      </w:r>
      <w:proofErr w:type="gramStart"/>
      <w:r w:rsidRPr="002C0FE2">
        <w:t>)and</w:t>
      </w:r>
      <w:proofErr w:type="gramEnd"/>
      <w:r w:rsidRPr="002C0FE2">
        <w:t xml:space="preserve"> overdose (n=1).</w:t>
      </w:r>
    </w:p>
    <w:p w14:paraId="6AD89EBE" w14:textId="77777777" w:rsidR="002C0FE2" w:rsidRPr="002C0FE2" w:rsidRDefault="002C0FE2" w:rsidP="002C0FE2">
      <w:r w:rsidRPr="002C0FE2">
        <w:t xml:space="preserve">Table </w:t>
      </w:r>
      <w:r w:rsidR="00100E19">
        <w:t>50</w:t>
      </w:r>
      <w:r w:rsidR="000E7F8A">
        <w:t xml:space="preserve"> Attachment 2</w:t>
      </w:r>
      <w:r w:rsidRPr="002C0FE2">
        <w:t xml:space="preserve"> shows SAE in pivotal </w:t>
      </w:r>
      <w:r w:rsidR="00F941D7">
        <w:t>Study</w:t>
      </w:r>
      <w:r w:rsidRPr="002C0FE2">
        <w:t xml:space="preserve"> 18171 which did include AE terms classified as related to study</w:t>
      </w:r>
      <w:r w:rsidR="003F7703">
        <w:t xml:space="preserve"> drug. No deaths were reported. </w:t>
      </w:r>
      <w:r w:rsidRPr="002C0FE2">
        <w:t>Overall, 9 subjects (2.0%) in the Soolantra (Part A and Part B) group prematurely discontinued the study due to AEs and 9 subjects (3.9%) in the Vehicle/</w:t>
      </w:r>
      <w:proofErr w:type="spellStart"/>
      <w:r w:rsidRPr="002C0FE2">
        <w:t>Azelaic</w:t>
      </w:r>
      <w:proofErr w:type="spellEnd"/>
      <w:r w:rsidRPr="002C0FE2">
        <w:t xml:space="preserve"> Acid group prematurely discontinued the study due to AEs. For the Soolantra (Part A and Part B) group, the majority of subjects who discontinued the study did so due to AEs in the SOC Neoplasms: 3 subjects (0.7%). For the Vehicle/</w:t>
      </w:r>
      <w:proofErr w:type="spellStart"/>
      <w:r w:rsidRPr="002C0FE2">
        <w:t>Azelaic</w:t>
      </w:r>
      <w:proofErr w:type="spellEnd"/>
      <w:r w:rsidRPr="002C0FE2">
        <w:t xml:space="preserve"> Acid group, the majority of AEs leading to discontinuation were in the SOC Skin and subcutaneous tissue disorders: 6 subjects (2.6%). All remaining subjects who discontinued the study reported isolated incidences of AEs that occurred in</w:t>
      </w:r>
      <w:r w:rsidR="003F7703">
        <w:t xml:space="preserve"> various other SOC categories. One</w:t>
      </w:r>
      <w:r w:rsidRPr="002C0FE2">
        <w:t xml:space="preserve"> subject (0.2%) in the Soolantra (Part A and Part B) group reported an </w:t>
      </w:r>
      <w:r w:rsidR="003F7703">
        <w:t>AE leading to discontinuation, f</w:t>
      </w:r>
      <w:r w:rsidRPr="002C0FE2">
        <w:t xml:space="preserve">acial dry </w:t>
      </w:r>
      <w:r w:rsidR="003F7703" w:rsidRPr="002C0FE2">
        <w:t>skin, which</w:t>
      </w:r>
      <w:r w:rsidRPr="002C0FE2">
        <w:t xml:space="preserve"> was considered by the investigator to be re</w:t>
      </w:r>
      <w:r w:rsidR="003F7703">
        <w:t>lated to the study drug. Six</w:t>
      </w:r>
      <w:r w:rsidRPr="002C0FE2">
        <w:t xml:space="preserve"> (2.6%) subjects in the Vehicle/</w:t>
      </w:r>
      <w:proofErr w:type="spellStart"/>
      <w:r w:rsidRPr="002C0FE2">
        <w:t>Azelaic</w:t>
      </w:r>
      <w:proofErr w:type="spellEnd"/>
      <w:r w:rsidRPr="002C0FE2">
        <w:t xml:space="preserve"> Acid group reported 7 AEs leading to discontinuation that were considered by the investigator to be related to the study drug: Skin irritation (2 episodes), Tachycardia, Skin burning sensation (2 episodes),</w:t>
      </w:r>
      <w:r w:rsidR="00FC7051">
        <w:t xml:space="preserve"> Skin discomfort, and Pruritus.</w:t>
      </w:r>
    </w:p>
    <w:p w14:paraId="6AD89EBF" w14:textId="77777777" w:rsidR="0058555B" w:rsidRDefault="0058555B" w:rsidP="0058555B">
      <w:pPr>
        <w:pStyle w:val="Heading6"/>
      </w:pPr>
      <w:r w:rsidRPr="0058555B">
        <w:t>Study 40173</w:t>
      </w:r>
    </w:p>
    <w:p w14:paraId="6AD89EC0" w14:textId="77777777" w:rsidR="002C0FE2" w:rsidRPr="002C0FE2" w:rsidRDefault="002C0FE2" w:rsidP="002C0FE2">
      <w:r w:rsidRPr="002C0FE2">
        <w:t xml:space="preserve">Table </w:t>
      </w:r>
      <w:r w:rsidR="00100E19">
        <w:t>39</w:t>
      </w:r>
      <w:r w:rsidRPr="002C0FE2">
        <w:t xml:space="preserve"> </w:t>
      </w:r>
      <w:r w:rsidR="003F7703">
        <w:t xml:space="preserve">Attachment 2, </w:t>
      </w:r>
      <w:r w:rsidRPr="002C0FE2">
        <w:t xml:space="preserve">shows AE reported in Period A in </w:t>
      </w:r>
      <w:r w:rsidR="00F941D7">
        <w:t>Phase III</w:t>
      </w:r>
      <w:r w:rsidRPr="002C0FE2">
        <w:t xml:space="preserve"> </w:t>
      </w:r>
      <w:r w:rsidR="00F941D7">
        <w:t>Study</w:t>
      </w:r>
      <w:r w:rsidRPr="002C0FE2">
        <w:t xml:space="preserve"> 40173. </w:t>
      </w:r>
      <w:r w:rsidR="003F7703">
        <w:t xml:space="preserve">Some </w:t>
      </w:r>
      <w:r w:rsidRPr="002C0FE2">
        <w:t>32.4% of subjects in the ivermectin group and 33.1% in the metronidazole had AEs. Skin and subcutaneous disorders were reported in 4.6% of the ivermectin group and 4.</w:t>
      </w:r>
      <w:r w:rsidR="00FC7051">
        <w:t>1% of the metronidazole group.</w:t>
      </w:r>
    </w:p>
    <w:p w14:paraId="6AD89EC1" w14:textId="77777777" w:rsidR="002C0FE2" w:rsidRPr="002C0FE2" w:rsidRDefault="003F7703" w:rsidP="002C0FE2">
      <w:r>
        <w:t>Table 4</w:t>
      </w:r>
      <w:r w:rsidR="00100E19">
        <w:t>7</w:t>
      </w:r>
      <w:r w:rsidR="002C0FE2" w:rsidRPr="002C0FE2">
        <w:t xml:space="preserve"> </w:t>
      </w:r>
      <w:r>
        <w:t>Attachment 2</w:t>
      </w:r>
      <w:r w:rsidR="002C0FE2" w:rsidRPr="002C0FE2">
        <w:t xml:space="preserve">shows AE classified related to study drug. 2.3% of subjects in the ivermectin group and 3.7% in the metronidazole had related AEs. In the ivermectin group </w:t>
      </w:r>
      <w:r w:rsidR="0058555B" w:rsidRPr="002C0FE2">
        <w:t>neutropenia</w:t>
      </w:r>
      <w:r w:rsidR="002C0FE2" w:rsidRPr="002C0FE2">
        <w:t xml:space="preserve"> (n=1) and hypersensitivity (n=1) were reported in addition to skin an</w:t>
      </w:r>
      <w:r w:rsidR="00FC7051">
        <w:t>d subcutaneous tissue disorders</w:t>
      </w:r>
      <w:r w:rsidR="0058555B">
        <w:t>.</w:t>
      </w:r>
    </w:p>
    <w:p w14:paraId="6AD89EC2" w14:textId="77777777" w:rsidR="0058555B" w:rsidRDefault="0058555B" w:rsidP="0058555B">
      <w:pPr>
        <w:pStyle w:val="Heading5"/>
      </w:pPr>
      <w:r w:rsidRPr="0058555B">
        <w:t>Studies evaluable for safety only</w:t>
      </w:r>
    </w:p>
    <w:p w14:paraId="7E63A93B" w14:textId="07131EBD" w:rsidR="00571E8D" w:rsidRPr="002C0FE2" w:rsidRDefault="00D75195" w:rsidP="002C0FE2">
      <w:r>
        <w:t>Five</w:t>
      </w:r>
      <w:r w:rsidR="002C0FE2" w:rsidRPr="002C0FE2">
        <w:t xml:space="preserve"> studies were evaluable for safety only</w:t>
      </w:r>
      <w:r>
        <w:t xml:space="preserve"> (see Attachment 2, Section 8.1.4)</w:t>
      </w:r>
      <w:r w:rsidR="002C0FE2" w:rsidRPr="002C0FE2">
        <w:t>.</w:t>
      </w:r>
    </w:p>
    <w:p w14:paraId="6AD89EC4" w14:textId="24467C76" w:rsidR="0058555B" w:rsidRDefault="00660239" w:rsidP="0058555B">
      <w:pPr>
        <w:pStyle w:val="Heading6"/>
      </w:pPr>
      <w:r>
        <w:t>Study RD.03.SRE.19055</w:t>
      </w:r>
    </w:p>
    <w:p w14:paraId="6AD89EC5" w14:textId="77777777" w:rsidR="002C0FE2" w:rsidRPr="002C0FE2" w:rsidRDefault="002C0FE2" w:rsidP="002C0FE2">
      <w:r w:rsidRPr="002C0FE2">
        <w:t xml:space="preserve">The aim of this study was to assess cumulative irritancy potential of ivermectin 1% cream </w:t>
      </w:r>
      <w:r w:rsidR="00660239">
        <w:t>versus</w:t>
      </w:r>
      <w:r w:rsidRPr="002C0FE2">
        <w:t xml:space="preserve"> vehicle and white petrolatum, applied for 21 days under occlusive conditions to the upper back of healthy volunteers. The study was conducted in 2001 and the formulation of ivermectin cream is not that proposed for registration</w:t>
      </w:r>
      <w:r w:rsidR="00BD1775">
        <w:t xml:space="preserve">. </w:t>
      </w:r>
      <w:r w:rsidR="0058555B">
        <w:t xml:space="preserve">Some </w:t>
      </w:r>
      <w:r w:rsidRPr="002C0FE2">
        <w:t xml:space="preserve">18 healthy adults (5 </w:t>
      </w:r>
      <w:r w:rsidR="00660239">
        <w:t>male</w:t>
      </w:r>
      <w:r w:rsidRPr="002C0FE2">
        <w:t>,</w:t>
      </w:r>
      <w:r w:rsidR="0058555B">
        <w:t xml:space="preserve"> 13 </w:t>
      </w:r>
      <w:r w:rsidR="00660239">
        <w:t>female</w:t>
      </w:r>
      <w:r w:rsidR="0058555B">
        <w:t xml:space="preserve">) with white skin, aged 24 to </w:t>
      </w:r>
      <w:r w:rsidRPr="002C0FE2">
        <w:t xml:space="preserve">59 were enrolled and treated. Results are shown at </w:t>
      </w:r>
      <w:r w:rsidR="00BE5FC8">
        <w:t>Attachment</w:t>
      </w:r>
      <w:r w:rsidR="00660239">
        <w:t xml:space="preserve"> 2 Section 8.4.1.2.1</w:t>
      </w:r>
      <w:r w:rsidRPr="002C0FE2">
        <w:t xml:space="preserve">. </w:t>
      </w:r>
      <w:r w:rsidR="00660239">
        <w:t>The cumulative irritancy index (</w:t>
      </w:r>
      <w:r w:rsidR="00660239" w:rsidRPr="00660239">
        <w:t>CII</w:t>
      </w:r>
      <w:r w:rsidR="00660239">
        <w:t>)</w:t>
      </w:r>
      <w:r w:rsidRPr="002C0FE2">
        <w:t xml:space="preserve"> was calculated for </w:t>
      </w:r>
      <w:r w:rsidRPr="002C0FE2">
        <w:lastRenderedPageBreak/>
        <w:t>each treatment for each subject as: (Sum of all erythema scores read from Day 1 to Day 21)</w:t>
      </w:r>
      <w:r w:rsidR="00660239" w:rsidRPr="002C0FE2">
        <w:t>/ (</w:t>
      </w:r>
      <w:r w:rsidRPr="002C0FE2">
        <w:t>Number of readings)</w:t>
      </w:r>
      <w:r w:rsidR="00902337">
        <w:t xml:space="preserve">. </w:t>
      </w:r>
      <w:r w:rsidRPr="002C0FE2">
        <w:t>The mean CII was 0.13 for ivermect</w:t>
      </w:r>
      <w:r w:rsidR="00660239">
        <w:t xml:space="preserve">in cream, 0.07 for vehicle and </w:t>
      </w:r>
      <w:r w:rsidRPr="002C0FE2">
        <w:t>0.12 for white petrolatum. The worst erythema score was barely visible for 50% of subjects for each treatment. Moderate erythema score was</w:t>
      </w:r>
      <w:r w:rsidR="00FC7051">
        <w:t xml:space="preserve"> reported for 2 subjects with </w:t>
      </w:r>
      <w:r w:rsidRPr="002C0FE2">
        <w:t>ivermectin cream, 1 subject with vehicle and 1</w:t>
      </w:r>
      <w:r w:rsidR="00FC7051">
        <w:t xml:space="preserve"> subject with white petrolatum.</w:t>
      </w:r>
    </w:p>
    <w:p w14:paraId="6AD89EC6" w14:textId="77777777" w:rsidR="00660239" w:rsidRDefault="00660239" w:rsidP="00660239">
      <w:pPr>
        <w:pStyle w:val="Heading6"/>
      </w:pPr>
      <w:r>
        <w:t>Study RD.03.SRE.19081</w:t>
      </w:r>
    </w:p>
    <w:p w14:paraId="6AD89EC7" w14:textId="77777777" w:rsidR="002C0FE2" w:rsidRPr="002C0FE2" w:rsidRDefault="002C0FE2" w:rsidP="002C0FE2">
      <w:r w:rsidRPr="002C0FE2">
        <w:t xml:space="preserve">The aim of this study was to assess cumulative irritancy potential of 2 new proposed vehicles </w:t>
      </w:r>
      <w:r w:rsidR="00660239">
        <w:t>versus</w:t>
      </w:r>
      <w:r w:rsidRPr="002C0FE2">
        <w:t xml:space="preserve"> the initial vehicle and white petrolatum, applied for 21 days under occlusive conditions to the upper back of healthy vo</w:t>
      </w:r>
      <w:r w:rsidR="00660239">
        <w:t>lunteers. 19 healthy adults (5 male, 14 female</w:t>
      </w:r>
      <w:r w:rsidRPr="002C0FE2">
        <w:t>) with white skin,</w:t>
      </w:r>
      <w:r w:rsidR="00660239">
        <w:t xml:space="preserve"> aged 22 to </w:t>
      </w:r>
      <w:r w:rsidRPr="002C0FE2">
        <w:t xml:space="preserve">71 were enrolled and treated. Erythema was assessed using the same scale as in Study 19055 above. The mean CII across all subjects ranged from 0.049 to 0.151 for the 3 vehicles and 0.10 for white petrolatum. Worst erythema score was moderate for 1 subject </w:t>
      </w:r>
      <w:r w:rsidR="00D35533">
        <w:t>with each of the test products.</w:t>
      </w:r>
    </w:p>
    <w:p w14:paraId="6AD89EC8" w14:textId="77777777" w:rsidR="00660239" w:rsidRDefault="00660239" w:rsidP="00660239">
      <w:pPr>
        <w:pStyle w:val="Heading6"/>
      </w:pPr>
      <w:r>
        <w:t>Study RD.03.SRE.40023</w:t>
      </w:r>
    </w:p>
    <w:p w14:paraId="6AD89EC9" w14:textId="77777777" w:rsidR="002C0FE2" w:rsidRPr="002C0FE2" w:rsidRDefault="002C0FE2" w:rsidP="002C0FE2">
      <w:r w:rsidRPr="002C0FE2">
        <w:t>The aim of this study was to assess the potential of repeated applications of 4 concentrations of ivermectin cream (none of which was the product for which registration is so</w:t>
      </w:r>
      <w:r w:rsidR="00660239">
        <w:t>ught) or vehicle</w:t>
      </w:r>
      <w:r w:rsidRPr="002C0FE2">
        <w:t xml:space="preserve"> to induce irritation or sensitisation in the skin of healthy subjects. The study was conducted at a single location in France, Oct</w:t>
      </w:r>
      <w:r w:rsidR="00660239">
        <w:t>ober</w:t>
      </w:r>
      <w:r w:rsidR="00BE5FC8">
        <w:t xml:space="preserve"> to </w:t>
      </w:r>
      <w:r w:rsidRPr="002C0FE2">
        <w:t>Dec</w:t>
      </w:r>
      <w:r w:rsidR="00660239">
        <w:t>ember</w:t>
      </w:r>
      <w:r w:rsidRPr="002C0FE2">
        <w:t xml:space="preserve"> 2005. </w:t>
      </w:r>
      <w:r w:rsidR="00D75195">
        <w:t xml:space="preserve">Some </w:t>
      </w:r>
      <w:r w:rsidRPr="002C0FE2">
        <w:t>218 subjects were enrolled and treated.</w:t>
      </w:r>
    </w:p>
    <w:p w14:paraId="6AD89ECA" w14:textId="77777777" w:rsidR="002C0FE2" w:rsidRDefault="002C0FE2" w:rsidP="002C0FE2">
      <w:r w:rsidRPr="002C0FE2">
        <w:t xml:space="preserve">The mean CII across all subjects is tabulated below </w:t>
      </w:r>
      <w:r w:rsidR="00660239">
        <w:t xml:space="preserve">in Table </w:t>
      </w:r>
      <w:r w:rsidR="00D653C0">
        <w:t>12</w:t>
      </w:r>
      <w:r w:rsidR="00660239">
        <w:t xml:space="preserve"> </w:t>
      </w:r>
      <w:r w:rsidRPr="002C0FE2">
        <w:t xml:space="preserve">(all patients </w:t>
      </w:r>
      <w:r w:rsidR="00BE5FC8">
        <w:t xml:space="preserve">treated, less 4 who lacked post </w:t>
      </w:r>
      <w:r w:rsidRPr="002C0FE2">
        <w:t>baseline observations).</w:t>
      </w:r>
    </w:p>
    <w:p w14:paraId="6AD89ECB" w14:textId="77777777" w:rsidR="00660239" w:rsidRPr="002C0FE2" w:rsidRDefault="00660239" w:rsidP="00E56B07">
      <w:pPr>
        <w:pStyle w:val="TableTitle"/>
      </w:pPr>
      <w:proofErr w:type="gramStart"/>
      <w:r>
        <w:t xml:space="preserve">Table </w:t>
      </w:r>
      <w:r w:rsidR="00D653C0">
        <w:t>12</w:t>
      </w:r>
      <w:r>
        <w:t>.</w:t>
      </w:r>
      <w:proofErr w:type="gramEnd"/>
      <w:r>
        <w:t xml:space="preserve"> </w:t>
      </w:r>
      <w:r w:rsidR="00E56B07">
        <w:t xml:space="preserve">Study </w:t>
      </w:r>
      <w:r w:rsidR="00E56B07" w:rsidRPr="00E56B07">
        <w:t>RD.03.SRE.40023</w:t>
      </w:r>
      <w:r w:rsidR="00E56B07">
        <w:t xml:space="preserve">. Mean </w:t>
      </w:r>
      <w:r w:rsidR="00D75195">
        <w:t>CII</w:t>
      </w:r>
      <w:r w:rsidR="00E56B07">
        <w:t xml:space="preserve"> across all subjects.</w:t>
      </w:r>
    </w:p>
    <w:tbl>
      <w:tblPr>
        <w:tblStyle w:val="TableTGAblue"/>
        <w:tblW w:w="8424" w:type="dxa"/>
        <w:tblLayout w:type="fixed"/>
        <w:tblLook w:val="04A0" w:firstRow="1" w:lastRow="0" w:firstColumn="1" w:lastColumn="0" w:noHBand="0" w:noVBand="1"/>
        <w:tblDescription w:val="Table 12. Study RD.03.SRE.40023. Mean CII across all subjects."/>
      </w:tblPr>
      <w:tblGrid>
        <w:gridCol w:w="817"/>
        <w:gridCol w:w="1298"/>
        <w:gridCol w:w="1262"/>
        <w:gridCol w:w="1261"/>
        <w:gridCol w:w="1389"/>
        <w:gridCol w:w="1169"/>
        <w:gridCol w:w="1228"/>
      </w:tblGrid>
      <w:tr w:rsidR="002C0FE2" w:rsidRPr="00192F55" w14:paraId="6AD89ED9" w14:textId="77777777" w:rsidTr="00E56B07">
        <w:trPr>
          <w:cnfStyle w:val="100000000000" w:firstRow="1" w:lastRow="0" w:firstColumn="0" w:lastColumn="0" w:oddVBand="0" w:evenVBand="0" w:oddHBand="0" w:evenHBand="0" w:firstRowFirstColumn="0" w:firstRowLastColumn="0" w:lastRowFirstColumn="0" w:lastRowLastColumn="0"/>
          <w:trHeight w:val="1260"/>
        </w:trPr>
        <w:tc>
          <w:tcPr>
            <w:tcW w:w="817" w:type="dxa"/>
          </w:tcPr>
          <w:p w14:paraId="6AD89ECC" w14:textId="77777777" w:rsidR="002C0FE2" w:rsidRPr="00192F55" w:rsidRDefault="002C0FE2" w:rsidP="00192F55">
            <w:pPr>
              <w:ind w:left="0" w:right="0"/>
              <w:rPr>
                <w:sz w:val="18"/>
                <w:szCs w:val="18"/>
              </w:rPr>
            </w:pPr>
          </w:p>
        </w:tc>
        <w:tc>
          <w:tcPr>
            <w:tcW w:w="1298" w:type="dxa"/>
          </w:tcPr>
          <w:p w14:paraId="6AD89ECD" w14:textId="77777777" w:rsidR="002C0FE2" w:rsidRPr="00192F55" w:rsidRDefault="002C0FE2" w:rsidP="00192F55">
            <w:pPr>
              <w:ind w:left="0" w:right="0"/>
              <w:rPr>
                <w:sz w:val="18"/>
                <w:szCs w:val="18"/>
              </w:rPr>
            </w:pPr>
            <w:r w:rsidRPr="00192F55">
              <w:rPr>
                <w:sz w:val="18"/>
                <w:szCs w:val="18"/>
              </w:rPr>
              <w:t>1% cream</w:t>
            </w:r>
          </w:p>
          <w:p w14:paraId="6AD89ECE" w14:textId="77777777" w:rsidR="002C0FE2" w:rsidRPr="00192F55" w:rsidRDefault="002C0FE2" w:rsidP="00192F55">
            <w:pPr>
              <w:ind w:left="0" w:right="0"/>
              <w:rPr>
                <w:sz w:val="18"/>
                <w:szCs w:val="18"/>
              </w:rPr>
            </w:pPr>
            <w:r w:rsidRPr="00192F55">
              <w:rPr>
                <w:sz w:val="18"/>
                <w:szCs w:val="18"/>
              </w:rPr>
              <w:t>0575.0755</w:t>
            </w:r>
          </w:p>
        </w:tc>
        <w:tc>
          <w:tcPr>
            <w:tcW w:w="1262" w:type="dxa"/>
          </w:tcPr>
          <w:p w14:paraId="6AD89ECF" w14:textId="77777777" w:rsidR="002C0FE2" w:rsidRPr="00192F55" w:rsidRDefault="002C0FE2" w:rsidP="00192F55">
            <w:pPr>
              <w:ind w:left="0" w:right="0"/>
              <w:rPr>
                <w:sz w:val="18"/>
                <w:szCs w:val="18"/>
              </w:rPr>
            </w:pPr>
            <w:r w:rsidRPr="00192F55">
              <w:rPr>
                <w:sz w:val="18"/>
                <w:szCs w:val="18"/>
              </w:rPr>
              <w:t>0.3% cream</w:t>
            </w:r>
          </w:p>
          <w:p w14:paraId="6AD89ED0" w14:textId="77777777" w:rsidR="002C0FE2" w:rsidRPr="00192F55" w:rsidRDefault="002C0FE2" w:rsidP="00192F55">
            <w:pPr>
              <w:ind w:left="0" w:right="0"/>
              <w:rPr>
                <w:sz w:val="18"/>
                <w:szCs w:val="18"/>
              </w:rPr>
            </w:pPr>
            <w:r w:rsidRPr="00192F55">
              <w:rPr>
                <w:sz w:val="18"/>
                <w:szCs w:val="18"/>
              </w:rPr>
              <w:t>0575.0765</w:t>
            </w:r>
          </w:p>
        </w:tc>
        <w:tc>
          <w:tcPr>
            <w:tcW w:w="1261" w:type="dxa"/>
          </w:tcPr>
          <w:p w14:paraId="6AD89ED1" w14:textId="77777777" w:rsidR="002C0FE2" w:rsidRPr="00192F55" w:rsidRDefault="002C0FE2" w:rsidP="00192F55">
            <w:pPr>
              <w:ind w:left="0" w:right="0"/>
              <w:rPr>
                <w:sz w:val="18"/>
                <w:szCs w:val="18"/>
              </w:rPr>
            </w:pPr>
            <w:r w:rsidRPr="00192F55">
              <w:rPr>
                <w:sz w:val="18"/>
                <w:szCs w:val="18"/>
              </w:rPr>
              <w:t>0.1% cream</w:t>
            </w:r>
          </w:p>
          <w:p w14:paraId="6AD89ED2" w14:textId="77777777" w:rsidR="002C0FE2" w:rsidRPr="00192F55" w:rsidRDefault="002C0FE2" w:rsidP="00192F55">
            <w:pPr>
              <w:ind w:left="0" w:right="0"/>
              <w:rPr>
                <w:sz w:val="18"/>
                <w:szCs w:val="18"/>
              </w:rPr>
            </w:pPr>
            <w:r w:rsidRPr="00192F55">
              <w:rPr>
                <w:sz w:val="18"/>
                <w:szCs w:val="18"/>
              </w:rPr>
              <w:t>0575.0764</w:t>
            </w:r>
          </w:p>
        </w:tc>
        <w:tc>
          <w:tcPr>
            <w:tcW w:w="1389" w:type="dxa"/>
          </w:tcPr>
          <w:p w14:paraId="6AD89ED3" w14:textId="77777777" w:rsidR="002C0FE2" w:rsidRPr="00192F55" w:rsidRDefault="002C0FE2" w:rsidP="00192F55">
            <w:pPr>
              <w:ind w:left="0" w:right="0"/>
              <w:rPr>
                <w:sz w:val="18"/>
                <w:szCs w:val="18"/>
              </w:rPr>
            </w:pPr>
            <w:r w:rsidRPr="00192F55">
              <w:rPr>
                <w:sz w:val="18"/>
                <w:szCs w:val="18"/>
              </w:rPr>
              <w:t>0.03% cream</w:t>
            </w:r>
          </w:p>
          <w:p w14:paraId="6AD89ED4" w14:textId="77777777" w:rsidR="002C0FE2" w:rsidRPr="00192F55" w:rsidRDefault="002C0FE2" w:rsidP="00192F55">
            <w:pPr>
              <w:ind w:left="0" w:right="0"/>
              <w:rPr>
                <w:sz w:val="18"/>
                <w:szCs w:val="18"/>
              </w:rPr>
            </w:pPr>
            <w:r w:rsidRPr="00192F55">
              <w:rPr>
                <w:sz w:val="18"/>
                <w:szCs w:val="18"/>
              </w:rPr>
              <w:t>0575.0766</w:t>
            </w:r>
          </w:p>
        </w:tc>
        <w:tc>
          <w:tcPr>
            <w:tcW w:w="1169" w:type="dxa"/>
          </w:tcPr>
          <w:p w14:paraId="6AD89ED5" w14:textId="77777777" w:rsidR="002C0FE2" w:rsidRPr="00192F55" w:rsidRDefault="002C0FE2" w:rsidP="00192F55">
            <w:pPr>
              <w:ind w:left="0" w:right="0"/>
              <w:rPr>
                <w:sz w:val="18"/>
                <w:szCs w:val="18"/>
              </w:rPr>
            </w:pPr>
            <w:r w:rsidRPr="00192F55">
              <w:rPr>
                <w:sz w:val="18"/>
                <w:szCs w:val="18"/>
              </w:rPr>
              <w:t xml:space="preserve">White </w:t>
            </w:r>
          </w:p>
          <w:p w14:paraId="6AD89ED6" w14:textId="77777777" w:rsidR="002C0FE2" w:rsidRPr="00192F55" w:rsidRDefault="002C0FE2" w:rsidP="00192F55">
            <w:pPr>
              <w:ind w:left="0" w:right="0"/>
              <w:rPr>
                <w:sz w:val="18"/>
                <w:szCs w:val="18"/>
              </w:rPr>
            </w:pPr>
            <w:r w:rsidRPr="00192F55">
              <w:rPr>
                <w:sz w:val="18"/>
                <w:szCs w:val="18"/>
              </w:rPr>
              <w:t>petrolatum</w:t>
            </w:r>
          </w:p>
        </w:tc>
        <w:tc>
          <w:tcPr>
            <w:tcW w:w="1228" w:type="dxa"/>
          </w:tcPr>
          <w:p w14:paraId="6AD89ED7" w14:textId="77777777" w:rsidR="00E56B07" w:rsidRPr="00192F55" w:rsidRDefault="00E56B07" w:rsidP="00192F55">
            <w:pPr>
              <w:ind w:left="0" w:right="0"/>
              <w:rPr>
                <w:sz w:val="18"/>
                <w:szCs w:val="18"/>
              </w:rPr>
            </w:pPr>
            <w:r w:rsidRPr="00192F55">
              <w:rPr>
                <w:sz w:val="18"/>
                <w:szCs w:val="18"/>
              </w:rPr>
              <w:t>Vehicle</w:t>
            </w:r>
          </w:p>
          <w:p w14:paraId="6AD89ED8" w14:textId="77777777" w:rsidR="002C0FE2" w:rsidRPr="00192F55" w:rsidRDefault="002C0FE2" w:rsidP="00192F55">
            <w:pPr>
              <w:ind w:left="0" w:right="0"/>
              <w:rPr>
                <w:sz w:val="18"/>
                <w:szCs w:val="18"/>
              </w:rPr>
            </w:pPr>
            <w:r w:rsidRPr="00192F55">
              <w:rPr>
                <w:sz w:val="18"/>
                <w:szCs w:val="18"/>
              </w:rPr>
              <w:t>0575.0755P</w:t>
            </w:r>
          </w:p>
        </w:tc>
      </w:tr>
      <w:tr w:rsidR="002C0FE2" w:rsidRPr="00192F55" w14:paraId="6AD89EE1" w14:textId="77777777" w:rsidTr="00E56B07">
        <w:trPr>
          <w:trHeight w:val="464"/>
        </w:trPr>
        <w:tc>
          <w:tcPr>
            <w:tcW w:w="817" w:type="dxa"/>
          </w:tcPr>
          <w:p w14:paraId="6AD89EDA" w14:textId="77777777" w:rsidR="002C0FE2" w:rsidRPr="00192F55" w:rsidRDefault="002C0FE2" w:rsidP="00192F55">
            <w:pPr>
              <w:ind w:left="0" w:right="0"/>
              <w:rPr>
                <w:sz w:val="18"/>
                <w:szCs w:val="18"/>
              </w:rPr>
            </w:pPr>
            <w:r w:rsidRPr="00192F55">
              <w:rPr>
                <w:sz w:val="18"/>
                <w:szCs w:val="18"/>
              </w:rPr>
              <w:t>N</w:t>
            </w:r>
          </w:p>
        </w:tc>
        <w:tc>
          <w:tcPr>
            <w:tcW w:w="1298" w:type="dxa"/>
          </w:tcPr>
          <w:p w14:paraId="6AD89EDB" w14:textId="77777777" w:rsidR="002C0FE2" w:rsidRPr="00192F55" w:rsidRDefault="002C0FE2" w:rsidP="00192F55">
            <w:pPr>
              <w:ind w:left="0" w:right="0"/>
              <w:rPr>
                <w:sz w:val="18"/>
                <w:szCs w:val="18"/>
              </w:rPr>
            </w:pPr>
            <w:r w:rsidRPr="00192F55">
              <w:rPr>
                <w:sz w:val="18"/>
                <w:szCs w:val="18"/>
              </w:rPr>
              <w:t>214</w:t>
            </w:r>
          </w:p>
        </w:tc>
        <w:tc>
          <w:tcPr>
            <w:tcW w:w="1262" w:type="dxa"/>
          </w:tcPr>
          <w:p w14:paraId="6AD89EDC" w14:textId="77777777" w:rsidR="002C0FE2" w:rsidRPr="00192F55" w:rsidRDefault="002C0FE2" w:rsidP="00192F55">
            <w:pPr>
              <w:ind w:left="0" w:right="0"/>
              <w:rPr>
                <w:sz w:val="18"/>
                <w:szCs w:val="18"/>
              </w:rPr>
            </w:pPr>
            <w:r w:rsidRPr="00192F55">
              <w:rPr>
                <w:sz w:val="18"/>
                <w:szCs w:val="18"/>
              </w:rPr>
              <w:t>214</w:t>
            </w:r>
          </w:p>
        </w:tc>
        <w:tc>
          <w:tcPr>
            <w:tcW w:w="1261" w:type="dxa"/>
          </w:tcPr>
          <w:p w14:paraId="6AD89EDD" w14:textId="77777777" w:rsidR="002C0FE2" w:rsidRPr="00192F55" w:rsidRDefault="002C0FE2" w:rsidP="00192F55">
            <w:pPr>
              <w:ind w:left="0" w:right="0"/>
              <w:rPr>
                <w:sz w:val="18"/>
                <w:szCs w:val="18"/>
              </w:rPr>
            </w:pPr>
            <w:r w:rsidRPr="00192F55">
              <w:rPr>
                <w:sz w:val="18"/>
                <w:szCs w:val="18"/>
              </w:rPr>
              <w:t>214</w:t>
            </w:r>
          </w:p>
        </w:tc>
        <w:tc>
          <w:tcPr>
            <w:tcW w:w="1389" w:type="dxa"/>
          </w:tcPr>
          <w:p w14:paraId="6AD89EDE" w14:textId="77777777" w:rsidR="002C0FE2" w:rsidRPr="00192F55" w:rsidRDefault="002C0FE2" w:rsidP="00192F55">
            <w:pPr>
              <w:ind w:left="0" w:right="0"/>
              <w:rPr>
                <w:sz w:val="18"/>
                <w:szCs w:val="18"/>
              </w:rPr>
            </w:pPr>
            <w:r w:rsidRPr="00192F55">
              <w:rPr>
                <w:sz w:val="18"/>
                <w:szCs w:val="18"/>
              </w:rPr>
              <w:t>214</w:t>
            </w:r>
          </w:p>
        </w:tc>
        <w:tc>
          <w:tcPr>
            <w:tcW w:w="1169" w:type="dxa"/>
          </w:tcPr>
          <w:p w14:paraId="6AD89EDF" w14:textId="77777777" w:rsidR="002C0FE2" w:rsidRPr="00192F55" w:rsidRDefault="002C0FE2" w:rsidP="00192F55">
            <w:pPr>
              <w:ind w:left="0" w:right="0"/>
              <w:rPr>
                <w:sz w:val="18"/>
                <w:szCs w:val="18"/>
              </w:rPr>
            </w:pPr>
            <w:r w:rsidRPr="00192F55">
              <w:rPr>
                <w:sz w:val="18"/>
                <w:szCs w:val="18"/>
              </w:rPr>
              <w:t>214</w:t>
            </w:r>
          </w:p>
        </w:tc>
        <w:tc>
          <w:tcPr>
            <w:tcW w:w="1228" w:type="dxa"/>
          </w:tcPr>
          <w:p w14:paraId="6AD89EE0" w14:textId="77777777" w:rsidR="002C0FE2" w:rsidRPr="00192F55" w:rsidRDefault="002C0FE2" w:rsidP="00192F55">
            <w:pPr>
              <w:ind w:left="0" w:right="0"/>
              <w:rPr>
                <w:sz w:val="18"/>
                <w:szCs w:val="18"/>
              </w:rPr>
            </w:pPr>
            <w:r w:rsidRPr="00192F55">
              <w:rPr>
                <w:sz w:val="18"/>
                <w:szCs w:val="18"/>
              </w:rPr>
              <w:t>214</w:t>
            </w:r>
          </w:p>
        </w:tc>
      </w:tr>
      <w:tr w:rsidR="002C0FE2" w:rsidRPr="00192F55" w14:paraId="6AD89EE9" w14:textId="77777777" w:rsidTr="00E56B07">
        <w:trPr>
          <w:trHeight w:val="929"/>
        </w:trPr>
        <w:tc>
          <w:tcPr>
            <w:tcW w:w="817" w:type="dxa"/>
          </w:tcPr>
          <w:p w14:paraId="6AD89EE2" w14:textId="77777777" w:rsidR="002C0FE2" w:rsidRPr="00192F55" w:rsidRDefault="002C0FE2" w:rsidP="00192F55">
            <w:pPr>
              <w:ind w:left="0" w:right="0"/>
              <w:rPr>
                <w:sz w:val="18"/>
                <w:szCs w:val="18"/>
              </w:rPr>
            </w:pPr>
            <w:r w:rsidRPr="00192F55">
              <w:rPr>
                <w:sz w:val="18"/>
                <w:szCs w:val="18"/>
              </w:rPr>
              <w:t>Mean CII (SD)</w:t>
            </w:r>
          </w:p>
        </w:tc>
        <w:tc>
          <w:tcPr>
            <w:tcW w:w="1298" w:type="dxa"/>
          </w:tcPr>
          <w:p w14:paraId="6AD89EE3" w14:textId="77777777" w:rsidR="002C0FE2" w:rsidRPr="00192F55" w:rsidRDefault="002C0FE2" w:rsidP="00192F55">
            <w:pPr>
              <w:ind w:left="0" w:right="0"/>
              <w:rPr>
                <w:sz w:val="18"/>
                <w:szCs w:val="18"/>
              </w:rPr>
            </w:pPr>
            <w:r w:rsidRPr="00192F55">
              <w:rPr>
                <w:sz w:val="18"/>
                <w:szCs w:val="18"/>
              </w:rPr>
              <w:t>0.12 (0.19)</w:t>
            </w:r>
          </w:p>
        </w:tc>
        <w:tc>
          <w:tcPr>
            <w:tcW w:w="1262" w:type="dxa"/>
          </w:tcPr>
          <w:p w14:paraId="6AD89EE4" w14:textId="77777777" w:rsidR="002C0FE2" w:rsidRPr="00192F55" w:rsidRDefault="002C0FE2" w:rsidP="00192F55">
            <w:pPr>
              <w:ind w:left="0" w:right="0"/>
              <w:rPr>
                <w:sz w:val="18"/>
                <w:szCs w:val="18"/>
              </w:rPr>
            </w:pPr>
            <w:r w:rsidRPr="00192F55">
              <w:rPr>
                <w:sz w:val="18"/>
                <w:szCs w:val="18"/>
              </w:rPr>
              <w:t>0.11 (0.19)</w:t>
            </w:r>
          </w:p>
        </w:tc>
        <w:tc>
          <w:tcPr>
            <w:tcW w:w="1261" w:type="dxa"/>
          </w:tcPr>
          <w:p w14:paraId="6AD89EE5" w14:textId="77777777" w:rsidR="002C0FE2" w:rsidRPr="00192F55" w:rsidRDefault="002C0FE2" w:rsidP="00192F55">
            <w:pPr>
              <w:ind w:left="0" w:right="0"/>
              <w:rPr>
                <w:sz w:val="18"/>
                <w:szCs w:val="18"/>
              </w:rPr>
            </w:pPr>
            <w:r w:rsidRPr="00192F55">
              <w:rPr>
                <w:sz w:val="18"/>
                <w:szCs w:val="18"/>
              </w:rPr>
              <w:t>0.13 (0.21)</w:t>
            </w:r>
          </w:p>
        </w:tc>
        <w:tc>
          <w:tcPr>
            <w:tcW w:w="1389" w:type="dxa"/>
          </w:tcPr>
          <w:p w14:paraId="6AD89EE6" w14:textId="77777777" w:rsidR="002C0FE2" w:rsidRPr="00192F55" w:rsidRDefault="002C0FE2" w:rsidP="00192F55">
            <w:pPr>
              <w:ind w:left="0" w:right="0"/>
              <w:rPr>
                <w:sz w:val="18"/>
                <w:szCs w:val="18"/>
              </w:rPr>
            </w:pPr>
            <w:r w:rsidRPr="00192F55">
              <w:rPr>
                <w:sz w:val="18"/>
                <w:szCs w:val="18"/>
              </w:rPr>
              <w:t>0.12 (0.21)</w:t>
            </w:r>
          </w:p>
        </w:tc>
        <w:tc>
          <w:tcPr>
            <w:tcW w:w="1169" w:type="dxa"/>
          </w:tcPr>
          <w:p w14:paraId="6AD89EE7" w14:textId="77777777" w:rsidR="002C0FE2" w:rsidRPr="00192F55" w:rsidRDefault="002C0FE2" w:rsidP="00192F55">
            <w:pPr>
              <w:ind w:left="0" w:right="0"/>
              <w:rPr>
                <w:sz w:val="18"/>
                <w:szCs w:val="18"/>
              </w:rPr>
            </w:pPr>
            <w:r w:rsidRPr="00192F55">
              <w:rPr>
                <w:sz w:val="18"/>
                <w:szCs w:val="18"/>
              </w:rPr>
              <w:t>0.14 (0.21)</w:t>
            </w:r>
          </w:p>
        </w:tc>
        <w:tc>
          <w:tcPr>
            <w:tcW w:w="1228" w:type="dxa"/>
          </w:tcPr>
          <w:p w14:paraId="6AD89EE8" w14:textId="77777777" w:rsidR="002C0FE2" w:rsidRPr="00192F55" w:rsidRDefault="002C0FE2" w:rsidP="00192F55">
            <w:pPr>
              <w:ind w:left="0" w:right="0"/>
              <w:rPr>
                <w:sz w:val="18"/>
                <w:szCs w:val="18"/>
              </w:rPr>
            </w:pPr>
            <w:r w:rsidRPr="00192F55">
              <w:rPr>
                <w:sz w:val="18"/>
                <w:szCs w:val="18"/>
              </w:rPr>
              <w:t>0.12 (0.19)</w:t>
            </w:r>
          </w:p>
        </w:tc>
      </w:tr>
    </w:tbl>
    <w:p w14:paraId="6AD89EEA" w14:textId="77777777" w:rsidR="002C0FE2" w:rsidRPr="002C0FE2" w:rsidRDefault="002C0FE2" w:rsidP="002C0FE2">
      <w:r w:rsidRPr="002C0FE2">
        <w:t>During challenge phase there was no evidence of sensitisati</w:t>
      </w:r>
      <w:r w:rsidR="00D35533">
        <w:t>on.</w:t>
      </w:r>
    </w:p>
    <w:p w14:paraId="6AD89EEB" w14:textId="77777777" w:rsidR="00E56B07" w:rsidRDefault="00E56B07" w:rsidP="00E56B07">
      <w:pPr>
        <w:pStyle w:val="Heading6"/>
      </w:pPr>
      <w:r>
        <w:t>Study RD.06.SRE.18120</w:t>
      </w:r>
    </w:p>
    <w:p w14:paraId="6AD89EEC" w14:textId="77777777" w:rsidR="002C0FE2" w:rsidRPr="002C0FE2" w:rsidRDefault="002C0FE2" w:rsidP="002C0FE2">
      <w:r w:rsidRPr="002C0FE2">
        <w:t>The primary objective was to evaluate the effect of a single orally administered dose of ivermectin on ventricular repolarisation in healthy adult subjects. The study was conducted at a single</w:t>
      </w:r>
      <w:r w:rsidR="00E56B07">
        <w:t xml:space="preserve"> location in USA, 12 September to</w:t>
      </w:r>
      <w:r w:rsidRPr="002C0FE2">
        <w:t xml:space="preserve"> 3 November 2008.</w:t>
      </w:r>
    </w:p>
    <w:p w14:paraId="6AD89EED" w14:textId="77777777" w:rsidR="002C0FE2" w:rsidRDefault="002C0FE2" w:rsidP="002C0FE2">
      <w:r w:rsidRPr="002C0FE2">
        <w:t xml:space="preserve">Subjects were randomised to 1 of 3 arms, and treated with one of the following using a </w:t>
      </w:r>
      <w:r w:rsidR="008719BD">
        <w:t xml:space="preserve">double dummy technique: </w:t>
      </w:r>
      <w:proofErr w:type="spellStart"/>
      <w:r w:rsidR="008719BD">
        <w:t>ivermectin</w:t>
      </w:r>
      <w:proofErr w:type="spellEnd"/>
      <w:r w:rsidR="008719BD">
        <w:t xml:space="preserve"> 6 mg, </w:t>
      </w:r>
      <w:proofErr w:type="spellStart"/>
      <w:r w:rsidR="008719BD">
        <w:t>moxifloxacin</w:t>
      </w:r>
      <w:proofErr w:type="spellEnd"/>
      <w:r w:rsidR="008719BD">
        <w:t xml:space="preserve"> 400 mg</w:t>
      </w:r>
      <w:r w:rsidRPr="002C0FE2">
        <w:t xml:space="preserve"> or placebo. Treatment was administered in the fasting state on Day 1. </w:t>
      </w:r>
      <w:r w:rsidR="00D75195" w:rsidRPr="00D75195">
        <w:t>Electrocardiogram</w:t>
      </w:r>
      <w:r w:rsidR="00D75195">
        <w:t>s</w:t>
      </w:r>
      <w:r w:rsidR="00D75195" w:rsidRPr="00D75195">
        <w:t xml:space="preserve"> </w:t>
      </w:r>
      <w:r w:rsidR="00D75195">
        <w:t>(</w:t>
      </w:r>
      <w:r w:rsidRPr="002C0FE2">
        <w:t>ECGs</w:t>
      </w:r>
      <w:r w:rsidR="00D75195">
        <w:t>)</w:t>
      </w:r>
      <w:r w:rsidRPr="002C0FE2">
        <w:t xml:space="preserve"> were extracte</w:t>
      </w:r>
      <w:r w:rsidR="008719BD">
        <w:t xml:space="preserve">d from Holter recordings at pre </w:t>
      </w:r>
      <w:r w:rsidRPr="002C0FE2">
        <w:t>mornin</w:t>
      </w:r>
      <w:r w:rsidR="008719BD">
        <w:t xml:space="preserve">g dose through to 23 hours post </w:t>
      </w:r>
      <w:r w:rsidRPr="002C0FE2">
        <w:t xml:space="preserve">dose. </w:t>
      </w:r>
      <w:r w:rsidR="008719BD">
        <w:t xml:space="preserve">Some </w:t>
      </w:r>
      <w:r w:rsidRPr="002C0FE2">
        <w:t>166 were randomised and treated. R</w:t>
      </w:r>
      <w:r w:rsidR="008719BD">
        <w:t>esults for ivermectin are shown i</w:t>
      </w:r>
      <w:r w:rsidRPr="002C0FE2">
        <w:t>n Fig</w:t>
      </w:r>
      <w:r w:rsidR="008719BD">
        <w:t xml:space="preserve">ure </w:t>
      </w:r>
      <w:r w:rsidR="003F5469">
        <w:t>2</w:t>
      </w:r>
      <w:r w:rsidR="008719BD">
        <w:t xml:space="preserve">. No change in </w:t>
      </w:r>
      <w:r w:rsidR="00650101">
        <w:t>c</w:t>
      </w:r>
      <w:r w:rsidR="00F8356E" w:rsidRPr="00F8356E">
        <w:t>orr</w:t>
      </w:r>
      <w:r w:rsidR="00F8356E">
        <w:t xml:space="preserve">ected Q </w:t>
      </w:r>
      <w:r w:rsidR="00F8356E" w:rsidRPr="00F8356E">
        <w:t xml:space="preserve">T interval </w:t>
      </w:r>
      <w:proofErr w:type="spellStart"/>
      <w:r w:rsidR="00F8356E" w:rsidRPr="00F8356E">
        <w:t>Fridericia</w:t>
      </w:r>
      <w:proofErr w:type="spellEnd"/>
      <w:r w:rsidR="00F8356E" w:rsidRPr="00F8356E">
        <w:t xml:space="preserve"> </w:t>
      </w:r>
      <w:r w:rsidR="00F8356E">
        <w:t>(</w:t>
      </w:r>
      <w:proofErr w:type="spellStart"/>
      <w:r w:rsidR="008719BD">
        <w:t>QTcF</w:t>
      </w:r>
      <w:proofErr w:type="spellEnd"/>
      <w:r w:rsidR="00F8356E">
        <w:t>)</w:t>
      </w:r>
      <w:r w:rsidR="008719BD">
        <w:t xml:space="preserve"> </w:t>
      </w:r>
      <w:r w:rsidRPr="002C0FE2">
        <w:t xml:space="preserve">from baseline was seen for ivermectin in contrast to the positive control </w:t>
      </w:r>
      <w:proofErr w:type="spellStart"/>
      <w:r w:rsidRPr="002C0FE2">
        <w:t>moxifloxacin</w:t>
      </w:r>
      <w:proofErr w:type="spellEnd"/>
      <w:r w:rsidRPr="002C0FE2">
        <w:t>.</w:t>
      </w:r>
    </w:p>
    <w:p w14:paraId="6AD89EEE" w14:textId="77777777" w:rsidR="008719BD" w:rsidRDefault="008719BD" w:rsidP="008719BD">
      <w:pPr>
        <w:pStyle w:val="FigureTitle"/>
      </w:pPr>
      <w:proofErr w:type="gramStart"/>
      <w:r>
        <w:lastRenderedPageBreak/>
        <w:t xml:space="preserve">Figure </w:t>
      </w:r>
      <w:r w:rsidR="003F5469">
        <w:t>2</w:t>
      </w:r>
      <w:r>
        <w:t>.</w:t>
      </w:r>
      <w:proofErr w:type="gramEnd"/>
      <w:r>
        <w:t xml:space="preserve"> </w:t>
      </w:r>
      <w:r w:rsidRPr="00187AD4">
        <w:t xml:space="preserve">Study RD.06.SRE.18120: </w:t>
      </w:r>
      <w:r w:rsidR="00BE5FC8">
        <w:t>Ivermectin</w:t>
      </w:r>
      <w:r w:rsidR="00BE5FC8" w:rsidRPr="00187AD4">
        <w:t>: Mean</w:t>
      </w:r>
      <w:r w:rsidRPr="00187AD4">
        <w:t xml:space="preserve"> difference from placebo in time matched change in </w:t>
      </w:r>
      <w:proofErr w:type="spellStart"/>
      <w:r w:rsidRPr="00187AD4">
        <w:t>QTcF</w:t>
      </w:r>
      <w:proofErr w:type="spellEnd"/>
      <w:r>
        <w:t>.</w:t>
      </w:r>
    </w:p>
    <w:p w14:paraId="6AD89EEF" w14:textId="77777777" w:rsidR="008719BD" w:rsidRDefault="008719BD" w:rsidP="008719BD">
      <w:pPr>
        <w:pStyle w:val="FigureTitle"/>
      </w:pPr>
      <w:r>
        <w:rPr>
          <w:noProof/>
          <w:lang w:eastAsia="en-AU"/>
        </w:rPr>
        <w:drawing>
          <wp:inline distT="0" distB="0" distL="0" distR="0" wp14:anchorId="6AD89F88" wp14:editId="6AD89F89">
            <wp:extent cx="5179161" cy="3723580"/>
            <wp:effectExtent l="0" t="0" r="2540" b="0"/>
            <wp:docPr id="2" name="Picture 2" descr="Figure 2. Study RD.06.SRE.18120: Ivermectin: Mean difference from placebo in time matched change in QT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186276" cy="3728695"/>
                    </a:xfrm>
                    <a:prstGeom prst="rect">
                      <a:avLst/>
                    </a:prstGeom>
                  </pic:spPr>
                </pic:pic>
              </a:graphicData>
            </a:graphic>
          </wp:inline>
        </w:drawing>
      </w:r>
    </w:p>
    <w:p w14:paraId="6AD89EF0" w14:textId="77777777" w:rsidR="008719BD" w:rsidRDefault="008719BD" w:rsidP="008719BD">
      <w:pPr>
        <w:pStyle w:val="Heading6"/>
      </w:pPr>
      <w:r>
        <w:t>Study RD.03.SRE.40051</w:t>
      </w:r>
    </w:p>
    <w:p w14:paraId="6AD89EF1" w14:textId="77777777" w:rsidR="002C0FE2" w:rsidRPr="002C0FE2" w:rsidRDefault="002C0FE2" w:rsidP="002C0FE2">
      <w:r w:rsidRPr="002C0FE2">
        <w:t xml:space="preserve">The primary objective as originally planned was to document the </w:t>
      </w:r>
      <w:r w:rsidR="008719BD">
        <w:t>long term</w:t>
      </w:r>
      <w:r w:rsidRPr="002C0FE2">
        <w:t xml:space="preserve"> safety of ivermectin 1% cream once daily, for up to 52 weeks of topical treatment in subjects with PPR</w:t>
      </w:r>
      <w:r w:rsidR="00902337">
        <w:t xml:space="preserve">. </w:t>
      </w:r>
      <w:r w:rsidRPr="002C0FE2">
        <w:t>The study commenced on 27 August 2008, and was halted on 16 January 2009 when all study subjects were required to stop treatment immediately, and w</w:t>
      </w:r>
      <w:r w:rsidR="008719BD">
        <w:t xml:space="preserve">ere asked to participate in a 1 </w:t>
      </w:r>
      <w:r w:rsidRPr="002C0FE2">
        <w:t>month safety follow-up. This followed adverse laboratory findings: at Week 10 of treatment, the neutrophil cell count had decreased in 3 subjects below the threshold value of 1.5</w:t>
      </w:r>
      <w:r w:rsidR="008719BD">
        <w:t xml:space="preserve"> </w:t>
      </w:r>
      <w:r w:rsidRPr="002C0FE2">
        <w:t>x</w:t>
      </w:r>
      <w:r w:rsidR="008719BD">
        <w:t xml:space="preserve"> </w:t>
      </w:r>
      <w:r w:rsidR="008719BD" w:rsidRPr="002C0FE2">
        <w:t>10</w:t>
      </w:r>
      <w:r w:rsidR="008719BD" w:rsidRPr="008719BD">
        <w:rPr>
          <w:vertAlign w:val="superscript"/>
        </w:rPr>
        <w:t>9</w:t>
      </w:r>
      <w:r w:rsidRPr="002C0FE2">
        <w:t xml:space="preserve">/L defining a neutropenia. </w:t>
      </w:r>
      <w:r w:rsidR="008719BD">
        <w:t xml:space="preserve">Some </w:t>
      </w:r>
      <w:r w:rsidRPr="002C0FE2">
        <w:t>484 subjects were enrolled and treated (151</w:t>
      </w:r>
      <w:r w:rsidR="008719BD">
        <w:t xml:space="preserve"> male</w:t>
      </w:r>
      <w:r w:rsidRPr="002C0FE2">
        <w:t>, 333</w:t>
      </w:r>
      <w:r w:rsidR="008719BD">
        <w:t xml:space="preserve"> female</w:t>
      </w:r>
      <w:r w:rsidRPr="002C0FE2">
        <w:t>); mean age 50.8 (</w:t>
      </w:r>
      <w:r w:rsidR="00F8356E">
        <w:t>s</w:t>
      </w:r>
      <w:r w:rsidR="00F8356E" w:rsidRPr="00F8356E">
        <w:t xml:space="preserve">tandard deviation </w:t>
      </w:r>
      <w:r w:rsidR="00F8356E">
        <w:t>(SD)</w:t>
      </w:r>
      <w:r w:rsidRPr="002C0FE2">
        <w:t xml:space="preserve"> 12); 399 with IGA score 3, 85 with IGA score 4; mean inflammatory lesion count 31.9 (</w:t>
      </w:r>
      <w:r w:rsidR="00F8356E">
        <w:t>SD</w:t>
      </w:r>
      <w:r w:rsidRPr="002C0FE2">
        <w:t xml:space="preserve"> 12). The duration of study treatm</w:t>
      </w:r>
      <w:r w:rsidR="00D35533">
        <w:t>ent ranged from 4 to 196 days.</w:t>
      </w:r>
    </w:p>
    <w:p w14:paraId="6AD89EF2" w14:textId="77777777" w:rsidR="008719BD" w:rsidRDefault="008719BD" w:rsidP="008719BD">
      <w:pPr>
        <w:pStyle w:val="Heading6"/>
      </w:pPr>
      <w:r>
        <w:t>Study RD.03.SRE.40106</w:t>
      </w:r>
    </w:p>
    <w:p w14:paraId="6AD89EF3" w14:textId="77777777" w:rsidR="002C0FE2" w:rsidRPr="002C0FE2" w:rsidRDefault="002C0FE2" w:rsidP="002C0FE2">
      <w:r w:rsidRPr="002C0FE2">
        <w:t>The primary rationale for this study was to investigate whether the product proposed for registration may be causally associated with neutropenia. Thus, blood samples were drawn freque</w:t>
      </w:r>
      <w:r w:rsidR="00D35533">
        <w:t>ntly for laboratory assessment.</w:t>
      </w:r>
      <w:r w:rsidR="008719BD">
        <w:t xml:space="preserve"> </w:t>
      </w:r>
      <w:r w:rsidRPr="002C0FE2">
        <w:t xml:space="preserve">Percent changes from Baseline in </w:t>
      </w:r>
      <w:r w:rsidR="003F525A" w:rsidRPr="003F525A">
        <w:t>Neutrophil cell count</w:t>
      </w:r>
      <w:r w:rsidR="003F525A">
        <w:t xml:space="preserve">s </w:t>
      </w:r>
      <w:r w:rsidR="003F525A" w:rsidRPr="003F525A">
        <w:t>(</w:t>
      </w:r>
      <w:r w:rsidRPr="003F525A">
        <w:t>NCCs</w:t>
      </w:r>
      <w:r w:rsidR="003F525A" w:rsidRPr="003F525A">
        <w:t xml:space="preserve">) were </w:t>
      </w:r>
      <w:r w:rsidR="003F525A">
        <w:t xml:space="preserve">compared at each post </w:t>
      </w:r>
      <w:r w:rsidRPr="002C0FE2">
        <w:t>Baseline visit between ivermectin cream and its vehicle, and also for the lowest value observed after Baseline (retests and unscheduled visits included). At each ti</w:t>
      </w:r>
      <w:r w:rsidR="003F525A">
        <w:t xml:space="preserve">me point, no meaningful between </w:t>
      </w:r>
      <w:r w:rsidRPr="002C0FE2">
        <w:t>g</w:t>
      </w:r>
      <w:r w:rsidR="00D35533">
        <w:t>roup differences were observed.</w:t>
      </w:r>
    </w:p>
    <w:p w14:paraId="6AD89EF4" w14:textId="77777777" w:rsidR="002C0FE2" w:rsidRPr="002C0FE2" w:rsidRDefault="002C0FE2" w:rsidP="002C0FE2">
      <w:r w:rsidRPr="002C0FE2">
        <w:t>Overall, there were 5 subjects reported with neutrophil counts below 1.5 x</w:t>
      </w:r>
      <w:r w:rsidR="008719BD" w:rsidRPr="002C0FE2">
        <w:t>10</w:t>
      </w:r>
      <w:r w:rsidR="008719BD" w:rsidRPr="008719BD">
        <w:rPr>
          <w:vertAlign w:val="superscript"/>
        </w:rPr>
        <w:t>9</w:t>
      </w:r>
      <w:r w:rsidRPr="002C0FE2">
        <w:t>/L, 4 (3.9%) in the ivermectin group and 1 (0.9%) in the vehicle group. One of these subjects in the active treatment group also had a neutrophil count below 1.5 x</w:t>
      </w:r>
      <w:r w:rsidR="008719BD" w:rsidRPr="002C0FE2">
        <w:t>10</w:t>
      </w:r>
      <w:r w:rsidR="008719BD" w:rsidRPr="008719BD">
        <w:rPr>
          <w:vertAlign w:val="superscript"/>
        </w:rPr>
        <w:t>9</w:t>
      </w:r>
      <w:r w:rsidRPr="002C0FE2">
        <w:t>/L at Baseline before treatment; a retest performed two days later (after one application of study drug) also produced a low neutrophil count and this subject discontinued study participation. Subsequent neutr</w:t>
      </w:r>
      <w:r w:rsidR="003F525A">
        <w:t xml:space="preserve">ophil counts obtained at two re </w:t>
      </w:r>
      <w:r w:rsidRPr="002C0FE2">
        <w:t>tests were all within the normal range. Therefore, four</w:t>
      </w:r>
      <w:r w:rsidR="003F525A">
        <w:t xml:space="preserve"> subjects had single treatment </w:t>
      </w:r>
      <w:r w:rsidRPr="002C0FE2">
        <w:t>emerg</w:t>
      </w:r>
      <w:r w:rsidR="003F525A">
        <w:t>ent neutrophil counts below 1.5 </w:t>
      </w:r>
      <w:r w:rsidRPr="002C0FE2">
        <w:t>x</w:t>
      </w:r>
      <w:r w:rsidR="003F525A">
        <w:t> </w:t>
      </w:r>
      <w:r w:rsidR="008719BD" w:rsidRPr="002C0FE2">
        <w:t>10</w:t>
      </w:r>
      <w:r w:rsidR="008719BD" w:rsidRPr="008719BD">
        <w:rPr>
          <w:vertAlign w:val="superscript"/>
        </w:rPr>
        <w:t>9</w:t>
      </w:r>
      <w:r w:rsidRPr="002C0FE2">
        <w:t xml:space="preserve">/L. Among the 4 </w:t>
      </w:r>
      <w:r w:rsidR="00BD1775">
        <w:t>‘</w:t>
      </w:r>
      <w:r w:rsidRPr="002C0FE2">
        <w:t>treatment emergent</w:t>
      </w:r>
      <w:r w:rsidR="00BD1775">
        <w:t>’</w:t>
      </w:r>
      <w:r w:rsidRPr="002C0FE2">
        <w:t xml:space="preserve"> cases</w:t>
      </w:r>
      <w:r w:rsidR="003F525A">
        <w:t xml:space="preserve"> of neutrophil counts below </w:t>
      </w:r>
      <w:r w:rsidR="003F525A">
        <w:lastRenderedPageBreak/>
        <w:t>1.5 </w:t>
      </w:r>
      <w:r w:rsidRPr="002C0FE2">
        <w:t>x</w:t>
      </w:r>
      <w:r w:rsidR="003F525A">
        <w:t> </w:t>
      </w:r>
      <w:r w:rsidR="008719BD" w:rsidRPr="002C0FE2">
        <w:t>10</w:t>
      </w:r>
      <w:r w:rsidR="008719BD" w:rsidRPr="008719BD">
        <w:rPr>
          <w:vertAlign w:val="superscript"/>
        </w:rPr>
        <w:t>9</w:t>
      </w:r>
      <w:r w:rsidRPr="002C0FE2">
        <w:t>/L, the neutrophil count had normalised under treatment for 3 cases and after a temporary discontinuation of th</w:t>
      </w:r>
      <w:r w:rsidR="00D35533">
        <w:t>e treatment in the other case.</w:t>
      </w:r>
    </w:p>
    <w:p w14:paraId="6AD89EF5" w14:textId="77777777" w:rsidR="002C0FE2" w:rsidRPr="002C0FE2" w:rsidRDefault="003F525A" w:rsidP="002C0FE2">
      <w:r>
        <w:t>The sponsor’s clinical o</w:t>
      </w:r>
      <w:r w:rsidR="002C0FE2" w:rsidRPr="002C0FE2">
        <w:t xml:space="preserve">verview states: </w:t>
      </w:r>
      <w:r w:rsidR="00BD1775">
        <w:t>‘</w:t>
      </w:r>
      <w:r w:rsidR="002C0FE2" w:rsidRPr="003F525A">
        <w:rPr>
          <w:i/>
        </w:rPr>
        <w:t>Throughout the whole clinical program, values of NCC &lt;</w:t>
      </w:r>
      <w:r w:rsidRPr="003F525A">
        <w:rPr>
          <w:i/>
        </w:rPr>
        <w:t xml:space="preserve"> </w:t>
      </w:r>
      <w:r w:rsidR="002C0FE2" w:rsidRPr="003F525A">
        <w:rPr>
          <w:i/>
        </w:rPr>
        <w:t>1.5 G/L, whether considered clinically significant or not, were reported for 27 of 2</w:t>
      </w:r>
      <w:r w:rsidRPr="003F525A">
        <w:rPr>
          <w:i/>
        </w:rPr>
        <w:t>,</w:t>
      </w:r>
      <w:r w:rsidR="002C0FE2" w:rsidRPr="003F525A">
        <w:rPr>
          <w:i/>
        </w:rPr>
        <w:t>047 subjects (1.3%) random</w:t>
      </w:r>
      <w:r w:rsidR="00603F07">
        <w:rPr>
          <w:i/>
        </w:rPr>
        <w:t>ise</w:t>
      </w:r>
      <w:r w:rsidR="002C0FE2" w:rsidRPr="003F525A">
        <w:rPr>
          <w:i/>
        </w:rPr>
        <w:t xml:space="preserve">d to </w:t>
      </w:r>
      <w:r w:rsidR="006D61C3">
        <w:rPr>
          <w:i/>
        </w:rPr>
        <w:t>ivermectin</w:t>
      </w:r>
      <w:r w:rsidR="002C0FE2" w:rsidRPr="003F525A">
        <w:rPr>
          <w:i/>
        </w:rPr>
        <w:t xml:space="preserve"> 1% </w:t>
      </w:r>
      <w:r w:rsidR="00F2439E">
        <w:rPr>
          <w:i/>
        </w:rPr>
        <w:t>cream</w:t>
      </w:r>
      <w:r w:rsidR="002C0FE2" w:rsidRPr="003F525A">
        <w:rPr>
          <w:i/>
        </w:rPr>
        <w:t xml:space="preserve"> </w:t>
      </w:r>
      <w:r w:rsidR="00FD3E5F">
        <w:rPr>
          <w:i/>
        </w:rPr>
        <w:t>QD</w:t>
      </w:r>
      <w:r w:rsidR="002C0FE2" w:rsidRPr="003F525A">
        <w:rPr>
          <w:i/>
        </w:rPr>
        <w:t>, 1 of 98 subjects (1.0%) random</w:t>
      </w:r>
      <w:r w:rsidR="00603F07">
        <w:rPr>
          <w:i/>
        </w:rPr>
        <w:t>ise</w:t>
      </w:r>
      <w:r w:rsidR="002C0FE2" w:rsidRPr="003F525A">
        <w:rPr>
          <w:i/>
        </w:rPr>
        <w:t xml:space="preserve">d to lower concentrations of </w:t>
      </w:r>
      <w:r w:rsidR="006D61C3">
        <w:rPr>
          <w:i/>
        </w:rPr>
        <w:t>ivermectin</w:t>
      </w:r>
      <w:r w:rsidR="002C0FE2" w:rsidRPr="003F525A">
        <w:rPr>
          <w:i/>
        </w:rPr>
        <w:t xml:space="preserve"> </w:t>
      </w:r>
      <w:r w:rsidR="00F2439E">
        <w:rPr>
          <w:i/>
        </w:rPr>
        <w:t>cream</w:t>
      </w:r>
      <w:r w:rsidR="002C0FE2" w:rsidRPr="003F525A">
        <w:rPr>
          <w:i/>
        </w:rPr>
        <w:t xml:space="preserve">, 5 of 617 subjects (0.8%) in the vehicle group, 9 of 418 subjects (2.2%) in the </w:t>
      </w:r>
      <w:proofErr w:type="spellStart"/>
      <w:r w:rsidR="002C0FE2" w:rsidRPr="003F525A">
        <w:rPr>
          <w:i/>
        </w:rPr>
        <w:t>azelaic</w:t>
      </w:r>
      <w:proofErr w:type="spellEnd"/>
      <w:r w:rsidR="002C0FE2" w:rsidRPr="003F525A">
        <w:rPr>
          <w:i/>
        </w:rPr>
        <w:t xml:space="preserve"> acid group, and 4 of 532 subjects (0.8%) in the metronidazole group. Therefore, the incidence of low NCCs was comparable across the treatment groups, without any indication of a trend towards a higher incidence in subjects treated with </w:t>
      </w:r>
      <w:r w:rsidR="006D61C3">
        <w:rPr>
          <w:i/>
        </w:rPr>
        <w:t>ivermectin</w:t>
      </w:r>
      <w:r w:rsidR="002C0FE2" w:rsidRPr="003F525A">
        <w:rPr>
          <w:i/>
        </w:rPr>
        <w:t xml:space="preserve"> </w:t>
      </w:r>
      <w:r w:rsidR="00F2439E">
        <w:rPr>
          <w:i/>
        </w:rPr>
        <w:t>cream</w:t>
      </w:r>
      <w:r w:rsidR="002C0FE2" w:rsidRPr="003F525A">
        <w:rPr>
          <w:i/>
        </w:rPr>
        <w:t xml:space="preserve">. During the </w:t>
      </w:r>
      <w:r w:rsidR="008719BD" w:rsidRPr="003F525A">
        <w:rPr>
          <w:i/>
        </w:rPr>
        <w:t>long term</w:t>
      </w:r>
      <w:r w:rsidR="002C0FE2" w:rsidRPr="003F525A">
        <w:rPr>
          <w:i/>
        </w:rPr>
        <w:t xml:space="preserve"> part of the pivotal studies, the incidence of NCCs</w:t>
      </w:r>
      <w:r>
        <w:rPr>
          <w:i/>
        </w:rPr>
        <w:t xml:space="preserve"> </w:t>
      </w:r>
      <w:r w:rsidR="002C0FE2" w:rsidRPr="003F525A">
        <w:rPr>
          <w:i/>
        </w:rPr>
        <w:t>&lt;</w:t>
      </w:r>
      <w:r>
        <w:rPr>
          <w:i/>
        </w:rPr>
        <w:t xml:space="preserve"> </w:t>
      </w:r>
      <w:r w:rsidR="002C0FE2" w:rsidRPr="003F525A">
        <w:rPr>
          <w:i/>
        </w:rPr>
        <w:t xml:space="preserve">1.5 G/L was similar or lower in the ivermectin group compared to the </w:t>
      </w:r>
      <w:proofErr w:type="spellStart"/>
      <w:r w:rsidR="002C0FE2" w:rsidRPr="003F525A">
        <w:rPr>
          <w:i/>
        </w:rPr>
        <w:t>azelaic</w:t>
      </w:r>
      <w:proofErr w:type="spellEnd"/>
      <w:r w:rsidR="002C0FE2" w:rsidRPr="003F525A">
        <w:rPr>
          <w:i/>
        </w:rPr>
        <w:t xml:space="preserve"> group across the 3 quarters of Part B of the studies. After 1 year of exposure, the cumulative incidence of NCCs &lt;</w:t>
      </w:r>
      <w:r>
        <w:rPr>
          <w:i/>
        </w:rPr>
        <w:t xml:space="preserve"> 1.5 G/L adjusted for drop </w:t>
      </w:r>
      <w:r w:rsidR="002C0FE2" w:rsidRPr="003F525A">
        <w:rPr>
          <w:i/>
        </w:rPr>
        <w:t>outs was 2.18% in the ivermectin group and 2.36% in the vehicle/</w:t>
      </w:r>
      <w:proofErr w:type="spellStart"/>
      <w:r w:rsidR="002C0FE2" w:rsidRPr="003F525A">
        <w:rPr>
          <w:i/>
        </w:rPr>
        <w:t>azelaic</w:t>
      </w:r>
      <w:proofErr w:type="spellEnd"/>
      <w:r w:rsidR="002C0FE2" w:rsidRPr="003F525A">
        <w:rPr>
          <w:i/>
        </w:rPr>
        <w:t xml:space="preserve"> group</w:t>
      </w:r>
      <w:r w:rsidR="002C0FE2" w:rsidRPr="002C0FE2">
        <w:t>.</w:t>
      </w:r>
      <w:r w:rsidR="00BD1775">
        <w:t>’</w:t>
      </w:r>
    </w:p>
    <w:p w14:paraId="6AD89EF6" w14:textId="77777777" w:rsidR="002C0FE2" w:rsidRPr="002C0FE2" w:rsidRDefault="002C0FE2" w:rsidP="002C0FE2">
      <w:r w:rsidRPr="002C0FE2">
        <w:t xml:space="preserve">The </w:t>
      </w:r>
      <w:r w:rsidR="003F525A">
        <w:t>clinical evaluator</w:t>
      </w:r>
      <w:r w:rsidRPr="002C0FE2">
        <w:t xml:space="preserve"> accepts that there appears to be no evidence of a causal relationship between treatment with </w:t>
      </w:r>
      <w:r w:rsidR="003F525A" w:rsidRPr="002C0FE2">
        <w:t>iverme</w:t>
      </w:r>
      <w:r w:rsidR="003F525A">
        <w:t>ctin</w:t>
      </w:r>
      <w:r w:rsidR="00D35533">
        <w:t xml:space="preserve"> 1% cream and neutropenia.</w:t>
      </w:r>
    </w:p>
    <w:p w14:paraId="6AD89EF7" w14:textId="77777777" w:rsidR="002C0FE2" w:rsidRPr="002C0FE2" w:rsidRDefault="002C0FE2" w:rsidP="002C0FE2">
      <w:r w:rsidRPr="002C0FE2">
        <w:t>Specific clinical studies of photo</w:t>
      </w:r>
      <w:r w:rsidR="00BE5FC8">
        <w:t xml:space="preserve"> </w:t>
      </w:r>
      <w:r w:rsidRPr="002C0FE2">
        <w:t>safety have not been presented.</w:t>
      </w:r>
    </w:p>
    <w:p w14:paraId="6AD89EF8" w14:textId="77777777" w:rsidR="002C0FE2" w:rsidRDefault="002C0FE2" w:rsidP="002C0FE2">
      <w:r w:rsidRPr="002C0FE2">
        <w:t xml:space="preserve">The </w:t>
      </w:r>
      <w:r w:rsidR="003F525A" w:rsidRPr="003F525A">
        <w:t>clinical evaluator</w:t>
      </w:r>
      <w:r w:rsidRPr="002C0FE2">
        <w:t xml:space="preserve"> concludes that at the present stage of product development, no s</w:t>
      </w:r>
      <w:r w:rsidR="00D35533">
        <w:t>pecific safety concerns remain.</w:t>
      </w:r>
    </w:p>
    <w:p w14:paraId="6AD89EF9" w14:textId="77777777" w:rsidR="002C0FE2" w:rsidRPr="002C0FE2" w:rsidRDefault="003F525A" w:rsidP="003F525A">
      <w:pPr>
        <w:pStyle w:val="Heading4"/>
      </w:pPr>
      <w:r>
        <w:t>Clinical evaluator’s Benefit-</w:t>
      </w:r>
      <w:r w:rsidR="00D35533">
        <w:t xml:space="preserve">Risk Balance </w:t>
      </w:r>
    </w:p>
    <w:p w14:paraId="6AD89EFA" w14:textId="030EF4A1" w:rsidR="002C0FE2" w:rsidRPr="002C0FE2" w:rsidRDefault="002C0FE2" w:rsidP="002C0FE2">
      <w:r w:rsidRPr="002C0FE2">
        <w:t xml:space="preserve">The </w:t>
      </w:r>
      <w:r w:rsidR="003F525A" w:rsidRPr="003F525A">
        <w:t>clinical evaluator</w:t>
      </w:r>
      <w:r w:rsidRPr="002C0FE2">
        <w:t xml:space="preserve"> conclude</w:t>
      </w:r>
      <w:r w:rsidR="00BF3A4E">
        <w:t>d</w:t>
      </w:r>
      <w:r w:rsidRPr="002C0FE2">
        <w:t xml:space="preserve"> benefits of Soolantra in the proposed usage are proven efficacy and convenience of once daily application. Note that no convincing evidence has been presented that the 1% cream is significantly more efficacious</w:t>
      </w:r>
      <w:r w:rsidR="00D35533">
        <w:t xml:space="preserve"> than 0.3% cream (Study 40027).</w:t>
      </w:r>
    </w:p>
    <w:p w14:paraId="5B4876F0" w14:textId="77777777" w:rsidR="00BF3A4E" w:rsidRPr="00BF3A4E" w:rsidRDefault="00BF3A4E" w:rsidP="00BF3A4E">
      <w:r w:rsidRPr="00BF3A4E">
        <w:t>The clinical evaluator concluded the risks of Soolantra in the proposed usage are:</w:t>
      </w:r>
    </w:p>
    <w:p w14:paraId="6AD89EFC" w14:textId="77777777" w:rsidR="002C0FE2" w:rsidRPr="002C0FE2" w:rsidRDefault="002C0FE2" w:rsidP="003F525A">
      <w:pPr>
        <w:pStyle w:val="ListBullet"/>
      </w:pPr>
      <w:r w:rsidRPr="002C0FE2">
        <w:t>Hypothetical effects of systemic exposure. The difference in systemic exposure between 0.3% and 1% creams (Study RD.03.SRE.40027) is noted.</w:t>
      </w:r>
    </w:p>
    <w:p w14:paraId="6AD89EFD" w14:textId="77777777" w:rsidR="002C0FE2" w:rsidRPr="002C0FE2" w:rsidRDefault="003F525A" w:rsidP="003F525A">
      <w:pPr>
        <w:pStyle w:val="ListBullet"/>
      </w:pPr>
      <w:r>
        <w:t xml:space="preserve">Possible skin toxicity; </w:t>
      </w:r>
      <w:r w:rsidR="002C0FE2" w:rsidRPr="002C0FE2">
        <w:t>in particular, photosensitivity or</w:t>
      </w:r>
      <w:r w:rsidR="00D35533">
        <w:t xml:space="preserve"> photoallergy, contact allergy.</w:t>
      </w:r>
    </w:p>
    <w:p w14:paraId="6AD89EFE" w14:textId="77777777" w:rsidR="007B6132" w:rsidRDefault="007B6132" w:rsidP="00555280">
      <w:pPr>
        <w:pStyle w:val="Heading4"/>
      </w:pPr>
      <w:bookmarkStart w:id="177" w:name="_Toc314842514"/>
      <w:r w:rsidRPr="007B6132">
        <w:t>Clin</w:t>
      </w:r>
      <w:r w:rsidR="003F525A">
        <w:t>ical evaluator’s recommendation</w:t>
      </w:r>
    </w:p>
    <w:p w14:paraId="6AD89EFF" w14:textId="7DD4746D" w:rsidR="002C0FE2" w:rsidRPr="002C0FE2" w:rsidRDefault="002C0FE2" w:rsidP="002C0FE2">
      <w:r w:rsidRPr="002C0FE2">
        <w:t xml:space="preserve">The </w:t>
      </w:r>
      <w:r w:rsidR="003F525A" w:rsidRPr="003F525A">
        <w:t>clinical evaluator</w:t>
      </w:r>
      <w:r w:rsidRPr="002C0FE2">
        <w:t xml:space="preserve"> conclude</w:t>
      </w:r>
      <w:r w:rsidR="00BF3A4E">
        <w:t>d</w:t>
      </w:r>
      <w:r w:rsidRPr="002C0FE2">
        <w:t xml:space="preserve"> benefit-risk balance of Soolantra, given th</w:t>
      </w:r>
      <w:r w:rsidR="00D35533">
        <w:t>e proposed usage, is favourable</w:t>
      </w:r>
      <w:r w:rsidR="003F525A">
        <w:t>.</w:t>
      </w:r>
    </w:p>
    <w:p w14:paraId="6AD89F00" w14:textId="77777777" w:rsidR="008E7846" w:rsidRDefault="00386150" w:rsidP="007B6132">
      <w:pPr>
        <w:pStyle w:val="Heading3"/>
        <w:rPr>
          <w:lang w:eastAsia="en-AU"/>
        </w:rPr>
      </w:pPr>
      <w:bookmarkStart w:id="178" w:name="_Toc437418407"/>
      <w:r>
        <w:rPr>
          <w:lang w:eastAsia="en-AU"/>
        </w:rPr>
        <w:t>Risk m</w:t>
      </w:r>
      <w:r w:rsidR="008E7846">
        <w:rPr>
          <w:lang w:eastAsia="en-AU"/>
        </w:rPr>
        <w:t xml:space="preserve">anagement </w:t>
      </w:r>
      <w:r>
        <w:rPr>
          <w:lang w:eastAsia="en-AU"/>
        </w:rPr>
        <w:t>p</w:t>
      </w:r>
      <w:r w:rsidR="008E7846">
        <w:rPr>
          <w:lang w:eastAsia="en-AU"/>
        </w:rPr>
        <w:t>lan</w:t>
      </w:r>
      <w:bookmarkEnd w:id="177"/>
      <w:bookmarkEnd w:id="178"/>
    </w:p>
    <w:p w14:paraId="6AD89F01" w14:textId="2402A869" w:rsidR="002C0FE2" w:rsidRPr="002C0FE2" w:rsidRDefault="003F525A" w:rsidP="002C0FE2">
      <w:r>
        <w:t xml:space="preserve">The RMP evaluator in the </w:t>
      </w:r>
      <w:r w:rsidR="00BE5FC8">
        <w:t>second</w:t>
      </w:r>
      <w:r w:rsidR="002C0FE2" w:rsidRPr="002C0FE2">
        <w:t xml:space="preserve"> round advice considered that the sponsor’s response to the TGA</w:t>
      </w:r>
      <w:r>
        <w:t>s</w:t>
      </w:r>
      <w:r w:rsidR="002C0FE2" w:rsidRPr="002C0FE2">
        <w:t xml:space="preserve"> </w:t>
      </w:r>
      <w:r>
        <w:t>r</w:t>
      </w:r>
      <w:r w:rsidR="002C0FE2" w:rsidRPr="002C0FE2">
        <w:t>equest</w:t>
      </w:r>
      <w:r>
        <w:t xml:space="preserve"> for</w:t>
      </w:r>
      <w:r w:rsidR="00044826">
        <w:t xml:space="preserve"> further</w:t>
      </w:r>
      <w:r>
        <w:t xml:space="preserve"> information had</w:t>
      </w:r>
      <w:r w:rsidR="002C0FE2" w:rsidRPr="002C0FE2">
        <w:t xml:space="preserve"> not adequately addressed all of the issues identifie</w:t>
      </w:r>
      <w:r w:rsidR="00D35533">
        <w:t>d in the RMP evaluation repo</w:t>
      </w:r>
      <w:r w:rsidR="00650101">
        <w:t>rt</w:t>
      </w:r>
      <w:r w:rsidR="00192F55">
        <w:t>.</w:t>
      </w:r>
    </w:p>
    <w:p w14:paraId="6AD89F02" w14:textId="77777777" w:rsidR="002C0FE2" w:rsidRPr="002C0FE2" w:rsidRDefault="003F525A" w:rsidP="00650101">
      <w:pPr>
        <w:pStyle w:val="Heading5"/>
      </w:pPr>
      <w:r>
        <w:t>Outstanding issues</w:t>
      </w:r>
    </w:p>
    <w:p w14:paraId="6AD89F03" w14:textId="77777777" w:rsidR="002C0FE2" w:rsidRPr="002C0FE2" w:rsidRDefault="00BD1775" w:rsidP="002C0FE2">
      <w:r>
        <w:t>‘</w:t>
      </w:r>
      <w:r w:rsidR="002C0FE2" w:rsidRPr="002C0FE2">
        <w:t>Effects of significant UV exposure</w:t>
      </w:r>
      <w:r>
        <w:t>’</w:t>
      </w:r>
      <w:r w:rsidR="002C0FE2" w:rsidRPr="002C0FE2">
        <w:t xml:space="preserve"> and </w:t>
      </w:r>
      <w:r>
        <w:t>‘</w:t>
      </w:r>
      <w:r w:rsidR="002C0FE2" w:rsidRPr="002C0FE2">
        <w:t xml:space="preserve">Use in patients with particular forms of rosacea ((rosacea </w:t>
      </w:r>
      <w:proofErr w:type="spellStart"/>
      <w:r w:rsidR="002C0FE2" w:rsidRPr="002C0FE2">
        <w:t>conglobata</w:t>
      </w:r>
      <w:proofErr w:type="spellEnd"/>
      <w:r w:rsidR="002C0FE2" w:rsidRPr="002C0FE2">
        <w:t xml:space="preserve">, rosacea </w:t>
      </w:r>
      <w:proofErr w:type="spellStart"/>
      <w:r w:rsidR="002C0FE2" w:rsidRPr="002C0FE2">
        <w:t>fulminans</w:t>
      </w:r>
      <w:proofErr w:type="spellEnd"/>
      <w:r w:rsidR="002C0FE2" w:rsidRPr="002C0FE2">
        <w:t xml:space="preserve">, isolated </w:t>
      </w:r>
      <w:proofErr w:type="spellStart"/>
      <w:r w:rsidR="002C0FE2" w:rsidRPr="002C0FE2">
        <w:t>rhinophyma</w:t>
      </w:r>
      <w:proofErr w:type="spellEnd"/>
      <w:r w:rsidR="002C0FE2" w:rsidRPr="002C0FE2">
        <w:t xml:space="preserve">, isolated </w:t>
      </w:r>
      <w:proofErr w:type="spellStart"/>
      <w:r w:rsidR="002C0FE2" w:rsidRPr="002C0FE2">
        <w:t>pustulosis</w:t>
      </w:r>
      <w:proofErr w:type="spellEnd"/>
      <w:r w:rsidR="002C0FE2" w:rsidRPr="002C0FE2">
        <w:t xml:space="preserve"> of the chin) or other facial dermatoses that may be confounde</w:t>
      </w:r>
      <w:r w:rsidR="00CD2F99">
        <w:t xml:space="preserve">d with </w:t>
      </w:r>
      <w:proofErr w:type="spellStart"/>
      <w:r w:rsidR="00F475F1">
        <w:t>papulo</w:t>
      </w:r>
      <w:proofErr w:type="spellEnd"/>
      <w:r w:rsidR="00F475F1">
        <w:t>-pustular</w:t>
      </w:r>
      <w:r w:rsidR="00650101">
        <w:t xml:space="preserve"> rosacea, </w:t>
      </w:r>
      <w:r w:rsidR="002C0FE2" w:rsidRPr="002C0FE2">
        <w:t>such as peri-oral dermatitis, facial keratosis pilaris, seborrheic dermatitis and acne)</w:t>
      </w:r>
      <w:r>
        <w:t>’</w:t>
      </w:r>
      <w:r w:rsidR="002C0FE2" w:rsidRPr="002C0FE2">
        <w:t>, should be added as missing information to the ta</w:t>
      </w:r>
      <w:r w:rsidR="00CD2F99">
        <w:t>ble of ongoing safety concerns.</w:t>
      </w:r>
    </w:p>
    <w:p w14:paraId="6AD89F04" w14:textId="77777777" w:rsidR="008E7846" w:rsidRDefault="002C0FE2" w:rsidP="008E7846">
      <w:r w:rsidRPr="002C0FE2">
        <w:t>ACSOM advice was not sought for this submission.</w:t>
      </w:r>
    </w:p>
    <w:p w14:paraId="6AD89F05" w14:textId="77777777" w:rsidR="008E7846" w:rsidRDefault="00AA0ED0" w:rsidP="008E7846">
      <w:pPr>
        <w:pStyle w:val="Heading3"/>
      </w:pPr>
      <w:bookmarkStart w:id="179" w:name="_Toc247691531"/>
      <w:bookmarkStart w:id="180" w:name="_Toc314842515"/>
      <w:bookmarkStart w:id="181" w:name="_Toc437418408"/>
      <w:bookmarkStart w:id="182" w:name="_Toc196046505"/>
      <w:bookmarkStart w:id="183" w:name="_Toc196046949"/>
      <w:r>
        <w:lastRenderedPageBreak/>
        <w:t>Risk-benefit a</w:t>
      </w:r>
      <w:r w:rsidR="008E7846">
        <w:t>nalysis</w:t>
      </w:r>
      <w:bookmarkEnd w:id="179"/>
      <w:bookmarkEnd w:id="180"/>
      <w:bookmarkEnd w:id="181"/>
    </w:p>
    <w:p w14:paraId="6AD89F06" w14:textId="77777777" w:rsidR="00D23139" w:rsidRDefault="00650101" w:rsidP="00D23139">
      <w:pPr>
        <w:pStyle w:val="Heading4"/>
      </w:pPr>
      <w:r>
        <w:t>Delegate’s considerations</w:t>
      </w:r>
    </w:p>
    <w:p w14:paraId="6AD89F07" w14:textId="77777777" w:rsidR="002C0FE2" w:rsidRPr="002C0FE2" w:rsidRDefault="002C0FE2" w:rsidP="00CD2F99">
      <w:pPr>
        <w:pStyle w:val="Heading5"/>
      </w:pPr>
      <w:r w:rsidRPr="002C0FE2">
        <w:t>Discussion</w:t>
      </w:r>
    </w:p>
    <w:p w14:paraId="6AD89F08" w14:textId="77777777" w:rsidR="002C0FE2" w:rsidRPr="002C0FE2" w:rsidRDefault="002C0FE2" w:rsidP="002C0FE2">
      <w:r w:rsidRPr="002C0FE2">
        <w:t xml:space="preserve">In the pivotal clinical </w:t>
      </w:r>
      <w:r w:rsidR="00F941D7">
        <w:t>Studies</w:t>
      </w:r>
      <w:r w:rsidRPr="002C0FE2">
        <w:t xml:space="preserve"> RD.06.SRE.18170 and RD.06.SRE.18171, Soolantra was shown to be superior to </w:t>
      </w:r>
      <w:r w:rsidR="008149D4">
        <w:t xml:space="preserve">vehicle, which is </w:t>
      </w:r>
      <w:r w:rsidRPr="002C0FE2">
        <w:t xml:space="preserve">consistent with the </w:t>
      </w:r>
      <w:r w:rsidR="00F941D7">
        <w:t>Phase II</w:t>
      </w:r>
      <w:r w:rsidRPr="002C0FE2">
        <w:t xml:space="preserve"> studies RD.03.SRE.40027and RD.03.SRE.40106. The </w:t>
      </w:r>
      <w:r w:rsidR="00F941D7">
        <w:t>Phase III</w:t>
      </w:r>
      <w:r w:rsidRPr="002C0FE2">
        <w:t xml:space="preserve"> </w:t>
      </w:r>
      <w:r w:rsidR="00F941D7">
        <w:t>Study</w:t>
      </w:r>
      <w:r w:rsidRPr="002C0FE2">
        <w:t xml:space="preserve"> RD.03.SRE.40173 provided statistically significant evidence of the superiority of daily Soolantra over </w:t>
      </w:r>
      <w:r w:rsidR="00F757B6">
        <w:t>BD</w:t>
      </w:r>
      <w:r w:rsidRPr="002C0FE2">
        <w:t xml:space="preserve"> metronidazole 0.75% cream. Data on relapse rates from the 36 week extension of </w:t>
      </w:r>
      <w:r w:rsidR="00F941D7">
        <w:t>Study</w:t>
      </w:r>
      <w:r w:rsidR="00D35533">
        <w:t xml:space="preserve"> RD.03.SRE.40173 are awaited.</w:t>
      </w:r>
    </w:p>
    <w:p w14:paraId="6AD89F09" w14:textId="77777777" w:rsidR="002C0FE2" w:rsidRPr="002C0FE2" w:rsidRDefault="002C0FE2" w:rsidP="002C0FE2">
      <w:r w:rsidRPr="002C0FE2">
        <w:t xml:space="preserve">The </w:t>
      </w:r>
      <w:r w:rsidR="00CD2F99">
        <w:t>clinical evaluator</w:t>
      </w:r>
      <w:r w:rsidRPr="002C0FE2">
        <w:t xml:space="preserve"> comments that no convincing evidence has been presented that the 1% cream is significantly more efficacious than 0.3% cream. (Study RD.03.SRE.4</w:t>
      </w:r>
      <w:r w:rsidR="00D35533">
        <w:t>0027).</w:t>
      </w:r>
    </w:p>
    <w:p w14:paraId="6AD89F0A" w14:textId="77777777" w:rsidR="002C0FE2" w:rsidRPr="002C0FE2" w:rsidRDefault="002C0FE2" w:rsidP="002C0FE2">
      <w:proofErr w:type="gramStart"/>
      <w:r w:rsidRPr="002C0FE2">
        <w:t>A treatment</w:t>
      </w:r>
      <w:proofErr w:type="gramEnd"/>
      <w:r w:rsidRPr="002C0FE2">
        <w:t xml:space="preserve"> course duration of 4 months has been introduced to draft PI submitted in </w:t>
      </w:r>
      <w:r w:rsidR="00CD2F99">
        <w:t>the response to TGAs request for i</w:t>
      </w:r>
      <w:r w:rsidR="00044826">
        <w:t>t</w:t>
      </w:r>
      <w:r w:rsidRPr="002C0FE2">
        <w:t xml:space="preserve"> to align with EU </w:t>
      </w:r>
      <w:proofErr w:type="spellStart"/>
      <w:r w:rsidRPr="002C0FE2">
        <w:t>SmPC</w:t>
      </w:r>
      <w:proofErr w:type="spellEnd"/>
      <w:r w:rsidRPr="002C0FE2">
        <w:t xml:space="preserve">. In clinical Study 40037, in patients successfully treated in the dose finding study for 12 weeks, &gt; 75% of patients remained </w:t>
      </w:r>
      <w:r w:rsidR="00BD1775">
        <w:t>‘</w:t>
      </w:r>
      <w:r w:rsidRPr="002C0FE2">
        <w:t>clear</w:t>
      </w:r>
      <w:r w:rsidR="00BD1775">
        <w:t>’</w:t>
      </w:r>
      <w:r w:rsidRPr="002C0FE2">
        <w:t xml:space="preserve"> and </w:t>
      </w:r>
      <w:r w:rsidR="00BD1775">
        <w:t>‘</w:t>
      </w:r>
      <w:r w:rsidRPr="002C0FE2">
        <w:t>almost clear</w:t>
      </w:r>
      <w:r w:rsidR="00BD1775">
        <w:t>’</w:t>
      </w:r>
      <w:r w:rsidRPr="002C0FE2">
        <w:t xml:space="preserve"> three months after an ini</w:t>
      </w:r>
      <w:r w:rsidR="00CD2F99">
        <w:t>tial successful treatment and &gt; </w:t>
      </w:r>
      <w:r w:rsidRPr="002C0FE2">
        <w:t>60% remained so even six months after the</w:t>
      </w:r>
      <w:r w:rsidR="00D35533">
        <w:t xml:space="preserve"> initial treatment was stopped.</w:t>
      </w:r>
    </w:p>
    <w:p w14:paraId="6AD89F0B" w14:textId="77777777" w:rsidR="002C0FE2" w:rsidRPr="002C0FE2" w:rsidRDefault="002C0FE2" w:rsidP="002C0FE2">
      <w:r w:rsidRPr="002C0FE2">
        <w:t>In pivotal clinical studies adverse effects classified related to study drug were more common in the vehicle/</w:t>
      </w:r>
      <w:proofErr w:type="spellStart"/>
      <w:r w:rsidRPr="002C0FE2">
        <w:t>azelaic</w:t>
      </w:r>
      <w:proofErr w:type="spellEnd"/>
      <w:r w:rsidRPr="002C0FE2">
        <w:t xml:space="preserve"> acid group than the 1% ivermectin cream group. The majority of drug related adverse effects were skin and subcutaneous disorders. In Study RD.03.SRE.40173 Period A, adverse effects classified as related to study drug were more frequent in the metronidazole g</w:t>
      </w:r>
      <w:r w:rsidR="00D35533">
        <w:t>roup than the ivermectin group.</w:t>
      </w:r>
    </w:p>
    <w:p w14:paraId="6AD89F0C" w14:textId="77777777" w:rsidR="002C0FE2" w:rsidRPr="002C0FE2" w:rsidRDefault="002C0FE2" w:rsidP="002C0FE2">
      <w:r w:rsidRPr="002C0FE2">
        <w:t xml:space="preserve">Study RD.03.SRE.40051 was discontinued because 3 subjects treated with ivermectin 1% cream developed </w:t>
      </w:r>
      <w:r w:rsidR="00CD2F99" w:rsidRPr="002C0FE2">
        <w:t>neutropenia</w:t>
      </w:r>
      <w:r w:rsidRPr="002C0FE2">
        <w:t xml:space="preserve">. Study RD.03.SRE.40106 investigated whether the product proposed for registration may be causally associated with </w:t>
      </w:r>
      <w:r w:rsidR="00CD2F99" w:rsidRPr="002C0FE2">
        <w:t>neutropenia</w:t>
      </w:r>
      <w:r w:rsidRPr="002C0FE2">
        <w:t xml:space="preserve">. The </w:t>
      </w:r>
      <w:r w:rsidR="00CD2F99" w:rsidRPr="00CD2F99">
        <w:t>clinical evaluator</w:t>
      </w:r>
      <w:r w:rsidRPr="002C0FE2">
        <w:t xml:space="preserve"> accepts that there appears to be no evidence of a causal relationship between treatment with ivermec</w:t>
      </w:r>
      <w:r w:rsidR="00CD2F99">
        <w:t>tin 1% cream and neutropenia.</w:t>
      </w:r>
    </w:p>
    <w:p w14:paraId="6AD89F0D" w14:textId="77777777" w:rsidR="002C0FE2" w:rsidRPr="002C0FE2" w:rsidRDefault="002C0FE2" w:rsidP="002C0FE2">
      <w:r w:rsidRPr="002C0FE2">
        <w:t>Specific clinical studies of photo</w:t>
      </w:r>
      <w:r w:rsidR="00CD2F99">
        <w:t xml:space="preserve"> </w:t>
      </w:r>
      <w:r w:rsidRPr="002C0FE2">
        <w:t xml:space="preserve">safety have not been presented. In nonclinical </w:t>
      </w:r>
      <w:r w:rsidR="00F941D7">
        <w:t>Study</w:t>
      </w:r>
      <w:r w:rsidR="00CD2F99">
        <w:t xml:space="preserve"> RDS.03.SRE.12438, </w:t>
      </w:r>
      <w:r w:rsidRPr="002C0FE2">
        <w:t>in guinea pigs exposed to 1% ivermectin cream +/- UVA and UVB, no phototoxic potential of 1% ivermectin cream was shown and the test cream was concluded unlikely to be a photo</w:t>
      </w:r>
      <w:r w:rsidR="00CD2F99">
        <w:t xml:space="preserve"> </w:t>
      </w:r>
      <w:r w:rsidRPr="002C0FE2">
        <w:t>allergen. Concurrent vehicle and UVR nonclinical s</w:t>
      </w:r>
      <w:r w:rsidR="00D35533">
        <w:t>tudies have not been conducted.</w:t>
      </w:r>
    </w:p>
    <w:p w14:paraId="6AD89F0E" w14:textId="77777777" w:rsidR="002C0FE2" w:rsidRPr="002C0FE2" w:rsidRDefault="002C0FE2" w:rsidP="002C0FE2">
      <w:r w:rsidRPr="002C0FE2">
        <w:t xml:space="preserve">The nonclinical evaluation recommends </w:t>
      </w:r>
      <w:r w:rsidR="00BD1775">
        <w:t>‘</w:t>
      </w:r>
      <w:r w:rsidR="008719BD" w:rsidRPr="00CD2F99">
        <w:rPr>
          <w:i/>
        </w:rPr>
        <w:t>Long term</w:t>
      </w:r>
      <w:r w:rsidRPr="00CD2F99">
        <w:rPr>
          <w:i/>
        </w:rPr>
        <w:t>, repeated topical application of Soolantra in sun exposed areas should be avoided or sun protection strategies should be used as topical Soolantra undoubtedly enhances non-melanoma skin photocarcinogenesis in a human-relevant mouse model</w:t>
      </w:r>
      <w:r w:rsidR="00BD1775">
        <w:t>’</w:t>
      </w:r>
      <w:r w:rsidR="00CD2F99">
        <w:t>. The draft PI submitted with r</w:t>
      </w:r>
      <w:r w:rsidRPr="002C0FE2">
        <w:t>esponse</w:t>
      </w:r>
      <w:r w:rsidR="00CD2F99">
        <w:t xml:space="preserve"> to TGAs request for information</w:t>
      </w:r>
      <w:r w:rsidRPr="002C0FE2">
        <w:t xml:space="preserve"> includes recommendations under Precautions </w:t>
      </w:r>
      <w:r w:rsidR="00044826">
        <w:t xml:space="preserve">and Dosage and Administration, </w:t>
      </w:r>
      <w:r w:rsidR="00BD1775">
        <w:t>‘</w:t>
      </w:r>
      <w:r w:rsidRPr="002C0FE2">
        <w:t xml:space="preserve">High sunscreen protection factor (SPF) sunscreens or other sun-exposure reduction methods should be used when </w:t>
      </w:r>
      <w:r w:rsidR="00356678">
        <w:t>Soolantra</w:t>
      </w:r>
      <w:r w:rsidRPr="002C0FE2">
        <w:t xml:space="preserve"> is applied to the fa</w:t>
      </w:r>
      <w:r w:rsidR="00D35533">
        <w:t>ce or other sun-exposed areas</w:t>
      </w:r>
      <w:r w:rsidR="00BD1775">
        <w:t>’</w:t>
      </w:r>
      <w:r w:rsidR="00D35533">
        <w:t>.</w:t>
      </w:r>
    </w:p>
    <w:p w14:paraId="6AD89F0F" w14:textId="77777777" w:rsidR="002C0FE2" w:rsidRPr="002C0FE2" w:rsidRDefault="002C0FE2" w:rsidP="002C0FE2">
      <w:r w:rsidRPr="002C0FE2">
        <w:t>The mechanism of action of 1% ivermectin cream in PPR has not been definitively investigated in nonclinical or clinical studies</w:t>
      </w:r>
      <w:r w:rsidR="00D35533">
        <w:t>.</w:t>
      </w:r>
    </w:p>
    <w:p w14:paraId="6AD89F10" w14:textId="77777777" w:rsidR="00D23139" w:rsidRDefault="00D23139" w:rsidP="00D23139">
      <w:pPr>
        <w:pStyle w:val="Heading4"/>
      </w:pPr>
      <w:r w:rsidRPr="00D23139">
        <w:t>Proposed action</w:t>
      </w:r>
    </w:p>
    <w:p w14:paraId="6AD89F11" w14:textId="77777777" w:rsidR="00721301" w:rsidRPr="00721301" w:rsidRDefault="00A5525C" w:rsidP="00721301">
      <w:r>
        <w:t>The Delegate had</w:t>
      </w:r>
      <w:r w:rsidR="00721301" w:rsidRPr="00721301">
        <w:t xml:space="preserve"> no reason to say, at this time, that the application for </w:t>
      </w:r>
      <w:r w:rsidR="00FF3C8D">
        <w:t>Soolantra</w:t>
      </w:r>
      <w:r w:rsidR="00721301" w:rsidRPr="00721301">
        <w:t xml:space="preserve"> should not be approved for registration</w:t>
      </w:r>
      <w:r w:rsidR="00D35533">
        <w:t>.</w:t>
      </w:r>
    </w:p>
    <w:p w14:paraId="6AD89F12" w14:textId="77777777" w:rsidR="00D23139" w:rsidRDefault="00D23139" w:rsidP="00D23139">
      <w:pPr>
        <w:pStyle w:val="Heading4"/>
      </w:pPr>
      <w:r w:rsidRPr="00D23139">
        <w:lastRenderedPageBreak/>
        <w:t>Request for ACPM advice</w:t>
      </w:r>
    </w:p>
    <w:p w14:paraId="6AD89F13" w14:textId="77777777" w:rsidR="00721301" w:rsidRPr="00721301" w:rsidRDefault="00721301" w:rsidP="00721301">
      <w:r w:rsidRPr="00721301">
        <w:t>The committee is requested to provide advice on the following specific issues:</w:t>
      </w:r>
    </w:p>
    <w:p w14:paraId="6AD89F14" w14:textId="405A8C0A" w:rsidR="00721301" w:rsidRPr="00721301" w:rsidRDefault="00721301" w:rsidP="00192F55">
      <w:pPr>
        <w:pStyle w:val="Numberbullet0"/>
        <w:numPr>
          <w:ilvl w:val="0"/>
          <w:numId w:val="40"/>
        </w:numPr>
      </w:pPr>
      <w:r w:rsidRPr="00721301">
        <w:t xml:space="preserve">Does the ACPM agree with the </w:t>
      </w:r>
      <w:r w:rsidR="00FF3C8D">
        <w:t>clinical evaluator’s</w:t>
      </w:r>
      <w:r w:rsidRPr="00721301">
        <w:t xml:space="preserve"> conclusion that at the present stage of product development, no specific safety concerns </w:t>
      </w:r>
      <w:r w:rsidR="00FF3C8D" w:rsidRPr="00721301">
        <w:t>remain?</w:t>
      </w:r>
    </w:p>
    <w:p w14:paraId="6AD89F15" w14:textId="77777777" w:rsidR="00721301" w:rsidRPr="00721301" w:rsidRDefault="00721301" w:rsidP="00721301">
      <w:r w:rsidRPr="00721301">
        <w:t>The committee is (also) requested to provide advice on any other issues that it thinks may be relevant to a decision on whether or not to approve this application.</w:t>
      </w:r>
    </w:p>
    <w:p w14:paraId="6AD89F16" w14:textId="77777777" w:rsidR="00D23139" w:rsidRDefault="00721301" w:rsidP="00D23139">
      <w:pPr>
        <w:pStyle w:val="Heading4"/>
      </w:pPr>
      <w:r>
        <w:t>Response from Sponsor</w:t>
      </w:r>
    </w:p>
    <w:p w14:paraId="6AD89F17" w14:textId="77777777" w:rsidR="00721301" w:rsidRPr="00721301" w:rsidRDefault="00721301" w:rsidP="00A5525C">
      <w:pPr>
        <w:pStyle w:val="Heading5"/>
      </w:pPr>
      <w:r w:rsidRPr="00721301">
        <w:t>Indication, Dosage and Administration and Registration</w:t>
      </w:r>
    </w:p>
    <w:p w14:paraId="6AD89F18" w14:textId="77777777" w:rsidR="00721301" w:rsidRPr="00721301" w:rsidRDefault="00721301" w:rsidP="00721301">
      <w:r w:rsidRPr="00721301">
        <w:t>The company agrees with the Delegate to recommend</w:t>
      </w:r>
      <w:r>
        <w:t xml:space="preserve"> approval of </w:t>
      </w:r>
      <w:r w:rsidR="00356678">
        <w:t>Soolantra</w:t>
      </w:r>
      <w:r>
        <w:t>/</w:t>
      </w:r>
      <w:r w:rsidR="006F6336">
        <w:t>Vastreka</w:t>
      </w:r>
      <w:r>
        <w:t xml:space="preserve"> </w:t>
      </w:r>
      <w:r w:rsidRPr="00721301">
        <w:t>for the following indication:</w:t>
      </w:r>
    </w:p>
    <w:p w14:paraId="6AD89F19" w14:textId="77777777" w:rsidR="00721301" w:rsidRPr="00FF3C8D" w:rsidRDefault="00356678" w:rsidP="00FF3C8D">
      <w:pPr>
        <w:ind w:left="720"/>
        <w:rPr>
          <w:i/>
        </w:rPr>
      </w:pPr>
      <w:r w:rsidRPr="00FF3C8D">
        <w:rPr>
          <w:i/>
        </w:rPr>
        <w:t>Soolantra</w:t>
      </w:r>
      <w:r w:rsidR="00721301" w:rsidRPr="00FF3C8D">
        <w:rPr>
          <w:i/>
        </w:rPr>
        <w:t>/</w:t>
      </w:r>
      <w:r w:rsidR="006F6336" w:rsidRPr="00FF3C8D">
        <w:rPr>
          <w:i/>
        </w:rPr>
        <w:t>Vastreka</w:t>
      </w:r>
      <w:r w:rsidR="00721301" w:rsidRPr="00FF3C8D">
        <w:rPr>
          <w:i/>
        </w:rPr>
        <w:t xml:space="preserve"> is indicated for the topical treatment of inflammatory lesions of rosacea in adult patients.</w:t>
      </w:r>
    </w:p>
    <w:p w14:paraId="6AD89F1A" w14:textId="77777777" w:rsidR="00721301" w:rsidRPr="00721301" w:rsidRDefault="00721301" w:rsidP="00721301">
      <w:r w:rsidRPr="00721301">
        <w:t>The company agrees that the risk-benefit profile is acceptable for registration.</w:t>
      </w:r>
    </w:p>
    <w:p w14:paraId="6AD89F1B" w14:textId="77777777" w:rsidR="00721301" w:rsidRDefault="00721301" w:rsidP="00721301">
      <w:r w:rsidRPr="00721301">
        <w:t>The dosage and administration in the initial submission was upd</w:t>
      </w:r>
      <w:r>
        <w:t xml:space="preserve">ated during evaluation to align </w:t>
      </w:r>
      <w:r w:rsidRPr="00721301">
        <w:t xml:space="preserve">with the EU </w:t>
      </w:r>
      <w:proofErr w:type="spellStart"/>
      <w:r w:rsidRPr="00721301">
        <w:t>SmPC</w:t>
      </w:r>
      <w:proofErr w:type="spellEnd"/>
      <w:r w:rsidRPr="00721301">
        <w:t xml:space="preserve"> as well as under recommendation from</w:t>
      </w:r>
      <w:r>
        <w:t xml:space="preserve"> the </w:t>
      </w:r>
      <w:r w:rsidR="00FF3C8D">
        <w:t>second round RMP</w:t>
      </w:r>
      <w:r>
        <w:t xml:space="preserve"> evaluation </w:t>
      </w:r>
      <w:r w:rsidRPr="00721301">
        <w:t>report.</w:t>
      </w:r>
    </w:p>
    <w:p w14:paraId="6AD89F1C" w14:textId="77777777" w:rsidR="003B738F" w:rsidRDefault="00FF3C8D" w:rsidP="00A5525C">
      <w:pPr>
        <w:pStyle w:val="Heading5"/>
      </w:pPr>
      <w:r>
        <w:t xml:space="preserve">Regarding the </w:t>
      </w:r>
      <w:r w:rsidR="00721301" w:rsidRPr="00721301">
        <w:t>TGA</w:t>
      </w:r>
      <w:r>
        <w:t xml:space="preserve"> comment: Advice Sought: Safety</w:t>
      </w:r>
    </w:p>
    <w:p w14:paraId="6AD89F1D" w14:textId="75B18207" w:rsidR="00721301" w:rsidRPr="00192F55" w:rsidRDefault="00721301" w:rsidP="00192F55">
      <w:pPr>
        <w:pStyle w:val="Numberbullet0"/>
        <w:numPr>
          <w:ilvl w:val="0"/>
          <w:numId w:val="41"/>
        </w:numPr>
        <w:rPr>
          <w:i/>
        </w:rPr>
      </w:pPr>
      <w:r w:rsidRPr="00192F55">
        <w:rPr>
          <w:i/>
        </w:rPr>
        <w:t>Does the AC</w:t>
      </w:r>
      <w:r w:rsidR="00FF3C8D" w:rsidRPr="00192F55">
        <w:rPr>
          <w:i/>
        </w:rPr>
        <w:t>P</w:t>
      </w:r>
      <w:r w:rsidRPr="00192F55">
        <w:rPr>
          <w:i/>
        </w:rPr>
        <w:t xml:space="preserve">M agree with the </w:t>
      </w:r>
      <w:r w:rsidR="00FF3C8D" w:rsidRPr="00192F55">
        <w:rPr>
          <w:i/>
        </w:rPr>
        <w:t>clinical evaluator’s</w:t>
      </w:r>
      <w:r w:rsidRPr="00192F55">
        <w:rPr>
          <w:i/>
        </w:rPr>
        <w:t xml:space="preserve"> conclusion that at the present stage of product development, no specific safety concerns remain?</w:t>
      </w:r>
    </w:p>
    <w:p w14:paraId="6AD89F1E" w14:textId="77777777" w:rsidR="00721301" w:rsidRPr="00721301" w:rsidRDefault="00FF3C8D" w:rsidP="00721301">
      <w:r w:rsidRPr="00FF3C8D">
        <w:rPr>
          <w:i/>
        </w:rPr>
        <w:t>Sponsor’s</w:t>
      </w:r>
      <w:r w:rsidR="00721301" w:rsidRPr="00FF3C8D">
        <w:rPr>
          <w:i/>
        </w:rPr>
        <w:t xml:space="preserve"> response</w:t>
      </w:r>
      <w:r>
        <w:t>:</w:t>
      </w:r>
    </w:p>
    <w:p w14:paraId="6AD89F1F" w14:textId="77777777" w:rsidR="00721301" w:rsidRPr="00721301" w:rsidRDefault="00FF3C8D" w:rsidP="00721301">
      <w:r>
        <w:t>The s</w:t>
      </w:r>
      <w:r w:rsidR="00721301" w:rsidRPr="00721301">
        <w:t>ponsor acknowledges the Delegate’s statement that there are</w:t>
      </w:r>
      <w:r w:rsidR="00721301">
        <w:t xml:space="preserve"> no outstanding specific safety </w:t>
      </w:r>
      <w:r w:rsidR="00721301" w:rsidRPr="00721301">
        <w:t xml:space="preserve">concerns remaining for </w:t>
      </w:r>
      <w:r w:rsidR="00356678">
        <w:t>Soolantra</w:t>
      </w:r>
      <w:r w:rsidR="00721301" w:rsidRPr="00721301">
        <w:t>/</w:t>
      </w:r>
      <w:r w:rsidR="006F6336">
        <w:t>Vastreka</w:t>
      </w:r>
      <w:r w:rsidR="00721301" w:rsidRPr="00721301">
        <w:t xml:space="preserve"> at the present stage of product development.</w:t>
      </w:r>
      <w:r w:rsidR="00721301">
        <w:t xml:space="preserve"> </w:t>
      </w:r>
      <w:r w:rsidR="00721301" w:rsidRPr="00721301">
        <w:t xml:space="preserve">All the Clinical, </w:t>
      </w:r>
      <w:r w:rsidR="009D6CCA">
        <w:t>Nonclinical</w:t>
      </w:r>
      <w:r w:rsidR="00721301" w:rsidRPr="00721301">
        <w:t xml:space="preserve">, Chemistry, Quality </w:t>
      </w:r>
      <w:r w:rsidR="009D6CCA">
        <w:t>and</w:t>
      </w:r>
      <w:r w:rsidR="00721301" w:rsidRPr="00721301">
        <w:t xml:space="preserve"> B</w:t>
      </w:r>
      <w:r w:rsidR="00721301">
        <w:t xml:space="preserve">iopharmaceutical and RMP issues </w:t>
      </w:r>
      <w:r w:rsidR="00721301" w:rsidRPr="00721301">
        <w:t xml:space="preserve">identified in the </w:t>
      </w:r>
      <w:r>
        <w:t>second round</w:t>
      </w:r>
      <w:r w:rsidR="00721301" w:rsidRPr="00721301">
        <w:t xml:space="preserve"> evaluation reports have been resol</w:t>
      </w:r>
      <w:r w:rsidR="00721301">
        <w:t xml:space="preserve">ved and the recommended updates </w:t>
      </w:r>
      <w:r w:rsidR="00721301" w:rsidRPr="00721301">
        <w:t>have been made to the Product Information and the Consumer Medicine Information.</w:t>
      </w:r>
    </w:p>
    <w:p w14:paraId="6AD89F20" w14:textId="77777777" w:rsidR="00BF3301" w:rsidRPr="00BF3301" w:rsidRDefault="00FF3C8D" w:rsidP="00A5525C">
      <w:pPr>
        <w:pStyle w:val="Heading5"/>
      </w:pPr>
      <w:r>
        <w:t xml:space="preserve">Regarding the </w:t>
      </w:r>
      <w:r w:rsidR="00F2439E">
        <w:t xml:space="preserve">TGA comment: Dose </w:t>
      </w:r>
      <w:r w:rsidR="00BF3301" w:rsidRPr="00BF3301">
        <w:t>Effect Relationship</w:t>
      </w:r>
    </w:p>
    <w:p w14:paraId="6AD89F21" w14:textId="77777777" w:rsidR="00721301" w:rsidRPr="003B738F" w:rsidRDefault="00BF3301" w:rsidP="00BF3301">
      <w:pPr>
        <w:rPr>
          <w:i/>
        </w:rPr>
      </w:pPr>
      <w:r w:rsidRPr="003B738F">
        <w:rPr>
          <w:i/>
        </w:rPr>
        <w:t xml:space="preserve">The </w:t>
      </w:r>
      <w:r w:rsidR="00FF3C8D" w:rsidRPr="003B738F">
        <w:rPr>
          <w:i/>
        </w:rPr>
        <w:t>clinical evaluator</w:t>
      </w:r>
      <w:r w:rsidRPr="003B738F">
        <w:rPr>
          <w:i/>
        </w:rPr>
        <w:t xml:space="preserve"> comments that no convincing evidence has been presented that the 1% cream is significantly more efficacious than 0.3% cream dose finding was not definitive. (</w:t>
      </w:r>
      <w:proofErr w:type="gramStart"/>
      <w:r w:rsidRPr="003B738F">
        <w:rPr>
          <w:i/>
        </w:rPr>
        <w:t>see</w:t>
      </w:r>
      <w:proofErr w:type="gramEnd"/>
      <w:r w:rsidRPr="003B738F">
        <w:rPr>
          <w:i/>
        </w:rPr>
        <w:t xml:space="preserve"> Study RD.03.SRE.40027).</w:t>
      </w:r>
    </w:p>
    <w:p w14:paraId="6AD89F22" w14:textId="77777777" w:rsidR="00BF3301" w:rsidRPr="00FF3C8D" w:rsidRDefault="00FF3C8D" w:rsidP="00BF3301">
      <w:pPr>
        <w:rPr>
          <w:i/>
        </w:rPr>
      </w:pPr>
      <w:r w:rsidRPr="00FF3C8D">
        <w:rPr>
          <w:i/>
        </w:rPr>
        <w:t>Sponsor’s</w:t>
      </w:r>
      <w:r w:rsidR="00BF3301" w:rsidRPr="00FF3C8D">
        <w:rPr>
          <w:i/>
        </w:rPr>
        <w:t xml:space="preserve"> response</w:t>
      </w:r>
      <w:r w:rsidRPr="00FF3C8D">
        <w:rPr>
          <w:i/>
        </w:rPr>
        <w:t>:</w:t>
      </w:r>
    </w:p>
    <w:p w14:paraId="6AD89F23" w14:textId="77777777" w:rsidR="00BF3301" w:rsidRPr="00BF3301" w:rsidRDefault="00BF3301" w:rsidP="00BF3301">
      <w:r w:rsidRPr="00BF3301">
        <w:t xml:space="preserve">Numerical trends in </w:t>
      </w:r>
      <w:r w:rsidR="00FF3C8D" w:rsidRPr="00BF3301">
        <w:t>favour</w:t>
      </w:r>
      <w:r w:rsidRPr="00BF3301">
        <w:t xml:space="preserve"> of a</w:t>
      </w:r>
      <w:r w:rsidR="00FF3C8D">
        <w:t xml:space="preserve"> dose </w:t>
      </w:r>
      <w:r w:rsidRPr="00BF3301">
        <w:t>response relationship w</w:t>
      </w:r>
      <w:r>
        <w:t xml:space="preserve">as observed in Study 40027 with </w:t>
      </w:r>
      <w:r w:rsidRPr="00BF3301">
        <w:t>increasing dose (</w:t>
      </w:r>
      <w:r w:rsidR="00FF3C8D">
        <w:t xml:space="preserve">that is, </w:t>
      </w:r>
      <w:r w:rsidRPr="00BF3301">
        <w:t>ivermectin at concentrations of</w:t>
      </w:r>
      <w:r>
        <w:t xml:space="preserve"> 0.0%, 0.1%, 0.3%, and 1%) when </w:t>
      </w:r>
      <w:r w:rsidR="006D61C3">
        <w:t>ivermectin</w:t>
      </w:r>
      <w:r w:rsidRPr="00BF3301">
        <w:t xml:space="preserve"> </w:t>
      </w:r>
      <w:r w:rsidR="00F2439E">
        <w:t>cream</w:t>
      </w:r>
      <w:r w:rsidRPr="00BF3301">
        <w:t xml:space="preserve"> was applied </w:t>
      </w:r>
      <w:r w:rsidR="00FD3E5F">
        <w:t>QD</w:t>
      </w:r>
      <w:r w:rsidRPr="00BF3301">
        <w:t xml:space="preserve">. The 1% concentration was selected as the only </w:t>
      </w:r>
      <w:r>
        <w:t xml:space="preserve">dosage which </w:t>
      </w:r>
      <w:r w:rsidRPr="00BF3301">
        <w:t>provided statistically significant demonstration of efficacy.</w:t>
      </w:r>
    </w:p>
    <w:p w14:paraId="6AD89F24" w14:textId="77777777" w:rsidR="00BF3301" w:rsidRPr="00BF3301" w:rsidRDefault="00BF3301" w:rsidP="00BF3301">
      <w:r w:rsidRPr="00BF3301">
        <w:t>The primary efficacy endpoint in Study 40027 was the Percen</w:t>
      </w:r>
      <w:r>
        <w:t xml:space="preserve">t Change in Inflammatory Lesion </w:t>
      </w:r>
      <w:r w:rsidRPr="00BF3301">
        <w:t>Counts from Baseline at Week 12 (ITT-LOCF). A pairwise co</w:t>
      </w:r>
      <w:r>
        <w:t xml:space="preserve">mparison versus vehicle of each </w:t>
      </w:r>
      <w:r w:rsidR="00FF3C8D">
        <w:t>concentration of ivermectin c</w:t>
      </w:r>
      <w:r w:rsidRPr="00BF3301">
        <w:t>ream (</w:t>
      </w:r>
      <w:r w:rsidR="00FF3C8D">
        <w:t>that is</w:t>
      </w:r>
      <w:r w:rsidRPr="00BF3301">
        <w:t>, 0.1%, 0.3%, an</w:t>
      </w:r>
      <w:r>
        <w:t xml:space="preserve">d 1% all administered </w:t>
      </w:r>
      <w:r w:rsidR="00FD3E5F">
        <w:t>QD</w:t>
      </w:r>
      <w:r>
        <w:t xml:space="preserve"> and 1% </w:t>
      </w:r>
      <w:r w:rsidRPr="00BF3301">
        <w:t xml:space="preserve">administered </w:t>
      </w:r>
      <w:r w:rsidR="00F757B6">
        <w:t>BD</w:t>
      </w:r>
      <w:r w:rsidRPr="00BF3301">
        <w:t>) revealed a statistically significant differe</w:t>
      </w:r>
      <w:r w:rsidR="00FF3C8D">
        <w:t>nce between ivermectin 1% c</w:t>
      </w:r>
      <w:r>
        <w:t xml:space="preserve">ream </w:t>
      </w:r>
      <w:r w:rsidRPr="00BF3301">
        <w:t xml:space="preserve">administered </w:t>
      </w:r>
      <w:r w:rsidR="00FD3E5F">
        <w:t>QD</w:t>
      </w:r>
      <w:r w:rsidRPr="00BF3301">
        <w:t xml:space="preserve"> (p</w:t>
      </w:r>
      <w:r w:rsidR="00F2439E">
        <w:t xml:space="preserve"> ≤ </w:t>
      </w:r>
      <w:r w:rsidRPr="00BF3301">
        <w:t xml:space="preserve">0.006) or </w:t>
      </w:r>
      <w:r w:rsidR="00F757B6">
        <w:t>BD</w:t>
      </w:r>
      <w:r w:rsidR="00F2439E">
        <w:t xml:space="preserve"> (p ≤ </w:t>
      </w:r>
      <w:r w:rsidR="006D61C3">
        <w:t>0.014) versus vehicle c</w:t>
      </w:r>
      <w:r w:rsidRPr="00BF3301">
        <w:t xml:space="preserve">ream </w:t>
      </w:r>
      <w:r w:rsidR="00FD3E5F">
        <w:t>QD</w:t>
      </w:r>
      <w:r w:rsidRPr="00BF3301">
        <w:t xml:space="preserve"> at Week 1</w:t>
      </w:r>
      <w:r>
        <w:t xml:space="preserve">2. Neither </w:t>
      </w:r>
      <w:r w:rsidR="006D61C3">
        <w:t>ivermectin 0.1% c</w:t>
      </w:r>
      <w:r w:rsidRPr="00BF3301">
        <w:t>re</w:t>
      </w:r>
      <w:r w:rsidR="006D61C3">
        <w:t>am nor ivermectin 0.3% c</w:t>
      </w:r>
      <w:r w:rsidRPr="00BF3301">
        <w:t>ream was statistica</w:t>
      </w:r>
      <w:r>
        <w:t xml:space="preserve">lly superior to the vehicle. In </w:t>
      </w:r>
      <w:r w:rsidRPr="00BF3301">
        <w:t>order to minim</w:t>
      </w:r>
      <w:r w:rsidR="00603F07">
        <w:t>ise</w:t>
      </w:r>
      <w:r w:rsidRPr="00BF3301">
        <w:t xml:space="preserve"> multiplicity issues, a sequential stepwise anal</w:t>
      </w:r>
      <w:r>
        <w:t xml:space="preserve">ysis was conducted to confirm a </w:t>
      </w:r>
      <w:r w:rsidRPr="00BF3301">
        <w:t>dose response relationship at Week 12. This stepwise analysis s</w:t>
      </w:r>
      <w:r>
        <w:t xml:space="preserve">tarted from </w:t>
      </w:r>
      <w:r w:rsidR="006D61C3">
        <w:t>ivermectin</w:t>
      </w:r>
      <w:r>
        <w:t xml:space="preserve"> 1% </w:t>
      </w:r>
      <w:r w:rsidR="00F2439E">
        <w:t>cream</w:t>
      </w:r>
      <w:r>
        <w:t xml:space="preserve"> </w:t>
      </w:r>
      <w:r w:rsidR="00F757B6">
        <w:t>BD</w:t>
      </w:r>
      <w:r w:rsidRPr="00BF3301">
        <w:t xml:space="preserve"> down to </w:t>
      </w:r>
      <w:r w:rsidR="006D61C3">
        <w:t>ivermectin</w:t>
      </w:r>
      <w:r w:rsidRPr="00BF3301">
        <w:t xml:space="preserve"> 0.1% </w:t>
      </w:r>
      <w:r w:rsidR="00F2439E">
        <w:t>cream</w:t>
      </w:r>
      <w:r w:rsidRPr="00BF3301">
        <w:t xml:space="preserve"> </w:t>
      </w:r>
      <w:r w:rsidR="00FD3E5F">
        <w:t>QD</w:t>
      </w:r>
      <w:r w:rsidRPr="00BF3301">
        <w:t xml:space="preserve"> by removing the high</w:t>
      </w:r>
      <w:r w:rsidR="003B738F">
        <w:t xml:space="preserve">est dose until non </w:t>
      </w:r>
      <w:r>
        <w:t xml:space="preserve">significance </w:t>
      </w:r>
      <w:r w:rsidRPr="00BF3301">
        <w:t xml:space="preserve">was </w:t>
      </w:r>
      <w:r w:rsidRPr="00BF3301">
        <w:lastRenderedPageBreak/>
        <w:t>reached. Results demonstrated a statistically significant d</w:t>
      </w:r>
      <w:r>
        <w:t xml:space="preserve">ose response from vehicle up to </w:t>
      </w:r>
      <w:r w:rsidR="006D61C3">
        <w:t>ivermectin</w:t>
      </w:r>
      <w:r w:rsidRPr="00BF3301">
        <w:t xml:space="preserve"> 1% </w:t>
      </w:r>
      <w:r w:rsidR="00FD3E5F">
        <w:t>QD</w:t>
      </w:r>
      <w:r w:rsidRPr="00BF3301">
        <w:t xml:space="preserve"> (p</w:t>
      </w:r>
      <w:r w:rsidR="003B738F">
        <w:t xml:space="preserve"> </w:t>
      </w:r>
      <w:r w:rsidRPr="00BF3301">
        <w:t>=</w:t>
      </w:r>
      <w:r w:rsidR="003B738F">
        <w:t xml:space="preserve"> </w:t>
      </w:r>
      <w:r w:rsidRPr="00BF3301">
        <w:t>0.004, ITT-LOCF) and confirmed result</w:t>
      </w:r>
      <w:r>
        <w:t xml:space="preserve">s obtained through the pairwise </w:t>
      </w:r>
      <w:r w:rsidRPr="00BF3301">
        <w:t>comparison.</w:t>
      </w:r>
    </w:p>
    <w:p w14:paraId="6AD89F25" w14:textId="77777777" w:rsidR="00BF3301" w:rsidRDefault="00BF3301" w:rsidP="00BF3301">
      <w:r w:rsidRPr="00BF3301">
        <w:t xml:space="preserve">A tabulated overview of </w:t>
      </w:r>
      <w:r w:rsidR="003B738F">
        <w:t>AEs</w:t>
      </w:r>
      <w:r w:rsidRPr="00BF3301">
        <w:t xml:space="preserve"> reported in Study 40027 is </w:t>
      </w:r>
      <w:r w:rsidR="003B738F">
        <w:t>provided</w:t>
      </w:r>
      <w:r w:rsidRPr="00BF3301">
        <w:t xml:space="preserve"> (see Table </w:t>
      </w:r>
      <w:r w:rsidR="00D653C0">
        <w:t>13</w:t>
      </w:r>
      <w:r w:rsidRPr="00BF3301">
        <w:t>). These data show that the incidence of AEs was similar</w:t>
      </w:r>
      <w:r>
        <w:t xml:space="preserve"> </w:t>
      </w:r>
      <w:r w:rsidRPr="00BF3301">
        <w:t xml:space="preserve">in the </w:t>
      </w:r>
      <w:r w:rsidR="006D61C3">
        <w:t>ivermectin</w:t>
      </w:r>
      <w:r w:rsidRPr="00BF3301">
        <w:t xml:space="preserve"> 0.3% </w:t>
      </w:r>
      <w:r w:rsidR="00FD3E5F">
        <w:t>QD</w:t>
      </w:r>
      <w:r w:rsidRPr="00BF3301">
        <w:t xml:space="preserve"> and 1% </w:t>
      </w:r>
      <w:r w:rsidR="00FD3E5F">
        <w:t>QD</w:t>
      </w:r>
      <w:r w:rsidRPr="00BF3301">
        <w:t xml:space="preserve"> groups. Overall 138 out of the 296 </w:t>
      </w:r>
      <w:r>
        <w:t>subjects random</w:t>
      </w:r>
      <w:r w:rsidR="00603F07">
        <w:t>ise</w:t>
      </w:r>
      <w:r>
        <w:t xml:space="preserve">d </w:t>
      </w:r>
      <w:r w:rsidRPr="00BF3301">
        <w:t xml:space="preserve">reported at least one AE: 21 (41.2%) subjects for </w:t>
      </w:r>
      <w:r w:rsidR="006D61C3">
        <w:t>ivermectin</w:t>
      </w:r>
      <w:r>
        <w:t xml:space="preserve"> 0.1% </w:t>
      </w:r>
      <w:r w:rsidR="00F2439E">
        <w:t>cream</w:t>
      </w:r>
      <w:r>
        <w:t xml:space="preserve"> </w:t>
      </w:r>
      <w:r w:rsidR="00FD3E5F">
        <w:t>QD</w:t>
      </w:r>
      <w:r>
        <w:t xml:space="preserve">, 23 (48.9%) </w:t>
      </w:r>
      <w:r w:rsidRPr="00BF3301">
        <w:t xml:space="preserve">subjects for </w:t>
      </w:r>
      <w:r w:rsidR="006D61C3">
        <w:t>ivermectin</w:t>
      </w:r>
      <w:r w:rsidRPr="00BF3301">
        <w:t xml:space="preserve"> 0.3% </w:t>
      </w:r>
      <w:r w:rsidR="00F2439E">
        <w:t>cream</w:t>
      </w:r>
      <w:r w:rsidRPr="00BF3301">
        <w:t xml:space="preserve"> </w:t>
      </w:r>
      <w:r w:rsidR="00FD3E5F">
        <w:t>QD</w:t>
      </w:r>
      <w:r w:rsidRPr="00BF3301">
        <w:t>, 21 (40.4%) subjects</w:t>
      </w:r>
      <w:r>
        <w:t xml:space="preserve"> for </w:t>
      </w:r>
      <w:r w:rsidR="006D61C3">
        <w:t>ivermectin</w:t>
      </w:r>
      <w:r>
        <w:t xml:space="preserve"> 1% </w:t>
      </w:r>
      <w:r w:rsidR="00F2439E">
        <w:t>cream</w:t>
      </w:r>
      <w:r>
        <w:t xml:space="preserve"> </w:t>
      </w:r>
      <w:r w:rsidR="00FD3E5F">
        <w:t>QD</w:t>
      </w:r>
      <w:r>
        <w:t xml:space="preserve">, 28 </w:t>
      </w:r>
      <w:r w:rsidRPr="00BF3301">
        <w:t xml:space="preserve">subjects (58.3%) for </w:t>
      </w:r>
      <w:r w:rsidR="006D61C3">
        <w:t>ivermectin</w:t>
      </w:r>
      <w:r w:rsidRPr="00BF3301">
        <w:t xml:space="preserve"> 1% </w:t>
      </w:r>
      <w:r w:rsidR="00F2439E">
        <w:t>cream</w:t>
      </w:r>
      <w:r w:rsidRPr="00BF3301">
        <w:t xml:space="preserve"> </w:t>
      </w:r>
      <w:r w:rsidR="00F757B6">
        <w:t>BD</w:t>
      </w:r>
      <w:r w:rsidRPr="00BF3301">
        <w:t xml:space="preserve"> and 26 (52%) subjects for vehicle.</w:t>
      </w:r>
    </w:p>
    <w:p w14:paraId="6AD89F26" w14:textId="77777777" w:rsidR="003B738F" w:rsidRDefault="003B738F" w:rsidP="003B738F">
      <w:pPr>
        <w:pStyle w:val="TableTitle"/>
      </w:pPr>
      <w:proofErr w:type="gramStart"/>
      <w:r w:rsidRPr="003B738F">
        <w:t xml:space="preserve">Table </w:t>
      </w:r>
      <w:r w:rsidR="00D653C0">
        <w:t>13</w:t>
      </w:r>
      <w:r w:rsidRPr="003B738F">
        <w:t>.</w:t>
      </w:r>
      <w:proofErr w:type="gramEnd"/>
      <w:r w:rsidRPr="003B738F">
        <w:t xml:space="preserve"> </w:t>
      </w:r>
      <w:proofErr w:type="gramStart"/>
      <w:r w:rsidRPr="003B738F">
        <w:t>Overview of Adverse Events in Study 40027 (Safety population)</w:t>
      </w:r>
      <w:r>
        <w:t>.</w:t>
      </w:r>
      <w:proofErr w:type="gramEnd"/>
    </w:p>
    <w:p w14:paraId="6AD89F27" w14:textId="77777777" w:rsidR="003B738F" w:rsidRPr="003B738F" w:rsidRDefault="003B738F" w:rsidP="003B738F">
      <w:r>
        <w:rPr>
          <w:noProof/>
          <w:lang w:eastAsia="en-AU"/>
        </w:rPr>
        <w:drawing>
          <wp:inline distT="0" distB="0" distL="0" distR="0" wp14:anchorId="6AD89F8A" wp14:editId="6AD89F8B">
            <wp:extent cx="5400040" cy="2095977"/>
            <wp:effectExtent l="0" t="0" r="0" b="0"/>
            <wp:docPr id="3" name="Picture 3" descr="Table 13. Overview of Adverse Events in Study 40027 (Safety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400040" cy="2095977"/>
                    </a:xfrm>
                    <a:prstGeom prst="rect">
                      <a:avLst/>
                    </a:prstGeom>
                  </pic:spPr>
                </pic:pic>
              </a:graphicData>
            </a:graphic>
          </wp:inline>
        </w:drawing>
      </w:r>
    </w:p>
    <w:p w14:paraId="6AD89F28" w14:textId="77777777" w:rsidR="00BF3301" w:rsidRPr="00BF3301" w:rsidRDefault="00BF3301" w:rsidP="00BF3301">
      <w:r w:rsidRPr="00BF3301">
        <w:t xml:space="preserve">The number of subjects with related AEs were 5 (9.8%) for </w:t>
      </w:r>
      <w:r w:rsidR="006D61C3">
        <w:t>ivermectin</w:t>
      </w:r>
      <w:r>
        <w:t xml:space="preserve"> 0.1% </w:t>
      </w:r>
      <w:r w:rsidR="00FD3E5F">
        <w:t>QD</w:t>
      </w:r>
      <w:r>
        <w:t xml:space="preserve">, 6 (12.8%) for </w:t>
      </w:r>
      <w:r w:rsidR="006D61C3">
        <w:t>ivermectin</w:t>
      </w:r>
      <w:r w:rsidRPr="00BF3301">
        <w:t xml:space="preserve"> 0.3% </w:t>
      </w:r>
      <w:r w:rsidR="00F2439E">
        <w:t>cream</w:t>
      </w:r>
      <w:r w:rsidRPr="00BF3301">
        <w:t xml:space="preserve"> </w:t>
      </w:r>
      <w:r w:rsidR="00FD3E5F">
        <w:t>QD</w:t>
      </w:r>
      <w:r w:rsidRPr="00BF3301">
        <w:t xml:space="preserve">, 3 (5.8%) for </w:t>
      </w:r>
      <w:r w:rsidR="006D61C3">
        <w:t>ivermectin</w:t>
      </w:r>
      <w:r w:rsidRPr="00BF3301">
        <w:t xml:space="preserve"> 1% </w:t>
      </w:r>
      <w:r w:rsidR="00F2439E">
        <w:t>cream</w:t>
      </w:r>
      <w:r>
        <w:t xml:space="preserve"> </w:t>
      </w:r>
      <w:r w:rsidR="00FD3E5F">
        <w:t>QD</w:t>
      </w:r>
      <w:r>
        <w:t xml:space="preserve">, 7 (14.6%) for </w:t>
      </w:r>
      <w:r w:rsidR="006D61C3">
        <w:t>ivermectin</w:t>
      </w:r>
      <w:r>
        <w:t xml:space="preserve"> </w:t>
      </w:r>
      <w:r w:rsidRPr="00BF3301">
        <w:t xml:space="preserve">1% </w:t>
      </w:r>
      <w:r w:rsidR="00F2439E">
        <w:t>cream</w:t>
      </w:r>
      <w:r w:rsidRPr="00BF3301">
        <w:t xml:space="preserve"> </w:t>
      </w:r>
      <w:r w:rsidR="00F757B6">
        <w:t>BD</w:t>
      </w:r>
      <w:r w:rsidRPr="00BF3301">
        <w:t xml:space="preserve"> and 5 (10.0%) for vehicle.</w:t>
      </w:r>
    </w:p>
    <w:p w14:paraId="6AD89F29" w14:textId="77777777" w:rsidR="00BF3301" w:rsidRPr="00BF3301" w:rsidRDefault="00BF3301" w:rsidP="00BF3301">
      <w:r w:rsidRPr="00BF3301">
        <w:t>Dermatologic adverse events were reported in 8 subjects (15.7</w:t>
      </w:r>
      <w:r>
        <w:t xml:space="preserve">%) treated with </w:t>
      </w:r>
      <w:r w:rsidR="006D61C3">
        <w:t>ivermectin</w:t>
      </w:r>
      <w:r>
        <w:t xml:space="preserve"> 0.1% </w:t>
      </w:r>
      <w:r w:rsidR="00F2439E">
        <w:t>cream</w:t>
      </w:r>
      <w:r w:rsidRPr="00BF3301">
        <w:t xml:space="preserve"> </w:t>
      </w:r>
      <w:r w:rsidR="00FD3E5F">
        <w:t>QD</w:t>
      </w:r>
      <w:r w:rsidRPr="00BF3301">
        <w:t xml:space="preserve">, 8 subjects (17.0%) with </w:t>
      </w:r>
      <w:r w:rsidR="006D61C3">
        <w:t>ivermectin</w:t>
      </w:r>
      <w:r w:rsidRPr="00BF3301">
        <w:t xml:space="preserve"> 0.3% </w:t>
      </w:r>
      <w:r w:rsidR="00F2439E">
        <w:t>cream</w:t>
      </w:r>
      <w:r>
        <w:t xml:space="preserve"> </w:t>
      </w:r>
      <w:r w:rsidR="00FD3E5F">
        <w:t>QD</w:t>
      </w:r>
      <w:r>
        <w:t xml:space="preserve">, 5 subjects (9.6%) with </w:t>
      </w:r>
      <w:r w:rsidR="006D61C3">
        <w:t>ivermectin</w:t>
      </w:r>
      <w:r w:rsidRPr="00BF3301">
        <w:t xml:space="preserve"> 1% </w:t>
      </w:r>
      <w:r w:rsidR="00F2439E">
        <w:t>cream</w:t>
      </w:r>
      <w:r w:rsidRPr="00BF3301">
        <w:t xml:space="preserve"> </w:t>
      </w:r>
      <w:r w:rsidR="00FD3E5F">
        <w:t>QD</w:t>
      </w:r>
      <w:r w:rsidRPr="00BF3301">
        <w:t xml:space="preserve">, 7 subjects (14.6%) with </w:t>
      </w:r>
      <w:r w:rsidR="006D61C3">
        <w:t>ivermectin</w:t>
      </w:r>
      <w:r>
        <w:t xml:space="preserve"> 1% </w:t>
      </w:r>
      <w:r w:rsidR="00F2439E">
        <w:t>cream</w:t>
      </w:r>
      <w:r>
        <w:t xml:space="preserve"> </w:t>
      </w:r>
      <w:r w:rsidR="00F757B6">
        <w:t>BD</w:t>
      </w:r>
      <w:r>
        <w:t xml:space="preserve"> and 10 subjects </w:t>
      </w:r>
      <w:r w:rsidRPr="00BF3301">
        <w:t>(20.0%) with vehicle.</w:t>
      </w:r>
    </w:p>
    <w:p w14:paraId="6AD89F2A" w14:textId="77777777" w:rsidR="00BF3301" w:rsidRPr="00BF3301" w:rsidRDefault="00BF3301" w:rsidP="00BF3301">
      <w:r w:rsidRPr="00BF3301">
        <w:t xml:space="preserve">No subjects in either treatment group were discontinued due </w:t>
      </w:r>
      <w:r>
        <w:t xml:space="preserve">to abnormal laboratory results. </w:t>
      </w:r>
      <w:r w:rsidR="003B738F">
        <w:t xml:space="preserve">Globally, no dose </w:t>
      </w:r>
      <w:r w:rsidRPr="00BF3301">
        <w:t>effect relationship was observed on any of th</w:t>
      </w:r>
      <w:r>
        <w:t xml:space="preserve">e cutaneous signs and symptoms: </w:t>
      </w:r>
      <w:r w:rsidRPr="00BF3301">
        <w:t>no clear difference on the severity grades was observed betwe</w:t>
      </w:r>
      <w:r>
        <w:t xml:space="preserve">en ivermectin treatment groups, </w:t>
      </w:r>
      <w:r w:rsidRPr="00BF3301">
        <w:t>metronidazole group and vehicle group.</w:t>
      </w:r>
    </w:p>
    <w:p w14:paraId="6AD89F2B" w14:textId="77777777" w:rsidR="00BF3301" w:rsidRPr="00BF3301" w:rsidRDefault="00BF3301" w:rsidP="00BF3301">
      <w:r w:rsidRPr="00BF3301">
        <w:t xml:space="preserve">Thus, efficacy and safety results from Study 40027 support </w:t>
      </w:r>
      <w:r>
        <w:t xml:space="preserve">the good benefit/risk ratio for </w:t>
      </w:r>
      <w:r w:rsidR="006D61C3">
        <w:t>ivermectin</w:t>
      </w:r>
      <w:r w:rsidRPr="00BF3301">
        <w:t xml:space="preserve"> 1% </w:t>
      </w:r>
      <w:r w:rsidR="00F2439E">
        <w:t>cream</w:t>
      </w:r>
      <w:r w:rsidRPr="00BF3301">
        <w:t xml:space="preserve"> </w:t>
      </w:r>
      <w:r w:rsidR="00FD3E5F">
        <w:t>QD</w:t>
      </w:r>
      <w:r w:rsidR="003B738F">
        <w:t>. These data informed the s</w:t>
      </w:r>
      <w:r w:rsidRPr="00BF3301">
        <w:t>ponsor’s choice of 1% dosage and regim</w:t>
      </w:r>
      <w:r>
        <w:t xml:space="preserve">en </w:t>
      </w:r>
      <w:r w:rsidRPr="00BF3301">
        <w:t>for further clinical development.</w:t>
      </w:r>
    </w:p>
    <w:p w14:paraId="6AD89F2C" w14:textId="77777777" w:rsidR="00BF3301" w:rsidRPr="00BF3301" w:rsidRDefault="00BF3301" w:rsidP="00A5525C">
      <w:pPr>
        <w:pStyle w:val="Heading5"/>
      </w:pPr>
      <w:r w:rsidRPr="00BF3301">
        <w:t>TGA comment: Superiority to Vehicle</w:t>
      </w:r>
    </w:p>
    <w:p w14:paraId="6AD89F2D" w14:textId="77777777" w:rsidR="00BF3301" w:rsidRPr="003B738F" w:rsidRDefault="00BF3301" w:rsidP="00BF3301">
      <w:pPr>
        <w:rPr>
          <w:i/>
        </w:rPr>
      </w:pPr>
      <w:r w:rsidRPr="003B738F">
        <w:rPr>
          <w:i/>
        </w:rPr>
        <w:t>Soolantra was shown to be superior to vehicle.</w:t>
      </w:r>
    </w:p>
    <w:p w14:paraId="6AD89F2E" w14:textId="77777777" w:rsidR="00BF3301" w:rsidRPr="003B738F" w:rsidRDefault="003B738F" w:rsidP="00BF3301">
      <w:pPr>
        <w:rPr>
          <w:i/>
        </w:rPr>
      </w:pPr>
      <w:r w:rsidRPr="003B738F">
        <w:rPr>
          <w:i/>
        </w:rPr>
        <w:t>Sponsor’s</w:t>
      </w:r>
      <w:r w:rsidR="00BF3301" w:rsidRPr="003B738F">
        <w:rPr>
          <w:i/>
        </w:rPr>
        <w:t xml:space="preserve"> response</w:t>
      </w:r>
      <w:r>
        <w:rPr>
          <w:i/>
        </w:rPr>
        <w:t>:</w:t>
      </w:r>
    </w:p>
    <w:p w14:paraId="6AD89F2F" w14:textId="77777777" w:rsidR="00BF3301" w:rsidRPr="00BF3301" w:rsidRDefault="003B738F" w:rsidP="00BF3301">
      <w:r>
        <w:t>In a response to the c</w:t>
      </w:r>
      <w:r w:rsidR="00BF3301" w:rsidRPr="00BF3301">
        <w:t xml:space="preserve">linical </w:t>
      </w:r>
      <w:r>
        <w:t>evaluator’s</w:t>
      </w:r>
      <w:r w:rsidR="00BF3301" w:rsidRPr="00BF3301">
        <w:t xml:space="preserve"> comment </w:t>
      </w:r>
      <w:r w:rsidR="00BF3301">
        <w:t xml:space="preserve">the draft PI was amended to </w:t>
      </w:r>
      <w:r w:rsidR="00BF3301" w:rsidRPr="00BF3301">
        <w:t xml:space="preserve">include the following sentence: </w:t>
      </w:r>
      <w:r w:rsidR="00BD1775">
        <w:t>‘</w:t>
      </w:r>
      <w:r w:rsidR="00356678" w:rsidRPr="003B738F">
        <w:rPr>
          <w:i/>
        </w:rPr>
        <w:t>Soolantra</w:t>
      </w:r>
      <w:r w:rsidR="00BF3301" w:rsidRPr="003B738F">
        <w:rPr>
          <w:i/>
        </w:rPr>
        <w:t>/</w:t>
      </w:r>
      <w:r w:rsidR="006F6336" w:rsidRPr="003B738F">
        <w:rPr>
          <w:i/>
        </w:rPr>
        <w:t>Vastreka</w:t>
      </w:r>
      <w:r w:rsidR="00BF3301" w:rsidRPr="003B738F">
        <w:rPr>
          <w:i/>
        </w:rPr>
        <w:t xml:space="preserve"> demonstrated a significantly superior efficacy versus vehicle on both co-primary endpoints (reduction of inflammatory lesions and IGA success rate) which occurred as early as Week 4 and continued up to and including the 12-week time point.</w:t>
      </w:r>
      <w:r w:rsidR="00BD1775">
        <w:t>’</w:t>
      </w:r>
    </w:p>
    <w:p w14:paraId="6AD89F30" w14:textId="77777777" w:rsidR="00BF3301" w:rsidRPr="00BF3301" w:rsidRDefault="00BF3301" w:rsidP="00A5525C">
      <w:pPr>
        <w:pStyle w:val="Heading5"/>
      </w:pPr>
      <w:r w:rsidRPr="00BF3301">
        <w:t>TGA comment: Mechanism of Action</w:t>
      </w:r>
    </w:p>
    <w:p w14:paraId="6AD89F31" w14:textId="77777777" w:rsidR="00BF3301" w:rsidRPr="003B738F" w:rsidRDefault="00BF3301" w:rsidP="00BF3301">
      <w:pPr>
        <w:rPr>
          <w:i/>
        </w:rPr>
      </w:pPr>
      <w:r w:rsidRPr="003B738F">
        <w:rPr>
          <w:i/>
        </w:rPr>
        <w:t xml:space="preserve">The mechanism of action of 1% </w:t>
      </w:r>
      <w:proofErr w:type="spellStart"/>
      <w:r w:rsidRPr="003B738F">
        <w:rPr>
          <w:i/>
        </w:rPr>
        <w:t>ivermectin</w:t>
      </w:r>
      <w:proofErr w:type="spellEnd"/>
      <w:r w:rsidRPr="003B738F">
        <w:rPr>
          <w:i/>
        </w:rPr>
        <w:t xml:space="preserve"> cream in </w:t>
      </w:r>
      <w:proofErr w:type="spellStart"/>
      <w:r w:rsidRPr="003B738F">
        <w:rPr>
          <w:i/>
        </w:rPr>
        <w:t>papulo</w:t>
      </w:r>
      <w:proofErr w:type="spellEnd"/>
      <w:r w:rsidR="00BE5FC8">
        <w:rPr>
          <w:i/>
        </w:rPr>
        <w:t>-</w:t>
      </w:r>
      <w:r w:rsidRPr="003B738F">
        <w:rPr>
          <w:i/>
        </w:rPr>
        <w:t>pustular rosacea has not been definitively investigated in nonclinical or clinical studies.</w:t>
      </w:r>
    </w:p>
    <w:p w14:paraId="6AD89F32" w14:textId="77777777" w:rsidR="003B738F" w:rsidRPr="003B738F" w:rsidRDefault="003B738F" w:rsidP="003B738F">
      <w:pPr>
        <w:rPr>
          <w:i/>
        </w:rPr>
      </w:pPr>
      <w:r w:rsidRPr="003B738F">
        <w:rPr>
          <w:i/>
        </w:rPr>
        <w:lastRenderedPageBreak/>
        <w:t>Sponsor’s response:</w:t>
      </w:r>
    </w:p>
    <w:p w14:paraId="6AD89F33" w14:textId="77777777" w:rsidR="00BF3301" w:rsidRPr="00BF3301" w:rsidRDefault="00BF3301" w:rsidP="00BF3301">
      <w:r w:rsidRPr="00BF3301">
        <w:t>With topical application of ivermectin, anti-inflammatory p</w:t>
      </w:r>
      <w:r w:rsidR="00F366A8">
        <w:t xml:space="preserve">roperties have been observed in </w:t>
      </w:r>
      <w:r w:rsidRPr="00BF3301">
        <w:t>animal models of skin inflammation. The anti-inflammatory pote</w:t>
      </w:r>
      <w:r w:rsidR="00F366A8">
        <w:t xml:space="preserve">ntial of topical application of </w:t>
      </w:r>
      <w:r w:rsidRPr="00BF3301">
        <w:t>ivermectin has been evaluated in pharmacology studies in mice that were</w:t>
      </w:r>
      <w:r w:rsidR="00F366A8">
        <w:t xml:space="preserve"> conducted by the </w:t>
      </w:r>
      <w:r w:rsidR="003B738F">
        <w:t>s</w:t>
      </w:r>
      <w:r w:rsidRPr="00BF3301">
        <w:t>ponsor, using e</w:t>
      </w:r>
      <w:r w:rsidR="003B738F">
        <w:t xml:space="preserve">ar </w:t>
      </w:r>
      <w:r w:rsidR="00650101">
        <w:t>oedema</w:t>
      </w:r>
      <w:r w:rsidR="003B738F">
        <w:t xml:space="preserve"> models and an allergen </w:t>
      </w:r>
      <w:r w:rsidRPr="00BF3301">
        <w:t>induced atop</w:t>
      </w:r>
      <w:r w:rsidR="00F366A8">
        <w:t xml:space="preserve">ic dermatitis model. Ivermectin </w:t>
      </w:r>
      <w:r w:rsidRPr="00BF3301">
        <w:t>also causes death of parasites, primarily through binding select</w:t>
      </w:r>
      <w:r w:rsidR="00F366A8">
        <w:t xml:space="preserve">ively and with high affinity to </w:t>
      </w:r>
      <w:r w:rsidR="003B738F">
        <w:t xml:space="preserve">glutamate </w:t>
      </w:r>
      <w:r w:rsidRPr="00BF3301">
        <w:t xml:space="preserve">gated chloride channels, which </w:t>
      </w:r>
      <w:r w:rsidR="00A5525C">
        <w:t>are present</w:t>
      </w:r>
      <w:r w:rsidRPr="00BF3301">
        <w:t xml:space="preserve"> in invertebr</w:t>
      </w:r>
      <w:r w:rsidR="00F366A8">
        <w:t xml:space="preserve">ate nerve and muscle cells. The </w:t>
      </w:r>
      <w:r w:rsidRPr="00BF3301">
        <w:t xml:space="preserve">mechanism of action of </w:t>
      </w:r>
      <w:r w:rsidR="006D61C3">
        <w:t>ivermectin</w:t>
      </w:r>
      <w:r w:rsidRPr="00BF3301">
        <w:t xml:space="preserve"> 1% </w:t>
      </w:r>
      <w:r w:rsidR="00F2439E">
        <w:t>cream</w:t>
      </w:r>
      <w:r w:rsidRPr="00BF3301">
        <w:t xml:space="preserve"> in treating the </w:t>
      </w:r>
      <w:r w:rsidR="00F366A8">
        <w:t xml:space="preserve">inflammatory lesions of rosacea </w:t>
      </w:r>
      <w:r w:rsidRPr="00BF3301">
        <w:t>may be linked to anti-inflammatory effects of ivermectin as wel</w:t>
      </w:r>
      <w:r w:rsidR="00F366A8">
        <w:t xml:space="preserve">l as the death of </w:t>
      </w:r>
      <w:proofErr w:type="spellStart"/>
      <w:r w:rsidR="00F366A8">
        <w:t>Demodex</w:t>
      </w:r>
      <w:proofErr w:type="spellEnd"/>
      <w:r w:rsidR="00F366A8">
        <w:t xml:space="preserve"> mites </w:t>
      </w:r>
      <w:r w:rsidRPr="00BF3301">
        <w:t>that have been reported to be a factor in inflammation of the sk</w:t>
      </w:r>
      <w:r w:rsidR="00F366A8">
        <w:t xml:space="preserve">in. However, this mechanism has </w:t>
      </w:r>
      <w:r w:rsidRPr="00BF3301">
        <w:t>not been investigated in detail since the exact physiopatho</w:t>
      </w:r>
      <w:r w:rsidR="00F366A8">
        <w:t xml:space="preserve">logy of rosacea is unknown. The </w:t>
      </w:r>
      <w:r w:rsidR="00324098">
        <w:t>sponsor</w:t>
      </w:r>
      <w:r w:rsidRPr="00BF3301">
        <w:t xml:space="preserve"> considers that this is not a key issue, since the efficacy and safety of topical ivermecti</w:t>
      </w:r>
      <w:r w:rsidR="00F366A8">
        <w:t xml:space="preserve">n </w:t>
      </w:r>
      <w:r w:rsidRPr="00BF3301">
        <w:t>have been clearly demonstrated. In line with the Delegate’s state</w:t>
      </w:r>
      <w:r w:rsidR="00F366A8">
        <w:t xml:space="preserve">ment, the following sentence is </w:t>
      </w:r>
      <w:r w:rsidRPr="00BF3301">
        <w:t>now</w:t>
      </w:r>
      <w:r w:rsidR="00A5525C">
        <w:t xml:space="preserve"> included in the Pharmacology/</w:t>
      </w:r>
      <w:r w:rsidRPr="00BF3301">
        <w:t>Mechanism of action secti</w:t>
      </w:r>
      <w:r w:rsidR="00F366A8">
        <w:t xml:space="preserve">on of the PI: </w:t>
      </w:r>
      <w:r w:rsidR="00BD1775">
        <w:t>‘</w:t>
      </w:r>
      <w:r w:rsidR="00F366A8" w:rsidRPr="009E5E6E">
        <w:rPr>
          <w:i/>
        </w:rPr>
        <w:t xml:space="preserve">The mechanism of </w:t>
      </w:r>
      <w:r w:rsidRPr="009E5E6E">
        <w:rPr>
          <w:i/>
        </w:rPr>
        <w:t xml:space="preserve">action of </w:t>
      </w:r>
      <w:r w:rsidR="00356678" w:rsidRPr="009E5E6E">
        <w:rPr>
          <w:i/>
        </w:rPr>
        <w:t>Soolantra</w:t>
      </w:r>
      <w:r w:rsidRPr="009E5E6E">
        <w:rPr>
          <w:i/>
        </w:rPr>
        <w:t xml:space="preserve"> cream in treating rosacea lesions is unknown.</w:t>
      </w:r>
      <w:r w:rsidR="00BD1775">
        <w:t>’</w:t>
      </w:r>
    </w:p>
    <w:p w14:paraId="6AD89F34" w14:textId="77777777" w:rsidR="00F366A8" w:rsidRPr="00F366A8" w:rsidRDefault="00F366A8" w:rsidP="00A5525C">
      <w:pPr>
        <w:pStyle w:val="Heading5"/>
      </w:pPr>
      <w:r w:rsidRPr="00F366A8">
        <w:t>TGA comment: Data on Relapse Rates</w:t>
      </w:r>
    </w:p>
    <w:p w14:paraId="6AD89F35" w14:textId="77777777" w:rsidR="00F366A8" w:rsidRPr="009E5E6E" w:rsidRDefault="00F366A8" w:rsidP="00F366A8">
      <w:pPr>
        <w:rPr>
          <w:i/>
        </w:rPr>
      </w:pPr>
      <w:r w:rsidRPr="009E5E6E">
        <w:rPr>
          <w:i/>
        </w:rPr>
        <w:t xml:space="preserve">Data on relapse rates from the 36 week extension of </w:t>
      </w:r>
      <w:r w:rsidR="00F941D7" w:rsidRPr="009E5E6E">
        <w:rPr>
          <w:i/>
        </w:rPr>
        <w:t>Study</w:t>
      </w:r>
      <w:r w:rsidRPr="009E5E6E">
        <w:rPr>
          <w:i/>
        </w:rPr>
        <w:t xml:space="preserve"> RD.03.SRE.40173 are awaited.</w:t>
      </w:r>
    </w:p>
    <w:p w14:paraId="6AD89F36" w14:textId="77777777" w:rsidR="009E5E6E" w:rsidRPr="009E5E6E" w:rsidRDefault="009E5E6E" w:rsidP="009E5E6E">
      <w:pPr>
        <w:rPr>
          <w:i/>
        </w:rPr>
      </w:pPr>
      <w:r w:rsidRPr="009E5E6E">
        <w:rPr>
          <w:i/>
        </w:rPr>
        <w:t>Sponsor’s response:</w:t>
      </w:r>
    </w:p>
    <w:p w14:paraId="6AD89F37" w14:textId="77777777" w:rsidR="00BF3301" w:rsidRPr="00F366A8" w:rsidRDefault="00F366A8" w:rsidP="00F366A8">
      <w:r w:rsidRPr="00F366A8">
        <w:t xml:space="preserve">The objective of the second study period (Period B) of Study </w:t>
      </w:r>
      <w:r>
        <w:t xml:space="preserve">RD.03.SRE.40173 was to generate </w:t>
      </w:r>
      <w:r w:rsidRPr="00F366A8">
        <w:t xml:space="preserve">efficacy data of </w:t>
      </w:r>
      <w:r w:rsidR="006D61C3">
        <w:t>ivermectin</w:t>
      </w:r>
      <w:r w:rsidRPr="00F366A8">
        <w:t xml:space="preserve"> 1% </w:t>
      </w:r>
      <w:r w:rsidR="00F2439E">
        <w:t>cream</w:t>
      </w:r>
      <w:r w:rsidRPr="00F366A8">
        <w:t xml:space="preserve"> versus </w:t>
      </w:r>
      <w:r w:rsidR="00324098">
        <w:t>metronidazole</w:t>
      </w:r>
      <w:r>
        <w:t xml:space="preserve"> 0.75% </w:t>
      </w:r>
      <w:r w:rsidR="00F2439E">
        <w:t>cream</w:t>
      </w:r>
      <w:r>
        <w:t xml:space="preserve">, for subjects </w:t>
      </w:r>
      <w:r w:rsidRPr="00F366A8">
        <w:t>successfully treated over the initial 16 weeks of treatment, by asses</w:t>
      </w:r>
      <w:r>
        <w:t xml:space="preserve">sing the time of first relapse, </w:t>
      </w:r>
      <w:r w:rsidRPr="00F366A8">
        <w:t>the relapse rate, the number of days free of treatment, and subject’s g</w:t>
      </w:r>
      <w:r>
        <w:t xml:space="preserve">lobal improvement of </w:t>
      </w:r>
      <w:r w:rsidRPr="00F366A8">
        <w:t>rosacea a</w:t>
      </w:r>
      <w:r w:rsidR="00A5525C">
        <w:t>t Week 52/ET visit</w:t>
      </w:r>
      <w:r w:rsidR="009E5E6E">
        <w:t xml:space="preserve"> during a 36 </w:t>
      </w:r>
      <w:r w:rsidRPr="00F366A8">
        <w:t>week extension peri</w:t>
      </w:r>
      <w:r>
        <w:t xml:space="preserve">od. The safety objective was to </w:t>
      </w:r>
      <w:r w:rsidRPr="00F366A8">
        <w:t xml:space="preserve">assess the overall safety of </w:t>
      </w:r>
      <w:r w:rsidR="006D61C3">
        <w:t>ivermectin</w:t>
      </w:r>
      <w:r w:rsidRPr="00F366A8">
        <w:t xml:space="preserve"> 1% </w:t>
      </w:r>
      <w:r w:rsidR="00F2439E">
        <w:t>cream</w:t>
      </w:r>
      <w:r w:rsidRPr="00F366A8">
        <w:t xml:space="preserve"> applied once d</w:t>
      </w:r>
      <w:r>
        <w:t xml:space="preserve">aily up to 28 weeks during this </w:t>
      </w:r>
      <w:r w:rsidRPr="00F366A8">
        <w:t xml:space="preserve">Period B compared to </w:t>
      </w:r>
      <w:r w:rsidR="00324098">
        <w:t>metronidazole</w:t>
      </w:r>
      <w:r w:rsidRPr="00F366A8">
        <w:t xml:space="preserve"> 0.75% </w:t>
      </w:r>
      <w:r w:rsidR="00F2439E">
        <w:t>cream</w:t>
      </w:r>
      <w:r w:rsidRPr="00F366A8">
        <w:t>.</w:t>
      </w:r>
    </w:p>
    <w:p w14:paraId="6AD89F38" w14:textId="77777777" w:rsidR="00F366A8" w:rsidRPr="00F366A8" w:rsidRDefault="00F366A8" w:rsidP="00F366A8">
      <w:r w:rsidRPr="00F366A8">
        <w:t xml:space="preserve">Subjects eligible for Period B had a success, defined as an </w:t>
      </w:r>
      <w:r w:rsidR="00463EF7">
        <w:t>IGA</w:t>
      </w:r>
      <w:r>
        <w:t xml:space="preserve"> </w:t>
      </w:r>
      <w:r w:rsidRPr="00F366A8">
        <w:t>of 0 or 1 (</w:t>
      </w:r>
      <w:r w:rsidR="009E5E6E">
        <w:t>that is</w:t>
      </w:r>
      <w:r w:rsidRPr="00F366A8">
        <w:t xml:space="preserve">, subjects assessed as </w:t>
      </w:r>
      <w:r w:rsidR="00BD1775">
        <w:t>‘</w:t>
      </w:r>
      <w:r w:rsidRPr="00F366A8">
        <w:t>Clear</w:t>
      </w:r>
      <w:r w:rsidR="00BD1775">
        <w:t>’</w:t>
      </w:r>
      <w:r w:rsidRPr="00F366A8">
        <w:t xml:space="preserve"> or </w:t>
      </w:r>
      <w:r w:rsidR="00BD1775">
        <w:t>‘</w:t>
      </w:r>
      <w:r w:rsidRPr="00F366A8">
        <w:t>Almost Clear</w:t>
      </w:r>
      <w:r w:rsidR="00BD1775">
        <w:t>’</w:t>
      </w:r>
      <w:r w:rsidRPr="00F366A8">
        <w:t xml:space="preserve"> rosacea) at the outcome </w:t>
      </w:r>
      <w:r>
        <w:t xml:space="preserve">(Week 16 </w:t>
      </w:r>
      <w:r w:rsidRPr="00F366A8">
        <w:t>visit) of Period A, and their study treatment was to be stopp</w:t>
      </w:r>
      <w:r>
        <w:t xml:space="preserve">ed. The decision to restart the </w:t>
      </w:r>
      <w:r w:rsidR="009E5E6E">
        <w:t>treatment was made by the i</w:t>
      </w:r>
      <w:r w:rsidRPr="00F366A8">
        <w:t>nvestigator at each study visit (eve</w:t>
      </w:r>
      <w:r>
        <w:t xml:space="preserve">ry 4 weeks) strictly if the IGA </w:t>
      </w:r>
      <w:r w:rsidRPr="00F366A8">
        <w:t xml:space="preserve">score became at least 2. In </w:t>
      </w:r>
      <w:r w:rsidR="009E5E6E">
        <w:t xml:space="preserve">this case, the subjects were re </w:t>
      </w:r>
      <w:r w:rsidRPr="00F366A8">
        <w:t>tre</w:t>
      </w:r>
      <w:r>
        <w:t xml:space="preserve">ated with the same treatment as </w:t>
      </w:r>
      <w:r w:rsidR="00A5525C">
        <w:t>received in Period A</w:t>
      </w:r>
      <w:r w:rsidRPr="00F366A8">
        <w:t xml:space="preserve"> for a maximum duration of 16 weeks. The</w:t>
      </w:r>
      <w:r w:rsidR="009E5E6E">
        <w:t xml:space="preserve"> re </w:t>
      </w:r>
      <w:r>
        <w:t xml:space="preserve">treatment was to last until </w:t>
      </w:r>
      <w:r w:rsidRPr="00F366A8">
        <w:t>I</w:t>
      </w:r>
      <w:r w:rsidR="009E5E6E">
        <w:t>GA was back to 0 or 1 then the i</w:t>
      </w:r>
      <w:r w:rsidRPr="00F366A8">
        <w:t>nvestigator stopped the treatment a</w:t>
      </w:r>
      <w:r>
        <w:t xml:space="preserve">nd the subject continued to </w:t>
      </w:r>
      <w:r w:rsidRPr="00F366A8">
        <w:t>attend the scheduled study visits. If IGA did not come back to 0 or 1</w:t>
      </w:r>
      <w:r>
        <w:t xml:space="preserve"> after 16 weeks of retreatment, </w:t>
      </w:r>
      <w:r w:rsidRPr="00F366A8">
        <w:t>the treatment was discontinued and the subject was withdrawn from the study.</w:t>
      </w:r>
    </w:p>
    <w:p w14:paraId="6AD89F39" w14:textId="77777777" w:rsidR="00BF3301" w:rsidRPr="00F366A8" w:rsidRDefault="00F366A8" w:rsidP="00F366A8">
      <w:r w:rsidRPr="00F366A8">
        <w:t>At the end of Period A, 762 subjects were eligible for entering i</w:t>
      </w:r>
      <w:r>
        <w:t xml:space="preserve">n Period B and 757 out of these </w:t>
      </w:r>
      <w:r w:rsidRPr="00F366A8">
        <w:t>subjects decided to continue in Period B: 399 subjects i</w:t>
      </w:r>
      <w:r>
        <w:t xml:space="preserve">n the </w:t>
      </w:r>
      <w:r w:rsidR="006D61C3">
        <w:t>ivermectin</w:t>
      </w:r>
      <w:r>
        <w:t xml:space="preserve"> 1% </w:t>
      </w:r>
      <w:r w:rsidR="00F2439E">
        <w:t>cream</w:t>
      </w:r>
      <w:r>
        <w:t xml:space="preserve"> group </w:t>
      </w:r>
      <w:r w:rsidRPr="00F366A8">
        <w:t xml:space="preserve">(abbreviated to </w:t>
      </w:r>
      <w:r w:rsidR="00BD1775">
        <w:t>‘</w:t>
      </w:r>
      <w:r w:rsidRPr="00F366A8">
        <w:t>ivermectin group</w:t>
      </w:r>
      <w:r w:rsidR="00BD1775">
        <w:t>’</w:t>
      </w:r>
      <w:r w:rsidRPr="00F366A8">
        <w:t xml:space="preserve">) and 358 subjects in the </w:t>
      </w:r>
      <w:r w:rsidR="00324098">
        <w:t>metronidazole</w:t>
      </w:r>
      <w:r>
        <w:t xml:space="preserve"> 0.75% </w:t>
      </w:r>
      <w:r w:rsidR="00F2439E">
        <w:t>cream</w:t>
      </w:r>
      <w:r>
        <w:t xml:space="preserve"> group </w:t>
      </w:r>
      <w:r w:rsidRPr="00F366A8">
        <w:t xml:space="preserve">(abbreviated to </w:t>
      </w:r>
      <w:r w:rsidR="00BD1775">
        <w:t>‘</w:t>
      </w:r>
      <w:r w:rsidRPr="00F366A8">
        <w:t>metronidazole group</w:t>
      </w:r>
      <w:r w:rsidR="00BD1775">
        <w:t>’</w:t>
      </w:r>
      <w:r w:rsidRPr="00F366A8">
        <w:t>). Disease charact</w:t>
      </w:r>
      <w:r>
        <w:t xml:space="preserve">eristics were comparable in the </w:t>
      </w:r>
      <w:r w:rsidRPr="00F366A8">
        <w:t>2 treatment groups in terms of inflammatory lesion, nodule, papu</w:t>
      </w:r>
      <w:r>
        <w:t xml:space="preserve">le and pustule counts. From the </w:t>
      </w:r>
      <w:r w:rsidRPr="00F366A8">
        <w:t>start of Period B, the median time to first relapse was significantly longer in the ivermectin group</w:t>
      </w:r>
      <w:r>
        <w:t xml:space="preserve"> </w:t>
      </w:r>
      <w:r w:rsidRPr="00F366A8">
        <w:t>(115.0 days) than in the metronidazole group (85.0 days) (p</w:t>
      </w:r>
      <w:r w:rsidR="009E5E6E">
        <w:t xml:space="preserve"> </w:t>
      </w:r>
      <w:r w:rsidRPr="00F366A8">
        <w:t>=</w:t>
      </w:r>
      <w:r w:rsidR="009E5E6E">
        <w:t xml:space="preserve"> </w:t>
      </w:r>
      <w:r w:rsidRPr="00F366A8">
        <w:t>0.0365). The relapse rates were</w:t>
      </w:r>
      <w:r>
        <w:t xml:space="preserve"> </w:t>
      </w:r>
      <w:r w:rsidRPr="00F366A8">
        <w:t>62.7% in the ivermectin group and 68.4% in the metronidazole group. Hence, at the end of the</w:t>
      </w:r>
      <w:r>
        <w:t xml:space="preserve"> </w:t>
      </w:r>
      <w:r w:rsidRPr="00F366A8">
        <w:t>study, 37.3% of subjects in the ivermectin group and 31.6% in the metron</w:t>
      </w:r>
      <w:r>
        <w:t xml:space="preserve">idazole group did not </w:t>
      </w:r>
      <w:r w:rsidRPr="00F366A8">
        <w:t xml:space="preserve">relapse in Period B. The mean number of days free of treatment </w:t>
      </w:r>
      <w:r>
        <w:t xml:space="preserve">was significantly higher in the </w:t>
      </w:r>
      <w:r w:rsidRPr="00F366A8">
        <w:t>ivermectin group (183.4 days) than in the metronidazole group (170.4 days) (p=0.026).</w:t>
      </w:r>
    </w:p>
    <w:p w14:paraId="6AD89F3A" w14:textId="77777777" w:rsidR="00BF3301" w:rsidRPr="00F366A8" w:rsidRDefault="00F366A8" w:rsidP="00F366A8">
      <w:r w:rsidRPr="00F366A8">
        <w:t>In conclusion, with a similar systemic safety profile and a better local tolerance, treatment with</w:t>
      </w:r>
      <w:r>
        <w:t xml:space="preserve"> </w:t>
      </w:r>
      <w:r w:rsidR="006D61C3">
        <w:t>ivermectin</w:t>
      </w:r>
      <w:r w:rsidRPr="00F366A8">
        <w:t xml:space="preserve"> 1% </w:t>
      </w:r>
      <w:r w:rsidR="00F2439E">
        <w:t>cream</w:t>
      </w:r>
      <w:r w:rsidRPr="00F366A8">
        <w:t xml:space="preserve"> once daily resulted in an extended remiss</w:t>
      </w:r>
      <w:r>
        <w:t xml:space="preserve">ion of rosacea when </w:t>
      </w:r>
      <w:r>
        <w:lastRenderedPageBreak/>
        <w:t xml:space="preserve">compared to </w:t>
      </w:r>
      <w:r w:rsidR="00324098">
        <w:t>metronidazole</w:t>
      </w:r>
      <w:r w:rsidRPr="00F366A8">
        <w:t xml:space="preserve"> 0.75% </w:t>
      </w:r>
      <w:r w:rsidR="00F2439E">
        <w:t>cream</w:t>
      </w:r>
      <w:r w:rsidRPr="00F366A8">
        <w:t xml:space="preserve"> twice daily in subjects who we</w:t>
      </w:r>
      <w:r>
        <w:t xml:space="preserve">re successfully treated after a </w:t>
      </w:r>
      <w:r w:rsidR="00A5525C">
        <w:t xml:space="preserve">16 </w:t>
      </w:r>
      <w:r w:rsidRPr="00F366A8">
        <w:t>week treatment period. Study RD.03.SRE.40173 Period B syn</w:t>
      </w:r>
      <w:r w:rsidR="00A5525C">
        <w:t>opsis was</w:t>
      </w:r>
      <w:r>
        <w:t xml:space="preserve"> provided</w:t>
      </w:r>
      <w:r w:rsidRPr="00F366A8">
        <w:t>.</w:t>
      </w:r>
    </w:p>
    <w:p w14:paraId="6AD89F3B" w14:textId="77777777" w:rsidR="00F366A8" w:rsidRPr="00F366A8" w:rsidRDefault="00F366A8" w:rsidP="00A5525C">
      <w:pPr>
        <w:pStyle w:val="Heading5"/>
      </w:pPr>
      <w:r w:rsidRPr="00F366A8">
        <w:t>TGA comment: Treatment Duration</w:t>
      </w:r>
    </w:p>
    <w:p w14:paraId="6AD89F3C" w14:textId="77777777" w:rsidR="00F366A8" w:rsidRPr="009E5E6E" w:rsidRDefault="00F366A8" w:rsidP="00F366A8">
      <w:pPr>
        <w:rPr>
          <w:i/>
        </w:rPr>
      </w:pPr>
      <w:proofErr w:type="gramStart"/>
      <w:r w:rsidRPr="009E5E6E">
        <w:rPr>
          <w:i/>
        </w:rPr>
        <w:t>A treatment</w:t>
      </w:r>
      <w:proofErr w:type="gramEnd"/>
      <w:r w:rsidRPr="009E5E6E">
        <w:rPr>
          <w:i/>
        </w:rPr>
        <w:t xml:space="preserve"> course duration of 4 months has been introduced to draft PI submitted in </w:t>
      </w:r>
      <w:r w:rsidR="009E5E6E">
        <w:rPr>
          <w:i/>
        </w:rPr>
        <w:t>r</w:t>
      </w:r>
      <w:r w:rsidRPr="009E5E6E">
        <w:rPr>
          <w:i/>
        </w:rPr>
        <w:t xml:space="preserve">esponse </w:t>
      </w:r>
      <w:r w:rsidR="009E5E6E">
        <w:rPr>
          <w:i/>
        </w:rPr>
        <w:t xml:space="preserve">TGAs request for information </w:t>
      </w:r>
      <w:r w:rsidRPr="009E5E6E">
        <w:rPr>
          <w:i/>
        </w:rPr>
        <w:t xml:space="preserve">to align with EU </w:t>
      </w:r>
      <w:proofErr w:type="spellStart"/>
      <w:r w:rsidRPr="009E5E6E">
        <w:rPr>
          <w:i/>
        </w:rPr>
        <w:t>SmPC</w:t>
      </w:r>
      <w:proofErr w:type="spellEnd"/>
      <w:r w:rsidRPr="009E5E6E">
        <w:rPr>
          <w:i/>
        </w:rPr>
        <w:t>.</w:t>
      </w:r>
    </w:p>
    <w:p w14:paraId="6AD89F3D" w14:textId="77777777" w:rsidR="009E5E6E" w:rsidRPr="009E5E6E" w:rsidRDefault="009E5E6E" w:rsidP="009E5E6E">
      <w:pPr>
        <w:rPr>
          <w:i/>
        </w:rPr>
      </w:pPr>
      <w:r w:rsidRPr="009E5E6E">
        <w:rPr>
          <w:i/>
        </w:rPr>
        <w:t>Sponsor’s response:</w:t>
      </w:r>
    </w:p>
    <w:p w14:paraId="6AD89F3E" w14:textId="77777777" w:rsidR="00F366A8" w:rsidRPr="00F366A8" w:rsidRDefault="00F366A8" w:rsidP="00F366A8">
      <w:r w:rsidRPr="00F366A8">
        <w:t>In a re</w:t>
      </w:r>
      <w:r w:rsidR="009E5E6E">
        <w:t xml:space="preserve">sponse to the RMP </w:t>
      </w:r>
      <w:r w:rsidR="00324098">
        <w:t>evaluator’s</w:t>
      </w:r>
      <w:r w:rsidR="009E5E6E">
        <w:t xml:space="preserve"> </w:t>
      </w:r>
      <w:r w:rsidRPr="00F366A8">
        <w:t>request</w:t>
      </w:r>
      <w:r>
        <w:t xml:space="preserve">, the </w:t>
      </w:r>
      <w:r w:rsidR="00324098">
        <w:t>sponsor</w:t>
      </w:r>
      <w:r>
        <w:t xml:space="preserve"> </w:t>
      </w:r>
      <w:r w:rsidRPr="00F366A8">
        <w:t xml:space="preserve">provided a comparison of the EU </w:t>
      </w:r>
      <w:proofErr w:type="spellStart"/>
      <w:r w:rsidRPr="00F366A8">
        <w:t>SmPC</w:t>
      </w:r>
      <w:proofErr w:type="spellEnd"/>
      <w:r w:rsidRPr="00F366A8">
        <w:t xml:space="preserve"> (approved in the Decentral</w:t>
      </w:r>
      <w:r w:rsidR="00603F07">
        <w:t>ise</w:t>
      </w:r>
      <w:r w:rsidRPr="00F366A8">
        <w:t xml:space="preserve">d </w:t>
      </w:r>
      <w:r w:rsidR="00EF7169">
        <w:t>Procedure</w:t>
      </w:r>
      <w:r>
        <w:t xml:space="preserve"> D210 stage) </w:t>
      </w:r>
      <w:r w:rsidRPr="00F366A8">
        <w:t xml:space="preserve">with the proposed amended Australian PI </w:t>
      </w:r>
      <w:r w:rsidR="009D6CCA">
        <w:t>and</w:t>
      </w:r>
      <w:r w:rsidRPr="00F366A8">
        <w:t xml:space="preserve"> CMI.</w:t>
      </w:r>
    </w:p>
    <w:p w14:paraId="6AD89F3F" w14:textId="77777777" w:rsidR="00F366A8" w:rsidRPr="00F366A8" w:rsidRDefault="00F366A8" w:rsidP="00F366A8">
      <w:r w:rsidRPr="00F366A8">
        <w:t xml:space="preserve">The confirmatory </w:t>
      </w:r>
      <w:r w:rsidR="00F941D7">
        <w:t>Phase III</w:t>
      </w:r>
      <w:r w:rsidRPr="00F366A8">
        <w:t xml:space="preserve"> program conducted by the </w:t>
      </w:r>
      <w:r w:rsidR="00324098">
        <w:t>sponsor</w:t>
      </w:r>
      <w:r w:rsidRPr="00F366A8">
        <w:t xml:space="preserve"> inc</w:t>
      </w:r>
      <w:r>
        <w:t xml:space="preserve">luded two identically designed, </w:t>
      </w:r>
      <w:r w:rsidR="00EF7169">
        <w:t>independent, adequate and well controlled 12 week pivotal studies versus v</w:t>
      </w:r>
      <w:r w:rsidRPr="00F366A8">
        <w:t xml:space="preserve">ehicle </w:t>
      </w:r>
      <w:r w:rsidR="00F2439E">
        <w:t>cream</w:t>
      </w:r>
      <w:r>
        <w:t xml:space="preserve"> </w:t>
      </w:r>
      <w:r w:rsidRPr="00F366A8">
        <w:t>(Stu</w:t>
      </w:r>
      <w:r w:rsidR="00324098">
        <w:t xml:space="preserve">dies 18170 and 18171), and one investigator blind, active </w:t>
      </w:r>
      <w:r w:rsidRPr="00F366A8">
        <w:t>controlled, supportive study versus</w:t>
      </w:r>
      <w:r>
        <w:t xml:space="preserve"> </w:t>
      </w:r>
      <w:r w:rsidR="00324098">
        <w:t>metronidazole</w:t>
      </w:r>
      <w:r w:rsidRPr="00F366A8">
        <w:t xml:space="preserve"> 0.75% </w:t>
      </w:r>
      <w:r w:rsidR="00F2439E">
        <w:t>cream</w:t>
      </w:r>
      <w:r w:rsidRPr="00F366A8">
        <w:t xml:space="preserve"> (Study 40173). The duration of St</w:t>
      </w:r>
      <w:r>
        <w:t xml:space="preserve">udy 40173 was 16 weeks in order </w:t>
      </w:r>
      <w:r w:rsidRPr="00F366A8">
        <w:t>to ensure that a maximum treatment effect (</w:t>
      </w:r>
      <w:r w:rsidR="00F52E6B">
        <w:t>that is</w:t>
      </w:r>
      <w:r w:rsidRPr="00F366A8">
        <w:t>, di</w:t>
      </w:r>
      <w:r>
        <w:t xml:space="preserve">fference between </w:t>
      </w:r>
      <w:r w:rsidR="006D61C3">
        <w:t>ivermectin</w:t>
      </w:r>
      <w:r>
        <w:t xml:space="preserve"> and </w:t>
      </w:r>
      <w:r w:rsidR="00324098">
        <w:t>metronidazole</w:t>
      </w:r>
      <w:r w:rsidRPr="00F366A8">
        <w:t xml:space="preserve"> arms) would be attained. Studies 18170 and 18171 where the products </w:t>
      </w:r>
      <w:r>
        <w:t xml:space="preserve">were </w:t>
      </w:r>
      <w:r w:rsidRPr="00F366A8">
        <w:t>applied for 12 weeks showed the continuous improvement of</w:t>
      </w:r>
      <w:r>
        <w:t xml:space="preserve"> the symptoms of </w:t>
      </w:r>
      <w:r w:rsidR="00F52E6B">
        <w:t>PPR</w:t>
      </w:r>
      <w:r w:rsidRPr="00F366A8">
        <w:t xml:space="preserve"> upon treatment with </w:t>
      </w:r>
      <w:r w:rsidR="006D61C3">
        <w:t>ivermectin</w:t>
      </w:r>
      <w:r w:rsidRPr="00F366A8">
        <w:t xml:space="preserve"> 1% </w:t>
      </w:r>
      <w:r w:rsidR="00F2439E">
        <w:t>cream</w:t>
      </w:r>
      <w:r w:rsidRPr="00F366A8">
        <w:t xml:space="preserve"> </w:t>
      </w:r>
      <w:r w:rsidR="00FD3E5F">
        <w:t>QD</w:t>
      </w:r>
      <w:r w:rsidRPr="00F366A8">
        <w:t xml:space="preserve"> over time and</w:t>
      </w:r>
      <w:r>
        <w:t xml:space="preserve"> the statistical superiority of </w:t>
      </w:r>
      <w:r w:rsidR="006D61C3">
        <w:t>ivermectin</w:t>
      </w:r>
      <w:r w:rsidRPr="00F366A8">
        <w:t xml:space="preserve"> 1% </w:t>
      </w:r>
      <w:r w:rsidR="00F2439E">
        <w:t>cream</w:t>
      </w:r>
      <w:r w:rsidRPr="00F366A8">
        <w:t xml:space="preserve"> </w:t>
      </w:r>
      <w:r w:rsidR="00FD3E5F">
        <w:t>QD</w:t>
      </w:r>
      <w:r w:rsidRPr="00F366A8">
        <w:t xml:space="preserve"> compared to Vehicle </w:t>
      </w:r>
      <w:r w:rsidR="00F2439E">
        <w:t>cream</w:t>
      </w:r>
      <w:r w:rsidRPr="00F366A8">
        <w:t xml:space="preserve"> </w:t>
      </w:r>
      <w:r w:rsidR="00FD3E5F">
        <w:t>QD</w:t>
      </w:r>
      <w:r w:rsidRPr="00F366A8">
        <w:t>; Study 40173 s</w:t>
      </w:r>
      <w:r>
        <w:t xml:space="preserve">howed that beyond </w:t>
      </w:r>
      <w:r w:rsidRPr="00F366A8">
        <w:t xml:space="preserve">12 weeks of treatment, </w:t>
      </w:r>
      <w:r w:rsidR="00F52E6B">
        <w:t>that is</w:t>
      </w:r>
      <w:r w:rsidRPr="00F366A8">
        <w:t xml:space="preserve">, up to 4 months, daily applications </w:t>
      </w:r>
      <w:r>
        <w:t xml:space="preserve">of </w:t>
      </w:r>
      <w:r w:rsidR="006D61C3">
        <w:t>ivermectin</w:t>
      </w:r>
      <w:r>
        <w:t xml:space="preserve"> 1% </w:t>
      </w:r>
      <w:r w:rsidR="00F2439E">
        <w:t>cream</w:t>
      </w:r>
      <w:r>
        <w:t xml:space="preserve"> resulted </w:t>
      </w:r>
      <w:r w:rsidRPr="00F366A8">
        <w:t>in further improvement of rosacea symptoms, while the safety</w:t>
      </w:r>
      <w:r>
        <w:t xml:space="preserve"> profile remained comparable to </w:t>
      </w:r>
      <w:r w:rsidRPr="00F366A8">
        <w:t xml:space="preserve">that observed over the preceding 12 weeks of treatment. </w:t>
      </w:r>
      <w:proofErr w:type="gramStart"/>
      <w:r w:rsidRPr="00F366A8">
        <w:t>A treatm</w:t>
      </w:r>
      <w:r>
        <w:t>ent</w:t>
      </w:r>
      <w:proofErr w:type="gramEnd"/>
      <w:r>
        <w:t xml:space="preserve"> course duration of 4 months </w:t>
      </w:r>
      <w:r w:rsidRPr="00F366A8">
        <w:t xml:space="preserve">has been proposed in the EU </w:t>
      </w:r>
      <w:proofErr w:type="spellStart"/>
      <w:r w:rsidRPr="00F366A8">
        <w:t>SmPC</w:t>
      </w:r>
      <w:proofErr w:type="spellEnd"/>
      <w:r w:rsidRPr="00F366A8">
        <w:t xml:space="preserve"> accordingly.</w:t>
      </w:r>
    </w:p>
    <w:p w14:paraId="6AD89F40" w14:textId="77777777" w:rsidR="00F366A8" w:rsidRPr="00F366A8" w:rsidRDefault="00F366A8" w:rsidP="00A5525C">
      <w:pPr>
        <w:pStyle w:val="Heading5"/>
      </w:pPr>
      <w:r w:rsidRPr="00F366A8">
        <w:t>TGA comment: Neutropenia</w:t>
      </w:r>
    </w:p>
    <w:p w14:paraId="6AD89F41" w14:textId="77777777" w:rsidR="00F366A8" w:rsidRPr="00F52E6B" w:rsidRDefault="00F366A8" w:rsidP="00F366A8">
      <w:pPr>
        <w:rPr>
          <w:i/>
        </w:rPr>
      </w:pPr>
      <w:r w:rsidRPr="00F52E6B">
        <w:rPr>
          <w:i/>
        </w:rPr>
        <w:t>Study RD.03.SRE.40051 was discontinued because 3 subjects treated with ivermectin 1% cream developed neutropenia. Study RD.03.SRE.40106 investigated whether the product proposed for registration may be causally associated with neutropenia. The CER accepts that there appears to be no evidence of a causal relationship between treatment with ivermectin 1% cream and neutropenia.</w:t>
      </w:r>
    </w:p>
    <w:p w14:paraId="6AD89F42" w14:textId="77777777" w:rsidR="00F52E6B" w:rsidRPr="00F52E6B" w:rsidRDefault="00F52E6B" w:rsidP="00F52E6B">
      <w:pPr>
        <w:rPr>
          <w:i/>
        </w:rPr>
      </w:pPr>
      <w:r w:rsidRPr="00F52E6B">
        <w:rPr>
          <w:i/>
        </w:rPr>
        <w:t>Sponsor’s response:</w:t>
      </w:r>
    </w:p>
    <w:p w14:paraId="6AD89F43" w14:textId="77777777" w:rsidR="00F366A8" w:rsidRDefault="00F52E6B" w:rsidP="00F366A8">
      <w:r>
        <w:t>As presented</w:t>
      </w:r>
      <w:r w:rsidR="00F366A8" w:rsidRPr="00F366A8">
        <w:t xml:space="preserve">, further to the </w:t>
      </w:r>
      <w:r w:rsidR="00324098">
        <w:t>sponsor</w:t>
      </w:r>
      <w:r w:rsidR="00F366A8">
        <w:t xml:space="preserve">’s decision to discontinue the </w:t>
      </w:r>
      <w:r w:rsidR="008719BD">
        <w:t>long term</w:t>
      </w:r>
      <w:r>
        <w:t xml:space="preserve"> open </w:t>
      </w:r>
      <w:r w:rsidR="00F366A8" w:rsidRPr="00F366A8">
        <w:t>label safety Study 40051 during the developm</w:t>
      </w:r>
      <w:r w:rsidR="00F366A8">
        <w:t xml:space="preserve">ent of the product, the </w:t>
      </w:r>
      <w:r w:rsidR="00324098">
        <w:t>sponsor</w:t>
      </w:r>
      <w:r w:rsidR="00F366A8">
        <w:t xml:space="preserve"> </w:t>
      </w:r>
      <w:r w:rsidR="00F366A8" w:rsidRPr="00F366A8">
        <w:t>submitted an information package dated December 2010 in</w:t>
      </w:r>
      <w:r w:rsidR="00F366A8">
        <w:t xml:space="preserve"> response to an FDA Request for </w:t>
      </w:r>
      <w:r w:rsidR="00F366A8" w:rsidRPr="00F366A8">
        <w:t>Information, including a retrospective analysis of all availa</w:t>
      </w:r>
      <w:r w:rsidR="00F366A8">
        <w:t xml:space="preserve">ble neutrophil data obtained in </w:t>
      </w:r>
      <w:r w:rsidR="00F366A8" w:rsidRPr="00F366A8">
        <w:t xml:space="preserve">nonclinical and clinical studies performed, as well as a thorough in vitro </w:t>
      </w:r>
      <w:r w:rsidR="00F366A8">
        <w:t xml:space="preserve">investigation of </w:t>
      </w:r>
      <w:r w:rsidR="00F366A8" w:rsidRPr="00F366A8">
        <w:t>ivermectin effects on human neutrophils and neutrophil precursors. Based on this information an</w:t>
      </w:r>
      <w:r w:rsidR="00F366A8">
        <w:t xml:space="preserve">d </w:t>
      </w:r>
      <w:r w:rsidR="00F366A8" w:rsidRPr="00F366A8">
        <w:t xml:space="preserve">endorsement by the </w:t>
      </w:r>
      <w:r w:rsidR="00A5525C">
        <w:t>FDA</w:t>
      </w:r>
      <w:r w:rsidR="00F366A8" w:rsidRPr="00F366A8">
        <w:t xml:space="preserve">, the </w:t>
      </w:r>
      <w:r w:rsidR="00324098">
        <w:t>sponsor</w:t>
      </w:r>
      <w:r w:rsidR="00F366A8" w:rsidRPr="00F366A8">
        <w:t xml:space="preserve"> conducted the subseque</w:t>
      </w:r>
      <w:r w:rsidR="00F366A8">
        <w:t xml:space="preserve">nt Study 40106 in subjects with </w:t>
      </w:r>
      <w:r w:rsidR="00F366A8" w:rsidRPr="00F366A8">
        <w:t xml:space="preserve">PPR, to investigate a potential effect of </w:t>
      </w:r>
      <w:r w:rsidR="006D61C3">
        <w:t>ivermectin</w:t>
      </w:r>
      <w:r w:rsidR="00F366A8" w:rsidRPr="00F366A8">
        <w:t xml:space="preserve"> </w:t>
      </w:r>
      <w:r w:rsidR="00F366A8">
        <w:t xml:space="preserve">1% </w:t>
      </w:r>
      <w:r w:rsidR="00F2439E">
        <w:t>cream</w:t>
      </w:r>
      <w:r w:rsidR="00F366A8">
        <w:t xml:space="preserve"> </w:t>
      </w:r>
      <w:r w:rsidR="00FD3E5F">
        <w:t>QD</w:t>
      </w:r>
      <w:r w:rsidR="00F366A8">
        <w:t xml:space="preserve"> on the induction of </w:t>
      </w:r>
      <w:r w:rsidR="00F366A8" w:rsidRPr="00F366A8">
        <w:t>neutropenia in comparison to its vehicle. This study generated evidence to s</w:t>
      </w:r>
      <w:r w:rsidR="00F366A8">
        <w:t xml:space="preserve">upport the conclusion </w:t>
      </w:r>
      <w:r>
        <w:t xml:space="preserve">that a drug </w:t>
      </w:r>
      <w:r w:rsidR="00F366A8" w:rsidRPr="00F366A8">
        <w:t>related adverse effect of ivermectin on neutrophils of r</w:t>
      </w:r>
      <w:r w:rsidR="00F366A8">
        <w:t xml:space="preserve">osacea subjects was unlikely to </w:t>
      </w:r>
      <w:r w:rsidR="00F366A8" w:rsidRPr="00F366A8">
        <w:t xml:space="preserve">occur. This provided adequate evidence of safety to resume the confirmatory </w:t>
      </w:r>
      <w:r w:rsidR="00F941D7">
        <w:t>Phase III</w:t>
      </w:r>
      <w:r w:rsidR="00F366A8" w:rsidRPr="00F366A8">
        <w:t xml:space="preserve"> program.</w:t>
      </w:r>
      <w:r w:rsidR="00C22306">
        <w:t xml:space="preserve"> </w:t>
      </w:r>
      <w:r w:rsidR="00F366A8" w:rsidRPr="00F366A8">
        <w:t xml:space="preserve">This program confirmed the absence of any risk of neutropenia arising from the use of </w:t>
      </w:r>
      <w:r w:rsidR="006D61C3">
        <w:t>ivermectin</w:t>
      </w:r>
      <w:r w:rsidR="00C22306">
        <w:t xml:space="preserve"> </w:t>
      </w:r>
      <w:r w:rsidR="00F366A8" w:rsidRPr="00F366A8">
        <w:t xml:space="preserve">1% </w:t>
      </w:r>
      <w:r w:rsidR="00F2439E">
        <w:t>cream</w:t>
      </w:r>
      <w:r w:rsidR="00F366A8" w:rsidRPr="00F366A8">
        <w:t xml:space="preserve"> in subjects with PPR.</w:t>
      </w:r>
    </w:p>
    <w:p w14:paraId="6AD89F44" w14:textId="77777777" w:rsidR="00C22306" w:rsidRPr="00C22306" w:rsidRDefault="00C22306" w:rsidP="00A5525C">
      <w:pPr>
        <w:pStyle w:val="Heading5"/>
      </w:pPr>
      <w:r w:rsidRPr="00C22306">
        <w:t>TGA comment: Photocarcinogenicity</w:t>
      </w:r>
    </w:p>
    <w:p w14:paraId="6AD89F45" w14:textId="77777777" w:rsidR="00C22306" w:rsidRPr="00F52E6B" w:rsidRDefault="00C22306" w:rsidP="00C22306">
      <w:pPr>
        <w:rPr>
          <w:i/>
        </w:rPr>
      </w:pPr>
      <w:r w:rsidRPr="00F52E6B">
        <w:rPr>
          <w:i/>
        </w:rPr>
        <w:t xml:space="preserve">The nonclinical evaluation recommends </w:t>
      </w:r>
      <w:r w:rsidRPr="00955A32">
        <w:rPr>
          <w:i/>
        </w:rPr>
        <w:t xml:space="preserve">any </w:t>
      </w:r>
      <w:r w:rsidR="00955A32" w:rsidRPr="00955A32">
        <w:rPr>
          <w:i/>
        </w:rPr>
        <w:t>long term</w:t>
      </w:r>
      <w:r w:rsidRPr="00955A32">
        <w:rPr>
          <w:i/>
        </w:rPr>
        <w:t xml:space="preserve">, repeated </w:t>
      </w:r>
      <w:r w:rsidRPr="00F52E6B">
        <w:rPr>
          <w:i/>
        </w:rPr>
        <w:t>topical application of Soolantra in sun exposed areas should be avoided or sun protection strategies should be used as topical Soo</w:t>
      </w:r>
      <w:r w:rsidR="00F52E6B">
        <w:rPr>
          <w:i/>
        </w:rPr>
        <w:t xml:space="preserve">lantra undoubtedly enhances non </w:t>
      </w:r>
      <w:r w:rsidRPr="00F52E6B">
        <w:rPr>
          <w:i/>
        </w:rPr>
        <w:t>melanoma skin photocar</w:t>
      </w:r>
      <w:r w:rsidR="00F52E6B">
        <w:rPr>
          <w:i/>
        </w:rPr>
        <w:t xml:space="preserve">cinogenesis in a human </w:t>
      </w:r>
      <w:r w:rsidRPr="00F52E6B">
        <w:rPr>
          <w:i/>
        </w:rPr>
        <w:t>relevant mouse model</w:t>
      </w:r>
      <w:r w:rsidR="00F52E6B">
        <w:rPr>
          <w:i/>
        </w:rPr>
        <w:t>.</w:t>
      </w:r>
    </w:p>
    <w:p w14:paraId="6AD89F46" w14:textId="77777777" w:rsidR="00F52E6B" w:rsidRPr="00F52E6B" w:rsidRDefault="00F52E6B" w:rsidP="00F52E6B">
      <w:pPr>
        <w:rPr>
          <w:i/>
        </w:rPr>
      </w:pPr>
      <w:r w:rsidRPr="00F52E6B">
        <w:rPr>
          <w:i/>
        </w:rPr>
        <w:lastRenderedPageBreak/>
        <w:t>Sponsor’s response:</w:t>
      </w:r>
    </w:p>
    <w:p w14:paraId="6AD89F47" w14:textId="77777777" w:rsidR="00C22306" w:rsidRDefault="00C22306" w:rsidP="00C22306">
      <w:r w:rsidRPr="00C22306">
        <w:t>The potential of ivermectin cream and vehicle cream to influen</w:t>
      </w:r>
      <w:r>
        <w:t xml:space="preserve">ce the development or growth of </w:t>
      </w:r>
      <w:r w:rsidRPr="00C22306">
        <w:t xml:space="preserve">skin </w:t>
      </w:r>
      <w:r w:rsidR="00BE5FC8" w:rsidRPr="00C22306">
        <w:t>tumours</w:t>
      </w:r>
      <w:r w:rsidRPr="00C22306">
        <w:t xml:space="preserve"> in hairless mice exposed to simulated solar</w:t>
      </w:r>
      <w:r>
        <w:t xml:space="preserve"> UV radiation was determined in </w:t>
      </w:r>
      <w:r w:rsidRPr="00C22306">
        <w:t>Study 12597, in compliance with FDA Guidance for Industry:</w:t>
      </w:r>
      <w:r>
        <w:t xml:space="preserve"> Photo</w:t>
      </w:r>
      <w:r w:rsidR="00BE5FC8">
        <w:t xml:space="preserve"> </w:t>
      </w:r>
      <w:r>
        <w:t xml:space="preserve">safety Testing, May 2003. </w:t>
      </w:r>
      <w:r w:rsidRPr="00C22306">
        <w:t xml:space="preserve">However, the </w:t>
      </w:r>
      <w:r w:rsidR="00324098">
        <w:t>sponsor</w:t>
      </w:r>
      <w:r w:rsidRPr="00C22306">
        <w:t xml:space="preserve"> considers that the mouse model of photocar</w:t>
      </w:r>
      <w:r>
        <w:t xml:space="preserve">cinogenicity has little, if any </w:t>
      </w:r>
      <w:r w:rsidRPr="00C22306">
        <w:t>relevance to humans, and therefore that the rationale for the recom</w:t>
      </w:r>
      <w:r>
        <w:t>mended protection of sun</w:t>
      </w:r>
      <w:r w:rsidR="00F52E6B">
        <w:t xml:space="preserve"> </w:t>
      </w:r>
      <w:r>
        <w:t xml:space="preserve">exposed </w:t>
      </w:r>
      <w:r w:rsidRPr="00C22306">
        <w:t xml:space="preserve">areas during topical treatment with </w:t>
      </w:r>
      <w:r w:rsidR="006D61C3">
        <w:t>ivermectin</w:t>
      </w:r>
      <w:r w:rsidRPr="00C22306">
        <w:t xml:space="preserve"> 1% </w:t>
      </w:r>
      <w:r w:rsidR="00F2439E">
        <w:t>cream</w:t>
      </w:r>
      <w:r>
        <w:t xml:space="preserve"> cannot be based on enhanced </w:t>
      </w:r>
      <w:r w:rsidR="00F52E6B">
        <w:t xml:space="preserve">non </w:t>
      </w:r>
      <w:r w:rsidRPr="00C22306">
        <w:t>melanoma skin photocarcinogenesis.</w:t>
      </w:r>
    </w:p>
    <w:p w14:paraId="6AD89F48" w14:textId="77777777" w:rsidR="00C22306" w:rsidRPr="00C22306" w:rsidRDefault="00C22306" w:rsidP="00C22306">
      <w:r w:rsidRPr="00C22306">
        <w:t xml:space="preserve">In a response to the </w:t>
      </w:r>
      <w:r w:rsidR="00F52E6B">
        <w:t>n</w:t>
      </w:r>
      <w:r w:rsidR="009D6CCA">
        <w:t>onclinical</w:t>
      </w:r>
      <w:r w:rsidRPr="00C22306">
        <w:t xml:space="preserve"> reviewers request </w:t>
      </w:r>
      <w:r w:rsidR="00F52E6B">
        <w:t>for information</w:t>
      </w:r>
      <w:r w:rsidRPr="00C22306">
        <w:t xml:space="preserve">, the </w:t>
      </w:r>
      <w:r w:rsidR="00324098">
        <w:t>sponsor</w:t>
      </w:r>
      <w:r>
        <w:t xml:space="preserve"> s</w:t>
      </w:r>
      <w:r w:rsidRPr="00C22306">
        <w:t>uggested removing the paragraph dedicated to photocarcinoge</w:t>
      </w:r>
      <w:r>
        <w:t xml:space="preserve">nicity from the Carcinogenicity </w:t>
      </w:r>
      <w:r w:rsidRPr="00C22306">
        <w:t>Section of the PI, considering that the mouse data are of doubtfu</w:t>
      </w:r>
      <w:r>
        <w:t xml:space="preserve">l relevance directly to humans. </w:t>
      </w:r>
      <w:r w:rsidRPr="00C22306">
        <w:t xml:space="preserve">In agreement with the </w:t>
      </w:r>
      <w:r w:rsidR="00F52E6B">
        <w:t>n</w:t>
      </w:r>
      <w:r w:rsidR="009D6CCA">
        <w:t>onclinical</w:t>
      </w:r>
      <w:r w:rsidRPr="00C22306">
        <w:t xml:space="preserve"> evaluator’s proposal in </w:t>
      </w:r>
      <w:r w:rsidR="00F52E6B">
        <w:t>the second round</w:t>
      </w:r>
      <w:r>
        <w:t xml:space="preserve"> evaluation report, the </w:t>
      </w:r>
      <w:r w:rsidR="00324098">
        <w:t>sponsor</w:t>
      </w:r>
      <w:r w:rsidRPr="00C22306">
        <w:t xml:space="preserve"> has included the following statements in the PI:</w:t>
      </w:r>
    </w:p>
    <w:p w14:paraId="6AD89F49" w14:textId="77777777" w:rsidR="00C22306" w:rsidRPr="00C22306" w:rsidRDefault="00A5525C" w:rsidP="00F52E6B">
      <w:pPr>
        <w:pStyle w:val="ListBullet"/>
      </w:pPr>
      <w:r>
        <w:t>Section Precautions/</w:t>
      </w:r>
      <w:r w:rsidR="00C22306" w:rsidRPr="00C22306">
        <w:t xml:space="preserve">Carcinogenicity: </w:t>
      </w:r>
      <w:r w:rsidR="00BD1775">
        <w:t>‘</w:t>
      </w:r>
      <w:r w:rsidR="00C22306" w:rsidRPr="00A5525C">
        <w:rPr>
          <w:i/>
        </w:rPr>
        <w:t xml:space="preserve">Chronic (1 year) repeated topical application of </w:t>
      </w:r>
      <w:r w:rsidR="00356678" w:rsidRPr="00A5525C">
        <w:rPr>
          <w:i/>
        </w:rPr>
        <w:t>Soolantra</w:t>
      </w:r>
      <w:r w:rsidR="00C22306" w:rsidRPr="00A5525C">
        <w:rPr>
          <w:i/>
        </w:rPr>
        <w:t xml:space="preserve"> enhanced simulated solar ultraviolet radiation-induced non-melanoma skin carcinogenesis in albino </w:t>
      </w:r>
      <w:proofErr w:type="spellStart"/>
      <w:r w:rsidR="00C22306" w:rsidRPr="00A5525C">
        <w:rPr>
          <w:i/>
        </w:rPr>
        <w:t>Skh</w:t>
      </w:r>
      <w:proofErr w:type="spellEnd"/>
      <w:r w:rsidR="00C22306" w:rsidRPr="00A5525C">
        <w:rPr>
          <w:i/>
        </w:rPr>
        <w:t xml:space="preserve"> HR-1 hairless mouse (tumour potency factor in both sexes combined was 1.69; and 1.74 in male mice and 1.51 in female mice; compared with an expected no adverse effect tumour potency factor of 1.00). The albino </w:t>
      </w:r>
      <w:proofErr w:type="spellStart"/>
      <w:r w:rsidR="00C22306" w:rsidRPr="00A5525C">
        <w:rPr>
          <w:i/>
        </w:rPr>
        <w:t>Skh</w:t>
      </w:r>
      <w:proofErr w:type="spellEnd"/>
      <w:r w:rsidR="00C22306" w:rsidRPr="00A5525C">
        <w:rPr>
          <w:i/>
        </w:rPr>
        <w:t xml:space="preserve"> HR-1 hairless mouse is more sens</w:t>
      </w:r>
      <w:r w:rsidR="00F52E6B" w:rsidRPr="00A5525C">
        <w:rPr>
          <w:i/>
        </w:rPr>
        <w:t>itive to ultraviolet radiation i</w:t>
      </w:r>
      <w:r w:rsidR="00C22306" w:rsidRPr="00A5525C">
        <w:rPr>
          <w:i/>
        </w:rPr>
        <w:t>nduced carcinogenesis than humans. Accordingly the clinical relevance of these findings is uncertain. However repeated un</w:t>
      </w:r>
      <w:r w:rsidR="00F52E6B" w:rsidRPr="00A5525C">
        <w:rPr>
          <w:i/>
        </w:rPr>
        <w:t xml:space="preserve">protected exposure of Soolantra </w:t>
      </w:r>
      <w:r w:rsidR="00C22306" w:rsidRPr="00A5525C">
        <w:rPr>
          <w:i/>
        </w:rPr>
        <w:t>treated skin to ultraviolet radiation sources (including sunlight) should be avoided (see Precautions)</w:t>
      </w:r>
      <w:r w:rsidR="00BD1775" w:rsidRPr="00A5525C">
        <w:rPr>
          <w:i/>
        </w:rPr>
        <w:t>’</w:t>
      </w:r>
      <w:r w:rsidR="00C22306" w:rsidRPr="00C22306">
        <w:t>.</w:t>
      </w:r>
    </w:p>
    <w:p w14:paraId="6AD89F4A" w14:textId="77777777" w:rsidR="00C22306" w:rsidRDefault="00C22306" w:rsidP="00F52E6B">
      <w:pPr>
        <w:pStyle w:val="ListBullet"/>
      </w:pPr>
      <w:r w:rsidRPr="00C22306">
        <w:t xml:space="preserve">Section Precautions: </w:t>
      </w:r>
      <w:r w:rsidR="00BD1775">
        <w:t>‘</w:t>
      </w:r>
      <w:r w:rsidRPr="00A5525C">
        <w:rPr>
          <w:i/>
        </w:rPr>
        <w:t>High sunscreen protection factor (SPF) sunscreens or other sun</w:t>
      </w:r>
      <w:r w:rsidR="00F52E6B" w:rsidRPr="00A5525C">
        <w:rPr>
          <w:i/>
        </w:rPr>
        <w:t xml:space="preserve"> </w:t>
      </w:r>
      <w:r w:rsidRPr="00A5525C">
        <w:rPr>
          <w:i/>
        </w:rPr>
        <w:t xml:space="preserve">exposure reduction methods should be used when </w:t>
      </w:r>
      <w:r w:rsidR="00356678" w:rsidRPr="00A5525C">
        <w:rPr>
          <w:i/>
        </w:rPr>
        <w:t>Soolantra</w:t>
      </w:r>
      <w:r w:rsidRPr="00A5525C">
        <w:rPr>
          <w:i/>
        </w:rPr>
        <w:t xml:space="preserve"> is applied to the face or </w:t>
      </w:r>
      <w:r w:rsidR="002C04E4" w:rsidRPr="00A5525C">
        <w:rPr>
          <w:i/>
        </w:rPr>
        <w:t xml:space="preserve">other sun </w:t>
      </w:r>
      <w:r w:rsidRPr="00A5525C">
        <w:rPr>
          <w:i/>
        </w:rPr>
        <w:t>exposed areas.</w:t>
      </w:r>
      <w:r w:rsidR="00BD1775">
        <w:t>’</w:t>
      </w:r>
    </w:p>
    <w:p w14:paraId="6AD89F4B" w14:textId="77777777" w:rsidR="00C22306" w:rsidRPr="00C22306" w:rsidRDefault="00C22306" w:rsidP="00A5525C">
      <w:pPr>
        <w:pStyle w:val="Heading5"/>
      </w:pPr>
      <w:r w:rsidRPr="00C22306">
        <w:t>TGA comment: Anthelmintic Resistance</w:t>
      </w:r>
    </w:p>
    <w:p w14:paraId="6AD89F4C" w14:textId="77777777" w:rsidR="00C22306" w:rsidRPr="002C04E4" w:rsidRDefault="00C22306" w:rsidP="00C22306">
      <w:pPr>
        <w:rPr>
          <w:i/>
        </w:rPr>
      </w:pPr>
      <w:r w:rsidRPr="002C04E4">
        <w:rPr>
          <w:i/>
        </w:rPr>
        <w:t xml:space="preserve">There is potential for Soolantra use to contribute to the induction of anthelmintic resistance to ivermectin and other members of the </w:t>
      </w:r>
      <w:proofErr w:type="spellStart"/>
      <w:r w:rsidRPr="002C04E4">
        <w:rPr>
          <w:i/>
        </w:rPr>
        <w:t>avermectin</w:t>
      </w:r>
      <w:proofErr w:type="spellEnd"/>
      <w:r w:rsidRPr="002C04E4">
        <w:rPr>
          <w:i/>
        </w:rPr>
        <w:t xml:space="preserve"> </w:t>
      </w:r>
      <w:proofErr w:type="spellStart"/>
      <w:r w:rsidRPr="002C04E4">
        <w:rPr>
          <w:i/>
        </w:rPr>
        <w:t>parasiticidal</w:t>
      </w:r>
      <w:proofErr w:type="spellEnd"/>
      <w:r w:rsidRPr="002C04E4">
        <w:rPr>
          <w:i/>
        </w:rPr>
        <w:t xml:space="preserve"> drug class because an important pathway of excretion is active transport in to the gut via </w:t>
      </w:r>
      <w:proofErr w:type="spellStart"/>
      <w:r w:rsidRPr="002C04E4">
        <w:rPr>
          <w:i/>
        </w:rPr>
        <w:t>enterothelial</w:t>
      </w:r>
      <w:proofErr w:type="spellEnd"/>
      <w:r w:rsidRPr="002C04E4">
        <w:rPr>
          <w:i/>
        </w:rPr>
        <w:t xml:space="preserve"> ABC B1 efflux transporters.</w:t>
      </w:r>
    </w:p>
    <w:p w14:paraId="6AD89F4D" w14:textId="77777777" w:rsidR="002C04E4" w:rsidRPr="002C04E4" w:rsidRDefault="002C04E4" w:rsidP="002C04E4">
      <w:pPr>
        <w:rPr>
          <w:i/>
        </w:rPr>
      </w:pPr>
      <w:r w:rsidRPr="002C04E4">
        <w:rPr>
          <w:i/>
        </w:rPr>
        <w:t>Sponsor’s response:</w:t>
      </w:r>
    </w:p>
    <w:p w14:paraId="6AD89F4E" w14:textId="77777777" w:rsidR="00C22306" w:rsidRDefault="00C22306" w:rsidP="00C22306">
      <w:r w:rsidRPr="00C22306">
        <w:t xml:space="preserve">Animal studies performed by the </w:t>
      </w:r>
      <w:r w:rsidR="00324098">
        <w:t>sponsor</w:t>
      </w:r>
      <w:r w:rsidRPr="00C22306">
        <w:t xml:space="preserve"> have shown that after </w:t>
      </w:r>
      <w:r w:rsidR="002C04E4">
        <w:t xml:space="preserve">a 6 </w:t>
      </w:r>
      <w:r>
        <w:t xml:space="preserve">hour topical application of </w:t>
      </w:r>
      <w:r w:rsidR="00F941D7">
        <w:t>(</w:t>
      </w:r>
      <w:r w:rsidRPr="00A5525C">
        <w:rPr>
          <w:vertAlign w:val="superscript"/>
        </w:rPr>
        <w:t>3</w:t>
      </w:r>
      <w:r w:rsidRPr="00C22306">
        <w:t>H</w:t>
      </w:r>
      <w:r w:rsidR="00F941D7">
        <w:t>)</w:t>
      </w:r>
      <w:r w:rsidRPr="00C22306">
        <w:t>-</w:t>
      </w:r>
      <w:r w:rsidR="006D61C3">
        <w:t>ivermectin</w:t>
      </w:r>
      <w:r w:rsidRPr="00C22306">
        <w:t xml:space="preserve"> 1% </w:t>
      </w:r>
      <w:r w:rsidR="00F2439E">
        <w:t>cream</w:t>
      </w:r>
      <w:r w:rsidRPr="00C22306">
        <w:t xml:space="preserve"> in </w:t>
      </w:r>
      <w:proofErr w:type="spellStart"/>
      <w:r w:rsidRPr="00C22306">
        <w:t>minipigs</w:t>
      </w:r>
      <w:proofErr w:type="spellEnd"/>
      <w:r w:rsidRPr="00C22306">
        <w:t>, the majority of absorbed ra</w:t>
      </w:r>
      <w:r>
        <w:t xml:space="preserve">dioactivity was excreted in the </w:t>
      </w:r>
      <w:r w:rsidR="002C04E4" w:rsidRPr="00C22306">
        <w:t>faeces</w:t>
      </w:r>
      <w:r w:rsidRPr="00C22306">
        <w:t>. There are n</w:t>
      </w:r>
      <w:r>
        <w:t xml:space="preserve">o corresponding human excretion </w:t>
      </w:r>
      <w:r w:rsidRPr="00C22306">
        <w:t xml:space="preserve">data. The full PK assessment conducted by the </w:t>
      </w:r>
      <w:r w:rsidR="00324098">
        <w:t>sponsor</w:t>
      </w:r>
      <w:r w:rsidRPr="00C22306">
        <w:t xml:space="preserve"> h</w:t>
      </w:r>
      <w:r>
        <w:t xml:space="preserve">as demonstrated that, under the </w:t>
      </w:r>
      <w:r w:rsidRPr="00C22306">
        <w:t xml:space="preserve">proposed conditions of topical application of </w:t>
      </w:r>
      <w:r w:rsidR="006D61C3">
        <w:t>ivermectin</w:t>
      </w:r>
      <w:r w:rsidRPr="00C22306">
        <w:t xml:space="preserve"> 1% </w:t>
      </w:r>
      <w:r w:rsidR="00F2439E">
        <w:t>cream</w:t>
      </w:r>
      <w:r>
        <w:t xml:space="preserve"> in subjects with rosacea, </w:t>
      </w:r>
      <w:r w:rsidRPr="00C22306">
        <w:t>plasma exposure to ivermectin was low and there was no plasm</w:t>
      </w:r>
      <w:r>
        <w:t xml:space="preserve">a accumulation on </w:t>
      </w:r>
      <w:r w:rsidR="008719BD">
        <w:t>long term</w:t>
      </w:r>
      <w:r>
        <w:t xml:space="preserve"> use</w:t>
      </w:r>
      <w:r w:rsidRPr="00C22306">
        <w:t>. Intestinal concentrations of ivermectin un</w:t>
      </w:r>
      <w:r>
        <w:t xml:space="preserve">der clinical use conditions are </w:t>
      </w:r>
      <w:r w:rsidRPr="00C22306">
        <w:t>expected to be even lower. T</w:t>
      </w:r>
      <w:r w:rsidR="002C04E4">
        <w:t xml:space="preserve">herefore, the induction of anti </w:t>
      </w:r>
      <w:r w:rsidRPr="00C22306">
        <w:t>helminth</w:t>
      </w:r>
      <w:r>
        <w:t xml:space="preserve">ic resistance is very unlikely. </w:t>
      </w:r>
      <w:r w:rsidRPr="00C22306">
        <w:t>This situation is clearly different from the potential risk of resistance induction on veterinary use</w:t>
      </w:r>
      <w:r>
        <w:t xml:space="preserve"> </w:t>
      </w:r>
      <w:r w:rsidRPr="00C22306">
        <w:t>of ivermectin.</w:t>
      </w:r>
    </w:p>
    <w:p w14:paraId="6AD89F4F" w14:textId="77777777" w:rsidR="00C22306" w:rsidRPr="00C22306" w:rsidRDefault="00C22306" w:rsidP="00A5525C">
      <w:pPr>
        <w:pStyle w:val="Heading5"/>
      </w:pPr>
      <w:r w:rsidRPr="00C22306">
        <w:t>TGA comment: Safety</w:t>
      </w:r>
    </w:p>
    <w:p w14:paraId="6AD89F50" w14:textId="77777777" w:rsidR="00C22306" w:rsidRPr="00CA14F1" w:rsidRDefault="002C04E4" w:rsidP="00C22306">
      <w:pPr>
        <w:rPr>
          <w:i/>
        </w:rPr>
      </w:pPr>
      <w:r w:rsidRPr="00CA14F1">
        <w:rPr>
          <w:i/>
        </w:rPr>
        <w:t xml:space="preserve">The </w:t>
      </w:r>
      <w:r w:rsidR="00C22306" w:rsidRPr="00CA14F1">
        <w:rPr>
          <w:i/>
        </w:rPr>
        <w:t xml:space="preserve">Table </w:t>
      </w:r>
      <w:r w:rsidRPr="00CA14F1">
        <w:rPr>
          <w:i/>
        </w:rPr>
        <w:t>which</w:t>
      </w:r>
      <w:r w:rsidR="00C22306" w:rsidRPr="00CA14F1">
        <w:rPr>
          <w:i/>
        </w:rPr>
        <w:t xml:space="preserve"> shows SAE in pivotal </w:t>
      </w:r>
      <w:r w:rsidR="00F941D7" w:rsidRPr="00CA14F1">
        <w:rPr>
          <w:i/>
        </w:rPr>
        <w:t>Study</w:t>
      </w:r>
      <w:r w:rsidR="00C22306" w:rsidRPr="00CA14F1">
        <w:rPr>
          <w:i/>
        </w:rPr>
        <w:t xml:space="preserve"> 18170 which did include AE terms classified as related to study drug.</w:t>
      </w:r>
    </w:p>
    <w:p w14:paraId="6AD89F51" w14:textId="77777777" w:rsidR="00C22306" w:rsidRPr="00CA14F1" w:rsidRDefault="002C04E4" w:rsidP="00C22306">
      <w:pPr>
        <w:rPr>
          <w:i/>
        </w:rPr>
      </w:pPr>
      <w:r w:rsidRPr="00CA14F1">
        <w:rPr>
          <w:i/>
        </w:rPr>
        <w:t xml:space="preserve">The Table which </w:t>
      </w:r>
      <w:r w:rsidR="00C22306" w:rsidRPr="00CA14F1">
        <w:rPr>
          <w:i/>
        </w:rPr>
        <w:t xml:space="preserve">shows SAE in pivotal </w:t>
      </w:r>
      <w:r w:rsidR="00F941D7" w:rsidRPr="00CA14F1">
        <w:rPr>
          <w:i/>
        </w:rPr>
        <w:t>Study</w:t>
      </w:r>
      <w:r w:rsidR="00C22306" w:rsidRPr="00CA14F1">
        <w:rPr>
          <w:i/>
        </w:rPr>
        <w:t xml:space="preserve"> 18171 which did include AE terms classified as related to study drug. No deaths were reported.</w:t>
      </w:r>
    </w:p>
    <w:p w14:paraId="6AD89F52" w14:textId="77777777" w:rsidR="002C04E4" w:rsidRPr="002C04E4" w:rsidRDefault="002C04E4" w:rsidP="002C04E4">
      <w:pPr>
        <w:rPr>
          <w:i/>
        </w:rPr>
      </w:pPr>
      <w:r w:rsidRPr="002C04E4">
        <w:rPr>
          <w:i/>
        </w:rPr>
        <w:t>Sponsor’s response:</w:t>
      </w:r>
    </w:p>
    <w:p w14:paraId="6AD89F53" w14:textId="77777777" w:rsidR="00C22306" w:rsidRDefault="00C22306" w:rsidP="002C04E4">
      <w:r w:rsidRPr="00C22306">
        <w:lastRenderedPageBreak/>
        <w:t>None of the Serious Adverse Events (SAEs) reported in the pivotal</w:t>
      </w:r>
      <w:r>
        <w:t xml:space="preserve"> studies was considered related </w:t>
      </w:r>
      <w:r w:rsidRPr="00C22306">
        <w:t xml:space="preserve">to </w:t>
      </w:r>
      <w:r w:rsidR="006D61C3">
        <w:t>ivermectin</w:t>
      </w:r>
      <w:r w:rsidRPr="00C22306">
        <w:t xml:space="preserve"> 1% </w:t>
      </w:r>
      <w:r w:rsidR="00F2439E">
        <w:t>cream</w:t>
      </w:r>
      <w:r w:rsidRPr="00C22306">
        <w:t>. In addition, none of the Preferred Ter</w:t>
      </w:r>
      <w:r>
        <w:t xml:space="preserve">ms (PTs) listed for SAEs in </w:t>
      </w:r>
      <w:r w:rsidR="002C04E4">
        <w:t xml:space="preserve">the </w:t>
      </w:r>
      <w:r w:rsidRPr="00C22306">
        <w:t>tables (</w:t>
      </w:r>
      <w:r w:rsidR="002C04E4">
        <w:t xml:space="preserve">for Study 18170 and </w:t>
      </w:r>
      <w:r w:rsidRPr="00C22306">
        <w:t>for Study 18171) has its</w:t>
      </w:r>
      <w:r>
        <w:t xml:space="preserve"> counterpart in the list of PTs </w:t>
      </w:r>
      <w:r w:rsidRPr="00C22306">
        <w:t>for related adverse events (Study 18170) and (Study 18171).</w:t>
      </w:r>
    </w:p>
    <w:p w14:paraId="6AD89F54" w14:textId="77777777" w:rsidR="00C22306" w:rsidRPr="00C22306" w:rsidRDefault="00C22306" w:rsidP="00A5525C">
      <w:pPr>
        <w:pStyle w:val="Heading5"/>
      </w:pPr>
      <w:r w:rsidRPr="00C22306">
        <w:t>TGA comment: CER Benefit-Risk Balance</w:t>
      </w:r>
    </w:p>
    <w:p w14:paraId="6AD89F55" w14:textId="77777777" w:rsidR="00C22306" w:rsidRPr="00040217" w:rsidRDefault="00C22306" w:rsidP="00C22306">
      <w:pPr>
        <w:rPr>
          <w:i/>
        </w:rPr>
      </w:pPr>
      <w:proofErr w:type="gramStart"/>
      <w:r w:rsidRPr="00040217">
        <w:rPr>
          <w:i/>
        </w:rPr>
        <w:t>Hypothetical effects of systemic exposure.</w:t>
      </w:r>
      <w:proofErr w:type="gramEnd"/>
      <w:r w:rsidRPr="00040217">
        <w:rPr>
          <w:i/>
        </w:rPr>
        <w:t xml:space="preserve"> The difference in systemic exposure between 0.3% and 1% creams (Study RD.03.SRE.40027) is noted.</w:t>
      </w:r>
    </w:p>
    <w:p w14:paraId="6AD89F56" w14:textId="77777777" w:rsidR="00040217" w:rsidRPr="00040217" w:rsidRDefault="00040217" w:rsidP="00040217">
      <w:pPr>
        <w:rPr>
          <w:i/>
        </w:rPr>
      </w:pPr>
      <w:r w:rsidRPr="00040217">
        <w:rPr>
          <w:i/>
        </w:rPr>
        <w:t>Sponsor’s response:</w:t>
      </w:r>
    </w:p>
    <w:p w14:paraId="6AD89F57" w14:textId="77777777" w:rsidR="00C22306" w:rsidRDefault="00C22306" w:rsidP="00040217">
      <w:r w:rsidRPr="00C22306">
        <w:t>E</w:t>
      </w:r>
      <w:r w:rsidR="00040217">
        <w:t xml:space="preserve">xposure data obtained from dose </w:t>
      </w:r>
      <w:r w:rsidRPr="00C22306">
        <w:t>ranging Study 40027</w:t>
      </w:r>
      <w:r>
        <w:t xml:space="preserve"> conducted in subjects with PPR </w:t>
      </w:r>
      <w:r w:rsidRPr="00C22306">
        <w:t>demonstrated that ivermectin plasma concentrations increased wit</w:t>
      </w:r>
      <w:r>
        <w:t xml:space="preserve">h the applied doses. Arithmetic </w:t>
      </w:r>
      <w:r w:rsidRPr="00C22306">
        <w:t>mean values for ivermectin plasma concentrations</w:t>
      </w:r>
      <w:r>
        <w:t xml:space="preserve"> at steady state (4 weeks) were </w:t>
      </w:r>
      <w:r w:rsidRPr="00C22306">
        <w:t>0.31</w:t>
      </w:r>
      <w:r w:rsidR="00040217">
        <w:t xml:space="preserve"> ± </w:t>
      </w:r>
      <w:r w:rsidRPr="00C22306">
        <w:t xml:space="preserve">0.33 ng/mL and </w:t>
      </w:r>
      <w:proofErr w:type="gramStart"/>
      <w:r w:rsidRPr="00C22306">
        <w:t xml:space="preserve">0.72 ng/mL in the </w:t>
      </w:r>
      <w:r w:rsidR="006D61C3">
        <w:t>ivermectin</w:t>
      </w:r>
      <w:proofErr w:type="gramEnd"/>
      <w:r w:rsidRPr="00C22306">
        <w:t xml:space="preserve"> 0.3% </w:t>
      </w:r>
      <w:r w:rsidR="00F2439E">
        <w:t>cream</w:t>
      </w:r>
      <w:r>
        <w:t xml:space="preserve"> </w:t>
      </w:r>
      <w:r w:rsidR="00FD3E5F">
        <w:t>QD</w:t>
      </w:r>
      <w:r>
        <w:t xml:space="preserve"> and </w:t>
      </w:r>
      <w:r w:rsidR="006D61C3">
        <w:t>ivermectin</w:t>
      </w:r>
      <w:r>
        <w:t xml:space="preserve"> 1% </w:t>
      </w:r>
      <w:r w:rsidR="00F2439E">
        <w:t>cream</w:t>
      </w:r>
      <w:r>
        <w:t xml:space="preserve"> </w:t>
      </w:r>
      <w:r w:rsidR="00FD3E5F">
        <w:t>QD</w:t>
      </w:r>
      <w:r w:rsidRPr="00C22306">
        <w:t xml:space="preserve"> groups, respectively. In terms of safety margin for use, howeve</w:t>
      </w:r>
      <w:r>
        <w:t xml:space="preserve">r, it should be noted that high </w:t>
      </w:r>
      <w:r w:rsidRPr="00C22306">
        <w:t xml:space="preserve">safety ratios were obtained with the 1% </w:t>
      </w:r>
      <w:r w:rsidR="00F2439E">
        <w:t>cream</w:t>
      </w:r>
      <w:r w:rsidRPr="00C22306">
        <w:t xml:space="preserve"> under maxim</w:t>
      </w:r>
      <w:r w:rsidR="00603F07">
        <w:t>ise</w:t>
      </w:r>
      <w:r w:rsidRPr="00C22306">
        <w:t>d use conditions</w:t>
      </w:r>
      <w:r>
        <w:t xml:space="preserve">, ranging from 68 </w:t>
      </w:r>
      <w:r w:rsidRPr="00C22306">
        <w:t>based on a teratogenicity study in the rabbit, to 329 based on an ora</w:t>
      </w:r>
      <w:r>
        <w:t xml:space="preserve">l carcinogenicity study in rats </w:t>
      </w:r>
      <w:r w:rsidRPr="00C22306">
        <w:t>for which an absence of tumorigenic effects were de</w:t>
      </w:r>
      <w:r>
        <w:t xml:space="preserve">monstrated. </w:t>
      </w:r>
      <w:r w:rsidRPr="00C22306">
        <w:t>Additionally, Study 40027 demonstrated a statistically signif</w:t>
      </w:r>
      <w:r>
        <w:t xml:space="preserve">icant dose response in terms of </w:t>
      </w:r>
      <w:r w:rsidRPr="00C22306">
        <w:t xml:space="preserve">efficacy from vehicle up to </w:t>
      </w:r>
      <w:r w:rsidR="006D61C3">
        <w:t>ivermectin</w:t>
      </w:r>
      <w:r w:rsidRPr="00C22306">
        <w:t xml:space="preserve"> 1% </w:t>
      </w:r>
      <w:r w:rsidR="00FD3E5F">
        <w:t>QD</w:t>
      </w:r>
      <w:r w:rsidRPr="00C22306">
        <w:t xml:space="preserve">. Of the </w:t>
      </w:r>
      <w:r w:rsidR="00FD3E5F">
        <w:t>QD</w:t>
      </w:r>
      <w:r w:rsidRPr="00C22306">
        <w:t xml:space="preserve"> groups</w:t>
      </w:r>
      <w:r>
        <w:t xml:space="preserve"> in this study, only </w:t>
      </w:r>
      <w:r w:rsidR="006D61C3">
        <w:t>ivermectin</w:t>
      </w:r>
      <w:r>
        <w:t xml:space="preserve"> </w:t>
      </w:r>
      <w:r w:rsidRPr="00C22306">
        <w:t xml:space="preserve">1% </w:t>
      </w:r>
      <w:r w:rsidR="00F2439E">
        <w:t>cream</w:t>
      </w:r>
      <w:r w:rsidRPr="00C22306">
        <w:t xml:space="preserve"> </w:t>
      </w:r>
      <w:r w:rsidR="00FD3E5F">
        <w:t>QD</w:t>
      </w:r>
      <w:r w:rsidRPr="00C22306">
        <w:t xml:space="preserve"> was statistically superior to vehicle, whereas th</w:t>
      </w:r>
      <w:r>
        <w:t xml:space="preserve">e safety of </w:t>
      </w:r>
      <w:r w:rsidR="006D61C3">
        <w:t>ivermectin</w:t>
      </w:r>
      <w:r>
        <w:t xml:space="preserve"> 1% </w:t>
      </w:r>
      <w:r w:rsidR="00F2439E">
        <w:t>cream</w:t>
      </w:r>
      <w:r>
        <w:t xml:space="preserve"> </w:t>
      </w:r>
      <w:r w:rsidR="00FD3E5F">
        <w:t>QD</w:t>
      </w:r>
      <w:r w:rsidRPr="00C22306">
        <w:t xml:space="preserve"> was similar to that observed with </w:t>
      </w:r>
      <w:r w:rsidR="006D61C3">
        <w:t>ivermectin</w:t>
      </w:r>
      <w:r>
        <w:t xml:space="preserve"> 0.3% </w:t>
      </w:r>
      <w:r w:rsidR="00F2439E">
        <w:t>cream</w:t>
      </w:r>
      <w:r>
        <w:t xml:space="preserve"> </w:t>
      </w:r>
      <w:r w:rsidR="00FD3E5F">
        <w:t>QD</w:t>
      </w:r>
      <w:r w:rsidRPr="00C22306">
        <w:t xml:space="preserve">. In conclusion, </w:t>
      </w:r>
      <w:r w:rsidR="006D61C3">
        <w:t>ivermectin</w:t>
      </w:r>
      <w:r w:rsidRPr="00C22306">
        <w:t xml:space="preserve"> 1% </w:t>
      </w:r>
      <w:r w:rsidR="00F2439E">
        <w:t>cream</w:t>
      </w:r>
      <w:r w:rsidRPr="00C22306">
        <w:t xml:space="preserve"> </w:t>
      </w:r>
      <w:r w:rsidR="00FD3E5F">
        <w:t>QD</w:t>
      </w:r>
      <w:r w:rsidRPr="00C22306">
        <w:t xml:space="preserve"> </w:t>
      </w:r>
      <w:r>
        <w:t xml:space="preserve">combines optimal efficacy while </w:t>
      </w:r>
      <w:r w:rsidRPr="00C22306">
        <w:t>retaining a high safety margin of use in subjects with PPR.</w:t>
      </w:r>
    </w:p>
    <w:p w14:paraId="6AD89F58" w14:textId="77777777" w:rsidR="00C22306" w:rsidRPr="00C22306" w:rsidRDefault="00C22306" w:rsidP="00A5525C">
      <w:pPr>
        <w:pStyle w:val="Heading5"/>
      </w:pPr>
      <w:r w:rsidRPr="00C22306">
        <w:t>TGA comment: RMP Evaluation</w:t>
      </w:r>
    </w:p>
    <w:p w14:paraId="6AD89F59" w14:textId="77777777" w:rsidR="00C22306" w:rsidRPr="00C22306" w:rsidRDefault="00C22306" w:rsidP="00C22306">
      <w:r w:rsidRPr="00C22306">
        <w:t>Outstanding issues</w:t>
      </w:r>
    </w:p>
    <w:p w14:paraId="6AD89F5A" w14:textId="77777777" w:rsidR="00C22306" w:rsidRPr="00C81E6B" w:rsidRDefault="00BD1775" w:rsidP="00C22306">
      <w:pPr>
        <w:rPr>
          <w:i/>
        </w:rPr>
      </w:pPr>
      <w:r w:rsidRPr="00C81E6B">
        <w:rPr>
          <w:i/>
        </w:rPr>
        <w:t>‘</w:t>
      </w:r>
      <w:r w:rsidR="00C22306" w:rsidRPr="00C81E6B">
        <w:rPr>
          <w:i/>
        </w:rPr>
        <w:t>Effects of significant UV exposure</w:t>
      </w:r>
      <w:r w:rsidRPr="00C81E6B">
        <w:rPr>
          <w:i/>
        </w:rPr>
        <w:t>’</w:t>
      </w:r>
      <w:r w:rsidR="00C22306" w:rsidRPr="00C81E6B">
        <w:rPr>
          <w:i/>
        </w:rPr>
        <w:t xml:space="preserve"> and </w:t>
      </w:r>
      <w:r w:rsidRPr="00C81E6B">
        <w:rPr>
          <w:i/>
        </w:rPr>
        <w:t>‘</w:t>
      </w:r>
      <w:r w:rsidR="00C22306" w:rsidRPr="00C81E6B">
        <w:rPr>
          <w:i/>
        </w:rPr>
        <w:t xml:space="preserve">Use in patients with particular forms of rosacea ((rosacea </w:t>
      </w:r>
      <w:proofErr w:type="spellStart"/>
      <w:r w:rsidR="00C22306" w:rsidRPr="00C81E6B">
        <w:rPr>
          <w:i/>
        </w:rPr>
        <w:t>conglobata</w:t>
      </w:r>
      <w:proofErr w:type="spellEnd"/>
      <w:r w:rsidR="00C22306" w:rsidRPr="00C81E6B">
        <w:rPr>
          <w:i/>
        </w:rPr>
        <w:t xml:space="preserve">, rosacea </w:t>
      </w:r>
      <w:proofErr w:type="spellStart"/>
      <w:r w:rsidR="00C22306" w:rsidRPr="00C81E6B">
        <w:rPr>
          <w:i/>
        </w:rPr>
        <w:t>fulminans</w:t>
      </w:r>
      <w:proofErr w:type="spellEnd"/>
      <w:r w:rsidR="00C22306" w:rsidRPr="00C81E6B">
        <w:rPr>
          <w:i/>
        </w:rPr>
        <w:t xml:space="preserve">, isolated </w:t>
      </w:r>
      <w:proofErr w:type="spellStart"/>
      <w:r w:rsidR="00C22306" w:rsidRPr="00C81E6B">
        <w:rPr>
          <w:i/>
        </w:rPr>
        <w:t>rhinophyma</w:t>
      </w:r>
      <w:proofErr w:type="spellEnd"/>
      <w:r w:rsidR="00C22306" w:rsidRPr="00C81E6B">
        <w:rPr>
          <w:i/>
        </w:rPr>
        <w:t xml:space="preserve">, isolated </w:t>
      </w:r>
      <w:proofErr w:type="spellStart"/>
      <w:r w:rsidR="00C22306" w:rsidRPr="00C81E6B">
        <w:rPr>
          <w:i/>
        </w:rPr>
        <w:t>pustulosis</w:t>
      </w:r>
      <w:proofErr w:type="spellEnd"/>
      <w:r w:rsidR="00C22306" w:rsidRPr="00C81E6B">
        <w:rPr>
          <w:i/>
        </w:rPr>
        <w:t xml:space="preserve"> of the chin) or other facial dermatoses that may be confounded with </w:t>
      </w:r>
      <w:proofErr w:type="spellStart"/>
      <w:r w:rsidR="00F475F1">
        <w:rPr>
          <w:i/>
        </w:rPr>
        <w:t>papulo</w:t>
      </w:r>
      <w:proofErr w:type="spellEnd"/>
      <w:r w:rsidR="00F475F1">
        <w:rPr>
          <w:i/>
        </w:rPr>
        <w:t>-pustular</w:t>
      </w:r>
      <w:r w:rsidR="00C22306" w:rsidRPr="00C81E6B">
        <w:rPr>
          <w:i/>
        </w:rPr>
        <w:t xml:space="preserve"> rosacea, such as peri</w:t>
      </w:r>
      <w:r w:rsidR="00C81E6B" w:rsidRPr="00C81E6B">
        <w:rPr>
          <w:i/>
        </w:rPr>
        <w:t>-</w:t>
      </w:r>
      <w:r w:rsidR="00C22306" w:rsidRPr="00C81E6B">
        <w:rPr>
          <w:i/>
        </w:rPr>
        <w:t>oral dermatitis, facial keratosis pilaris, se</w:t>
      </w:r>
      <w:r w:rsidR="00C81E6B" w:rsidRPr="00C81E6B">
        <w:rPr>
          <w:i/>
        </w:rPr>
        <w:t xml:space="preserve">borrheic dermatitis and acne) </w:t>
      </w:r>
      <w:r w:rsidR="00C22306" w:rsidRPr="00C81E6B">
        <w:rPr>
          <w:i/>
        </w:rPr>
        <w:t>should be added as missing information to the table of ongoing safety concerns.</w:t>
      </w:r>
    </w:p>
    <w:p w14:paraId="6AD89F5B" w14:textId="77777777" w:rsidR="00C81E6B" w:rsidRPr="00C81E6B" w:rsidRDefault="00C81E6B" w:rsidP="00C81E6B">
      <w:pPr>
        <w:rPr>
          <w:i/>
        </w:rPr>
      </w:pPr>
      <w:r w:rsidRPr="00C81E6B">
        <w:rPr>
          <w:i/>
        </w:rPr>
        <w:t>Sponsor’s response:</w:t>
      </w:r>
    </w:p>
    <w:p w14:paraId="6AD89F5C" w14:textId="77777777" w:rsidR="00C22306" w:rsidRDefault="00C22306" w:rsidP="00C81E6B">
      <w:r w:rsidRPr="00C22306">
        <w:t xml:space="preserve">The </w:t>
      </w:r>
      <w:r w:rsidR="00324098">
        <w:t>sponsor</w:t>
      </w:r>
      <w:r w:rsidRPr="00C22306">
        <w:t xml:space="preserve"> acknowledges the request for addition of missin</w:t>
      </w:r>
      <w:r>
        <w:t xml:space="preserve">g information on (1) effects of </w:t>
      </w:r>
      <w:r w:rsidRPr="00C22306">
        <w:t>significant ultraviolet exposure and (2) use in patients with the ab</w:t>
      </w:r>
      <w:r>
        <w:t xml:space="preserve">ove list of particular forms of </w:t>
      </w:r>
      <w:r w:rsidRPr="00C22306">
        <w:t>rosacea and other facial dermatoses that may be confounded wi</w:t>
      </w:r>
      <w:r>
        <w:t xml:space="preserve">th </w:t>
      </w:r>
      <w:proofErr w:type="spellStart"/>
      <w:r w:rsidR="00F475F1">
        <w:t>papulo</w:t>
      </w:r>
      <w:proofErr w:type="spellEnd"/>
      <w:r w:rsidR="00F475F1">
        <w:t>-pustular</w:t>
      </w:r>
      <w:r>
        <w:t xml:space="preserve"> rosacea. This </w:t>
      </w:r>
      <w:r w:rsidRPr="00C22306">
        <w:t>information has been added to the Precautions section of the PI. Addit</w:t>
      </w:r>
      <w:r>
        <w:t xml:space="preserve">ionally, the </w:t>
      </w:r>
      <w:r w:rsidR="00C81E6B">
        <w:t>ASA</w:t>
      </w:r>
      <w:r w:rsidRPr="00C22306">
        <w:t xml:space="preserve"> of the Risk Management Plan has been upda</w:t>
      </w:r>
      <w:r>
        <w:t>ted accordingly</w:t>
      </w:r>
      <w:r w:rsidRPr="00C22306">
        <w:t>.</w:t>
      </w:r>
    </w:p>
    <w:p w14:paraId="6AD89F5D" w14:textId="77777777" w:rsidR="00C22306" w:rsidRPr="00C22306" w:rsidRDefault="00C22306" w:rsidP="00A5525C">
      <w:pPr>
        <w:pStyle w:val="Heading5"/>
      </w:pPr>
      <w:r w:rsidRPr="00C22306">
        <w:t>TGA comment: Review of the Product Information</w:t>
      </w:r>
    </w:p>
    <w:p w14:paraId="6AD89F5E" w14:textId="77777777" w:rsidR="00C22306" w:rsidRPr="00C22306" w:rsidRDefault="00C22306" w:rsidP="00C22306">
      <w:r w:rsidRPr="00C22306">
        <w:t>Patients suffering particular forms of rosacea (rosacea</w:t>
      </w:r>
      <w:r>
        <w:t xml:space="preserve"> </w:t>
      </w:r>
      <w:proofErr w:type="spellStart"/>
      <w:r>
        <w:t>conglobata</w:t>
      </w:r>
      <w:proofErr w:type="spellEnd"/>
      <w:r>
        <w:t xml:space="preserve">, rosacea </w:t>
      </w:r>
      <w:proofErr w:type="spellStart"/>
      <w:r>
        <w:t>fulminans</w:t>
      </w:r>
      <w:proofErr w:type="spellEnd"/>
      <w:r>
        <w:t xml:space="preserve">, </w:t>
      </w:r>
      <w:r w:rsidRPr="00C22306">
        <w:t xml:space="preserve">isolated </w:t>
      </w:r>
      <w:proofErr w:type="spellStart"/>
      <w:r w:rsidRPr="00C22306">
        <w:t>rhinophyma</w:t>
      </w:r>
      <w:proofErr w:type="spellEnd"/>
      <w:r w:rsidRPr="00C22306">
        <w:t xml:space="preserve">, isolated </w:t>
      </w:r>
      <w:proofErr w:type="spellStart"/>
      <w:r w:rsidRPr="00C22306">
        <w:t>pustulosis</w:t>
      </w:r>
      <w:proofErr w:type="spellEnd"/>
      <w:r w:rsidRPr="00C22306">
        <w:t xml:space="preserve"> of the chin) or other facial dermatoses that may</w:t>
      </w:r>
      <w:r>
        <w:t xml:space="preserve"> </w:t>
      </w:r>
      <w:r w:rsidRPr="00C22306">
        <w:t xml:space="preserve">be confounded with </w:t>
      </w:r>
      <w:proofErr w:type="spellStart"/>
      <w:r w:rsidR="00F475F1">
        <w:t>papulo</w:t>
      </w:r>
      <w:proofErr w:type="spellEnd"/>
      <w:r w:rsidR="00F475F1">
        <w:t>-pustular</w:t>
      </w:r>
      <w:r w:rsidRPr="00C22306">
        <w:t xml:space="preserve"> rosacea, such as peri</w:t>
      </w:r>
      <w:r w:rsidR="00C81E6B">
        <w:t>-</w:t>
      </w:r>
      <w:r w:rsidRPr="00C22306">
        <w:t>or</w:t>
      </w:r>
      <w:r>
        <w:t xml:space="preserve">al dermatitis, facial keratosis </w:t>
      </w:r>
      <w:r w:rsidRPr="00C22306">
        <w:t>pilaris, seborrheic dermatitis and acne</w:t>
      </w:r>
      <w:r w:rsidR="00BD1775">
        <w:t>’</w:t>
      </w:r>
      <w:r w:rsidRPr="00C22306">
        <w:t>.</w:t>
      </w:r>
    </w:p>
    <w:p w14:paraId="6AD89F5F" w14:textId="77777777" w:rsidR="00C81E6B" w:rsidRPr="00C81E6B" w:rsidRDefault="00C81E6B" w:rsidP="00C81E6B">
      <w:pPr>
        <w:rPr>
          <w:i/>
        </w:rPr>
      </w:pPr>
      <w:r w:rsidRPr="00C81E6B">
        <w:rPr>
          <w:i/>
        </w:rPr>
        <w:t>Sponsor’s response:</w:t>
      </w:r>
    </w:p>
    <w:p w14:paraId="6AD89F60" w14:textId="77777777" w:rsidR="00C22306" w:rsidRPr="00C22306" w:rsidRDefault="00C22306" w:rsidP="00C81E6B">
      <w:r w:rsidRPr="00C22306">
        <w:t>The Precautions section of the PI has been amended to i</w:t>
      </w:r>
      <w:r>
        <w:t xml:space="preserve">nclude the following statement: </w:t>
      </w:r>
      <w:r w:rsidR="00BD1775">
        <w:t>‘</w:t>
      </w:r>
      <w:r w:rsidRPr="00C81E6B">
        <w:rPr>
          <w:i/>
        </w:rPr>
        <w:t xml:space="preserve">Safety and efficacy have not been established in patients suffering from particular forms of rosacea (rosacea </w:t>
      </w:r>
      <w:proofErr w:type="spellStart"/>
      <w:r w:rsidRPr="00C81E6B">
        <w:rPr>
          <w:i/>
        </w:rPr>
        <w:t>conglobata</w:t>
      </w:r>
      <w:proofErr w:type="spellEnd"/>
      <w:r w:rsidRPr="00C81E6B">
        <w:rPr>
          <w:i/>
        </w:rPr>
        <w:t xml:space="preserve">, rosacea </w:t>
      </w:r>
      <w:proofErr w:type="spellStart"/>
      <w:r w:rsidRPr="00C81E6B">
        <w:rPr>
          <w:i/>
        </w:rPr>
        <w:t>fulminans</w:t>
      </w:r>
      <w:proofErr w:type="spellEnd"/>
      <w:r w:rsidRPr="00C81E6B">
        <w:rPr>
          <w:i/>
        </w:rPr>
        <w:t xml:space="preserve">, isolated </w:t>
      </w:r>
      <w:proofErr w:type="spellStart"/>
      <w:r w:rsidRPr="00C81E6B">
        <w:rPr>
          <w:i/>
        </w:rPr>
        <w:t>rhinophyma</w:t>
      </w:r>
      <w:proofErr w:type="spellEnd"/>
      <w:r w:rsidRPr="00C81E6B">
        <w:rPr>
          <w:i/>
        </w:rPr>
        <w:t xml:space="preserve">, isolated </w:t>
      </w:r>
      <w:proofErr w:type="spellStart"/>
      <w:r w:rsidRPr="00C81E6B">
        <w:rPr>
          <w:i/>
        </w:rPr>
        <w:t>pustulosis</w:t>
      </w:r>
      <w:proofErr w:type="spellEnd"/>
      <w:r w:rsidRPr="00C81E6B">
        <w:rPr>
          <w:i/>
        </w:rPr>
        <w:t xml:space="preserve"> of the chin) or other facial dermatoses that may be confounded with </w:t>
      </w:r>
      <w:proofErr w:type="spellStart"/>
      <w:r w:rsidR="00F475F1">
        <w:rPr>
          <w:i/>
        </w:rPr>
        <w:t>papulo</w:t>
      </w:r>
      <w:proofErr w:type="spellEnd"/>
      <w:r w:rsidR="00F475F1">
        <w:rPr>
          <w:i/>
        </w:rPr>
        <w:t>-pustular</w:t>
      </w:r>
      <w:r w:rsidRPr="00C81E6B">
        <w:rPr>
          <w:i/>
        </w:rPr>
        <w:t xml:space="preserve"> rosacea, such as peri-oral dermatitis, facial keratosis pilaris, seborrheic dermatitis and acne</w:t>
      </w:r>
      <w:r w:rsidRPr="00C22306">
        <w:t>.</w:t>
      </w:r>
      <w:r w:rsidR="00BD1775">
        <w:t>’</w:t>
      </w:r>
    </w:p>
    <w:p w14:paraId="6AD89F61" w14:textId="77777777" w:rsidR="008E7846" w:rsidRDefault="008E7846" w:rsidP="008E7846">
      <w:pPr>
        <w:pStyle w:val="Heading4"/>
      </w:pPr>
      <w:r>
        <w:lastRenderedPageBreak/>
        <w:t>Advisory Committee Considerations</w:t>
      </w:r>
    </w:p>
    <w:p w14:paraId="6AD89F62" w14:textId="77777777"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14:paraId="6AD89F63" w14:textId="77777777" w:rsidR="00440C2C" w:rsidRPr="00440C2C" w:rsidRDefault="00440C2C" w:rsidP="00440C2C">
      <w:r w:rsidRPr="00440C2C">
        <w:t xml:space="preserve">The ACPM, taking into account the submitted evidence of efficacy, safety and quality, agreed with the </w:t>
      </w:r>
      <w:r w:rsidR="006F6336">
        <w:t>Delegate</w:t>
      </w:r>
      <w:r w:rsidRPr="00440C2C">
        <w:t xml:space="preserve"> and considered </w:t>
      </w:r>
      <w:r w:rsidR="00356678">
        <w:t>Soolantra</w:t>
      </w:r>
      <w:r w:rsidR="00C81E6B">
        <w:t>/</w:t>
      </w:r>
      <w:r w:rsidRPr="00440C2C">
        <w:t xml:space="preserve"> </w:t>
      </w:r>
      <w:r w:rsidR="006F6336">
        <w:t>Vastreka</w:t>
      </w:r>
      <w:r w:rsidRPr="00440C2C">
        <w:t xml:space="preserve"> cream containing 10 mg/g (1% w/w) of </w:t>
      </w:r>
      <w:r w:rsidR="006D61C3">
        <w:t>ivermectin</w:t>
      </w:r>
      <w:r w:rsidRPr="00440C2C">
        <w:t xml:space="preserve"> to have an overall positive benefit–r</w:t>
      </w:r>
      <w:r w:rsidR="00CA14F1">
        <w:t>isk profile for the indication:</w:t>
      </w:r>
    </w:p>
    <w:p w14:paraId="6AD89F64" w14:textId="77777777" w:rsidR="00440C2C" w:rsidRPr="00440C2C" w:rsidRDefault="00CA14F1" w:rsidP="00440C2C">
      <w:pPr>
        <w:ind w:left="720"/>
        <w:rPr>
          <w:i/>
        </w:rPr>
      </w:pPr>
      <w:r>
        <w:rPr>
          <w:i/>
        </w:rPr>
        <w:t>Soolantra/Vastreka</w:t>
      </w:r>
      <w:r w:rsidR="00440C2C" w:rsidRPr="00440C2C">
        <w:rPr>
          <w:i/>
        </w:rPr>
        <w:t xml:space="preserve"> is indicated for the topical treatment of inflammatory lesions of rosacea (</w:t>
      </w:r>
      <w:proofErr w:type="spellStart"/>
      <w:r w:rsidR="00440C2C" w:rsidRPr="00440C2C">
        <w:rPr>
          <w:i/>
        </w:rPr>
        <w:t>papulo</w:t>
      </w:r>
      <w:proofErr w:type="spellEnd"/>
      <w:r w:rsidR="00440C2C" w:rsidRPr="00440C2C">
        <w:rPr>
          <w:i/>
        </w:rPr>
        <w:t>-pustular) in adult patients 18 years and over</w:t>
      </w:r>
      <w:r w:rsidR="00100E19">
        <w:rPr>
          <w:i/>
        </w:rPr>
        <w:t>.</w:t>
      </w:r>
    </w:p>
    <w:p w14:paraId="6AD89F65" w14:textId="77777777" w:rsidR="00440C2C" w:rsidRPr="00440C2C" w:rsidRDefault="00440C2C" w:rsidP="00440C2C">
      <w:bookmarkStart w:id="184" w:name="_Toc247691532"/>
      <w:bookmarkStart w:id="185" w:name="_Toc314842516"/>
      <w:bookmarkEnd w:id="139"/>
      <w:bookmarkEnd w:id="182"/>
      <w:bookmarkEnd w:id="183"/>
      <w:r w:rsidRPr="00440C2C">
        <w:t>In making this recommendation the ACPM</w:t>
      </w:r>
      <w:r>
        <w:t>;</w:t>
      </w:r>
    </w:p>
    <w:p w14:paraId="6AD89F66" w14:textId="77777777" w:rsidR="00440C2C" w:rsidRPr="00440C2C" w:rsidRDefault="00440C2C" w:rsidP="00440C2C">
      <w:pPr>
        <w:pStyle w:val="ListBullet"/>
      </w:pPr>
      <w:r w:rsidRPr="00440C2C">
        <w:t>Noted the mechanism of action has not been definitively investigated.</w:t>
      </w:r>
    </w:p>
    <w:p w14:paraId="6AD89F67" w14:textId="77777777" w:rsidR="00440C2C" w:rsidRPr="00440C2C" w:rsidRDefault="00440C2C" w:rsidP="00440C2C">
      <w:pPr>
        <w:pStyle w:val="ListBullet"/>
      </w:pPr>
      <w:r w:rsidRPr="00440C2C">
        <w:t>Noted the decision to choose 1% cream was not robust. There was no evidence of clinical superiority of 1% strength over 0.3% strength.</w:t>
      </w:r>
    </w:p>
    <w:p w14:paraId="6AD89F68" w14:textId="77777777" w:rsidR="00440C2C" w:rsidRPr="00440C2C" w:rsidRDefault="00440C2C" w:rsidP="00440C2C">
      <w:pPr>
        <w:pStyle w:val="ListBullet"/>
      </w:pPr>
      <w:r w:rsidRPr="00440C2C">
        <w:t>Noted there is still relapse data to be reported.</w:t>
      </w:r>
    </w:p>
    <w:p w14:paraId="6AD89F69" w14:textId="77777777" w:rsidR="00440C2C" w:rsidRDefault="00440C2C" w:rsidP="00440C2C">
      <w:pPr>
        <w:pStyle w:val="ListBullet"/>
      </w:pPr>
      <w:r w:rsidRPr="00440C2C">
        <w:t>Noted treatment course duration and frequency are not clearly defined by the data.</w:t>
      </w:r>
    </w:p>
    <w:p w14:paraId="6AD89F6A" w14:textId="77777777" w:rsidR="00440C2C" w:rsidRPr="00440C2C" w:rsidRDefault="00440C2C" w:rsidP="00440C2C">
      <w:pPr>
        <w:pStyle w:val="Heading5"/>
      </w:pPr>
      <w:r w:rsidRPr="00440C2C">
        <w:t>Proposed conditions of registration</w:t>
      </w:r>
    </w:p>
    <w:p w14:paraId="6AD89F6B" w14:textId="77777777" w:rsidR="00440C2C" w:rsidRPr="00440C2C" w:rsidRDefault="00440C2C" w:rsidP="00440C2C">
      <w:r w:rsidRPr="00440C2C">
        <w:t>T</w:t>
      </w:r>
      <w:r>
        <w:t>he ACPM agreed with the D</w:t>
      </w:r>
      <w:r w:rsidRPr="00440C2C">
        <w:t>elegate on the proposed conditions of regis</w:t>
      </w:r>
      <w:r w:rsidR="00CA14F1">
        <w:t>tration.</w:t>
      </w:r>
    </w:p>
    <w:p w14:paraId="6AD89F6C" w14:textId="77777777" w:rsidR="00440C2C" w:rsidRPr="00440C2C" w:rsidRDefault="00440C2C" w:rsidP="00440C2C">
      <w:pPr>
        <w:pStyle w:val="Heading5"/>
      </w:pPr>
      <w:r w:rsidRPr="00440C2C">
        <w:t>Proposed Product Information (PI)/Consumer Medicine Information (CMI) amendments</w:t>
      </w:r>
    </w:p>
    <w:p w14:paraId="6AD89F6D" w14:textId="77777777" w:rsidR="00440C2C" w:rsidRPr="00440C2C" w:rsidRDefault="00440C2C" w:rsidP="00440C2C">
      <w:r>
        <w:t>The ACPM agreed with the D</w:t>
      </w:r>
      <w:r w:rsidRPr="00440C2C">
        <w:t>elegate to the proposed amendments to the Product Information (PI) and Consumer Medicine Information (CMI).</w:t>
      </w:r>
    </w:p>
    <w:p w14:paraId="6AD89F6E" w14:textId="77777777" w:rsidR="00440C2C" w:rsidRPr="00440C2C" w:rsidRDefault="00440C2C" w:rsidP="00440C2C">
      <w:pPr>
        <w:pStyle w:val="Heading4"/>
        <w:rPr>
          <w:highlight w:val="yellow"/>
        </w:rPr>
      </w:pPr>
      <w:r w:rsidRPr="00440C2C">
        <w:t>Specific Advice</w:t>
      </w:r>
    </w:p>
    <w:p w14:paraId="6AD89F6F" w14:textId="77777777" w:rsidR="00440C2C" w:rsidRPr="00440C2C" w:rsidRDefault="00440C2C" w:rsidP="00440C2C">
      <w:pPr>
        <w:rPr>
          <w:highlight w:val="yellow"/>
        </w:rPr>
      </w:pPr>
      <w:r w:rsidRPr="00440C2C">
        <w:t xml:space="preserve">The ACPM advised the following in response to the </w:t>
      </w:r>
      <w:r w:rsidR="006F6336">
        <w:t>Delegate</w:t>
      </w:r>
      <w:r w:rsidRPr="00440C2C">
        <w:t>’s specific questions on this submission:</w:t>
      </w:r>
    </w:p>
    <w:p w14:paraId="6AD89F70" w14:textId="77777777" w:rsidR="00440C2C" w:rsidRPr="00CA14F1" w:rsidRDefault="00440C2C" w:rsidP="00C81E6B">
      <w:pPr>
        <w:pStyle w:val="Numberbullet0"/>
        <w:numPr>
          <w:ilvl w:val="0"/>
          <w:numId w:val="36"/>
        </w:numPr>
        <w:rPr>
          <w:i/>
        </w:rPr>
      </w:pPr>
      <w:r w:rsidRPr="00CA14F1">
        <w:rPr>
          <w:i/>
        </w:rPr>
        <w:t xml:space="preserve">Does the ACPM agree with the </w:t>
      </w:r>
      <w:r w:rsidR="00C81E6B" w:rsidRPr="00CA14F1">
        <w:rPr>
          <w:i/>
        </w:rPr>
        <w:t>clinical evaluator’s</w:t>
      </w:r>
      <w:r w:rsidRPr="00CA14F1">
        <w:rPr>
          <w:i/>
        </w:rPr>
        <w:t xml:space="preserve"> conclusion that at the present stage of product development, no specific safety concern </w:t>
      </w:r>
      <w:r w:rsidR="00100E19" w:rsidRPr="00CA14F1">
        <w:rPr>
          <w:i/>
        </w:rPr>
        <w:t>remains?</w:t>
      </w:r>
    </w:p>
    <w:p w14:paraId="6AD89F71" w14:textId="77777777" w:rsidR="00440C2C" w:rsidRPr="00440C2C" w:rsidRDefault="00440C2C" w:rsidP="00440C2C">
      <w:r w:rsidRPr="00440C2C">
        <w:t xml:space="preserve">The ACPM agreed there were no specific safety concerns but acknowledged that the biopharmaceutic and pharmacology data are limited and that assumptions on systemic effects from topical dosing have been </w:t>
      </w:r>
      <w:r w:rsidR="00C81E6B">
        <w:t>made.</w:t>
      </w:r>
    </w:p>
    <w:p w14:paraId="6AD89F72" w14:textId="77777777" w:rsidR="00440C2C" w:rsidRDefault="00440C2C" w:rsidP="00440C2C">
      <w:pPr>
        <w:rPr>
          <w:bCs/>
        </w:rPr>
      </w:pPr>
      <w:r w:rsidRPr="00440C2C">
        <w:t>The ACPM was of the view that the lack of long term safety data combined with treatment (albeit interrupted) over years, required long term pharmacovigilance for systemic</w:t>
      </w:r>
      <w:r>
        <w:rPr>
          <w:bCs/>
        </w:rPr>
        <w:t xml:space="preserve"> adverse events</w:t>
      </w:r>
      <w:r w:rsidRPr="00F76738">
        <w:rPr>
          <w:bCs/>
        </w:rPr>
        <w:t xml:space="preserve"> </w:t>
      </w:r>
      <w:r>
        <w:rPr>
          <w:bCs/>
        </w:rPr>
        <w:t>and resistance and agreed with measures, particularly on skin carcinoma, in the RMP and the PI.</w:t>
      </w:r>
    </w:p>
    <w:p w14:paraId="6AD89F73" w14:textId="77777777" w:rsidR="00440C2C" w:rsidRDefault="00440C2C" w:rsidP="00440C2C">
      <w:r w:rsidRPr="00440C2C">
        <w:t xml:space="preserve">The ACPM was of the view that the choice of </w:t>
      </w:r>
      <w:r w:rsidR="006D61C3">
        <w:t>ivermectin</w:t>
      </w:r>
      <w:r w:rsidRPr="00440C2C">
        <w:t xml:space="preserve"> 1% over the 0.3% strength appears inappropriate on Quality Use of Medicines principles and should have been investigated further.</w:t>
      </w:r>
    </w:p>
    <w:p w14:paraId="6AD89F74" w14:textId="77777777" w:rsidR="00440C2C" w:rsidRPr="00440C2C" w:rsidRDefault="00440C2C" w:rsidP="00440C2C">
      <w:r w:rsidRPr="00440C2C">
        <w:t>The ACPM advised that implementation by the sponsor of the recommendations outlined above to the satisfaction of the TGA, in addition to the evidence of efficacy and safety provided would support the safe and</w:t>
      </w:r>
      <w:r w:rsidR="00C81E6B">
        <w:t xml:space="preserve"> effective use of this product.</w:t>
      </w:r>
    </w:p>
    <w:p w14:paraId="6AD89F75" w14:textId="77777777" w:rsidR="008E7846" w:rsidRPr="002E238E" w:rsidRDefault="008E7846" w:rsidP="008E7846">
      <w:pPr>
        <w:pStyle w:val="Heading3"/>
      </w:pPr>
      <w:bookmarkStart w:id="186" w:name="_Toc437418409"/>
      <w:r>
        <w:t>Outcome</w:t>
      </w:r>
      <w:bookmarkEnd w:id="184"/>
      <w:bookmarkEnd w:id="185"/>
      <w:bookmarkEnd w:id="186"/>
    </w:p>
    <w:p w14:paraId="6AD89F76" w14:textId="77777777" w:rsidR="00D23139" w:rsidRPr="00D23139" w:rsidRDefault="00D23139" w:rsidP="00D23139">
      <w:bookmarkStart w:id="187" w:name="_Toc247691533"/>
      <w:bookmarkStart w:id="188" w:name="_Toc314842517"/>
      <w:r w:rsidRPr="00D23139">
        <w:t xml:space="preserve">Based on a review of quality, safety and efficacy, TGA approved the registration of </w:t>
      </w:r>
      <w:r w:rsidR="00FB4410">
        <w:t xml:space="preserve">Soolantra ivermectin 10 mg/g </w:t>
      </w:r>
      <w:r w:rsidRPr="00D23139">
        <w:t xml:space="preserve">for </w:t>
      </w:r>
      <w:r w:rsidR="00FB4410" w:rsidRPr="00FB4410">
        <w:t xml:space="preserve">cream tube </w:t>
      </w:r>
      <w:r w:rsidR="00FB4410">
        <w:t xml:space="preserve">for topical </w:t>
      </w:r>
      <w:r w:rsidRPr="00D23139">
        <w:t>administration, indicated for:</w:t>
      </w:r>
    </w:p>
    <w:p w14:paraId="6AD89F77" w14:textId="77777777" w:rsidR="00D23139" w:rsidRPr="00CA14F1" w:rsidRDefault="00CA14F1" w:rsidP="00CA14F1">
      <w:pPr>
        <w:ind w:left="720"/>
        <w:rPr>
          <w:i/>
        </w:rPr>
      </w:pPr>
      <w:r w:rsidRPr="00CA14F1">
        <w:rPr>
          <w:i/>
        </w:rPr>
        <w:lastRenderedPageBreak/>
        <w:t>Soolantra/Vastreka is indicated for the topical treatment of inflammatory lesions of rosacea (</w:t>
      </w:r>
      <w:proofErr w:type="spellStart"/>
      <w:r w:rsidRPr="00CA14F1">
        <w:rPr>
          <w:i/>
        </w:rPr>
        <w:t>papulo</w:t>
      </w:r>
      <w:proofErr w:type="spellEnd"/>
      <w:r w:rsidRPr="00CA14F1">
        <w:rPr>
          <w:i/>
        </w:rPr>
        <w:t>-pustular) in adult patients 18 years and over.</w:t>
      </w:r>
    </w:p>
    <w:p w14:paraId="6AD89F78" w14:textId="77777777" w:rsidR="00D23139" w:rsidRPr="00D23139" w:rsidRDefault="00D23139" w:rsidP="00D23139">
      <w:pPr>
        <w:pStyle w:val="Heading4"/>
      </w:pPr>
      <w:r w:rsidRPr="00D23139">
        <w:t>Specific conditions of registration applying to these goods</w:t>
      </w:r>
    </w:p>
    <w:p w14:paraId="6AD89F79" w14:textId="77777777" w:rsidR="00CA14F1" w:rsidRPr="00CA14F1" w:rsidRDefault="00CA14F1" w:rsidP="00CA14F1">
      <w:r w:rsidRPr="00CA14F1">
        <w:t>The Soolantra/Vastr</w:t>
      </w:r>
      <w:r>
        <w:t>ek</w:t>
      </w:r>
      <w:r w:rsidRPr="00CA14F1">
        <w:t>a containing</w:t>
      </w:r>
      <w:r>
        <w:t xml:space="preserve"> ivermectin 10 m</w:t>
      </w:r>
      <w:r w:rsidRPr="00CA14F1">
        <w:t>g/g cream Risk Management</w:t>
      </w:r>
      <w:r>
        <w:t xml:space="preserve"> </w:t>
      </w:r>
      <w:r w:rsidRPr="00CA14F1">
        <w:t>Plan (RMP): EU RMP (version 1.0, dated 25 March 2014, DLP 10 October 2013) with</w:t>
      </w:r>
      <w:r>
        <w:t xml:space="preserve"> Australian Specific Annex (version 1.2, dated J</w:t>
      </w:r>
      <w:r w:rsidRPr="00CA14F1">
        <w:t>uly 2015</w:t>
      </w:r>
      <w:r>
        <w:t xml:space="preserve">), included with submission PM- </w:t>
      </w:r>
      <w:r w:rsidRPr="00CA14F1">
        <w:t>2014-01877-</w:t>
      </w:r>
      <w:r>
        <w:t>1</w:t>
      </w:r>
      <w:r w:rsidRPr="00CA14F1">
        <w:t>-2, and any subsequent revisions,</w:t>
      </w:r>
      <w:r>
        <w:t xml:space="preserve"> as agreed with the TGA will be </w:t>
      </w:r>
      <w:r w:rsidRPr="00CA14F1">
        <w:t>implemented in Australia.</w:t>
      </w:r>
    </w:p>
    <w:p w14:paraId="6AD89F7A" w14:textId="77777777" w:rsidR="008E7846" w:rsidRDefault="00A80B5B" w:rsidP="00CA14F1">
      <w:pPr>
        <w:pStyle w:val="Heading2"/>
      </w:pPr>
      <w:bookmarkStart w:id="189" w:name="_Toc437418410"/>
      <w:proofErr w:type="gramStart"/>
      <w:r>
        <w:t>Attachment 1.</w:t>
      </w:r>
      <w:proofErr w:type="gramEnd"/>
      <w:r>
        <w:t xml:space="preserve"> </w:t>
      </w:r>
      <w:r w:rsidR="008E7846">
        <w:t xml:space="preserve">Product </w:t>
      </w:r>
      <w:r w:rsidR="00AA0ED0">
        <w:t>I</w:t>
      </w:r>
      <w:r w:rsidR="008E7846">
        <w:t>nformation</w:t>
      </w:r>
      <w:bookmarkEnd w:id="187"/>
      <w:bookmarkEnd w:id="188"/>
      <w:bookmarkEnd w:id="189"/>
    </w:p>
    <w:p w14:paraId="6AD89F7B" w14:textId="77777777" w:rsidR="00C80137" w:rsidRDefault="002B3624" w:rsidP="00C80137">
      <w:pPr>
        <w:rPr>
          <w:color w:val="000000"/>
          <w:lang w:eastAsia="en-AU"/>
        </w:rPr>
      </w:pPr>
      <w:r w:rsidRPr="002B3624">
        <w:t xml:space="preserve">The </w:t>
      </w:r>
      <w:r w:rsidR="00133A1B">
        <w:t>PI</w:t>
      </w:r>
      <w:r w:rsidRPr="002B3624">
        <w:t xml:space="preserve"> approved for </w:t>
      </w:r>
      <w:r w:rsidR="00CA14F1">
        <w:t xml:space="preserve">Soolantra </w:t>
      </w:r>
      <w:r w:rsidRPr="002B3624">
        <w:t xml:space="preserve">at the time this AusPAR was published is at Attachment 1. For the most recent </w:t>
      </w:r>
      <w:r w:rsidR="00133A1B">
        <w:t>PI,</w:t>
      </w:r>
      <w:r w:rsidRPr="002B3624">
        <w:t xml:space="preserve"> please refer to the </w:t>
      </w:r>
      <w:r w:rsidR="007C6B9B" w:rsidRPr="007C6B9B">
        <w:t>TGA website at &lt;</w:t>
      </w:r>
      <w:hyperlink r:id="rId21" w:history="1">
        <w:r w:rsidR="007C6B9B" w:rsidRPr="007C6B9B">
          <w:rPr>
            <w:rStyle w:val="Hyperlink"/>
          </w:rPr>
          <w:t>https://www.tga.gov.au/product-information-pi</w:t>
        </w:r>
      </w:hyperlink>
      <w:r w:rsidR="007C6B9B" w:rsidRPr="007C6B9B">
        <w:t xml:space="preserve">&gt;. </w:t>
      </w:r>
      <w:r w:rsidRPr="00CA14F1">
        <w:t xml:space="preserve">The PI </w:t>
      </w:r>
      <w:r w:rsidR="00CA14F1" w:rsidRPr="00CA14F1">
        <w:t>Vastreka</w:t>
      </w:r>
      <w:r w:rsidRPr="00CA14F1">
        <w:t xml:space="preserve"> is identical except for the product name.</w:t>
      </w:r>
    </w:p>
    <w:p w14:paraId="6AD89F7C" w14:textId="77777777" w:rsidR="00770CAC" w:rsidRDefault="00C80137" w:rsidP="006C1CA3">
      <w:pPr>
        <w:pStyle w:val="Heading2"/>
        <w:rPr>
          <w:lang w:eastAsia="en-AU"/>
        </w:rPr>
      </w:pPr>
      <w:bookmarkStart w:id="190" w:name="_Toc437418411"/>
      <w:proofErr w:type="gramStart"/>
      <w:r>
        <w:rPr>
          <w:lang w:eastAsia="en-AU"/>
        </w:rPr>
        <w:t>Attachment 2.</w:t>
      </w:r>
      <w:proofErr w:type="gramEnd"/>
      <w:r w:rsidR="00A80B5B">
        <w:rPr>
          <w:lang w:eastAsia="en-AU"/>
        </w:rPr>
        <w:t xml:space="preserve"> </w:t>
      </w:r>
      <w:r>
        <w:rPr>
          <w:lang w:eastAsia="en-AU"/>
        </w:rPr>
        <w:t>Extract from the Clinical Evaluation Report</w:t>
      </w:r>
      <w:bookmarkEnd w:id="190"/>
    </w:p>
    <w:p w14:paraId="6AD89F7D" w14:textId="77777777" w:rsidR="00291957" w:rsidRDefault="00291957" w:rsidP="00291957">
      <w:pPr>
        <w:rPr>
          <w:lang w:eastAsia="ja-JP"/>
        </w:rPr>
      </w:pPr>
    </w:p>
    <w:p w14:paraId="6AD89F7E" w14:textId="77777777" w:rsidR="00C80137" w:rsidRPr="001D043B" w:rsidRDefault="00C80137" w:rsidP="003A7F6C">
      <w:pPr>
        <w:pStyle w:val="TableTitle"/>
        <w:sectPr w:rsidR="00C80137" w:rsidRPr="001D043B" w:rsidSect="00B452CE">
          <w:headerReference w:type="even" r:id="rId22"/>
          <w:headerReference w:type="default" r:id="rId23"/>
          <w:headerReference w:type="first" r:id="rId24"/>
          <w:footerReference w:type="first" r:id="rId25"/>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6AD89F80" w14:textId="77777777" w:rsidTr="00A05FA4">
        <w:trPr>
          <w:trHeight w:hRule="exact" w:val="704"/>
        </w:trPr>
        <w:tc>
          <w:tcPr>
            <w:tcW w:w="9175" w:type="dxa"/>
          </w:tcPr>
          <w:p w14:paraId="6AD89F7F" w14:textId="77777777" w:rsidR="001C32CD" w:rsidRPr="00487162" w:rsidRDefault="001C32CD" w:rsidP="00A05FA4">
            <w:pPr>
              <w:pStyle w:val="TGASignoff"/>
            </w:pPr>
            <w:r w:rsidRPr="00487162">
              <w:lastRenderedPageBreak/>
              <w:t>Therapeutic Goods Administration</w:t>
            </w:r>
          </w:p>
        </w:tc>
      </w:tr>
      <w:tr w:rsidR="001C32CD" w:rsidRPr="004C239D" w14:paraId="6AD89F84" w14:textId="77777777" w:rsidTr="00A05FA4">
        <w:trPr>
          <w:trHeight w:val="1221"/>
        </w:trPr>
        <w:tc>
          <w:tcPr>
            <w:tcW w:w="9175" w:type="dxa"/>
            <w:tcMar>
              <w:top w:w="28" w:type="dxa"/>
            </w:tcMar>
          </w:tcPr>
          <w:p w14:paraId="6AD89F81" w14:textId="77777777" w:rsidR="001C32CD" w:rsidRPr="00487162" w:rsidRDefault="001C32CD" w:rsidP="00A05FA4">
            <w:pPr>
              <w:pStyle w:val="Address"/>
            </w:pPr>
            <w:r w:rsidRPr="00487162">
              <w:t>PO Box 100 Woden ACT 2606 Australia</w:t>
            </w:r>
          </w:p>
          <w:p w14:paraId="6AD89F82" w14:textId="0C837769" w:rsidR="001C32CD" w:rsidRPr="00487162" w:rsidRDefault="001C32CD" w:rsidP="00A05FA4">
            <w:pPr>
              <w:pStyle w:val="Address"/>
            </w:pPr>
            <w:r w:rsidRPr="00487162">
              <w:t xml:space="preserve">Email: </w:t>
            </w:r>
            <w:hyperlink r:id="rId26" w:history="1">
              <w:r w:rsidRPr="004C239D">
                <w:rPr>
                  <w:rStyle w:val="Hyperlink"/>
                </w:rPr>
                <w:t>info@tga.gov.au</w:t>
              </w:r>
            </w:hyperlink>
            <w:r w:rsidR="005F1306">
              <w:t xml:space="preserve"> </w:t>
            </w:r>
            <w:r w:rsidRPr="00487162">
              <w:t>Phone: 1800 020 653</w:t>
            </w:r>
            <w:r w:rsidR="005F1306">
              <w:t xml:space="preserve"> </w:t>
            </w:r>
            <w:r w:rsidRPr="00487162">
              <w:t>Fax: 02 6232 8605</w:t>
            </w:r>
          </w:p>
          <w:p w14:paraId="6AD89F83" w14:textId="77777777" w:rsidR="001C32CD" w:rsidRPr="004C239D" w:rsidRDefault="00494444" w:rsidP="00A05FA4">
            <w:pPr>
              <w:pStyle w:val="Address"/>
              <w:spacing w:line="260" w:lineRule="atLeast"/>
              <w:rPr>
                <w:b/>
                <w:color w:val="0000FF"/>
                <w:u w:val="single"/>
              </w:rPr>
            </w:pPr>
            <w:hyperlink r:id="rId27" w:history="1">
              <w:r w:rsidR="007C6B9B" w:rsidRPr="007C6B9B">
                <w:rPr>
                  <w:rStyle w:val="Hyperlink"/>
                  <w:b/>
                </w:rPr>
                <w:t>https://www.tga.gov.au</w:t>
              </w:r>
            </w:hyperlink>
          </w:p>
        </w:tc>
      </w:tr>
    </w:tbl>
    <w:p w14:paraId="6AD89F85" w14:textId="77777777" w:rsidR="00774E1D" w:rsidRPr="008A5E0B" w:rsidRDefault="00774E1D" w:rsidP="004C239D"/>
    <w:sectPr w:rsidR="00774E1D" w:rsidRPr="008A5E0B" w:rsidSect="001C32CD">
      <w:headerReference w:type="even" r:id="rId28"/>
      <w:headerReference w:type="default" r:id="rId29"/>
      <w:footerReference w:type="default" r:id="rId30"/>
      <w:headerReference w:type="first" r:id="rId31"/>
      <w:footerReference w:type="first" r:id="rId32"/>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D89F8E" w14:textId="77777777" w:rsidR="00026D9A" w:rsidRDefault="00026D9A" w:rsidP="00C40A36">
      <w:pPr>
        <w:spacing w:after="0"/>
      </w:pPr>
      <w:r>
        <w:separator/>
      </w:r>
    </w:p>
  </w:endnote>
  <w:endnote w:type="continuationSeparator" w:id="0">
    <w:p w14:paraId="6AD89F8F" w14:textId="77777777" w:rsidR="00026D9A" w:rsidRDefault="00026D9A"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Narrow,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513"/>
      <w:gridCol w:w="1348"/>
    </w:tblGrid>
    <w:tr w:rsidR="00026D9A" w:rsidRPr="00487162" w14:paraId="6AD89F93" w14:textId="77777777" w:rsidTr="00650101">
      <w:trPr>
        <w:trHeight w:val="269"/>
      </w:trPr>
      <w:tc>
        <w:tcPr>
          <w:tcW w:w="7513" w:type="dxa"/>
          <w:tcMar>
            <w:top w:w="142" w:type="dxa"/>
            <w:bottom w:w="0" w:type="dxa"/>
          </w:tcMar>
        </w:tcPr>
        <w:p w14:paraId="6AD89F91" w14:textId="7C7CA7A5" w:rsidR="00026D9A" w:rsidRPr="00487162" w:rsidRDefault="00026D9A" w:rsidP="00F76A01">
          <w:pPr>
            <w:pStyle w:val="Footer"/>
          </w:pPr>
          <w:r w:rsidRPr="00487162">
            <w:t>AusPA</w:t>
          </w:r>
          <w:r>
            <w:t xml:space="preserve">R - </w:t>
          </w:r>
          <w:r w:rsidRPr="006C1CA3">
            <w:t xml:space="preserve">SOOLANTRA and VASTREKA - </w:t>
          </w:r>
          <w:proofErr w:type="spellStart"/>
          <w:r w:rsidRPr="006C1CA3">
            <w:t>Ivermectin</w:t>
          </w:r>
          <w:proofErr w:type="spellEnd"/>
          <w:r w:rsidRPr="006C1CA3">
            <w:t xml:space="preserve"> - </w:t>
          </w:r>
          <w:proofErr w:type="spellStart"/>
          <w:r w:rsidRPr="006C1CA3">
            <w:t>Galderma</w:t>
          </w:r>
          <w:proofErr w:type="spellEnd"/>
          <w:r w:rsidRPr="006C1CA3">
            <w:t xml:space="preserve"> Australia </w:t>
          </w:r>
          <w:r w:rsidR="00192F55">
            <w:t>Pty Ltd - PM-2014-01877-1-2</w:t>
          </w:r>
          <w:r w:rsidR="005F1306">
            <w:t xml:space="preserve"> </w:t>
          </w:r>
          <w:r>
            <w:t>9 December 2015</w:t>
          </w:r>
        </w:p>
      </w:tc>
      <w:tc>
        <w:tcPr>
          <w:tcW w:w="1348" w:type="dxa"/>
          <w:tcMar>
            <w:top w:w="142" w:type="dxa"/>
            <w:bottom w:w="0" w:type="dxa"/>
          </w:tcMar>
        </w:tcPr>
        <w:p w14:paraId="6AD89F92" w14:textId="77777777" w:rsidR="00026D9A" w:rsidRPr="00487162" w:rsidRDefault="00026D9A" w:rsidP="00DB750B">
          <w:pPr>
            <w:pStyle w:val="Footer"/>
            <w:jc w:val="right"/>
          </w:pPr>
          <w:r w:rsidRPr="00487162">
            <w:t xml:space="preserve">Page </w:t>
          </w:r>
          <w:r>
            <w:fldChar w:fldCharType="begin"/>
          </w:r>
          <w:r>
            <w:instrText xml:space="preserve"> PAGE  \* Arabic </w:instrText>
          </w:r>
          <w:r>
            <w:fldChar w:fldCharType="separate"/>
          </w:r>
          <w:r w:rsidR="00494444">
            <w:rPr>
              <w:noProof/>
            </w:rPr>
            <w:t>66</w:t>
          </w:r>
          <w:r>
            <w:fldChar w:fldCharType="end"/>
          </w:r>
          <w:r w:rsidRPr="00487162">
            <w:t xml:space="preserve"> of </w:t>
          </w:r>
          <w:fldSimple w:instr=" NUMPAGES  \* Arabic ">
            <w:r w:rsidR="00494444">
              <w:rPr>
                <w:noProof/>
              </w:rPr>
              <w:t>67</w:t>
            </w:r>
          </w:fldSimple>
        </w:p>
      </w:tc>
    </w:tr>
  </w:tbl>
  <w:p w14:paraId="6AD89F94" w14:textId="77777777" w:rsidR="00026D9A" w:rsidRDefault="00026D9A"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026D9A" w:rsidRPr="00487162" w14:paraId="6AD89F9D" w14:textId="77777777" w:rsidTr="00E45619">
      <w:trPr>
        <w:trHeight w:val="269"/>
      </w:trPr>
      <w:tc>
        <w:tcPr>
          <w:tcW w:w="4519" w:type="dxa"/>
          <w:tcBorders>
            <w:top w:val="single" w:sz="4" w:space="0" w:color="auto"/>
          </w:tcBorders>
          <w:tcMar>
            <w:top w:w="142" w:type="dxa"/>
            <w:bottom w:w="0" w:type="dxa"/>
          </w:tcMar>
        </w:tcPr>
        <w:p w14:paraId="6AD89F9A" w14:textId="77777777" w:rsidR="00026D9A" w:rsidRPr="00487162" w:rsidRDefault="00026D9A" w:rsidP="00FE1DEE">
          <w:pPr>
            <w:pStyle w:val="Footer"/>
          </w:pPr>
          <w:r w:rsidRPr="00487162">
            <w:t>Document title, Part #, Section # - Section title</w:t>
          </w:r>
        </w:p>
        <w:p w14:paraId="6AD89F9B" w14:textId="77777777" w:rsidR="00026D9A" w:rsidRPr="00487162" w:rsidRDefault="00026D9A" w:rsidP="00FE1DEE">
          <w:pPr>
            <w:pStyle w:val="Footer"/>
          </w:pPr>
          <w:r w:rsidRPr="00487162">
            <w:t>V1.0 October 2010</w:t>
          </w:r>
        </w:p>
      </w:tc>
      <w:tc>
        <w:tcPr>
          <w:tcW w:w="4342" w:type="dxa"/>
          <w:tcBorders>
            <w:top w:val="single" w:sz="4" w:space="0" w:color="auto"/>
          </w:tcBorders>
          <w:tcMar>
            <w:top w:w="142" w:type="dxa"/>
            <w:bottom w:w="0" w:type="dxa"/>
          </w:tcMar>
        </w:tcPr>
        <w:p w14:paraId="6AD89F9C" w14:textId="3546139C" w:rsidR="00026D9A" w:rsidRPr="00487162" w:rsidRDefault="00026D9A"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67</w:t>
            </w:r>
          </w:fldSimple>
        </w:p>
      </w:tc>
    </w:tr>
  </w:tbl>
  <w:p w14:paraId="6AD89F9E" w14:textId="77777777" w:rsidR="00026D9A" w:rsidRDefault="00026D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A1" w14:textId="77777777" w:rsidR="00026D9A" w:rsidRPr="001C32CD" w:rsidRDefault="00026D9A"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026D9A" w14:paraId="6AD89FAF" w14:textId="77777777" w:rsidTr="0010601F">
      <w:trPr>
        <w:trHeight w:val="108"/>
      </w:trPr>
      <w:tc>
        <w:tcPr>
          <w:tcW w:w="8875" w:type="dxa"/>
          <w:gridSpan w:val="2"/>
          <w:tcBorders>
            <w:bottom w:val="single" w:sz="4" w:space="0" w:color="auto"/>
          </w:tcBorders>
          <w:tcMar>
            <w:right w:w="284" w:type="dxa"/>
          </w:tcMar>
        </w:tcPr>
        <w:p w14:paraId="6AD89FA4" w14:textId="77777777" w:rsidR="00026D9A" w:rsidRDefault="00026D9A" w:rsidP="006E08B3">
          <w:pPr>
            <w:pStyle w:val="Heading3"/>
          </w:pPr>
          <w:r>
            <w:t>Copyright</w:t>
          </w:r>
        </w:p>
        <w:p w14:paraId="6AD89FA5" w14:textId="77777777" w:rsidR="00026D9A" w:rsidRDefault="00026D9A" w:rsidP="006E08B3">
          <w:r>
            <w:rPr>
              <w:rFonts w:cs="Arial"/>
            </w:rPr>
            <w:t>©</w:t>
          </w:r>
          <w:r>
            <w:t xml:space="preserve"> Commonwealth of Australia [add year]</w:t>
          </w:r>
        </w:p>
        <w:p w14:paraId="6AD89FA6" w14:textId="77777777" w:rsidR="00026D9A" w:rsidRDefault="00026D9A" w:rsidP="006E08B3"/>
        <w:p w14:paraId="6AD89FA7" w14:textId="715059CE" w:rsidR="00026D9A" w:rsidRDefault="00026D9A" w:rsidP="006E08B3">
          <w:r>
            <w:t>This work is copyright. Apart from any use as permitted under the Copyright Act 1968, no part may be reproduced by any process without prior written permission from the Commonwealth Copyright Administration, Attorney General’s Department, National Circuit, Barton ACT 2600 or posted at</w:t>
          </w:r>
          <w:r w:rsidR="005F1306">
            <w:t xml:space="preserve"> </w:t>
          </w:r>
          <w:r w:rsidRPr="006E08B3">
            <w:t>http://www.ag.gov.au/cca</w:t>
          </w:r>
        </w:p>
        <w:p w14:paraId="6AD89FA8" w14:textId="77777777" w:rsidR="00026D9A" w:rsidRDefault="00026D9A" w:rsidP="006E08B3"/>
        <w:p w14:paraId="6AD89FA9" w14:textId="77777777" w:rsidR="00026D9A" w:rsidRDefault="00026D9A" w:rsidP="006E08B3">
          <w:pPr>
            <w:pStyle w:val="Heading3"/>
          </w:pPr>
          <w:r>
            <w:t>Confidentiality</w:t>
          </w:r>
        </w:p>
        <w:p w14:paraId="6AD89FAA" w14:textId="77777777" w:rsidR="00026D9A" w:rsidRDefault="00026D9A"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6AD89FAB" w14:textId="77777777" w:rsidR="00026D9A" w:rsidRDefault="00026D9A" w:rsidP="006E08B3"/>
        <w:p w14:paraId="6AD89FAC" w14:textId="77777777" w:rsidR="00026D9A" w:rsidRDefault="00026D9A" w:rsidP="006E08B3">
          <w:r>
            <w:t>For submission made by individuals, all personal details, other than your name, will be removed from your submission before it is published on the TGA’s Internet site.</w:t>
          </w:r>
        </w:p>
        <w:p w14:paraId="6AD89FAD" w14:textId="77777777" w:rsidR="00026D9A" w:rsidRDefault="00026D9A" w:rsidP="006E08B3"/>
        <w:p w14:paraId="6AD89FAE" w14:textId="77777777" w:rsidR="00026D9A" w:rsidRDefault="00026D9A"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026D9A" w14:paraId="6AD89FB3" w14:textId="77777777" w:rsidTr="0010601F">
      <w:trPr>
        <w:trHeight w:val="417"/>
      </w:trPr>
      <w:tc>
        <w:tcPr>
          <w:tcW w:w="4519" w:type="dxa"/>
          <w:tcBorders>
            <w:top w:val="single" w:sz="4" w:space="0" w:color="auto"/>
          </w:tcBorders>
          <w:tcMar>
            <w:top w:w="142" w:type="dxa"/>
            <w:bottom w:w="0" w:type="dxa"/>
          </w:tcMar>
        </w:tcPr>
        <w:p w14:paraId="6AD89FB0" w14:textId="77777777" w:rsidR="00026D9A" w:rsidRDefault="00026D9A" w:rsidP="006E08B3">
          <w:r>
            <w:t>Document title, Part #, Section # - Section title</w:t>
          </w:r>
        </w:p>
        <w:p w14:paraId="6AD89FB1" w14:textId="77777777" w:rsidR="00026D9A" w:rsidRDefault="00026D9A" w:rsidP="006E08B3">
          <w:r>
            <w:t>V1.0 October 2010</w:t>
          </w:r>
        </w:p>
      </w:tc>
      <w:tc>
        <w:tcPr>
          <w:tcW w:w="4356" w:type="dxa"/>
          <w:tcBorders>
            <w:top w:val="single" w:sz="4" w:space="0" w:color="auto"/>
          </w:tcBorders>
          <w:tcMar>
            <w:top w:w="142" w:type="dxa"/>
            <w:bottom w:w="0" w:type="dxa"/>
          </w:tcMar>
        </w:tcPr>
        <w:p w14:paraId="6AD89FB2" w14:textId="2E984D29" w:rsidR="00026D9A" w:rsidRDefault="00026D9A"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67</w:t>
            </w:r>
          </w:fldSimple>
          <w:r w:rsidR="005F1306">
            <w:t xml:space="preserve"> </w:t>
          </w:r>
        </w:p>
      </w:tc>
    </w:tr>
  </w:tbl>
  <w:p w14:paraId="6AD89FB4" w14:textId="77777777" w:rsidR="00026D9A" w:rsidRDefault="00026D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89F8C" w14:textId="77777777" w:rsidR="00026D9A" w:rsidRDefault="00026D9A" w:rsidP="00C40A36">
      <w:pPr>
        <w:spacing w:after="0"/>
      </w:pPr>
      <w:r>
        <w:separator/>
      </w:r>
    </w:p>
  </w:footnote>
  <w:footnote w:type="continuationSeparator" w:id="0">
    <w:p w14:paraId="6AD89F8D" w14:textId="77777777" w:rsidR="00026D9A" w:rsidRDefault="00026D9A" w:rsidP="00C40A36">
      <w:pPr>
        <w:spacing w:after="0"/>
      </w:pPr>
      <w:r>
        <w:continuationSeparator/>
      </w:r>
    </w:p>
  </w:footnote>
  <w:footnote w:id="1">
    <w:p w14:paraId="6AD89FB9" w14:textId="77777777" w:rsidR="00026D9A" w:rsidRPr="004079D0" w:rsidRDefault="00026D9A" w:rsidP="00AF35D8">
      <w:pPr>
        <w:pStyle w:val="Footer"/>
      </w:pPr>
      <w:r w:rsidRPr="00F732C7">
        <w:rPr>
          <w:rStyle w:val="FootnoteReference"/>
          <w:sz w:val="16"/>
          <w:szCs w:val="16"/>
        </w:rPr>
        <w:footnoteRef/>
      </w:r>
      <w:r w:rsidRPr="00F732C7">
        <w:rPr>
          <w:sz w:val="16"/>
          <w:szCs w:val="16"/>
        </w:rPr>
        <w:t xml:space="preserve"> </w:t>
      </w:r>
      <w:r w:rsidRPr="004079D0">
        <w:t>https://www.tga.gov.au/auspar/auspar-ivermectin</w:t>
      </w:r>
    </w:p>
  </w:footnote>
  <w:footnote w:id="2">
    <w:p w14:paraId="6AD89FBA" w14:textId="5B75FFDC" w:rsidR="00026D9A" w:rsidRPr="00AF6360" w:rsidRDefault="00026D9A" w:rsidP="00AF35D8">
      <w:pPr>
        <w:pStyle w:val="Footer"/>
      </w:pPr>
      <w:r w:rsidRPr="00316137">
        <w:rPr>
          <w:rStyle w:val="FootnoteReference"/>
          <w:sz w:val="16"/>
          <w:szCs w:val="16"/>
        </w:rPr>
        <w:footnoteRef/>
      </w:r>
      <w:r w:rsidRPr="00316137">
        <w:t xml:space="preserve"> Epstein SE, Hollingsworth SR. (2013) Ivermectin-induced blindness treated with intravenous lipid therapy in a dog. </w:t>
      </w:r>
      <w:r w:rsidRPr="00AF6360">
        <w:rPr>
          <w:i/>
        </w:rPr>
        <w:t xml:space="preserve">J Vet </w:t>
      </w:r>
      <w:proofErr w:type="spellStart"/>
      <w:r w:rsidRPr="00AF6360">
        <w:rPr>
          <w:i/>
        </w:rPr>
        <w:t>Emerg</w:t>
      </w:r>
      <w:proofErr w:type="spellEnd"/>
      <w:r w:rsidRPr="00AF6360">
        <w:rPr>
          <w:i/>
        </w:rPr>
        <w:t xml:space="preserve"> </w:t>
      </w:r>
      <w:proofErr w:type="spellStart"/>
      <w:r w:rsidRPr="00AF6360">
        <w:rPr>
          <w:i/>
        </w:rPr>
        <w:t>Crit</w:t>
      </w:r>
      <w:proofErr w:type="spellEnd"/>
      <w:r w:rsidRPr="00AF6360">
        <w:rPr>
          <w:i/>
        </w:rPr>
        <w:t xml:space="preserve"> Care</w:t>
      </w:r>
      <w:r>
        <w:t xml:space="preserve"> </w:t>
      </w:r>
      <w:r w:rsidRPr="00AF6360">
        <w:rPr>
          <w:i/>
        </w:rPr>
        <w:t>(San Antonio)</w:t>
      </w:r>
      <w:r>
        <w:t>.</w:t>
      </w:r>
      <w:r w:rsidR="005F1306">
        <w:t xml:space="preserve"> </w:t>
      </w:r>
      <w:r>
        <w:t>2013; 23:58-62</w:t>
      </w:r>
    </w:p>
  </w:footnote>
  <w:footnote w:id="3">
    <w:p w14:paraId="6AD89FBB" w14:textId="77777777" w:rsidR="00026D9A" w:rsidRDefault="00026D9A" w:rsidP="00AF35D8">
      <w:pPr>
        <w:pStyle w:val="Footer"/>
      </w:pPr>
      <w:r>
        <w:rPr>
          <w:rStyle w:val="FootnoteReference"/>
        </w:rPr>
        <w:footnoteRef/>
      </w:r>
      <w:r>
        <w:t xml:space="preserve"> </w:t>
      </w:r>
      <w:r w:rsidRPr="00AF6360">
        <w:t xml:space="preserve">Kenny PJ, </w:t>
      </w:r>
      <w:r>
        <w:t>et al.</w:t>
      </w:r>
      <w:r w:rsidRPr="00AF6360">
        <w:t xml:space="preserve"> Retinopathy associated with </w:t>
      </w:r>
      <w:proofErr w:type="spellStart"/>
      <w:r w:rsidRPr="00AF6360">
        <w:t>ivermectin</w:t>
      </w:r>
      <w:proofErr w:type="spellEnd"/>
      <w:r w:rsidRPr="00AF6360">
        <w:t xml:space="preserve"> </w:t>
      </w:r>
      <w:proofErr w:type="spellStart"/>
      <w:r w:rsidRPr="00AF6360">
        <w:t>toxicosis</w:t>
      </w:r>
      <w:proofErr w:type="spellEnd"/>
      <w:r w:rsidRPr="00AF6360">
        <w:t xml:space="preserve"> in two dogs</w:t>
      </w:r>
      <w:r w:rsidRPr="00AF6360">
        <w:rPr>
          <w:i/>
        </w:rPr>
        <w:t>. J Am Vet Med Assoc.</w:t>
      </w:r>
      <w:r w:rsidRPr="00AF6360">
        <w:t xml:space="preserve"> </w:t>
      </w:r>
      <w:r>
        <w:t>2008; 23:279-84.</w:t>
      </w:r>
    </w:p>
  </w:footnote>
  <w:footnote w:id="4">
    <w:p w14:paraId="6AD89FBC" w14:textId="77777777" w:rsidR="00026D9A" w:rsidRPr="00392970" w:rsidRDefault="00026D9A" w:rsidP="00AF35D8">
      <w:pPr>
        <w:pStyle w:val="Footer"/>
      </w:pPr>
      <w:r w:rsidRPr="00316137">
        <w:rPr>
          <w:rStyle w:val="FootnoteReference"/>
          <w:sz w:val="16"/>
          <w:szCs w:val="16"/>
        </w:rPr>
        <w:footnoteRef/>
      </w:r>
      <w:r w:rsidRPr="00316137">
        <w:t xml:space="preserve"> </w:t>
      </w:r>
      <w:r w:rsidRPr="00392970">
        <w:t>Epstein SE, Hollingsworth SR. Ivermectin-induced blindness treated with intravenous lipid therapy in a dog</w:t>
      </w:r>
      <w:r w:rsidRPr="00392970">
        <w:rPr>
          <w:i/>
        </w:rPr>
        <w:t xml:space="preserve">. </w:t>
      </w:r>
      <w:proofErr w:type="gramStart"/>
      <w:r w:rsidRPr="00392970">
        <w:rPr>
          <w:i/>
        </w:rPr>
        <w:t xml:space="preserve">J Vet </w:t>
      </w:r>
      <w:proofErr w:type="spellStart"/>
      <w:r w:rsidRPr="00392970">
        <w:rPr>
          <w:i/>
        </w:rPr>
        <w:t>Emerg</w:t>
      </w:r>
      <w:proofErr w:type="spellEnd"/>
      <w:r w:rsidRPr="00392970">
        <w:rPr>
          <w:i/>
        </w:rPr>
        <w:t xml:space="preserve"> </w:t>
      </w:r>
      <w:proofErr w:type="spellStart"/>
      <w:r w:rsidRPr="00392970">
        <w:rPr>
          <w:i/>
        </w:rPr>
        <w:t>Crit</w:t>
      </w:r>
      <w:proofErr w:type="spellEnd"/>
      <w:r w:rsidRPr="00392970">
        <w:rPr>
          <w:i/>
        </w:rPr>
        <w:t xml:space="preserve"> Care (San Antonio) </w:t>
      </w:r>
      <w:r w:rsidRPr="00392970">
        <w:t>2013; 23:58-62.</w:t>
      </w:r>
      <w:proofErr w:type="gramEnd"/>
    </w:p>
  </w:footnote>
  <w:footnote w:id="5">
    <w:p w14:paraId="6AD89FBD" w14:textId="77777777" w:rsidR="00026D9A" w:rsidRPr="00392970" w:rsidRDefault="00026D9A" w:rsidP="00AF35D8">
      <w:pPr>
        <w:pStyle w:val="Footer"/>
      </w:pPr>
      <w:r w:rsidRPr="00392970">
        <w:rPr>
          <w:rStyle w:val="FootnoteReference"/>
          <w:sz w:val="18"/>
          <w:szCs w:val="18"/>
        </w:rPr>
        <w:footnoteRef/>
      </w:r>
      <w:r w:rsidRPr="00392970">
        <w:t xml:space="preserve"> </w:t>
      </w:r>
      <w:r>
        <w:t>Kenny PJ</w:t>
      </w:r>
      <w:r w:rsidRPr="00392970">
        <w:t xml:space="preserve"> et al. Retinopathy associated with </w:t>
      </w:r>
      <w:proofErr w:type="spellStart"/>
      <w:r w:rsidRPr="00392970">
        <w:t>ivermectin</w:t>
      </w:r>
      <w:proofErr w:type="spellEnd"/>
      <w:r w:rsidRPr="00392970">
        <w:t xml:space="preserve"> </w:t>
      </w:r>
      <w:proofErr w:type="spellStart"/>
      <w:r w:rsidRPr="00392970">
        <w:t>toxicosis</w:t>
      </w:r>
      <w:proofErr w:type="spellEnd"/>
      <w:r w:rsidRPr="00392970">
        <w:t xml:space="preserve"> in two dogs. J Am Vet Med Assoc. 2008; 233:279-</w:t>
      </w:r>
      <w:r>
        <w:t>2</w:t>
      </w:r>
      <w:r w:rsidRPr="00392970">
        <w:t>84.</w:t>
      </w:r>
    </w:p>
  </w:footnote>
  <w:footnote w:id="6">
    <w:p w14:paraId="6AD89FBE" w14:textId="77777777" w:rsidR="00026D9A" w:rsidRPr="00392970" w:rsidRDefault="00026D9A" w:rsidP="00AF35D8">
      <w:pPr>
        <w:pStyle w:val="Footer"/>
      </w:pPr>
      <w:r w:rsidRPr="007A3A5C">
        <w:rPr>
          <w:rStyle w:val="FootnoteReference"/>
        </w:rPr>
        <w:footnoteRef/>
      </w:r>
      <w:r w:rsidRPr="007A3A5C">
        <w:rPr>
          <w:vertAlign w:val="superscript"/>
        </w:rPr>
        <w:t xml:space="preserve"> </w:t>
      </w:r>
      <w:proofErr w:type="spellStart"/>
      <w:r>
        <w:t>Boogaard</w:t>
      </w:r>
      <w:proofErr w:type="spellEnd"/>
      <w:r>
        <w:t xml:space="preserve"> PJ</w:t>
      </w:r>
      <w:r w:rsidRPr="00392970">
        <w:t xml:space="preserve"> et al. </w:t>
      </w:r>
      <w:proofErr w:type="gramStart"/>
      <w:r w:rsidRPr="00392970">
        <w:t>A consistent and transparent approach for calculation of Derived No-Effect Levels (DNELs) for petroleum substances.</w:t>
      </w:r>
      <w:proofErr w:type="gramEnd"/>
      <w:r w:rsidRPr="00392970">
        <w:t xml:space="preserve"> </w:t>
      </w:r>
      <w:proofErr w:type="spellStart"/>
      <w:r w:rsidRPr="00392970">
        <w:rPr>
          <w:i/>
        </w:rPr>
        <w:t>Regul</w:t>
      </w:r>
      <w:proofErr w:type="spellEnd"/>
      <w:r w:rsidRPr="00392970">
        <w:rPr>
          <w:i/>
        </w:rPr>
        <w:t xml:space="preserve"> </w:t>
      </w:r>
      <w:proofErr w:type="spellStart"/>
      <w:r w:rsidRPr="00392970">
        <w:rPr>
          <w:i/>
        </w:rPr>
        <w:t>Toxicol</w:t>
      </w:r>
      <w:proofErr w:type="spellEnd"/>
      <w:r w:rsidRPr="00392970">
        <w:rPr>
          <w:i/>
        </w:rPr>
        <w:t xml:space="preserve"> </w:t>
      </w:r>
      <w:proofErr w:type="spellStart"/>
      <w:r w:rsidRPr="00392970">
        <w:rPr>
          <w:i/>
        </w:rPr>
        <w:t>Pharmacol</w:t>
      </w:r>
      <w:proofErr w:type="spellEnd"/>
      <w:r w:rsidRPr="00392970">
        <w:t xml:space="preserve">. </w:t>
      </w:r>
      <w:proofErr w:type="gramStart"/>
      <w:r>
        <w:t xml:space="preserve">2012; </w:t>
      </w:r>
      <w:r w:rsidRPr="00392970">
        <w:t>62: 85-98.</w:t>
      </w:r>
      <w:proofErr w:type="gramEnd"/>
    </w:p>
  </w:footnote>
  <w:footnote w:id="7">
    <w:p w14:paraId="6AD89FBF" w14:textId="77777777" w:rsidR="00026D9A" w:rsidRPr="00392970" w:rsidRDefault="00026D9A" w:rsidP="00AF35D8">
      <w:pPr>
        <w:pStyle w:val="Footer"/>
      </w:pPr>
      <w:r w:rsidRPr="00B67413">
        <w:rPr>
          <w:rStyle w:val="FootnoteReference"/>
          <w:sz w:val="16"/>
          <w:szCs w:val="16"/>
        </w:rPr>
        <w:footnoteRef/>
      </w:r>
      <w:r w:rsidRPr="00B67413">
        <w:t xml:space="preserve"> </w:t>
      </w:r>
      <w:r w:rsidRPr="00392970">
        <w:t xml:space="preserve">Bradley A., </w:t>
      </w:r>
      <w:r>
        <w:t>et al.</w:t>
      </w:r>
      <w:r w:rsidRPr="00392970">
        <w:t xml:space="preserve"> Incidences and range of spontaneous findings in the lymphoid and </w:t>
      </w:r>
      <w:proofErr w:type="spellStart"/>
      <w:r w:rsidRPr="00392970">
        <w:t>haemopoietic</w:t>
      </w:r>
      <w:proofErr w:type="spellEnd"/>
      <w:r w:rsidRPr="00392970">
        <w:t xml:space="preserve"> system of control Charles River CD-1 mice (</w:t>
      </w:r>
      <w:proofErr w:type="spellStart"/>
      <w:r w:rsidRPr="00392970">
        <w:t>Crl</w:t>
      </w:r>
      <w:proofErr w:type="spellEnd"/>
      <w:r w:rsidRPr="00392970">
        <w:t xml:space="preserve">: CD-1(ICR) BR) used in chronic toxicity studies. </w:t>
      </w:r>
      <w:proofErr w:type="spellStart"/>
      <w:r w:rsidRPr="00392970">
        <w:rPr>
          <w:i/>
        </w:rPr>
        <w:t>Toxicol</w:t>
      </w:r>
      <w:proofErr w:type="spellEnd"/>
      <w:r w:rsidRPr="00392970">
        <w:rPr>
          <w:i/>
        </w:rPr>
        <w:t xml:space="preserve"> </w:t>
      </w:r>
      <w:proofErr w:type="spellStart"/>
      <w:r w:rsidRPr="00392970">
        <w:rPr>
          <w:i/>
        </w:rPr>
        <w:t>Pathol</w:t>
      </w:r>
      <w:proofErr w:type="spellEnd"/>
      <w:r w:rsidRPr="00392970">
        <w:rPr>
          <w:i/>
        </w:rPr>
        <w:t>.</w:t>
      </w:r>
      <w:r w:rsidRPr="00392970">
        <w:t xml:space="preserve"> </w:t>
      </w:r>
      <w:proofErr w:type="gramStart"/>
      <w:r>
        <w:t xml:space="preserve">2012; </w:t>
      </w:r>
      <w:r w:rsidRPr="00392970">
        <w:t>40: 375-381.</w:t>
      </w:r>
      <w:proofErr w:type="gramEnd"/>
    </w:p>
  </w:footnote>
  <w:footnote w:id="8">
    <w:p w14:paraId="6AD89FC0" w14:textId="77777777" w:rsidR="00026D9A" w:rsidRPr="00392970" w:rsidRDefault="00026D9A" w:rsidP="00AF35D8">
      <w:pPr>
        <w:pStyle w:val="Footer"/>
      </w:pPr>
      <w:r w:rsidRPr="00392970">
        <w:rPr>
          <w:vertAlign w:val="superscript"/>
        </w:rPr>
        <w:footnoteRef/>
      </w:r>
      <w:r>
        <w:t xml:space="preserve"> Elmore SA.</w:t>
      </w:r>
      <w:r w:rsidRPr="00392970">
        <w:t xml:space="preserve"> </w:t>
      </w:r>
      <w:proofErr w:type="gramStart"/>
      <w:r w:rsidRPr="00392970">
        <w:t>Histopathology of the lymph nodes.</w:t>
      </w:r>
      <w:proofErr w:type="gramEnd"/>
      <w:r w:rsidRPr="00392970">
        <w:t xml:space="preserve"> </w:t>
      </w:r>
      <w:proofErr w:type="spellStart"/>
      <w:r w:rsidRPr="00C63F58">
        <w:rPr>
          <w:i/>
        </w:rPr>
        <w:t>Toxicol</w:t>
      </w:r>
      <w:proofErr w:type="spellEnd"/>
      <w:r w:rsidRPr="00C63F58">
        <w:rPr>
          <w:i/>
        </w:rPr>
        <w:t xml:space="preserve"> </w:t>
      </w:r>
      <w:proofErr w:type="spellStart"/>
      <w:r w:rsidRPr="00C63F58">
        <w:rPr>
          <w:i/>
        </w:rPr>
        <w:t>Pathol</w:t>
      </w:r>
      <w:proofErr w:type="spellEnd"/>
      <w:r w:rsidRPr="00C63F58">
        <w:rPr>
          <w:i/>
        </w:rPr>
        <w:t>.</w:t>
      </w:r>
      <w:r w:rsidRPr="00392970">
        <w:t xml:space="preserve"> </w:t>
      </w:r>
      <w:proofErr w:type="gramStart"/>
      <w:r w:rsidRPr="00C63F58">
        <w:t>2006</w:t>
      </w:r>
      <w:r>
        <w:t xml:space="preserve">; </w:t>
      </w:r>
      <w:r w:rsidRPr="00392970">
        <w:t>34: 425-454.</w:t>
      </w:r>
      <w:proofErr w:type="gramEnd"/>
    </w:p>
  </w:footnote>
  <w:footnote w:id="9">
    <w:p w14:paraId="6AD89FC1" w14:textId="77777777" w:rsidR="00026D9A" w:rsidRPr="00392970" w:rsidRDefault="00026D9A" w:rsidP="00AF35D8">
      <w:pPr>
        <w:pStyle w:val="Footer"/>
      </w:pPr>
      <w:r w:rsidRPr="00C63F58">
        <w:rPr>
          <w:vertAlign w:val="superscript"/>
        </w:rPr>
        <w:footnoteRef/>
      </w:r>
      <w:r>
        <w:t xml:space="preserve"> </w:t>
      </w:r>
      <w:r w:rsidRPr="00392970">
        <w:t>Littlefield NA., et al. (1991) National Toxicology Program. NTP Toxicology and Carcinogenesis Studies of 3</w:t>
      </w:r>
      <w:proofErr w:type="gramStart"/>
      <w:r w:rsidRPr="00392970">
        <w:t>,3'</w:t>
      </w:r>
      <w:proofErr w:type="gramEnd"/>
      <w:r w:rsidRPr="00392970">
        <w:t xml:space="preserve">-Dimethylbenzidine </w:t>
      </w:r>
      <w:proofErr w:type="spellStart"/>
      <w:r w:rsidRPr="00392970">
        <w:t>Dihydrochloride</w:t>
      </w:r>
      <w:proofErr w:type="spellEnd"/>
      <w:r w:rsidRPr="00392970">
        <w:t xml:space="preserve"> (CAS No. 612-82-8) in F344/N Rats (Drinking Water Studies). </w:t>
      </w:r>
      <w:proofErr w:type="spellStart"/>
      <w:r w:rsidRPr="00392970">
        <w:t>Natl</w:t>
      </w:r>
      <w:proofErr w:type="spellEnd"/>
      <w:r w:rsidRPr="00392970">
        <w:t xml:space="preserve"> </w:t>
      </w:r>
      <w:proofErr w:type="spellStart"/>
      <w:r w:rsidRPr="00392970">
        <w:t>Toxicol</w:t>
      </w:r>
      <w:proofErr w:type="spellEnd"/>
      <w:r w:rsidRPr="00392970">
        <w:t xml:space="preserve"> Program Tech Rep Ser. 390:1-238; National Toxicology Program. NTP Technical Report on the Toxicology and Carcinogenesis Studies of 2</w:t>
      </w:r>
      <w:proofErr w:type="gramStart"/>
      <w:r w:rsidRPr="00392970">
        <w:t>,4</w:t>
      </w:r>
      <w:proofErr w:type="gramEnd"/>
      <w:r w:rsidRPr="00392970">
        <w:t xml:space="preserve">-Diaminophenol </w:t>
      </w:r>
      <w:proofErr w:type="spellStart"/>
      <w:r w:rsidRPr="00392970">
        <w:t>Dihydrochloride</w:t>
      </w:r>
      <w:proofErr w:type="spellEnd"/>
      <w:r w:rsidRPr="00392970">
        <w:t xml:space="preserve"> (CAS NO. 137-09-7) in F344/N Rats and B6C3F1 Mice (Gavage Studies). </w:t>
      </w:r>
      <w:proofErr w:type="spellStart"/>
      <w:r w:rsidRPr="00392970">
        <w:t>Natl</w:t>
      </w:r>
      <w:proofErr w:type="spellEnd"/>
      <w:r w:rsidRPr="00392970">
        <w:t xml:space="preserve"> </w:t>
      </w:r>
      <w:proofErr w:type="spellStart"/>
      <w:r w:rsidRPr="00392970">
        <w:t>Toxicol</w:t>
      </w:r>
      <w:proofErr w:type="spellEnd"/>
      <w:r w:rsidRPr="00392970">
        <w:t xml:space="preserve"> Program Tech Rep Ser. 1992; 401:1-232; National Toxicology Program (1993) NTP Toxicology and Carcinogenesis Studies of Acetaminophen (CAS No. 103-90-2) in F344 Rats and B6C3F1 Mice (Feed Studies). </w:t>
      </w:r>
      <w:proofErr w:type="spellStart"/>
      <w:r w:rsidRPr="00392970">
        <w:t>Natl</w:t>
      </w:r>
      <w:proofErr w:type="spellEnd"/>
      <w:r w:rsidRPr="00392970">
        <w:t xml:space="preserve"> </w:t>
      </w:r>
      <w:proofErr w:type="spellStart"/>
      <w:r w:rsidRPr="00392970">
        <w:t>Toxicol</w:t>
      </w:r>
      <w:proofErr w:type="spellEnd"/>
      <w:r w:rsidRPr="00392970">
        <w:t xml:space="preserve"> Program Tech Rep Ser. 394:1-274; National Toxicology Program. </w:t>
      </w:r>
      <w:proofErr w:type="gramStart"/>
      <w:r w:rsidRPr="00392970">
        <w:t>(1993) NTP Toxicology and Carcinogenesis Studies of Triamterene (CAS No. 396-01-0) in F344/N Rats and B6C3F1 Mice (Feed Studies).</w:t>
      </w:r>
      <w:proofErr w:type="gramEnd"/>
      <w:r w:rsidRPr="00392970">
        <w:t xml:space="preserve"> </w:t>
      </w:r>
      <w:proofErr w:type="spellStart"/>
      <w:r w:rsidRPr="00392970">
        <w:t>Natl</w:t>
      </w:r>
      <w:proofErr w:type="spellEnd"/>
      <w:r w:rsidRPr="00392970">
        <w:t xml:space="preserve"> </w:t>
      </w:r>
      <w:proofErr w:type="spellStart"/>
      <w:r w:rsidRPr="00392970">
        <w:t>Toxicol</w:t>
      </w:r>
      <w:proofErr w:type="spellEnd"/>
      <w:r w:rsidRPr="00392970">
        <w:t xml:space="preserve"> Program Tech Rep Ser. 420:1-367.</w:t>
      </w:r>
    </w:p>
  </w:footnote>
  <w:footnote w:id="10">
    <w:p w14:paraId="6AD89FC2" w14:textId="77777777" w:rsidR="00026D9A" w:rsidRPr="00392970" w:rsidRDefault="00026D9A" w:rsidP="00AF35D8">
      <w:pPr>
        <w:pStyle w:val="Footer"/>
      </w:pPr>
      <w:r w:rsidRPr="00C63F58">
        <w:rPr>
          <w:vertAlign w:val="superscript"/>
        </w:rPr>
        <w:footnoteRef/>
      </w:r>
      <w:r w:rsidRPr="00C63F58">
        <w:rPr>
          <w:vertAlign w:val="superscript"/>
        </w:rPr>
        <w:t xml:space="preserve"> </w:t>
      </w:r>
      <w:r w:rsidRPr="00392970">
        <w:t xml:space="preserve">Nguyen SH, </w:t>
      </w:r>
      <w:r>
        <w:t>et al</w:t>
      </w:r>
      <w:r w:rsidRPr="00392970">
        <w:t xml:space="preserve">. </w:t>
      </w:r>
      <w:proofErr w:type="spellStart"/>
      <w:r w:rsidRPr="00392970">
        <w:t>Comedogenicity</w:t>
      </w:r>
      <w:proofErr w:type="spellEnd"/>
      <w:r w:rsidRPr="00392970">
        <w:t xml:space="preserve"> in rabbit: some cosmetic ingredients/vehicles. </w:t>
      </w:r>
      <w:proofErr w:type="spellStart"/>
      <w:r w:rsidRPr="00C63F58">
        <w:rPr>
          <w:i/>
        </w:rPr>
        <w:t>Cutan</w:t>
      </w:r>
      <w:proofErr w:type="spellEnd"/>
      <w:r w:rsidRPr="00C63F58">
        <w:rPr>
          <w:i/>
        </w:rPr>
        <w:t xml:space="preserve"> </w:t>
      </w:r>
      <w:proofErr w:type="spellStart"/>
      <w:r w:rsidRPr="00C63F58">
        <w:rPr>
          <w:i/>
        </w:rPr>
        <w:t>Ocul</w:t>
      </w:r>
      <w:proofErr w:type="spellEnd"/>
      <w:r w:rsidRPr="00C63F58">
        <w:rPr>
          <w:i/>
        </w:rPr>
        <w:t xml:space="preserve"> </w:t>
      </w:r>
      <w:proofErr w:type="spellStart"/>
      <w:r w:rsidRPr="00C63F58">
        <w:rPr>
          <w:i/>
        </w:rPr>
        <w:t>Toxicol</w:t>
      </w:r>
      <w:proofErr w:type="spellEnd"/>
      <w:r w:rsidRPr="00C63F58">
        <w:rPr>
          <w:i/>
        </w:rPr>
        <w:t>.</w:t>
      </w:r>
      <w:r>
        <w:t xml:space="preserve"> 2007</w:t>
      </w:r>
      <w:proofErr w:type="gramStart"/>
      <w:r>
        <w:t>;26</w:t>
      </w:r>
      <w:r w:rsidRPr="00392970">
        <w:t>:287</w:t>
      </w:r>
      <w:proofErr w:type="gramEnd"/>
      <w:r w:rsidRPr="00392970">
        <w:t>-</w:t>
      </w:r>
      <w:r>
        <w:t>2</w:t>
      </w:r>
      <w:r w:rsidRPr="00392970">
        <w:t>92.</w:t>
      </w:r>
    </w:p>
  </w:footnote>
  <w:footnote w:id="11">
    <w:p w14:paraId="6AD89FC3" w14:textId="77777777" w:rsidR="00026D9A" w:rsidRPr="00A8077F" w:rsidRDefault="00026D9A" w:rsidP="00AF35D8">
      <w:pPr>
        <w:pStyle w:val="Footer"/>
      </w:pPr>
      <w:r>
        <w:rPr>
          <w:rStyle w:val="FootnoteReference"/>
        </w:rPr>
        <w:footnoteRef/>
      </w:r>
      <w:r>
        <w:t xml:space="preserve"> </w:t>
      </w:r>
      <w:proofErr w:type="spellStart"/>
      <w:r w:rsidRPr="00A8077F">
        <w:t>Maru</w:t>
      </w:r>
      <w:proofErr w:type="spellEnd"/>
      <w:r w:rsidRPr="00A8077F">
        <w:t xml:space="preserve"> GB, </w:t>
      </w:r>
      <w:r>
        <w:t>et al</w:t>
      </w:r>
      <w:r w:rsidRPr="00A8077F">
        <w:t xml:space="preserve">. </w:t>
      </w:r>
      <w:proofErr w:type="gramStart"/>
      <w:r w:rsidRPr="00A8077F">
        <w:t>The role of inflammation in skin cancer.</w:t>
      </w:r>
      <w:proofErr w:type="gramEnd"/>
      <w:r w:rsidRPr="00A8077F">
        <w:t xml:space="preserve"> </w:t>
      </w:r>
      <w:proofErr w:type="spellStart"/>
      <w:proofErr w:type="gramStart"/>
      <w:r w:rsidRPr="00CB081B">
        <w:rPr>
          <w:i/>
        </w:rPr>
        <w:t>Adv</w:t>
      </w:r>
      <w:proofErr w:type="spellEnd"/>
      <w:r w:rsidRPr="00CB081B">
        <w:rPr>
          <w:i/>
        </w:rPr>
        <w:t xml:space="preserve"> </w:t>
      </w:r>
      <w:proofErr w:type="spellStart"/>
      <w:r w:rsidRPr="00CB081B">
        <w:rPr>
          <w:i/>
        </w:rPr>
        <w:t>Exp</w:t>
      </w:r>
      <w:proofErr w:type="spellEnd"/>
      <w:r w:rsidRPr="00CB081B">
        <w:rPr>
          <w:i/>
        </w:rPr>
        <w:t xml:space="preserve"> Med Biol.</w:t>
      </w:r>
      <w:r w:rsidRPr="00A8077F">
        <w:t xml:space="preserve"> 2014; 816:437-</w:t>
      </w:r>
      <w:r>
        <w:t>4</w:t>
      </w:r>
      <w:r w:rsidRPr="00A8077F">
        <w:t>69.</w:t>
      </w:r>
      <w:proofErr w:type="gramEnd"/>
    </w:p>
  </w:footnote>
  <w:footnote w:id="12">
    <w:p w14:paraId="6AD89FC4" w14:textId="7669A6C0" w:rsidR="00026D9A" w:rsidRDefault="00026D9A" w:rsidP="00AF35D8">
      <w:pPr>
        <w:pStyle w:val="Footer"/>
      </w:pPr>
      <w:r>
        <w:rPr>
          <w:rStyle w:val="FootnoteReference"/>
        </w:rPr>
        <w:footnoteRef/>
      </w:r>
      <w:r>
        <w:t xml:space="preserve"> </w:t>
      </w:r>
      <w:r w:rsidRPr="00CB081B">
        <w:t xml:space="preserve">Sharma SD, </w:t>
      </w:r>
      <w:r>
        <w:t>et al</w:t>
      </w:r>
      <w:r w:rsidRPr="00CB081B">
        <w:t xml:space="preserve">. IL-12 deficiency suppresses 12-O-tetradecanoylphorbol-13-acetate-induced skin </w:t>
      </w:r>
      <w:proofErr w:type="spellStart"/>
      <w:r w:rsidRPr="00CB081B">
        <w:t>tumor</w:t>
      </w:r>
      <w:proofErr w:type="spellEnd"/>
      <w:r w:rsidRPr="00CB081B">
        <w:t xml:space="preserve"> development in 7</w:t>
      </w:r>
      <w:proofErr w:type="gramStart"/>
      <w:r w:rsidRPr="00CB081B">
        <w:t>,12</w:t>
      </w:r>
      <w:proofErr w:type="gramEnd"/>
      <w:r w:rsidRPr="00CB081B">
        <w:t>-dimethylbenz(a)</w:t>
      </w:r>
      <w:proofErr w:type="spellStart"/>
      <w:r w:rsidRPr="00CB081B">
        <w:t>anthracene</w:t>
      </w:r>
      <w:proofErr w:type="spellEnd"/>
      <w:r w:rsidRPr="00CB081B">
        <w:t>-initiated mouse skin through</w:t>
      </w:r>
      <w:r w:rsidR="005F1306">
        <w:t xml:space="preserve"> </w:t>
      </w:r>
      <w:r w:rsidRPr="00CB081B">
        <w:t xml:space="preserve">inhibition of inflammation. </w:t>
      </w:r>
      <w:proofErr w:type="gramStart"/>
      <w:r w:rsidRPr="00CB081B">
        <w:rPr>
          <w:i/>
        </w:rPr>
        <w:t>Carcinogenesis.</w:t>
      </w:r>
      <w:proofErr w:type="gramEnd"/>
      <w:r w:rsidRPr="00CB081B">
        <w:t xml:space="preserve"> 2009</w:t>
      </w:r>
      <w:proofErr w:type="gramStart"/>
      <w:r>
        <w:t>;30</w:t>
      </w:r>
      <w:r w:rsidRPr="00CB081B">
        <w:t>:1970</w:t>
      </w:r>
      <w:proofErr w:type="gramEnd"/>
      <w:r w:rsidRPr="00CB081B">
        <w:t>-</w:t>
      </w:r>
      <w:r>
        <w:t>197</w:t>
      </w:r>
      <w:r w:rsidRPr="00CB081B">
        <w:t>7.</w:t>
      </w:r>
    </w:p>
  </w:footnote>
  <w:footnote w:id="13">
    <w:p w14:paraId="6AD89FC5" w14:textId="77777777" w:rsidR="00026D9A" w:rsidRPr="00BC421A" w:rsidRDefault="00026D9A" w:rsidP="00AF35D8">
      <w:pPr>
        <w:pStyle w:val="Footer"/>
        <w:rPr>
          <w:sz w:val="16"/>
          <w:szCs w:val="16"/>
        </w:rPr>
      </w:pPr>
      <w:r w:rsidRPr="007E1E20">
        <w:rPr>
          <w:rStyle w:val="FootnoteReference"/>
          <w:sz w:val="16"/>
          <w:szCs w:val="16"/>
        </w:rPr>
        <w:footnoteRef/>
      </w:r>
      <w:r w:rsidRPr="007E1E20">
        <w:rPr>
          <w:sz w:val="16"/>
          <w:szCs w:val="16"/>
        </w:rPr>
        <w:t xml:space="preserve"> </w:t>
      </w:r>
      <w:proofErr w:type="spellStart"/>
      <w:r w:rsidRPr="00BC421A">
        <w:rPr>
          <w:sz w:val="16"/>
          <w:szCs w:val="16"/>
        </w:rPr>
        <w:t>Virgintino</w:t>
      </w:r>
      <w:proofErr w:type="spellEnd"/>
      <w:r w:rsidRPr="00BC421A">
        <w:rPr>
          <w:sz w:val="16"/>
          <w:szCs w:val="16"/>
        </w:rPr>
        <w:t xml:space="preserve"> D,</w:t>
      </w:r>
      <w:r>
        <w:rPr>
          <w:sz w:val="16"/>
          <w:szCs w:val="16"/>
        </w:rPr>
        <w:t xml:space="preserve"> </w:t>
      </w:r>
      <w:r w:rsidRPr="00877D68">
        <w:rPr>
          <w:sz w:val="16"/>
          <w:szCs w:val="16"/>
        </w:rPr>
        <w:t>et al</w:t>
      </w:r>
      <w:r w:rsidRPr="00BC421A">
        <w:rPr>
          <w:i/>
          <w:sz w:val="16"/>
          <w:szCs w:val="16"/>
        </w:rPr>
        <w:t>.</w:t>
      </w:r>
      <w:r w:rsidRPr="00BC421A">
        <w:rPr>
          <w:sz w:val="16"/>
          <w:szCs w:val="16"/>
        </w:rPr>
        <w:t xml:space="preserve"> Fetal blood-brain barrier P-glycoprotein contributes to brain protection during human development. </w:t>
      </w:r>
      <w:proofErr w:type="gramStart"/>
      <w:r w:rsidRPr="00877D68">
        <w:rPr>
          <w:i/>
          <w:sz w:val="16"/>
          <w:szCs w:val="16"/>
        </w:rPr>
        <w:t xml:space="preserve">J </w:t>
      </w:r>
      <w:proofErr w:type="spellStart"/>
      <w:r w:rsidRPr="00877D68">
        <w:rPr>
          <w:i/>
          <w:sz w:val="16"/>
          <w:szCs w:val="16"/>
        </w:rPr>
        <w:t>Neuropathol</w:t>
      </w:r>
      <w:proofErr w:type="spellEnd"/>
      <w:r w:rsidRPr="00877D68">
        <w:rPr>
          <w:i/>
          <w:sz w:val="16"/>
          <w:szCs w:val="16"/>
        </w:rPr>
        <w:t xml:space="preserve"> </w:t>
      </w:r>
      <w:proofErr w:type="spellStart"/>
      <w:r w:rsidRPr="00877D68">
        <w:rPr>
          <w:i/>
          <w:sz w:val="16"/>
          <w:szCs w:val="16"/>
        </w:rPr>
        <w:t>Exp</w:t>
      </w:r>
      <w:proofErr w:type="spellEnd"/>
      <w:r w:rsidRPr="00877D68">
        <w:rPr>
          <w:i/>
          <w:sz w:val="16"/>
          <w:szCs w:val="16"/>
        </w:rPr>
        <w:t xml:space="preserve"> Neurol</w:t>
      </w:r>
      <w:r w:rsidRPr="00BC421A">
        <w:rPr>
          <w:sz w:val="16"/>
          <w:szCs w:val="16"/>
        </w:rPr>
        <w:t>.</w:t>
      </w:r>
      <w:r>
        <w:rPr>
          <w:sz w:val="16"/>
          <w:szCs w:val="16"/>
        </w:rPr>
        <w:t xml:space="preserve"> 2008; </w:t>
      </w:r>
      <w:r w:rsidRPr="00BC421A">
        <w:rPr>
          <w:sz w:val="16"/>
          <w:szCs w:val="16"/>
        </w:rPr>
        <w:t>67:50-61.</w:t>
      </w:r>
      <w:proofErr w:type="gramEnd"/>
    </w:p>
  </w:footnote>
  <w:footnote w:id="14">
    <w:p w14:paraId="6AD89FC6" w14:textId="77777777" w:rsidR="00026D9A" w:rsidRPr="00BC421A" w:rsidRDefault="00026D9A" w:rsidP="00AF35D8">
      <w:pPr>
        <w:pStyle w:val="Footer"/>
        <w:rPr>
          <w:sz w:val="16"/>
          <w:szCs w:val="16"/>
        </w:rPr>
      </w:pPr>
      <w:r w:rsidRPr="00BC421A">
        <w:rPr>
          <w:rStyle w:val="FootnoteReference"/>
          <w:sz w:val="16"/>
          <w:szCs w:val="16"/>
        </w:rPr>
        <w:footnoteRef/>
      </w:r>
      <w:r w:rsidRPr="00BC421A">
        <w:rPr>
          <w:sz w:val="16"/>
          <w:szCs w:val="16"/>
        </w:rPr>
        <w:t xml:space="preserve"> </w:t>
      </w:r>
      <w:proofErr w:type="spellStart"/>
      <w:proofErr w:type="gramStart"/>
      <w:r w:rsidRPr="00BC421A">
        <w:rPr>
          <w:sz w:val="16"/>
          <w:szCs w:val="16"/>
        </w:rPr>
        <w:t>Staud</w:t>
      </w:r>
      <w:proofErr w:type="spellEnd"/>
      <w:r w:rsidRPr="00BC421A">
        <w:rPr>
          <w:sz w:val="16"/>
          <w:szCs w:val="16"/>
        </w:rPr>
        <w:t xml:space="preserve"> F, </w:t>
      </w:r>
      <w:r>
        <w:rPr>
          <w:i/>
          <w:sz w:val="16"/>
          <w:szCs w:val="16"/>
        </w:rPr>
        <w:t>et al.</w:t>
      </w:r>
      <w:r>
        <w:rPr>
          <w:sz w:val="16"/>
          <w:szCs w:val="16"/>
        </w:rPr>
        <w:t xml:space="preserve"> </w:t>
      </w:r>
      <w:r w:rsidRPr="00BC421A">
        <w:rPr>
          <w:sz w:val="16"/>
          <w:szCs w:val="16"/>
        </w:rPr>
        <w:t>Pharmacotherapy in pregnancy; effect of ABC and</w:t>
      </w:r>
      <w:r>
        <w:rPr>
          <w:sz w:val="16"/>
          <w:szCs w:val="16"/>
        </w:rPr>
        <w:t xml:space="preserve"> </w:t>
      </w:r>
      <w:r w:rsidRPr="00BC421A">
        <w:rPr>
          <w:sz w:val="16"/>
          <w:szCs w:val="16"/>
        </w:rPr>
        <w:t>SLC transporters on drug transport across the placenta and fetal drug exposure</w:t>
      </w:r>
      <w:r w:rsidRPr="00877D68">
        <w:rPr>
          <w:i/>
          <w:sz w:val="16"/>
          <w:szCs w:val="16"/>
        </w:rPr>
        <w:t>.</w:t>
      </w:r>
      <w:proofErr w:type="gramEnd"/>
      <w:r w:rsidRPr="00877D68">
        <w:rPr>
          <w:i/>
          <w:sz w:val="16"/>
          <w:szCs w:val="16"/>
        </w:rPr>
        <w:t xml:space="preserve"> </w:t>
      </w:r>
      <w:proofErr w:type="gramStart"/>
      <w:r w:rsidRPr="00877D68">
        <w:rPr>
          <w:i/>
          <w:sz w:val="16"/>
          <w:szCs w:val="16"/>
        </w:rPr>
        <w:t>J Drug Target</w:t>
      </w:r>
      <w:r w:rsidRPr="00BC421A">
        <w:rPr>
          <w:sz w:val="16"/>
          <w:szCs w:val="16"/>
        </w:rPr>
        <w:t>.</w:t>
      </w:r>
      <w:proofErr w:type="gramEnd"/>
      <w:r w:rsidRPr="00BC421A">
        <w:rPr>
          <w:sz w:val="16"/>
          <w:szCs w:val="16"/>
        </w:rPr>
        <w:t xml:space="preserve"> </w:t>
      </w:r>
      <w:proofErr w:type="gramStart"/>
      <w:r>
        <w:rPr>
          <w:sz w:val="16"/>
          <w:szCs w:val="16"/>
        </w:rPr>
        <w:t xml:space="preserve">2012; </w:t>
      </w:r>
      <w:r w:rsidRPr="00BC421A">
        <w:rPr>
          <w:sz w:val="16"/>
          <w:szCs w:val="16"/>
        </w:rPr>
        <w:t>20:736-</w:t>
      </w:r>
      <w:r>
        <w:rPr>
          <w:sz w:val="16"/>
          <w:szCs w:val="16"/>
        </w:rPr>
        <w:t>7</w:t>
      </w:r>
      <w:r w:rsidRPr="00BC421A">
        <w:rPr>
          <w:sz w:val="16"/>
          <w:szCs w:val="16"/>
        </w:rPr>
        <w:t>63.</w:t>
      </w:r>
      <w:proofErr w:type="gramEnd"/>
    </w:p>
  </w:footnote>
  <w:footnote w:id="15">
    <w:p w14:paraId="6AD89FC7" w14:textId="77777777" w:rsidR="00026D9A" w:rsidRDefault="00026D9A" w:rsidP="00AF35D8">
      <w:pPr>
        <w:pStyle w:val="Footer"/>
      </w:pPr>
      <w:r w:rsidRPr="00CD4945">
        <w:rPr>
          <w:rStyle w:val="FootnoteReference"/>
          <w:sz w:val="16"/>
          <w:szCs w:val="16"/>
        </w:rPr>
        <w:footnoteRef/>
      </w:r>
      <w:r w:rsidRPr="00CD4945">
        <w:rPr>
          <w:sz w:val="16"/>
          <w:szCs w:val="16"/>
        </w:rPr>
        <w:t xml:space="preserve"> </w:t>
      </w:r>
      <w:proofErr w:type="gramStart"/>
      <w:r w:rsidRPr="00CD4945">
        <w:rPr>
          <w:sz w:val="16"/>
          <w:szCs w:val="16"/>
        </w:rPr>
        <w:t>el-</w:t>
      </w:r>
      <w:proofErr w:type="spellStart"/>
      <w:r w:rsidRPr="00CD4945">
        <w:rPr>
          <w:sz w:val="16"/>
          <w:szCs w:val="16"/>
        </w:rPr>
        <w:t>Ashmawy</w:t>
      </w:r>
      <w:proofErr w:type="spellEnd"/>
      <w:proofErr w:type="gramEnd"/>
      <w:r w:rsidRPr="00CD4945">
        <w:rPr>
          <w:sz w:val="16"/>
          <w:szCs w:val="16"/>
        </w:rPr>
        <w:t xml:space="preserve"> IM, el-</w:t>
      </w:r>
      <w:proofErr w:type="spellStart"/>
      <w:r w:rsidRPr="00CD4945">
        <w:rPr>
          <w:sz w:val="16"/>
          <w:szCs w:val="16"/>
        </w:rPr>
        <w:t>Nahas</w:t>
      </w:r>
      <w:proofErr w:type="spellEnd"/>
      <w:r w:rsidRPr="00CD4945">
        <w:rPr>
          <w:sz w:val="16"/>
          <w:szCs w:val="16"/>
        </w:rPr>
        <w:t xml:space="preserve"> AF, </w:t>
      </w:r>
      <w:proofErr w:type="spellStart"/>
      <w:r w:rsidRPr="00CD4945">
        <w:rPr>
          <w:sz w:val="16"/>
          <w:szCs w:val="16"/>
        </w:rPr>
        <w:t>Bayad</w:t>
      </w:r>
      <w:proofErr w:type="spellEnd"/>
      <w:r w:rsidRPr="00CD4945">
        <w:rPr>
          <w:sz w:val="16"/>
          <w:szCs w:val="16"/>
        </w:rPr>
        <w:t xml:space="preserve"> AE. </w:t>
      </w:r>
      <w:proofErr w:type="gramStart"/>
      <w:r>
        <w:rPr>
          <w:sz w:val="16"/>
          <w:szCs w:val="16"/>
        </w:rPr>
        <w:t xml:space="preserve">(2011) </w:t>
      </w:r>
      <w:r w:rsidRPr="00CD4945">
        <w:rPr>
          <w:sz w:val="16"/>
          <w:szCs w:val="16"/>
        </w:rPr>
        <w:t>Teratogenic and cytogenetic effects of</w:t>
      </w:r>
      <w:r>
        <w:rPr>
          <w:sz w:val="16"/>
          <w:szCs w:val="16"/>
        </w:rPr>
        <w:t xml:space="preserve"> </w:t>
      </w:r>
      <w:r w:rsidRPr="00CD4945">
        <w:rPr>
          <w:sz w:val="16"/>
          <w:szCs w:val="16"/>
        </w:rPr>
        <w:t>ivermectin and its interaction with P-glycoprot</w:t>
      </w:r>
      <w:r>
        <w:rPr>
          <w:sz w:val="16"/>
          <w:szCs w:val="16"/>
        </w:rPr>
        <w:t>ein inhibitor</w:t>
      </w:r>
      <w:r w:rsidRPr="0018587B">
        <w:rPr>
          <w:i/>
          <w:sz w:val="16"/>
          <w:szCs w:val="16"/>
        </w:rPr>
        <w:t>.</w:t>
      </w:r>
      <w:proofErr w:type="gramEnd"/>
      <w:r w:rsidRPr="0018587B">
        <w:rPr>
          <w:i/>
          <w:sz w:val="16"/>
          <w:szCs w:val="16"/>
        </w:rPr>
        <w:t xml:space="preserve"> Res Vet Sci.</w:t>
      </w:r>
      <w:r>
        <w:rPr>
          <w:sz w:val="16"/>
          <w:szCs w:val="16"/>
        </w:rPr>
        <w:t xml:space="preserve"> 2011; 90</w:t>
      </w:r>
      <w:r w:rsidRPr="00CD4945">
        <w:rPr>
          <w:sz w:val="16"/>
          <w:szCs w:val="16"/>
        </w:rPr>
        <w:t>:116-</w:t>
      </w:r>
      <w:r>
        <w:rPr>
          <w:sz w:val="16"/>
          <w:szCs w:val="16"/>
        </w:rPr>
        <w:t>1</w:t>
      </w:r>
      <w:r w:rsidRPr="00CD4945">
        <w:rPr>
          <w:sz w:val="16"/>
          <w:szCs w:val="16"/>
        </w:rPr>
        <w:t>23.</w:t>
      </w:r>
    </w:p>
  </w:footnote>
  <w:footnote w:id="16">
    <w:p w14:paraId="6AD89FC8" w14:textId="77777777" w:rsidR="00026D9A" w:rsidRPr="00CD23DB" w:rsidRDefault="00026D9A" w:rsidP="00AF35D8">
      <w:pPr>
        <w:pStyle w:val="Footer"/>
      </w:pPr>
      <w:r w:rsidRPr="00CD23DB">
        <w:rPr>
          <w:rStyle w:val="FootnoteReference"/>
          <w:sz w:val="16"/>
          <w:szCs w:val="16"/>
        </w:rPr>
        <w:footnoteRef/>
      </w:r>
      <w:r>
        <w:t xml:space="preserve"> Pérez R </w:t>
      </w:r>
      <w:proofErr w:type="gramStart"/>
      <w:r>
        <w:t>et</w:t>
      </w:r>
      <w:proofErr w:type="gramEnd"/>
      <w:r>
        <w:t xml:space="preserve"> </w:t>
      </w:r>
      <w:proofErr w:type="spellStart"/>
      <w:r>
        <w:t>al.</w:t>
      </w:r>
      <w:r w:rsidRPr="00CD23DB">
        <w:t>Pharmacokinetics</w:t>
      </w:r>
      <w:proofErr w:type="spellEnd"/>
      <w:r w:rsidRPr="00CD23DB">
        <w:t xml:space="preserve"> of </w:t>
      </w:r>
      <w:proofErr w:type="spellStart"/>
      <w:r w:rsidRPr="00CD23DB">
        <w:t>ivermectin</w:t>
      </w:r>
      <w:proofErr w:type="spellEnd"/>
      <w:r w:rsidRPr="00CD23DB">
        <w:t xml:space="preserve"> after maternal or </w:t>
      </w:r>
      <w:r>
        <w:t>foetal</w:t>
      </w:r>
      <w:r w:rsidRPr="00CD23DB">
        <w:t xml:space="preserve"> intravenous administration in sheep</w:t>
      </w:r>
      <w:r w:rsidRPr="00657A9F">
        <w:rPr>
          <w:i/>
        </w:rPr>
        <w:t xml:space="preserve">. </w:t>
      </w:r>
      <w:proofErr w:type="gramStart"/>
      <w:r w:rsidRPr="00657A9F">
        <w:rPr>
          <w:i/>
        </w:rPr>
        <w:t xml:space="preserve">J Vet </w:t>
      </w:r>
      <w:proofErr w:type="spellStart"/>
      <w:r w:rsidRPr="00657A9F">
        <w:rPr>
          <w:i/>
        </w:rPr>
        <w:t>Pharmacol</w:t>
      </w:r>
      <w:proofErr w:type="spellEnd"/>
      <w:r w:rsidRPr="00657A9F">
        <w:rPr>
          <w:i/>
        </w:rPr>
        <w:t xml:space="preserve"> </w:t>
      </w:r>
      <w:proofErr w:type="spellStart"/>
      <w:r w:rsidRPr="00657A9F">
        <w:rPr>
          <w:i/>
        </w:rPr>
        <w:t>Ther</w:t>
      </w:r>
      <w:proofErr w:type="spellEnd"/>
      <w:r w:rsidRPr="00CD23DB">
        <w:t>.</w:t>
      </w:r>
      <w:proofErr w:type="gramEnd"/>
      <w:r w:rsidRPr="00CD23DB">
        <w:t xml:space="preserve"> </w:t>
      </w:r>
      <w:proofErr w:type="gramStart"/>
      <w:r>
        <w:t>2008 ;</w:t>
      </w:r>
      <w:r w:rsidRPr="00CD23DB">
        <w:t>31:406</w:t>
      </w:r>
      <w:proofErr w:type="gramEnd"/>
      <w:r w:rsidRPr="00CD23DB">
        <w:t>-414.</w:t>
      </w:r>
    </w:p>
  </w:footnote>
  <w:footnote w:id="17">
    <w:p w14:paraId="6AD89FC9" w14:textId="77777777" w:rsidR="00026D9A" w:rsidRDefault="00026D9A" w:rsidP="00AF35D8">
      <w:pPr>
        <w:pStyle w:val="Footer"/>
      </w:pPr>
      <w:r w:rsidRPr="00CD23DB">
        <w:rPr>
          <w:rStyle w:val="FootnoteReference"/>
          <w:sz w:val="16"/>
          <w:szCs w:val="16"/>
        </w:rPr>
        <w:footnoteRef/>
      </w:r>
      <w:r w:rsidRPr="00CD23DB">
        <w:t xml:space="preserve"> Chamberlain PL,</w:t>
      </w:r>
      <w:r>
        <w:t xml:space="preserve"> </w:t>
      </w:r>
      <w:r w:rsidRPr="00657A9F">
        <w:t>et al</w:t>
      </w:r>
      <w:r>
        <w:t>.</w:t>
      </w:r>
      <w:r w:rsidRPr="00CD23DB">
        <w:t xml:space="preserve"> Preliminary studies of offspring exposure to </w:t>
      </w:r>
      <w:proofErr w:type="spellStart"/>
      <w:r w:rsidRPr="00CD23DB">
        <w:t>phenylbutazone</w:t>
      </w:r>
      <w:proofErr w:type="spellEnd"/>
      <w:r w:rsidRPr="00CD23DB">
        <w:t xml:space="preserve"> and </w:t>
      </w:r>
      <w:proofErr w:type="spellStart"/>
      <w:r w:rsidRPr="00CD23DB">
        <w:t>ivermectin</w:t>
      </w:r>
      <w:proofErr w:type="spellEnd"/>
      <w:r w:rsidRPr="00CD23DB">
        <w:t xml:space="preserve"> during the perinatal period in a Holstein cow-calf model. </w:t>
      </w:r>
      <w:proofErr w:type="spellStart"/>
      <w:r w:rsidRPr="00657A9F">
        <w:rPr>
          <w:i/>
        </w:rPr>
        <w:t>Toxicol</w:t>
      </w:r>
      <w:proofErr w:type="spellEnd"/>
      <w:r w:rsidRPr="00657A9F">
        <w:rPr>
          <w:i/>
        </w:rPr>
        <w:t xml:space="preserve"> </w:t>
      </w:r>
      <w:proofErr w:type="spellStart"/>
      <w:r w:rsidRPr="00657A9F">
        <w:rPr>
          <w:i/>
        </w:rPr>
        <w:t>Appl</w:t>
      </w:r>
      <w:proofErr w:type="spellEnd"/>
      <w:r w:rsidRPr="00657A9F">
        <w:rPr>
          <w:i/>
        </w:rPr>
        <w:t xml:space="preserve"> </w:t>
      </w:r>
      <w:proofErr w:type="spellStart"/>
      <w:r w:rsidRPr="00657A9F">
        <w:rPr>
          <w:i/>
        </w:rPr>
        <w:t>Pharmacol</w:t>
      </w:r>
      <w:proofErr w:type="spellEnd"/>
      <w:r w:rsidRPr="00657A9F">
        <w:rPr>
          <w:i/>
        </w:rPr>
        <w:t xml:space="preserve">. </w:t>
      </w:r>
      <w:proofErr w:type="gramStart"/>
      <w:r>
        <w:t>2004; 187</w:t>
      </w:r>
      <w:r w:rsidRPr="00CD23DB">
        <w:t>:198-208.</w:t>
      </w:r>
      <w:proofErr w:type="gramEnd"/>
    </w:p>
  </w:footnote>
  <w:footnote w:id="18">
    <w:p w14:paraId="6AD89FCA" w14:textId="77777777" w:rsidR="00026D9A" w:rsidRDefault="00026D9A" w:rsidP="00AF35D8">
      <w:pPr>
        <w:pStyle w:val="Footer"/>
      </w:pPr>
      <w:r>
        <w:rPr>
          <w:rStyle w:val="FootnoteReference"/>
        </w:rPr>
        <w:footnoteRef/>
      </w:r>
      <w:r w:rsidRPr="00AA01DC">
        <w:t xml:space="preserve"> </w:t>
      </w:r>
      <w:proofErr w:type="spellStart"/>
      <w:r w:rsidRPr="00AA01DC">
        <w:t>Ceck</w:t>
      </w:r>
      <w:r>
        <w:t>ova</w:t>
      </w:r>
      <w:proofErr w:type="spellEnd"/>
      <w:r>
        <w:t>-Novotna M. et al.</w:t>
      </w:r>
      <w:r w:rsidRPr="00AA01DC">
        <w:t xml:space="preserve"> P-glycoprotein in the placenta: expression, local</w:t>
      </w:r>
      <w:r>
        <w:t>isa</w:t>
      </w:r>
      <w:r w:rsidRPr="00AA01DC">
        <w:t xml:space="preserve">tion, regulation and function. </w:t>
      </w:r>
      <w:proofErr w:type="spellStart"/>
      <w:r w:rsidRPr="00657A9F">
        <w:rPr>
          <w:i/>
        </w:rPr>
        <w:t>Reprod</w:t>
      </w:r>
      <w:proofErr w:type="spellEnd"/>
      <w:r w:rsidRPr="00657A9F">
        <w:rPr>
          <w:i/>
        </w:rPr>
        <w:t xml:space="preserve"> </w:t>
      </w:r>
      <w:proofErr w:type="spellStart"/>
      <w:r w:rsidRPr="00657A9F">
        <w:rPr>
          <w:i/>
        </w:rPr>
        <w:t>Toxicol</w:t>
      </w:r>
      <w:proofErr w:type="spellEnd"/>
      <w:r w:rsidRPr="00657A9F">
        <w:rPr>
          <w:i/>
        </w:rPr>
        <w:t>.</w:t>
      </w:r>
      <w:r w:rsidRPr="00AA01DC">
        <w:t xml:space="preserve"> </w:t>
      </w:r>
      <w:proofErr w:type="gramStart"/>
      <w:r>
        <w:t>2006; 22</w:t>
      </w:r>
      <w:r w:rsidRPr="00AA01DC">
        <w:t>:400-</w:t>
      </w:r>
      <w:r>
        <w:t>4</w:t>
      </w:r>
      <w:r w:rsidRPr="00AA01DC">
        <w:t>10.</w:t>
      </w:r>
      <w:proofErr w:type="gramEnd"/>
    </w:p>
  </w:footnote>
  <w:footnote w:id="19">
    <w:p w14:paraId="6AD89FCB" w14:textId="77777777" w:rsidR="00026D9A" w:rsidRDefault="00026D9A" w:rsidP="00AF35D8">
      <w:pPr>
        <w:pStyle w:val="Footer"/>
      </w:pPr>
      <w:r w:rsidRPr="00CD4945">
        <w:rPr>
          <w:rStyle w:val="FootnoteReference"/>
          <w:sz w:val="16"/>
          <w:szCs w:val="16"/>
        </w:rPr>
        <w:footnoteRef/>
      </w:r>
      <w:r w:rsidRPr="00CD4945">
        <w:t xml:space="preserve"> </w:t>
      </w:r>
      <w:proofErr w:type="gramStart"/>
      <w:r w:rsidRPr="00CD4945">
        <w:t>el-</w:t>
      </w:r>
      <w:proofErr w:type="spellStart"/>
      <w:r w:rsidRPr="00CD4945">
        <w:t>Ashmawy</w:t>
      </w:r>
      <w:proofErr w:type="spellEnd"/>
      <w:proofErr w:type="gramEnd"/>
      <w:r w:rsidRPr="00CD4945">
        <w:t xml:space="preserve"> IM</w:t>
      </w:r>
      <w:r>
        <w:t xml:space="preserve">. </w:t>
      </w:r>
      <w:proofErr w:type="gramStart"/>
      <w:r>
        <w:t>et</w:t>
      </w:r>
      <w:proofErr w:type="gramEnd"/>
      <w:r>
        <w:t xml:space="preserve"> al. </w:t>
      </w:r>
      <w:r w:rsidRPr="00CD4945">
        <w:t>Teratogenic and cytogenetic effects of</w:t>
      </w:r>
      <w:r>
        <w:t xml:space="preserve"> </w:t>
      </w:r>
      <w:r w:rsidRPr="00CD4945">
        <w:t>ivermectin and its interaction with P-glycoprot</w:t>
      </w:r>
      <w:r>
        <w:t xml:space="preserve">ein inhibitor. </w:t>
      </w:r>
      <w:r w:rsidRPr="00657A9F">
        <w:rPr>
          <w:i/>
        </w:rPr>
        <w:t>Res Vet Sci.</w:t>
      </w:r>
      <w:r>
        <w:t xml:space="preserve"> 2011; 90</w:t>
      </w:r>
      <w:r w:rsidRPr="00CD4945">
        <w:t>:116-</w:t>
      </w:r>
      <w:r>
        <w:t>1</w:t>
      </w:r>
      <w:r w:rsidRPr="00CD4945">
        <w:t>23.</w:t>
      </w:r>
    </w:p>
  </w:footnote>
  <w:footnote w:id="20">
    <w:p w14:paraId="6AD89FCC" w14:textId="77777777" w:rsidR="00026D9A" w:rsidRPr="007A3A5C" w:rsidRDefault="00026D9A" w:rsidP="00AF35D8">
      <w:pPr>
        <w:pStyle w:val="Footer"/>
        <w:rPr>
          <w:i/>
        </w:rPr>
      </w:pPr>
      <w:r>
        <w:rPr>
          <w:rStyle w:val="FootnoteReference"/>
        </w:rPr>
        <w:footnoteRef/>
      </w:r>
      <w:r>
        <w:t xml:space="preserve"> Australian </w:t>
      </w:r>
      <w:r w:rsidRPr="00657A9F">
        <w:t>Category B3</w:t>
      </w:r>
      <w:r>
        <w:t xml:space="preserve"> for the use of medicines in pregnancy is defined as: </w:t>
      </w:r>
      <w:r w:rsidRPr="007A3A5C">
        <w:rPr>
          <w:i/>
        </w:rPr>
        <w:t>Drugs which have been taken by only a limited number of pregnant women and women of childbearing age, without an increase in the frequency of malformation or other direct or indirect harmful effects on the human fetus having been observed. Studies in animals have shown evidence of an increased occurrence of fetal damage, the significance of which is considered uncertain in humans.</w:t>
      </w:r>
    </w:p>
  </w:footnote>
  <w:footnote w:id="21">
    <w:p w14:paraId="6AD89FCD" w14:textId="77777777" w:rsidR="00026D9A" w:rsidRDefault="00026D9A" w:rsidP="00AF35D8">
      <w:pPr>
        <w:pStyle w:val="Footer"/>
      </w:pPr>
      <w:r>
        <w:rPr>
          <w:rStyle w:val="FootnoteReference"/>
        </w:rPr>
        <w:footnoteRef/>
      </w:r>
      <w:r>
        <w:t xml:space="preserve"> USA Category C for the use of medicines in pregnancy is defined as</w:t>
      </w:r>
      <w:r w:rsidRPr="00247D8A">
        <w:rPr>
          <w:i/>
        </w:rPr>
        <w:t>: Animal reproduction studies have shown an adverse effect on the fetus and there are no adequate and well-controlled studies in humans, but potential benefits may warrant use of the drug in pregnant women despite potential risks.</w:t>
      </w:r>
    </w:p>
  </w:footnote>
  <w:footnote w:id="22">
    <w:p w14:paraId="6AD89FCE" w14:textId="77777777" w:rsidR="00026D9A" w:rsidRPr="00F73A7E" w:rsidRDefault="00026D9A" w:rsidP="00AF35D8">
      <w:pPr>
        <w:pStyle w:val="Footer"/>
      </w:pPr>
      <w:r w:rsidRPr="00F73A7E">
        <w:rPr>
          <w:rStyle w:val="FootnoteReference"/>
          <w:sz w:val="19"/>
          <w:szCs w:val="19"/>
        </w:rPr>
        <w:footnoteRef/>
      </w:r>
      <w:r w:rsidRPr="00F73A7E">
        <w:t xml:space="preserve"> </w:t>
      </w:r>
      <w:proofErr w:type="spellStart"/>
      <w:r w:rsidRPr="00F73A7E">
        <w:t>Stromectol</w:t>
      </w:r>
      <w:proofErr w:type="spellEnd"/>
      <w:r w:rsidRPr="00F73A7E">
        <w:t xml:space="preserve">; 3 mg </w:t>
      </w:r>
      <w:proofErr w:type="spellStart"/>
      <w:r>
        <w:t>ivermectin</w:t>
      </w:r>
      <w:proofErr w:type="spellEnd"/>
      <w:r>
        <w:t xml:space="preserve"> </w:t>
      </w:r>
      <w:r w:rsidRPr="00F73A7E">
        <w:t xml:space="preserve">tablet intended for the treatment of onchocerciasis and intestinal </w:t>
      </w:r>
      <w:proofErr w:type="spellStart"/>
      <w:r w:rsidRPr="00F73A7E">
        <w:t>strongyloidiasis</w:t>
      </w:r>
      <w:proofErr w:type="spellEnd"/>
    </w:p>
  </w:footnote>
  <w:footnote w:id="23">
    <w:p w14:paraId="6AD89FCF" w14:textId="77777777" w:rsidR="00026D9A" w:rsidRPr="00DB046D" w:rsidRDefault="00026D9A" w:rsidP="00AF35D8">
      <w:pPr>
        <w:pStyle w:val="Footer"/>
        <w:rPr>
          <w:sz w:val="16"/>
          <w:szCs w:val="16"/>
        </w:rPr>
      </w:pPr>
      <w:r w:rsidRPr="00F73A7E">
        <w:rPr>
          <w:rStyle w:val="FootnoteReference"/>
          <w:sz w:val="19"/>
          <w:szCs w:val="19"/>
        </w:rPr>
        <w:footnoteRef/>
      </w:r>
      <w:r>
        <w:t xml:space="preserve"> </w:t>
      </w:r>
      <w:proofErr w:type="spellStart"/>
      <w:r>
        <w:t>Virgintino</w:t>
      </w:r>
      <w:proofErr w:type="spellEnd"/>
      <w:r>
        <w:t xml:space="preserve"> D.</w:t>
      </w:r>
      <w:r w:rsidRPr="00F73A7E">
        <w:t xml:space="preserve"> </w:t>
      </w:r>
      <w:r>
        <w:t>et al.</w:t>
      </w:r>
      <w:r w:rsidRPr="00F73A7E">
        <w:t xml:space="preserve"> Fetal blood-brain barrier P-glycoprotein contributes to brain protection during human development. </w:t>
      </w:r>
      <w:proofErr w:type="gramStart"/>
      <w:r w:rsidRPr="00F73A7E">
        <w:rPr>
          <w:i/>
        </w:rPr>
        <w:t xml:space="preserve">J </w:t>
      </w:r>
      <w:proofErr w:type="spellStart"/>
      <w:r w:rsidRPr="00F73A7E">
        <w:rPr>
          <w:i/>
        </w:rPr>
        <w:t>Neuropathol</w:t>
      </w:r>
      <w:proofErr w:type="spellEnd"/>
      <w:r w:rsidRPr="00F73A7E">
        <w:rPr>
          <w:i/>
        </w:rPr>
        <w:t xml:space="preserve"> </w:t>
      </w:r>
      <w:proofErr w:type="spellStart"/>
      <w:r w:rsidRPr="00F73A7E">
        <w:rPr>
          <w:i/>
        </w:rPr>
        <w:t>Exp</w:t>
      </w:r>
      <w:proofErr w:type="spellEnd"/>
      <w:r w:rsidRPr="00F73A7E">
        <w:rPr>
          <w:i/>
        </w:rPr>
        <w:t xml:space="preserve"> Neurol</w:t>
      </w:r>
      <w:r w:rsidRPr="00F73A7E">
        <w:t>. 2008;</w:t>
      </w:r>
      <w:r>
        <w:t xml:space="preserve"> 67</w:t>
      </w:r>
      <w:r w:rsidRPr="00F73A7E">
        <w:t>:</w:t>
      </w:r>
      <w:r>
        <w:t xml:space="preserve"> </w:t>
      </w:r>
      <w:r w:rsidRPr="00F73A7E">
        <w:t>50-61.</w:t>
      </w:r>
      <w:proofErr w:type="gramEnd"/>
    </w:p>
  </w:footnote>
  <w:footnote w:id="24">
    <w:p w14:paraId="6AD89FD0" w14:textId="77777777" w:rsidR="00026D9A" w:rsidRDefault="00026D9A" w:rsidP="00AF35D8">
      <w:pPr>
        <w:pStyle w:val="Footer"/>
      </w:pPr>
      <w:r>
        <w:rPr>
          <w:rStyle w:val="FootnoteReference"/>
        </w:rPr>
        <w:footnoteRef/>
      </w:r>
      <w:r w:rsidRPr="00BF3A4E">
        <w:rPr>
          <w:lang w:val="en-GB"/>
        </w:rPr>
        <w:t xml:space="preserve"> </w:t>
      </w:r>
      <w:proofErr w:type="spellStart"/>
      <w:proofErr w:type="gramStart"/>
      <w:r w:rsidRPr="00BF3A4E">
        <w:rPr>
          <w:lang w:val="en-GB"/>
        </w:rPr>
        <w:t>Guzzo</w:t>
      </w:r>
      <w:proofErr w:type="spellEnd"/>
      <w:r w:rsidRPr="00BF3A4E">
        <w:rPr>
          <w:lang w:val="en-GB"/>
        </w:rPr>
        <w:t xml:space="preserve"> C A. et al. </w:t>
      </w:r>
      <w:r>
        <w:t>Safety, tolerability, and Pharmacokinetics of Escalating High Doses of Ivermectin in Health Adult Subjects.</w:t>
      </w:r>
      <w:proofErr w:type="gramEnd"/>
      <w:r>
        <w:t xml:space="preserve"> </w:t>
      </w:r>
      <w:r w:rsidRPr="00877FE5">
        <w:rPr>
          <w:i/>
        </w:rPr>
        <w:t xml:space="preserve">J </w:t>
      </w:r>
      <w:proofErr w:type="spellStart"/>
      <w:r w:rsidRPr="00877FE5">
        <w:rPr>
          <w:i/>
        </w:rPr>
        <w:t>Clin</w:t>
      </w:r>
      <w:proofErr w:type="spellEnd"/>
      <w:r w:rsidRPr="00877FE5">
        <w:rPr>
          <w:i/>
        </w:rPr>
        <w:t xml:space="preserve"> </w:t>
      </w:r>
      <w:proofErr w:type="spellStart"/>
      <w:r w:rsidRPr="00877FE5">
        <w:rPr>
          <w:i/>
        </w:rPr>
        <w:t>Pahrmacol</w:t>
      </w:r>
      <w:proofErr w:type="spellEnd"/>
      <w:r>
        <w:t xml:space="preserve"> 2002; 42; 1122-1133.</w:t>
      </w:r>
    </w:p>
  </w:footnote>
  <w:footnote w:id="25">
    <w:p w14:paraId="6AD89FD1" w14:textId="77777777" w:rsidR="00026D9A" w:rsidRDefault="00026D9A" w:rsidP="00AF35D8">
      <w:pPr>
        <w:pStyle w:val="Footer"/>
      </w:pPr>
      <w:r>
        <w:rPr>
          <w:rStyle w:val="FootnoteReference"/>
        </w:rPr>
        <w:footnoteRef/>
      </w:r>
      <w:r w:rsidRPr="00BF3A4E">
        <w:rPr>
          <w:lang w:val="en-GB"/>
        </w:rPr>
        <w:t xml:space="preserve"> Del Rosso JQ et al. </w:t>
      </w:r>
      <w:r>
        <w:t xml:space="preserve">Consensus recommendations for the American Acne and Rosacea Society on the management of rosacea, Part 5: a guide on the management of rosacea. </w:t>
      </w:r>
      <w:proofErr w:type="gramStart"/>
      <w:r w:rsidRPr="00877FE5">
        <w:rPr>
          <w:i/>
        </w:rPr>
        <w:t>Cutis.</w:t>
      </w:r>
      <w:proofErr w:type="gramEnd"/>
      <w:r>
        <w:t xml:space="preserve"> 2014; 93: 134-138 </w:t>
      </w:r>
    </w:p>
  </w:footnote>
  <w:footnote w:id="26">
    <w:p w14:paraId="6AD89FD2" w14:textId="77777777" w:rsidR="00026D9A" w:rsidRDefault="00026D9A" w:rsidP="00AF35D8">
      <w:pPr>
        <w:pStyle w:val="Footer"/>
      </w:pPr>
      <w:r>
        <w:rPr>
          <w:rStyle w:val="FootnoteReference"/>
        </w:rPr>
        <w:footnoteRef/>
      </w:r>
      <w:r>
        <w:t xml:space="preserve"> </w:t>
      </w:r>
      <w:r w:rsidRPr="005D7E16">
        <w:t>M3(R2) Guidance on Nonclinical Safety Studies for the Conduct of Human Clinical Trials and Marketing Author</w:t>
      </w:r>
      <w:r>
        <w:t>isa</w:t>
      </w:r>
      <w:r w:rsidRPr="005D7E16">
        <w:t>tion for Pharmaceuticals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0" w14:textId="77777777" w:rsidR="00026D9A" w:rsidRDefault="00026D9A"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5" w14:textId="329AA08A" w:rsidR="00026D9A" w:rsidRDefault="00026D9A">
    <w:pPr>
      <w:rPr>
        <w:noProof/>
        <w:lang w:eastAsia="en-AU"/>
      </w:rPr>
    </w:pPr>
    <w:r w:rsidRPr="00347824">
      <w:rPr>
        <w:noProof/>
        <w:lang w:eastAsia="en-AU"/>
      </w:rPr>
      <w:drawing>
        <wp:anchor distT="0" distB="0" distL="114300" distR="114300" simplePos="0" relativeHeight="251659264" behindDoc="1" locked="0" layoutInCell="1" allowOverlap="1" wp14:anchorId="6AD89FB5" wp14:editId="6AD89FB6">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r w:rsidR="00303CF4">
      <w:rPr>
        <w:noProof/>
        <w:lang w:eastAsia="en-AU"/>
      </w:rPr>
      <w:t>`</w:t>
    </w:r>
  </w:p>
  <w:p w14:paraId="6AD89F96" w14:textId="77777777" w:rsidR="00026D9A" w:rsidRDefault="00026D9A" w:rsidP="00593AD1">
    <w:pPr>
      <w:pStyle w:val="HeaderNoLine"/>
    </w:pPr>
    <w:r>
      <w:rPr>
        <w:noProof/>
        <w:lang w:eastAsia="en-AU"/>
      </w:rPr>
      <w:drawing>
        <wp:inline distT="0" distB="0" distL="0" distR="0" wp14:anchorId="6AD89FB7" wp14:editId="6AD89FB8">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7" w14:textId="77777777" w:rsidR="00026D9A" w:rsidRDefault="00026D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8" w14:textId="77777777" w:rsidR="00026D9A" w:rsidRDefault="00026D9A">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9" w14:textId="77777777" w:rsidR="00026D9A" w:rsidRDefault="00026D9A">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9F" w14:textId="77777777" w:rsidR="00026D9A" w:rsidRDefault="00026D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A0" w14:textId="77777777" w:rsidR="00026D9A" w:rsidRDefault="00026D9A"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FA2" w14:textId="77777777" w:rsidR="00026D9A" w:rsidRDefault="00026D9A" w:rsidP="006E08B3">
    <w:r>
      <w:t>Therapeutic Goods Administration</w:t>
    </w:r>
  </w:p>
  <w:p w14:paraId="6AD89FA3" w14:textId="77777777" w:rsidR="00026D9A" w:rsidRDefault="00026D9A"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nsid w:val="FFFFFFFE"/>
    <w:multiLevelType w:val="singleLevel"/>
    <w:tmpl w:val="B8320B0A"/>
    <w:lvl w:ilvl="0">
      <w:numFmt w:val="bullet"/>
      <w:lvlText w:val="*"/>
      <w:lvlJc w:val="left"/>
    </w:lvl>
  </w:abstractNum>
  <w:abstractNum w:abstractNumId="4">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nsid w:val="1ACE17BD"/>
    <w:multiLevelType w:val="hybridMultilevel"/>
    <w:tmpl w:val="2780E73A"/>
    <w:lvl w:ilvl="0" w:tplc="545A6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D200F0A"/>
    <w:multiLevelType w:val="hybridMultilevel"/>
    <w:tmpl w:val="381E42A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BFF1621"/>
    <w:multiLevelType w:val="hybridMultilevel"/>
    <w:tmpl w:val="39B666EA"/>
    <w:lvl w:ilvl="0" w:tplc="1BF4DA8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80701C8"/>
    <w:multiLevelType w:val="hybridMultilevel"/>
    <w:tmpl w:val="B6B4A6C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nsid w:val="482C1144"/>
    <w:multiLevelType w:val="hybridMultilevel"/>
    <w:tmpl w:val="44A873D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
    <w:nsid w:val="489B15D7"/>
    <w:multiLevelType w:val="hybridMultilevel"/>
    <w:tmpl w:val="39DC21D6"/>
    <w:lvl w:ilvl="0" w:tplc="636C8FEE">
      <w:start w:val="1"/>
      <w:numFmt w:val="bullet"/>
      <w:pStyle w:val="Bulletpoint"/>
      <w:lvlText w:val=""/>
      <w:lvlJc w:val="left"/>
      <w:pPr>
        <w:tabs>
          <w:tab w:val="num" w:pos="369"/>
        </w:tabs>
        <w:ind w:left="369" w:hanging="227"/>
      </w:pPr>
      <w:rPr>
        <w:rFonts w:ascii="Symbol" w:hAnsi="Symbol" w:hint="default"/>
        <w:color w:val="auto"/>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51706F0A"/>
    <w:multiLevelType w:val="hybridMultilevel"/>
    <w:tmpl w:val="4326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0E63040"/>
    <w:multiLevelType w:val="hybridMultilevel"/>
    <w:tmpl w:val="176E2DBE"/>
    <w:lvl w:ilvl="0" w:tplc="0C090001">
      <w:start w:val="1"/>
      <w:numFmt w:val="bullet"/>
      <w:lvlText w:val=""/>
      <w:lvlJc w:val="left"/>
      <w:pPr>
        <w:ind w:left="1914" w:hanging="360"/>
      </w:pPr>
      <w:rPr>
        <w:rFonts w:ascii="Symbol" w:hAnsi="Symbol" w:hint="default"/>
      </w:rPr>
    </w:lvl>
    <w:lvl w:ilvl="1" w:tplc="0C090003" w:tentative="1">
      <w:start w:val="1"/>
      <w:numFmt w:val="bullet"/>
      <w:lvlText w:val="o"/>
      <w:lvlJc w:val="left"/>
      <w:pPr>
        <w:ind w:left="2634" w:hanging="360"/>
      </w:pPr>
      <w:rPr>
        <w:rFonts w:ascii="Courier New" w:hAnsi="Courier New" w:cs="Courier New" w:hint="default"/>
      </w:rPr>
    </w:lvl>
    <w:lvl w:ilvl="2" w:tplc="0C090005" w:tentative="1">
      <w:start w:val="1"/>
      <w:numFmt w:val="bullet"/>
      <w:lvlText w:val=""/>
      <w:lvlJc w:val="left"/>
      <w:pPr>
        <w:ind w:left="3354" w:hanging="360"/>
      </w:pPr>
      <w:rPr>
        <w:rFonts w:ascii="Wingdings" w:hAnsi="Wingdings" w:hint="default"/>
      </w:rPr>
    </w:lvl>
    <w:lvl w:ilvl="3" w:tplc="0C090001" w:tentative="1">
      <w:start w:val="1"/>
      <w:numFmt w:val="bullet"/>
      <w:lvlText w:val=""/>
      <w:lvlJc w:val="left"/>
      <w:pPr>
        <w:ind w:left="4074" w:hanging="360"/>
      </w:pPr>
      <w:rPr>
        <w:rFonts w:ascii="Symbol" w:hAnsi="Symbol" w:hint="default"/>
      </w:rPr>
    </w:lvl>
    <w:lvl w:ilvl="4" w:tplc="0C090003" w:tentative="1">
      <w:start w:val="1"/>
      <w:numFmt w:val="bullet"/>
      <w:lvlText w:val="o"/>
      <w:lvlJc w:val="left"/>
      <w:pPr>
        <w:ind w:left="4794" w:hanging="360"/>
      </w:pPr>
      <w:rPr>
        <w:rFonts w:ascii="Courier New" w:hAnsi="Courier New" w:cs="Courier New" w:hint="default"/>
      </w:rPr>
    </w:lvl>
    <w:lvl w:ilvl="5" w:tplc="0C090005" w:tentative="1">
      <w:start w:val="1"/>
      <w:numFmt w:val="bullet"/>
      <w:lvlText w:val=""/>
      <w:lvlJc w:val="left"/>
      <w:pPr>
        <w:ind w:left="5514" w:hanging="360"/>
      </w:pPr>
      <w:rPr>
        <w:rFonts w:ascii="Wingdings" w:hAnsi="Wingdings" w:hint="default"/>
      </w:rPr>
    </w:lvl>
    <w:lvl w:ilvl="6" w:tplc="0C090001" w:tentative="1">
      <w:start w:val="1"/>
      <w:numFmt w:val="bullet"/>
      <w:lvlText w:val=""/>
      <w:lvlJc w:val="left"/>
      <w:pPr>
        <w:ind w:left="6234" w:hanging="360"/>
      </w:pPr>
      <w:rPr>
        <w:rFonts w:ascii="Symbol" w:hAnsi="Symbol" w:hint="default"/>
      </w:rPr>
    </w:lvl>
    <w:lvl w:ilvl="7" w:tplc="0C090003" w:tentative="1">
      <w:start w:val="1"/>
      <w:numFmt w:val="bullet"/>
      <w:lvlText w:val="o"/>
      <w:lvlJc w:val="left"/>
      <w:pPr>
        <w:ind w:left="6954" w:hanging="360"/>
      </w:pPr>
      <w:rPr>
        <w:rFonts w:ascii="Courier New" w:hAnsi="Courier New" w:cs="Courier New" w:hint="default"/>
      </w:rPr>
    </w:lvl>
    <w:lvl w:ilvl="8" w:tplc="0C090005" w:tentative="1">
      <w:start w:val="1"/>
      <w:numFmt w:val="bullet"/>
      <w:lvlText w:val=""/>
      <w:lvlJc w:val="left"/>
      <w:pPr>
        <w:ind w:left="7674" w:hanging="360"/>
      </w:pPr>
      <w:rPr>
        <w:rFonts w:ascii="Wingdings" w:hAnsi="Wingdings" w:hint="default"/>
      </w:rPr>
    </w:lvl>
  </w:abstractNum>
  <w:abstractNum w:abstractNumId="15">
    <w:nsid w:val="6A6A4451"/>
    <w:multiLevelType w:val="hybridMultilevel"/>
    <w:tmpl w:val="16621FA4"/>
    <w:lvl w:ilvl="0" w:tplc="0C090001">
      <w:start w:val="1"/>
      <w:numFmt w:val="bullet"/>
      <w:lvlText w:val=""/>
      <w:lvlJc w:val="left"/>
      <w:pPr>
        <w:ind w:left="1089" w:hanging="360"/>
      </w:pPr>
      <w:rPr>
        <w:rFonts w:ascii="Symbol" w:hAnsi="Symbol" w:hint="default"/>
      </w:rPr>
    </w:lvl>
    <w:lvl w:ilvl="1" w:tplc="0C090003" w:tentative="1">
      <w:start w:val="1"/>
      <w:numFmt w:val="bullet"/>
      <w:lvlText w:val="o"/>
      <w:lvlJc w:val="left"/>
      <w:pPr>
        <w:ind w:left="1809" w:hanging="360"/>
      </w:pPr>
      <w:rPr>
        <w:rFonts w:ascii="Courier New" w:hAnsi="Courier New" w:cs="Courier New" w:hint="default"/>
      </w:rPr>
    </w:lvl>
    <w:lvl w:ilvl="2" w:tplc="0C090005" w:tentative="1">
      <w:start w:val="1"/>
      <w:numFmt w:val="bullet"/>
      <w:lvlText w:val=""/>
      <w:lvlJc w:val="left"/>
      <w:pPr>
        <w:ind w:left="2529" w:hanging="360"/>
      </w:pPr>
      <w:rPr>
        <w:rFonts w:ascii="Wingdings" w:hAnsi="Wingdings" w:hint="default"/>
      </w:rPr>
    </w:lvl>
    <w:lvl w:ilvl="3" w:tplc="0C090001" w:tentative="1">
      <w:start w:val="1"/>
      <w:numFmt w:val="bullet"/>
      <w:lvlText w:val=""/>
      <w:lvlJc w:val="left"/>
      <w:pPr>
        <w:ind w:left="3249" w:hanging="360"/>
      </w:pPr>
      <w:rPr>
        <w:rFonts w:ascii="Symbol" w:hAnsi="Symbol" w:hint="default"/>
      </w:rPr>
    </w:lvl>
    <w:lvl w:ilvl="4" w:tplc="0C090003" w:tentative="1">
      <w:start w:val="1"/>
      <w:numFmt w:val="bullet"/>
      <w:lvlText w:val="o"/>
      <w:lvlJc w:val="left"/>
      <w:pPr>
        <w:ind w:left="3969" w:hanging="360"/>
      </w:pPr>
      <w:rPr>
        <w:rFonts w:ascii="Courier New" w:hAnsi="Courier New" w:cs="Courier New" w:hint="default"/>
      </w:rPr>
    </w:lvl>
    <w:lvl w:ilvl="5" w:tplc="0C090005" w:tentative="1">
      <w:start w:val="1"/>
      <w:numFmt w:val="bullet"/>
      <w:lvlText w:val=""/>
      <w:lvlJc w:val="left"/>
      <w:pPr>
        <w:ind w:left="4689" w:hanging="360"/>
      </w:pPr>
      <w:rPr>
        <w:rFonts w:ascii="Wingdings" w:hAnsi="Wingdings" w:hint="default"/>
      </w:rPr>
    </w:lvl>
    <w:lvl w:ilvl="6" w:tplc="0C090001" w:tentative="1">
      <w:start w:val="1"/>
      <w:numFmt w:val="bullet"/>
      <w:lvlText w:val=""/>
      <w:lvlJc w:val="left"/>
      <w:pPr>
        <w:ind w:left="5409" w:hanging="360"/>
      </w:pPr>
      <w:rPr>
        <w:rFonts w:ascii="Symbol" w:hAnsi="Symbol" w:hint="default"/>
      </w:rPr>
    </w:lvl>
    <w:lvl w:ilvl="7" w:tplc="0C090003" w:tentative="1">
      <w:start w:val="1"/>
      <w:numFmt w:val="bullet"/>
      <w:lvlText w:val="o"/>
      <w:lvlJc w:val="left"/>
      <w:pPr>
        <w:ind w:left="6129" w:hanging="360"/>
      </w:pPr>
      <w:rPr>
        <w:rFonts w:ascii="Courier New" w:hAnsi="Courier New" w:cs="Courier New" w:hint="default"/>
      </w:rPr>
    </w:lvl>
    <w:lvl w:ilvl="8" w:tplc="0C090005" w:tentative="1">
      <w:start w:val="1"/>
      <w:numFmt w:val="bullet"/>
      <w:lvlText w:val=""/>
      <w:lvlJc w:val="left"/>
      <w:pPr>
        <w:ind w:left="6849" w:hanging="360"/>
      </w:pPr>
      <w:rPr>
        <w:rFonts w:ascii="Wingdings" w:hAnsi="Wingdings" w:hint="default"/>
      </w:rPr>
    </w:lvl>
  </w:abstractNum>
  <w:abstractNum w:abstractNumId="16">
    <w:nsid w:val="77CE69F2"/>
    <w:multiLevelType w:val="hybridMultilevel"/>
    <w:tmpl w:val="1C2628B2"/>
    <w:lvl w:ilvl="0" w:tplc="42C00B04">
      <w:start w:val="8"/>
      <w:numFmt w:val="bullet"/>
      <w:lvlText w:val="-"/>
      <w:lvlJc w:val="left"/>
      <w:pPr>
        <w:ind w:left="720" w:hanging="360"/>
      </w:pPr>
      <w:rPr>
        <w:rFonts w:ascii="Cambria" w:eastAsia="MS Mincho"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B703D1F"/>
    <w:multiLevelType w:val="hybridMultilevel"/>
    <w:tmpl w:val="32BCB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4"/>
  </w:num>
  <w:num w:numId="28">
    <w:abstractNumId w:val="12"/>
  </w:num>
  <w:num w:numId="29">
    <w:abstractNumId w:val="11"/>
  </w:num>
  <w:num w:numId="30">
    <w:abstractNumId w:val="10"/>
  </w:num>
  <w:num w:numId="31">
    <w:abstractNumId w:val="15"/>
  </w:num>
  <w:num w:numId="32">
    <w:abstractNumId w:val="7"/>
  </w:num>
  <w:num w:numId="33">
    <w:abstractNumId w:val="13"/>
  </w:num>
  <w:num w:numId="34">
    <w:abstractNumId w:val="6"/>
  </w:num>
  <w:num w:numId="35">
    <w:abstractNumId w:val="1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9"/>
  </w:num>
  <w:num w:numId="39">
    <w:abstractNumId w:val="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C19"/>
    <w:rsid w:val="00002031"/>
    <w:rsid w:val="000028DF"/>
    <w:rsid w:val="00004734"/>
    <w:rsid w:val="00006B22"/>
    <w:rsid w:val="000071B9"/>
    <w:rsid w:val="0001276A"/>
    <w:rsid w:val="000246AE"/>
    <w:rsid w:val="00025C67"/>
    <w:rsid w:val="00026D9A"/>
    <w:rsid w:val="000307B5"/>
    <w:rsid w:val="00040217"/>
    <w:rsid w:val="00044772"/>
    <w:rsid w:val="00044826"/>
    <w:rsid w:val="000522CF"/>
    <w:rsid w:val="0005559E"/>
    <w:rsid w:val="000604D6"/>
    <w:rsid w:val="000734D8"/>
    <w:rsid w:val="00075000"/>
    <w:rsid w:val="00077775"/>
    <w:rsid w:val="00082D46"/>
    <w:rsid w:val="000835E6"/>
    <w:rsid w:val="00090471"/>
    <w:rsid w:val="00096AA7"/>
    <w:rsid w:val="000A3AED"/>
    <w:rsid w:val="000B3532"/>
    <w:rsid w:val="000B3A75"/>
    <w:rsid w:val="000C00C2"/>
    <w:rsid w:val="000C690F"/>
    <w:rsid w:val="000D1295"/>
    <w:rsid w:val="000D391B"/>
    <w:rsid w:val="000D3D6D"/>
    <w:rsid w:val="000D4FC7"/>
    <w:rsid w:val="000E6196"/>
    <w:rsid w:val="000E7F8A"/>
    <w:rsid w:val="000F4869"/>
    <w:rsid w:val="000F5B42"/>
    <w:rsid w:val="000F6E6F"/>
    <w:rsid w:val="00100E19"/>
    <w:rsid w:val="0010601F"/>
    <w:rsid w:val="0010788A"/>
    <w:rsid w:val="00107A31"/>
    <w:rsid w:val="00110EA5"/>
    <w:rsid w:val="00112F56"/>
    <w:rsid w:val="00125318"/>
    <w:rsid w:val="001305A2"/>
    <w:rsid w:val="00130761"/>
    <w:rsid w:val="00132E95"/>
    <w:rsid w:val="00133238"/>
    <w:rsid w:val="00133A1B"/>
    <w:rsid w:val="00136E49"/>
    <w:rsid w:val="00140525"/>
    <w:rsid w:val="0014197B"/>
    <w:rsid w:val="001447CD"/>
    <w:rsid w:val="001516B1"/>
    <w:rsid w:val="00154EBB"/>
    <w:rsid w:val="00156316"/>
    <w:rsid w:val="00161181"/>
    <w:rsid w:val="00162219"/>
    <w:rsid w:val="00162D14"/>
    <w:rsid w:val="00165389"/>
    <w:rsid w:val="001672EC"/>
    <w:rsid w:val="0016777B"/>
    <w:rsid w:val="001756EB"/>
    <w:rsid w:val="0017693F"/>
    <w:rsid w:val="0018110E"/>
    <w:rsid w:val="00181684"/>
    <w:rsid w:val="001843C6"/>
    <w:rsid w:val="001850E0"/>
    <w:rsid w:val="0018587B"/>
    <w:rsid w:val="0019199D"/>
    <w:rsid w:val="00192F55"/>
    <w:rsid w:val="001930BB"/>
    <w:rsid w:val="001A2158"/>
    <w:rsid w:val="001A525F"/>
    <w:rsid w:val="001B09F9"/>
    <w:rsid w:val="001B5C90"/>
    <w:rsid w:val="001B6448"/>
    <w:rsid w:val="001C32CD"/>
    <w:rsid w:val="001D2984"/>
    <w:rsid w:val="001E07CF"/>
    <w:rsid w:val="001E59F1"/>
    <w:rsid w:val="001F2CEE"/>
    <w:rsid w:val="001F3D14"/>
    <w:rsid w:val="001F49EB"/>
    <w:rsid w:val="001F6CBA"/>
    <w:rsid w:val="00201D4E"/>
    <w:rsid w:val="00205E7F"/>
    <w:rsid w:val="002076C9"/>
    <w:rsid w:val="00207EA2"/>
    <w:rsid w:val="00220B8A"/>
    <w:rsid w:val="002257F3"/>
    <w:rsid w:val="00233456"/>
    <w:rsid w:val="002339A5"/>
    <w:rsid w:val="00247D8A"/>
    <w:rsid w:val="00257848"/>
    <w:rsid w:val="0027084A"/>
    <w:rsid w:val="00286434"/>
    <w:rsid w:val="00286C59"/>
    <w:rsid w:val="00291957"/>
    <w:rsid w:val="002942D1"/>
    <w:rsid w:val="0029501A"/>
    <w:rsid w:val="002A3721"/>
    <w:rsid w:val="002B1638"/>
    <w:rsid w:val="002B3624"/>
    <w:rsid w:val="002B709E"/>
    <w:rsid w:val="002C04E4"/>
    <w:rsid w:val="002C0FE2"/>
    <w:rsid w:val="002C6DB6"/>
    <w:rsid w:val="002D0952"/>
    <w:rsid w:val="002E40B3"/>
    <w:rsid w:val="002E4C9A"/>
    <w:rsid w:val="002F11F8"/>
    <w:rsid w:val="002F3F56"/>
    <w:rsid w:val="002F44B5"/>
    <w:rsid w:val="00303CF4"/>
    <w:rsid w:val="003045AD"/>
    <w:rsid w:val="00311AC0"/>
    <w:rsid w:val="00324098"/>
    <w:rsid w:val="00324D67"/>
    <w:rsid w:val="0032583B"/>
    <w:rsid w:val="00327883"/>
    <w:rsid w:val="00335504"/>
    <w:rsid w:val="003408FA"/>
    <w:rsid w:val="00340C18"/>
    <w:rsid w:val="003442FD"/>
    <w:rsid w:val="00347824"/>
    <w:rsid w:val="00350567"/>
    <w:rsid w:val="003521E8"/>
    <w:rsid w:val="00356678"/>
    <w:rsid w:val="00360123"/>
    <w:rsid w:val="00361D2D"/>
    <w:rsid w:val="00370CE3"/>
    <w:rsid w:val="003728F3"/>
    <w:rsid w:val="0037496E"/>
    <w:rsid w:val="00383221"/>
    <w:rsid w:val="00386150"/>
    <w:rsid w:val="003874CE"/>
    <w:rsid w:val="00390900"/>
    <w:rsid w:val="00392970"/>
    <w:rsid w:val="003A7F6C"/>
    <w:rsid w:val="003B2FAD"/>
    <w:rsid w:val="003B4D60"/>
    <w:rsid w:val="003B738F"/>
    <w:rsid w:val="003B7E39"/>
    <w:rsid w:val="003C58DC"/>
    <w:rsid w:val="003D1E62"/>
    <w:rsid w:val="003D2108"/>
    <w:rsid w:val="003E0B99"/>
    <w:rsid w:val="003E2486"/>
    <w:rsid w:val="003E3208"/>
    <w:rsid w:val="003F0B04"/>
    <w:rsid w:val="003F2B74"/>
    <w:rsid w:val="003F525A"/>
    <w:rsid w:val="003F5469"/>
    <w:rsid w:val="003F7703"/>
    <w:rsid w:val="0040134E"/>
    <w:rsid w:val="004079D0"/>
    <w:rsid w:val="004334C7"/>
    <w:rsid w:val="00434464"/>
    <w:rsid w:val="00440A2D"/>
    <w:rsid w:val="00440C2C"/>
    <w:rsid w:val="00441C3F"/>
    <w:rsid w:val="00445ED5"/>
    <w:rsid w:val="004553BB"/>
    <w:rsid w:val="004564A7"/>
    <w:rsid w:val="004617BF"/>
    <w:rsid w:val="00463188"/>
    <w:rsid w:val="00463658"/>
    <w:rsid w:val="004637A0"/>
    <w:rsid w:val="00463EF7"/>
    <w:rsid w:val="004722CC"/>
    <w:rsid w:val="00474103"/>
    <w:rsid w:val="004936E4"/>
    <w:rsid w:val="00494444"/>
    <w:rsid w:val="00494E60"/>
    <w:rsid w:val="00497487"/>
    <w:rsid w:val="004A6189"/>
    <w:rsid w:val="004A7390"/>
    <w:rsid w:val="004B7B76"/>
    <w:rsid w:val="004C239D"/>
    <w:rsid w:val="004C2DCA"/>
    <w:rsid w:val="004C61D2"/>
    <w:rsid w:val="004C68A1"/>
    <w:rsid w:val="004D0CFE"/>
    <w:rsid w:val="004E1F50"/>
    <w:rsid w:val="004F0C4A"/>
    <w:rsid w:val="004F0E31"/>
    <w:rsid w:val="004F0F38"/>
    <w:rsid w:val="004F47D6"/>
    <w:rsid w:val="00501921"/>
    <w:rsid w:val="00516CD1"/>
    <w:rsid w:val="0052147D"/>
    <w:rsid w:val="00530354"/>
    <w:rsid w:val="0053625B"/>
    <w:rsid w:val="005434C6"/>
    <w:rsid w:val="00543B39"/>
    <w:rsid w:val="00545886"/>
    <w:rsid w:val="00546154"/>
    <w:rsid w:val="00550096"/>
    <w:rsid w:val="00555280"/>
    <w:rsid w:val="00557FF9"/>
    <w:rsid w:val="00562327"/>
    <w:rsid w:val="005711D5"/>
    <w:rsid w:val="00571E8D"/>
    <w:rsid w:val="00576378"/>
    <w:rsid w:val="00577130"/>
    <w:rsid w:val="00577945"/>
    <w:rsid w:val="00577E38"/>
    <w:rsid w:val="00581F9E"/>
    <w:rsid w:val="00585322"/>
    <w:rsid w:val="0058555B"/>
    <w:rsid w:val="005857C6"/>
    <w:rsid w:val="00592F6E"/>
    <w:rsid w:val="00593AD1"/>
    <w:rsid w:val="005A5A47"/>
    <w:rsid w:val="005A68B6"/>
    <w:rsid w:val="005B4405"/>
    <w:rsid w:val="005B726E"/>
    <w:rsid w:val="005C5570"/>
    <w:rsid w:val="005C79A4"/>
    <w:rsid w:val="005D5442"/>
    <w:rsid w:val="005D7E16"/>
    <w:rsid w:val="005F1306"/>
    <w:rsid w:val="005F5FE5"/>
    <w:rsid w:val="00603F07"/>
    <w:rsid w:val="00603F32"/>
    <w:rsid w:val="00605AD4"/>
    <w:rsid w:val="00625A6E"/>
    <w:rsid w:val="00632398"/>
    <w:rsid w:val="00635D60"/>
    <w:rsid w:val="00640FC3"/>
    <w:rsid w:val="00642020"/>
    <w:rsid w:val="00650101"/>
    <w:rsid w:val="0065337B"/>
    <w:rsid w:val="0065419D"/>
    <w:rsid w:val="00657A9F"/>
    <w:rsid w:val="00660239"/>
    <w:rsid w:val="006604D8"/>
    <w:rsid w:val="006613F1"/>
    <w:rsid w:val="006625F4"/>
    <w:rsid w:val="00664A5B"/>
    <w:rsid w:val="0066735C"/>
    <w:rsid w:val="006763D2"/>
    <w:rsid w:val="00680C08"/>
    <w:rsid w:val="00686209"/>
    <w:rsid w:val="006916A0"/>
    <w:rsid w:val="00692CE1"/>
    <w:rsid w:val="006931B1"/>
    <w:rsid w:val="006A15C0"/>
    <w:rsid w:val="006B3CF6"/>
    <w:rsid w:val="006C1CA3"/>
    <w:rsid w:val="006C3E2A"/>
    <w:rsid w:val="006C642F"/>
    <w:rsid w:val="006D03E5"/>
    <w:rsid w:val="006D5D3E"/>
    <w:rsid w:val="006D61C3"/>
    <w:rsid w:val="006E08B3"/>
    <w:rsid w:val="006E4644"/>
    <w:rsid w:val="006E51BF"/>
    <w:rsid w:val="006F17AC"/>
    <w:rsid w:val="006F25B8"/>
    <w:rsid w:val="006F572E"/>
    <w:rsid w:val="006F6336"/>
    <w:rsid w:val="007046D6"/>
    <w:rsid w:val="00705DB0"/>
    <w:rsid w:val="0071568B"/>
    <w:rsid w:val="00721301"/>
    <w:rsid w:val="00722B57"/>
    <w:rsid w:val="00730F8A"/>
    <w:rsid w:val="00735A8C"/>
    <w:rsid w:val="0074253D"/>
    <w:rsid w:val="0074429B"/>
    <w:rsid w:val="007615BC"/>
    <w:rsid w:val="00762F05"/>
    <w:rsid w:val="00764257"/>
    <w:rsid w:val="007652FF"/>
    <w:rsid w:val="00770CAC"/>
    <w:rsid w:val="00770EF1"/>
    <w:rsid w:val="00773EF7"/>
    <w:rsid w:val="00774E1D"/>
    <w:rsid w:val="007765D8"/>
    <w:rsid w:val="0077675A"/>
    <w:rsid w:val="00780355"/>
    <w:rsid w:val="007819FD"/>
    <w:rsid w:val="00785717"/>
    <w:rsid w:val="00785721"/>
    <w:rsid w:val="00793A59"/>
    <w:rsid w:val="007A3A5C"/>
    <w:rsid w:val="007B6132"/>
    <w:rsid w:val="007B6E9F"/>
    <w:rsid w:val="007C1216"/>
    <w:rsid w:val="007C1AF7"/>
    <w:rsid w:val="007C6B9B"/>
    <w:rsid w:val="007D6B63"/>
    <w:rsid w:val="007E252E"/>
    <w:rsid w:val="00805D27"/>
    <w:rsid w:val="00806DCB"/>
    <w:rsid w:val="008149D4"/>
    <w:rsid w:val="00814D85"/>
    <w:rsid w:val="00821776"/>
    <w:rsid w:val="008321F5"/>
    <w:rsid w:val="00832369"/>
    <w:rsid w:val="00834660"/>
    <w:rsid w:val="00836BC2"/>
    <w:rsid w:val="0085156D"/>
    <w:rsid w:val="0085641B"/>
    <w:rsid w:val="00857136"/>
    <w:rsid w:val="008719BD"/>
    <w:rsid w:val="00877D68"/>
    <w:rsid w:val="00877FE5"/>
    <w:rsid w:val="00885B11"/>
    <w:rsid w:val="00886D15"/>
    <w:rsid w:val="00887DD8"/>
    <w:rsid w:val="00887F7A"/>
    <w:rsid w:val="00891BA9"/>
    <w:rsid w:val="00893671"/>
    <w:rsid w:val="00893FB3"/>
    <w:rsid w:val="00896018"/>
    <w:rsid w:val="008960DD"/>
    <w:rsid w:val="0089635C"/>
    <w:rsid w:val="008A2B9D"/>
    <w:rsid w:val="008A3D9F"/>
    <w:rsid w:val="008A5E0B"/>
    <w:rsid w:val="008A6D59"/>
    <w:rsid w:val="008B1EEB"/>
    <w:rsid w:val="008B2280"/>
    <w:rsid w:val="008B4B03"/>
    <w:rsid w:val="008B596F"/>
    <w:rsid w:val="008C159F"/>
    <w:rsid w:val="008C1623"/>
    <w:rsid w:val="008C1850"/>
    <w:rsid w:val="008C51A9"/>
    <w:rsid w:val="008D6FB3"/>
    <w:rsid w:val="008E7846"/>
    <w:rsid w:val="008F02E5"/>
    <w:rsid w:val="008F1CCC"/>
    <w:rsid w:val="008F2967"/>
    <w:rsid w:val="008F6943"/>
    <w:rsid w:val="00902337"/>
    <w:rsid w:val="00902A21"/>
    <w:rsid w:val="00916BD2"/>
    <w:rsid w:val="00920330"/>
    <w:rsid w:val="009219D7"/>
    <w:rsid w:val="00922D53"/>
    <w:rsid w:val="00923B70"/>
    <w:rsid w:val="00924482"/>
    <w:rsid w:val="00930237"/>
    <w:rsid w:val="00937C17"/>
    <w:rsid w:val="00940A89"/>
    <w:rsid w:val="00946EA5"/>
    <w:rsid w:val="00947AAC"/>
    <w:rsid w:val="00955A32"/>
    <w:rsid w:val="00963C08"/>
    <w:rsid w:val="009752A5"/>
    <w:rsid w:val="0098585A"/>
    <w:rsid w:val="009A4CED"/>
    <w:rsid w:val="009A690D"/>
    <w:rsid w:val="009A7084"/>
    <w:rsid w:val="009B1D12"/>
    <w:rsid w:val="009B3E69"/>
    <w:rsid w:val="009B416B"/>
    <w:rsid w:val="009C4BD5"/>
    <w:rsid w:val="009D17DE"/>
    <w:rsid w:val="009D6CCA"/>
    <w:rsid w:val="009D71DA"/>
    <w:rsid w:val="009D7B77"/>
    <w:rsid w:val="009E0BB0"/>
    <w:rsid w:val="009E3FBB"/>
    <w:rsid w:val="009E5E6E"/>
    <w:rsid w:val="009F0B24"/>
    <w:rsid w:val="009F3DFD"/>
    <w:rsid w:val="009F7353"/>
    <w:rsid w:val="00A04F85"/>
    <w:rsid w:val="00A05FA4"/>
    <w:rsid w:val="00A102E4"/>
    <w:rsid w:val="00A12C42"/>
    <w:rsid w:val="00A1416E"/>
    <w:rsid w:val="00A14DF7"/>
    <w:rsid w:val="00A213A2"/>
    <w:rsid w:val="00A3246D"/>
    <w:rsid w:val="00A36FA7"/>
    <w:rsid w:val="00A43115"/>
    <w:rsid w:val="00A44476"/>
    <w:rsid w:val="00A44DDB"/>
    <w:rsid w:val="00A475B7"/>
    <w:rsid w:val="00A47AF7"/>
    <w:rsid w:val="00A47C3E"/>
    <w:rsid w:val="00A50226"/>
    <w:rsid w:val="00A5525C"/>
    <w:rsid w:val="00A60BAD"/>
    <w:rsid w:val="00A74A6A"/>
    <w:rsid w:val="00A80B5B"/>
    <w:rsid w:val="00A82F64"/>
    <w:rsid w:val="00A84E36"/>
    <w:rsid w:val="00A9081D"/>
    <w:rsid w:val="00A964D1"/>
    <w:rsid w:val="00AA0ED0"/>
    <w:rsid w:val="00AA36FF"/>
    <w:rsid w:val="00AA6658"/>
    <w:rsid w:val="00AA66CB"/>
    <w:rsid w:val="00AC2B40"/>
    <w:rsid w:val="00AC2BB2"/>
    <w:rsid w:val="00AC2C3C"/>
    <w:rsid w:val="00AC512D"/>
    <w:rsid w:val="00AD0083"/>
    <w:rsid w:val="00AD3935"/>
    <w:rsid w:val="00AE65EB"/>
    <w:rsid w:val="00AE67A7"/>
    <w:rsid w:val="00AE6D22"/>
    <w:rsid w:val="00AF1D94"/>
    <w:rsid w:val="00AF35D8"/>
    <w:rsid w:val="00AF60C5"/>
    <w:rsid w:val="00AF6360"/>
    <w:rsid w:val="00B009C6"/>
    <w:rsid w:val="00B01548"/>
    <w:rsid w:val="00B13EBD"/>
    <w:rsid w:val="00B21D29"/>
    <w:rsid w:val="00B25034"/>
    <w:rsid w:val="00B33588"/>
    <w:rsid w:val="00B33863"/>
    <w:rsid w:val="00B37D17"/>
    <w:rsid w:val="00B4175E"/>
    <w:rsid w:val="00B452CE"/>
    <w:rsid w:val="00B54C25"/>
    <w:rsid w:val="00B7247F"/>
    <w:rsid w:val="00B76B91"/>
    <w:rsid w:val="00B77EB1"/>
    <w:rsid w:val="00B811C6"/>
    <w:rsid w:val="00B855B0"/>
    <w:rsid w:val="00B92E08"/>
    <w:rsid w:val="00BA2018"/>
    <w:rsid w:val="00BC622A"/>
    <w:rsid w:val="00BD1775"/>
    <w:rsid w:val="00BD2E00"/>
    <w:rsid w:val="00BE0A78"/>
    <w:rsid w:val="00BE5FC8"/>
    <w:rsid w:val="00BE79F0"/>
    <w:rsid w:val="00BF046D"/>
    <w:rsid w:val="00BF1190"/>
    <w:rsid w:val="00BF3301"/>
    <w:rsid w:val="00BF3A4E"/>
    <w:rsid w:val="00BF5D04"/>
    <w:rsid w:val="00C009AA"/>
    <w:rsid w:val="00C053AE"/>
    <w:rsid w:val="00C1164D"/>
    <w:rsid w:val="00C16861"/>
    <w:rsid w:val="00C16EC9"/>
    <w:rsid w:val="00C22306"/>
    <w:rsid w:val="00C31095"/>
    <w:rsid w:val="00C346AB"/>
    <w:rsid w:val="00C404A6"/>
    <w:rsid w:val="00C40A36"/>
    <w:rsid w:val="00C44419"/>
    <w:rsid w:val="00C45E7B"/>
    <w:rsid w:val="00C471B1"/>
    <w:rsid w:val="00C6316B"/>
    <w:rsid w:val="00C634A9"/>
    <w:rsid w:val="00C63F58"/>
    <w:rsid w:val="00C64586"/>
    <w:rsid w:val="00C66A55"/>
    <w:rsid w:val="00C70D53"/>
    <w:rsid w:val="00C71FF1"/>
    <w:rsid w:val="00C73D0B"/>
    <w:rsid w:val="00C772FF"/>
    <w:rsid w:val="00C80137"/>
    <w:rsid w:val="00C801AF"/>
    <w:rsid w:val="00C80256"/>
    <w:rsid w:val="00C81E6B"/>
    <w:rsid w:val="00C94CD4"/>
    <w:rsid w:val="00C9747E"/>
    <w:rsid w:val="00CA14F1"/>
    <w:rsid w:val="00CA539B"/>
    <w:rsid w:val="00CA7EEF"/>
    <w:rsid w:val="00CB081B"/>
    <w:rsid w:val="00CB6BC0"/>
    <w:rsid w:val="00CC1B7C"/>
    <w:rsid w:val="00CC727F"/>
    <w:rsid w:val="00CD2F99"/>
    <w:rsid w:val="00CD313B"/>
    <w:rsid w:val="00CE323A"/>
    <w:rsid w:val="00CE6887"/>
    <w:rsid w:val="00CF15C3"/>
    <w:rsid w:val="00CF2B6F"/>
    <w:rsid w:val="00CF2F3E"/>
    <w:rsid w:val="00CF58B6"/>
    <w:rsid w:val="00D0062D"/>
    <w:rsid w:val="00D017ED"/>
    <w:rsid w:val="00D040D3"/>
    <w:rsid w:val="00D04C65"/>
    <w:rsid w:val="00D154E5"/>
    <w:rsid w:val="00D201D2"/>
    <w:rsid w:val="00D224FE"/>
    <w:rsid w:val="00D23139"/>
    <w:rsid w:val="00D27167"/>
    <w:rsid w:val="00D35533"/>
    <w:rsid w:val="00D357B1"/>
    <w:rsid w:val="00D425BB"/>
    <w:rsid w:val="00D560E3"/>
    <w:rsid w:val="00D6493E"/>
    <w:rsid w:val="00D653C0"/>
    <w:rsid w:val="00D7195D"/>
    <w:rsid w:val="00D7301E"/>
    <w:rsid w:val="00D75195"/>
    <w:rsid w:val="00D83AE1"/>
    <w:rsid w:val="00D855D4"/>
    <w:rsid w:val="00D85F30"/>
    <w:rsid w:val="00D902C9"/>
    <w:rsid w:val="00D9155F"/>
    <w:rsid w:val="00D93466"/>
    <w:rsid w:val="00DA1124"/>
    <w:rsid w:val="00DA11F1"/>
    <w:rsid w:val="00DB6124"/>
    <w:rsid w:val="00DB750B"/>
    <w:rsid w:val="00DB75B7"/>
    <w:rsid w:val="00DC6E02"/>
    <w:rsid w:val="00DD28CD"/>
    <w:rsid w:val="00DE02AE"/>
    <w:rsid w:val="00DE31E1"/>
    <w:rsid w:val="00DF1D7F"/>
    <w:rsid w:val="00DF4BE4"/>
    <w:rsid w:val="00E02FB4"/>
    <w:rsid w:val="00E13FC7"/>
    <w:rsid w:val="00E20571"/>
    <w:rsid w:val="00E235F7"/>
    <w:rsid w:val="00E23659"/>
    <w:rsid w:val="00E239D4"/>
    <w:rsid w:val="00E26130"/>
    <w:rsid w:val="00E3222C"/>
    <w:rsid w:val="00E35366"/>
    <w:rsid w:val="00E40B22"/>
    <w:rsid w:val="00E44ED1"/>
    <w:rsid w:val="00E45619"/>
    <w:rsid w:val="00E4588F"/>
    <w:rsid w:val="00E46DA3"/>
    <w:rsid w:val="00E51BB1"/>
    <w:rsid w:val="00E56B07"/>
    <w:rsid w:val="00E624A5"/>
    <w:rsid w:val="00E64BA4"/>
    <w:rsid w:val="00E7344E"/>
    <w:rsid w:val="00E73DB7"/>
    <w:rsid w:val="00E82665"/>
    <w:rsid w:val="00EB0798"/>
    <w:rsid w:val="00EB40AD"/>
    <w:rsid w:val="00EB586E"/>
    <w:rsid w:val="00EB5FC8"/>
    <w:rsid w:val="00EC463D"/>
    <w:rsid w:val="00EC7A85"/>
    <w:rsid w:val="00ED2922"/>
    <w:rsid w:val="00ED3CAD"/>
    <w:rsid w:val="00ED5A41"/>
    <w:rsid w:val="00EE1DE8"/>
    <w:rsid w:val="00EE27C2"/>
    <w:rsid w:val="00EF4BAD"/>
    <w:rsid w:val="00EF7169"/>
    <w:rsid w:val="00F033EC"/>
    <w:rsid w:val="00F04F68"/>
    <w:rsid w:val="00F12670"/>
    <w:rsid w:val="00F14B27"/>
    <w:rsid w:val="00F16B9D"/>
    <w:rsid w:val="00F2439E"/>
    <w:rsid w:val="00F3148D"/>
    <w:rsid w:val="00F325C5"/>
    <w:rsid w:val="00F32FE0"/>
    <w:rsid w:val="00F35298"/>
    <w:rsid w:val="00F366A8"/>
    <w:rsid w:val="00F47333"/>
    <w:rsid w:val="00F475F1"/>
    <w:rsid w:val="00F47E37"/>
    <w:rsid w:val="00F52E6B"/>
    <w:rsid w:val="00F53C07"/>
    <w:rsid w:val="00F54B65"/>
    <w:rsid w:val="00F5755F"/>
    <w:rsid w:val="00F640B6"/>
    <w:rsid w:val="00F66DF2"/>
    <w:rsid w:val="00F73A7E"/>
    <w:rsid w:val="00F757B6"/>
    <w:rsid w:val="00F76A01"/>
    <w:rsid w:val="00F80E40"/>
    <w:rsid w:val="00F8356E"/>
    <w:rsid w:val="00F848D9"/>
    <w:rsid w:val="00F9355A"/>
    <w:rsid w:val="00F941D7"/>
    <w:rsid w:val="00FA5B82"/>
    <w:rsid w:val="00FA639E"/>
    <w:rsid w:val="00FB4410"/>
    <w:rsid w:val="00FC1FCA"/>
    <w:rsid w:val="00FC25E4"/>
    <w:rsid w:val="00FC316F"/>
    <w:rsid w:val="00FC4EF7"/>
    <w:rsid w:val="00FC7051"/>
    <w:rsid w:val="00FD0824"/>
    <w:rsid w:val="00FD119B"/>
    <w:rsid w:val="00FD1EDC"/>
    <w:rsid w:val="00FD3E5F"/>
    <w:rsid w:val="00FE1DEE"/>
    <w:rsid w:val="00FF2126"/>
    <w:rsid w:val="00FF3C8D"/>
    <w:rsid w:val="00FF5755"/>
    <w:rsid w:val="00FF5C19"/>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AD8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A201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6777B"/>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6777B"/>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9D71DA"/>
    <w:pPr>
      <w:spacing w:before="60" w:after="60" w:line="240" w:lineRule="auto"/>
      <w:ind w:left="720"/>
      <w:jc w:val="both"/>
    </w:pPr>
    <w:rPr>
      <w:rFonts w:ascii="Times New Roman" w:eastAsia="Times New Roman" w:hAnsi="Times New Roman"/>
      <w:sz w:val="24"/>
      <w:lang w:eastAsia="en-AU"/>
    </w:rPr>
  </w:style>
  <w:style w:type="paragraph" w:styleId="NormalWeb">
    <w:name w:val="Normal (Web)"/>
    <w:basedOn w:val="Normal"/>
    <w:rsid w:val="009D71D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andard">
    <w:name w:val="Standard"/>
    <w:basedOn w:val="Normal"/>
    <w:link w:val="StandardChar"/>
    <w:rsid w:val="009D71D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9D71DA"/>
    <w:rPr>
      <w:rFonts w:ascii="Cambria" w:eastAsia="Times New Roman" w:hAnsi="Cambria" w:cs="Times New Roman"/>
      <w:snapToGrid w:val="0"/>
      <w:kern w:val="16"/>
      <w:szCs w:val="24"/>
    </w:rPr>
  </w:style>
  <w:style w:type="paragraph" w:customStyle="1" w:styleId="Bulletpoint">
    <w:name w:val="Bullet point"/>
    <w:basedOn w:val="Standard"/>
    <w:rsid w:val="009D71DA"/>
    <w:pPr>
      <w:numPr>
        <w:numId w:val="28"/>
      </w:numPr>
      <w:tabs>
        <w:tab w:val="clear" w:pos="369"/>
        <w:tab w:val="num" w:pos="360"/>
        <w:tab w:val="left" w:pos="397"/>
      </w:tabs>
      <w:spacing w:after="180"/>
      <w:ind w:left="0" w:firstLine="0"/>
    </w:pPr>
  </w:style>
  <w:style w:type="paragraph" w:customStyle="1" w:styleId="AssessmentSubsection">
    <w:name w:val="Assessment Subsection"/>
    <w:basedOn w:val="Standard"/>
    <w:next w:val="Standard"/>
    <w:rsid w:val="00D357B1"/>
    <w:pPr>
      <w:keepNext/>
      <w:spacing w:after="110"/>
      <w:outlineLvl w:val="2"/>
    </w:pPr>
    <w:rPr>
      <w:b/>
      <w:i/>
    </w:rPr>
  </w:style>
  <w:style w:type="character" w:customStyle="1" w:styleId="st1">
    <w:name w:val="st1"/>
    <w:basedOn w:val="DefaultParagraphFont"/>
    <w:rsid w:val="00D357B1"/>
  </w:style>
  <w:style w:type="character" w:customStyle="1" w:styleId="highlight2">
    <w:name w:val="highlight2"/>
    <w:basedOn w:val="DefaultParagraphFont"/>
    <w:rsid w:val="00D357B1"/>
  </w:style>
  <w:style w:type="paragraph" w:customStyle="1" w:styleId="WhiteSpace">
    <w:name w:val="White Space"/>
    <w:basedOn w:val="Standard"/>
    <w:next w:val="Standard"/>
    <w:link w:val="WhiteSpaceChar"/>
    <w:rsid w:val="00F16B9D"/>
    <w:pPr>
      <w:spacing w:after="0"/>
    </w:pPr>
    <w:rPr>
      <w:sz w:val="16"/>
      <w:szCs w:val="16"/>
    </w:rPr>
  </w:style>
  <w:style w:type="character" w:customStyle="1" w:styleId="WhiteSpaceChar">
    <w:name w:val="White Space Char"/>
    <w:basedOn w:val="DefaultParagraphFont"/>
    <w:link w:val="WhiteSpace"/>
    <w:rsid w:val="00F16B9D"/>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Normal"/>
    <w:rsid w:val="00F16B9D"/>
    <w:pPr>
      <w:keepNext/>
      <w:spacing w:before="0" w:after="110" w:line="252" w:lineRule="auto"/>
      <w:outlineLvl w:val="3"/>
    </w:pPr>
    <w:rPr>
      <w:rFonts w:eastAsia="Times New Roman"/>
      <w:i/>
      <w:snapToGrid w:val="0"/>
      <w:kern w:val="16"/>
      <w:szCs w:val="24"/>
    </w:rPr>
  </w:style>
  <w:style w:type="character" w:customStyle="1" w:styleId="TabletextChar">
    <w:name w:val="Table text Char"/>
    <w:basedOn w:val="DefaultParagraphFont"/>
    <w:link w:val="Tabletext"/>
    <w:rsid w:val="00F16B9D"/>
    <w:rPr>
      <w:rFonts w:ascii="Cambria" w:eastAsia="Cambria" w:hAnsi="Cambria" w:cs="Times New Roman"/>
      <w:sz w:val="19"/>
    </w:rPr>
  </w:style>
  <w:style w:type="paragraph" w:customStyle="1" w:styleId="TableHeader">
    <w:name w:val="Table Header"/>
    <w:basedOn w:val="Normal"/>
    <w:rsid w:val="00F16B9D"/>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Standard"/>
    <w:next w:val="Standard"/>
    <w:link w:val="TableCaptionChar"/>
    <w:rsid w:val="00F16B9D"/>
    <w:pPr>
      <w:spacing w:before="60" w:after="440" w:line="215" w:lineRule="exact"/>
      <w:ind w:left="170"/>
    </w:pPr>
    <w:rPr>
      <w:sz w:val="18"/>
      <w:szCs w:val="19"/>
    </w:rPr>
  </w:style>
  <w:style w:type="character" w:customStyle="1" w:styleId="TableCaptionChar">
    <w:name w:val="Table Caption Char"/>
    <w:basedOn w:val="DefaultParagraphFont"/>
    <w:link w:val="TableCaption"/>
    <w:rsid w:val="00F16B9D"/>
    <w:rPr>
      <w:rFonts w:ascii="Cambria" w:eastAsia="Times New Roman" w:hAnsi="Cambria" w:cs="Times New Roman"/>
      <w:snapToGrid w:val="0"/>
      <w:kern w:val="16"/>
      <w:sz w:val="18"/>
      <w:szCs w:val="19"/>
    </w:rPr>
  </w:style>
  <w:style w:type="table" w:customStyle="1" w:styleId="TableGrid2">
    <w:name w:val="Table Grid2"/>
    <w:basedOn w:val="TableNormal"/>
    <w:next w:val="TableGrid"/>
    <w:uiPriority w:val="59"/>
    <w:rsid w:val="002C0FE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BA2018"/>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lsdException w:name="caption" w:semiHidden="0" w:uiPriority="0" w:unhideWhenUsed="0" w:qFormat="1"/>
    <w:lsdException w:name="footnote reference"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BA201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16777B"/>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16777B"/>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semiHidden/>
    <w:rsid w:val="001B5C90"/>
    <w:rPr>
      <w:rFonts w:ascii="Cambria" w:eastAsia="Cambria" w:hAnsi="Cambria" w:cs="Times New Roman"/>
      <w:sz w:val="18"/>
      <w:szCs w:val="20"/>
    </w:rPr>
  </w:style>
  <w:style w:type="character" w:styleId="FootnoteReference">
    <w:name w:val="footnote reference"/>
    <w:basedOn w:val="DefaultParagraphFont"/>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9D71DA"/>
    <w:pPr>
      <w:spacing w:before="60" w:after="60" w:line="240" w:lineRule="auto"/>
      <w:ind w:left="720"/>
      <w:jc w:val="both"/>
    </w:pPr>
    <w:rPr>
      <w:rFonts w:ascii="Times New Roman" w:eastAsia="Times New Roman" w:hAnsi="Times New Roman"/>
      <w:sz w:val="24"/>
      <w:lang w:eastAsia="en-AU"/>
    </w:rPr>
  </w:style>
  <w:style w:type="paragraph" w:styleId="NormalWeb">
    <w:name w:val="Normal (Web)"/>
    <w:basedOn w:val="Normal"/>
    <w:rsid w:val="009D71DA"/>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Standard">
    <w:name w:val="Standard"/>
    <w:basedOn w:val="Normal"/>
    <w:link w:val="StandardChar"/>
    <w:rsid w:val="009D71DA"/>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9D71DA"/>
    <w:rPr>
      <w:rFonts w:ascii="Cambria" w:eastAsia="Times New Roman" w:hAnsi="Cambria" w:cs="Times New Roman"/>
      <w:snapToGrid w:val="0"/>
      <w:kern w:val="16"/>
      <w:szCs w:val="24"/>
    </w:rPr>
  </w:style>
  <w:style w:type="paragraph" w:customStyle="1" w:styleId="Bulletpoint">
    <w:name w:val="Bullet point"/>
    <w:basedOn w:val="Standard"/>
    <w:rsid w:val="009D71DA"/>
    <w:pPr>
      <w:numPr>
        <w:numId w:val="28"/>
      </w:numPr>
      <w:tabs>
        <w:tab w:val="clear" w:pos="369"/>
        <w:tab w:val="num" w:pos="360"/>
        <w:tab w:val="left" w:pos="397"/>
      </w:tabs>
      <w:spacing w:after="180"/>
      <w:ind w:left="0" w:firstLine="0"/>
    </w:pPr>
  </w:style>
  <w:style w:type="paragraph" w:customStyle="1" w:styleId="AssessmentSubsection">
    <w:name w:val="Assessment Subsection"/>
    <w:basedOn w:val="Standard"/>
    <w:next w:val="Standard"/>
    <w:rsid w:val="00D357B1"/>
    <w:pPr>
      <w:keepNext/>
      <w:spacing w:after="110"/>
      <w:outlineLvl w:val="2"/>
    </w:pPr>
    <w:rPr>
      <w:b/>
      <w:i/>
    </w:rPr>
  </w:style>
  <w:style w:type="character" w:customStyle="1" w:styleId="st1">
    <w:name w:val="st1"/>
    <w:basedOn w:val="DefaultParagraphFont"/>
    <w:rsid w:val="00D357B1"/>
  </w:style>
  <w:style w:type="character" w:customStyle="1" w:styleId="highlight2">
    <w:name w:val="highlight2"/>
    <w:basedOn w:val="DefaultParagraphFont"/>
    <w:rsid w:val="00D357B1"/>
  </w:style>
  <w:style w:type="paragraph" w:customStyle="1" w:styleId="WhiteSpace">
    <w:name w:val="White Space"/>
    <w:basedOn w:val="Standard"/>
    <w:next w:val="Standard"/>
    <w:link w:val="WhiteSpaceChar"/>
    <w:rsid w:val="00F16B9D"/>
    <w:pPr>
      <w:spacing w:after="0"/>
    </w:pPr>
    <w:rPr>
      <w:sz w:val="16"/>
      <w:szCs w:val="16"/>
    </w:rPr>
  </w:style>
  <w:style w:type="character" w:customStyle="1" w:styleId="WhiteSpaceChar">
    <w:name w:val="White Space Char"/>
    <w:basedOn w:val="DefaultParagraphFont"/>
    <w:link w:val="WhiteSpace"/>
    <w:rsid w:val="00F16B9D"/>
    <w:rPr>
      <w:rFonts w:ascii="Cambria" w:eastAsia="Times New Roman" w:hAnsi="Cambria" w:cs="Times New Roman"/>
      <w:snapToGrid w:val="0"/>
      <w:kern w:val="16"/>
      <w:sz w:val="16"/>
      <w:szCs w:val="16"/>
    </w:rPr>
  </w:style>
  <w:style w:type="paragraph" w:customStyle="1" w:styleId="AssessmentSubsection2">
    <w:name w:val="Assessment Subsection 2"/>
    <w:basedOn w:val="Normal"/>
    <w:next w:val="Normal"/>
    <w:rsid w:val="00F16B9D"/>
    <w:pPr>
      <w:keepNext/>
      <w:spacing w:before="0" w:after="110" w:line="252" w:lineRule="auto"/>
      <w:outlineLvl w:val="3"/>
    </w:pPr>
    <w:rPr>
      <w:rFonts w:eastAsia="Times New Roman"/>
      <w:i/>
      <w:snapToGrid w:val="0"/>
      <w:kern w:val="16"/>
      <w:szCs w:val="24"/>
    </w:rPr>
  </w:style>
  <w:style w:type="character" w:customStyle="1" w:styleId="TabletextChar">
    <w:name w:val="Table text Char"/>
    <w:basedOn w:val="DefaultParagraphFont"/>
    <w:link w:val="Tabletext"/>
    <w:rsid w:val="00F16B9D"/>
    <w:rPr>
      <w:rFonts w:ascii="Cambria" w:eastAsia="Cambria" w:hAnsi="Cambria" w:cs="Times New Roman"/>
      <w:sz w:val="19"/>
    </w:rPr>
  </w:style>
  <w:style w:type="paragraph" w:customStyle="1" w:styleId="TableHeader">
    <w:name w:val="Table Header"/>
    <w:basedOn w:val="Normal"/>
    <w:rsid w:val="00F16B9D"/>
    <w:pPr>
      <w:keepNext/>
      <w:keepLines/>
      <w:widowControl w:val="0"/>
      <w:spacing w:before="60" w:after="60" w:line="200" w:lineRule="exact"/>
      <w:jc w:val="center"/>
    </w:pPr>
    <w:rPr>
      <w:rFonts w:eastAsia="MS Mincho" w:cstheme="minorBidi"/>
      <w:b/>
      <w:kern w:val="2"/>
      <w:sz w:val="19"/>
      <w:szCs w:val="19"/>
    </w:rPr>
  </w:style>
  <w:style w:type="paragraph" w:customStyle="1" w:styleId="TableCaption">
    <w:name w:val="Table Caption"/>
    <w:basedOn w:val="Standard"/>
    <w:next w:val="Standard"/>
    <w:link w:val="TableCaptionChar"/>
    <w:rsid w:val="00F16B9D"/>
    <w:pPr>
      <w:spacing w:before="60" w:after="440" w:line="215" w:lineRule="exact"/>
      <w:ind w:left="170"/>
    </w:pPr>
    <w:rPr>
      <w:sz w:val="18"/>
      <w:szCs w:val="19"/>
    </w:rPr>
  </w:style>
  <w:style w:type="character" w:customStyle="1" w:styleId="TableCaptionChar">
    <w:name w:val="Table Caption Char"/>
    <w:basedOn w:val="DefaultParagraphFont"/>
    <w:link w:val="TableCaption"/>
    <w:rsid w:val="00F16B9D"/>
    <w:rPr>
      <w:rFonts w:ascii="Cambria" w:eastAsia="Times New Roman" w:hAnsi="Cambria" w:cs="Times New Roman"/>
      <w:snapToGrid w:val="0"/>
      <w:kern w:val="16"/>
      <w:sz w:val="18"/>
      <w:szCs w:val="19"/>
    </w:rPr>
  </w:style>
  <w:style w:type="table" w:customStyle="1" w:styleId="TableGrid2">
    <w:name w:val="Table Grid2"/>
    <w:basedOn w:val="TableNormal"/>
    <w:next w:val="TableGrid"/>
    <w:uiPriority w:val="59"/>
    <w:rsid w:val="002C0FE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basedOn w:val="DefaultParagraphFont"/>
    <w:link w:val="Heading8"/>
    <w:uiPriority w:val="9"/>
    <w:semiHidden/>
    <w:rsid w:val="00BA2018"/>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9975">
      <w:bodyDiv w:val="1"/>
      <w:marLeft w:val="0"/>
      <w:marRight w:val="0"/>
      <w:marTop w:val="0"/>
      <w:marBottom w:val="0"/>
      <w:divBdr>
        <w:top w:val="none" w:sz="0" w:space="0" w:color="auto"/>
        <w:left w:val="none" w:sz="0" w:space="0" w:color="auto"/>
        <w:bottom w:val="none" w:sz="0" w:space="0" w:color="auto"/>
        <w:right w:val="none" w:sz="0" w:space="0" w:color="auto"/>
      </w:divBdr>
    </w:div>
    <w:div w:id="75714604">
      <w:bodyDiv w:val="1"/>
      <w:marLeft w:val="0"/>
      <w:marRight w:val="0"/>
      <w:marTop w:val="0"/>
      <w:marBottom w:val="0"/>
      <w:divBdr>
        <w:top w:val="none" w:sz="0" w:space="0" w:color="auto"/>
        <w:left w:val="none" w:sz="0" w:space="0" w:color="auto"/>
        <w:bottom w:val="none" w:sz="0" w:space="0" w:color="auto"/>
        <w:right w:val="none" w:sz="0" w:space="0" w:color="auto"/>
      </w:divBdr>
    </w:div>
    <w:div w:id="77947571">
      <w:bodyDiv w:val="1"/>
      <w:marLeft w:val="0"/>
      <w:marRight w:val="0"/>
      <w:marTop w:val="0"/>
      <w:marBottom w:val="0"/>
      <w:divBdr>
        <w:top w:val="none" w:sz="0" w:space="0" w:color="auto"/>
        <w:left w:val="none" w:sz="0" w:space="0" w:color="auto"/>
        <w:bottom w:val="none" w:sz="0" w:space="0" w:color="auto"/>
        <w:right w:val="none" w:sz="0" w:space="0" w:color="auto"/>
      </w:divBdr>
      <w:divsChild>
        <w:div w:id="879126785">
          <w:marLeft w:val="0"/>
          <w:marRight w:val="0"/>
          <w:marTop w:val="0"/>
          <w:marBottom w:val="0"/>
          <w:divBdr>
            <w:top w:val="none" w:sz="0" w:space="0" w:color="auto"/>
            <w:left w:val="none" w:sz="0" w:space="0" w:color="auto"/>
            <w:bottom w:val="none" w:sz="0" w:space="0" w:color="auto"/>
            <w:right w:val="none" w:sz="0" w:space="0" w:color="auto"/>
          </w:divBdr>
          <w:divsChild>
            <w:div w:id="1259484081">
              <w:marLeft w:val="0"/>
              <w:marRight w:val="0"/>
              <w:marTop w:val="0"/>
              <w:marBottom w:val="0"/>
              <w:divBdr>
                <w:top w:val="none" w:sz="0" w:space="0" w:color="auto"/>
                <w:left w:val="none" w:sz="0" w:space="0" w:color="auto"/>
                <w:bottom w:val="none" w:sz="0" w:space="0" w:color="auto"/>
                <w:right w:val="none" w:sz="0" w:space="0" w:color="auto"/>
              </w:divBdr>
              <w:divsChild>
                <w:div w:id="1647779544">
                  <w:marLeft w:val="0"/>
                  <w:marRight w:val="0"/>
                  <w:marTop w:val="0"/>
                  <w:marBottom w:val="0"/>
                  <w:divBdr>
                    <w:top w:val="none" w:sz="0" w:space="0" w:color="auto"/>
                    <w:left w:val="none" w:sz="0" w:space="0" w:color="auto"/>
                    <w:bottom w:val="none" w:sz="0" w:space="0" w:color="auto"/>
                    <w:right w:val="none" w:sz="0" w:space="0" w:color="auto"/>
                  </w:divBdr>
                  <w:divsChild>
                    <w:div w:id="990597442">
                      <w:marLeft w:val="0"/>
                      <w:marRight w:val="0"/>
                      <w:marTop w:val="0"/>
                      <w:marBottom w:val="0"/>
                      <w:divBdr>
                        <w:top w:val="none" w:sz="0" w:space="0" w:color="auto"/>
                        <w:left w:val="none" w:sz="0" w:space="0" w:color="auto"/>
                        <w:bottom w:val="none" w:sz="0" w:space="0" w:color="auto"/>
                        <w:right w:val="none" w:sz="0" w:space="0" w:color="auto"/>
                      </w:divBdr>
                      <w:divsChild>
                        <w:div w:id="56633962">
                          <w:marLeft w:val="0"/>
                          <w:marRight w:val="0"/>
                          <w:marTop w:val="0"/>
                          <w:marBottom w:val="0"/>
                          <w:divBdr>
                            <w:top w:val="none" w:sz="0" w:space="0" w:color="auto"/>
                            <w:left w:val="none" w:sz="0" w:space="0" w:color="auto"/>
                            <w:bottom w:val="none" w:sz="0" w:space="0" w:color="auto"/>
                            <w:right w:val="none" w:sz="0" w:space="0" w:color="auto"/>
                          </w:divBdr>
                          <w:divsChild>
                            <w:div w:id="7298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15543">
      <w:bodyDiv w:val="1"/>
      <w:marLeft w:val="0"/>
      <w:marRight w:val="0"/>
      <w:marTop w:val="0"/>
      <w:marBottom w:val="0"/>
      <w:divBdr>
        <w:top w:val="none" w:sz="0" w:space="0" w:color="auto"/>
        <w:left w:val="none" w:sz="0" w:space="0" w:color="auto"/>
        <w:bottom w:val="none" w:sz="0" w:space="0" w:color="auto"/>
        <w:right w:val="none" w:sz="0" w:space="0" w:color="auto"/>
      </w:divBdr>
    </w:div>
    <w:div w:id="178738220">
      <w:bodyDiv w:val="1"/>
      <w:marLeft w:val="0"/>
      <w:marRight w:val="0"/>
      <w:marTop w:val="0"/>
      <w:marBottom w:val="0"/>
      <w:divBdr>
        <w:top w:val="none" w:sz="0" w:space="0" w:color="auto"/>
        <w:left w:val="none" w:sz="0" w:space="0" w:color="auto"/>
        <w:bottom w:val="none" w:sz="0" w:space="0" w:color="auto"/>
        <w:right w:val="none" w:sz="0" w:space="0" w:color="auto"/>
      </w:divBdr>
      <w:divsChild>
        <w:div w:id="1184058313">
          <w:marLeft w:val="0"/>
          <w:marRight w:val="0"/>
          <w:marTop w:val="0"/>
          <w:marBottom w:val="0"/>
          <w:divBdr>
            <w:top w:val="none" w:sz="0" w:space="0" w:color="auto"/>
            <w:left w:val="none" w:sz="0" w:space="0" w:color="auto"/>
            <w:bottom w:val="none" w:sz="0" w:space="0" w:color="auto"/>
            <w:right w:val="none" w:sz="0" w:space="0" w:color="auto"/>
          </w:divBdr>
          <w:divsChild>
            <w:div w:id="1467044104">
              <w:marLeft w:val="0"/>
              <w:marRight w:val="0"/>
              <w:marTop w:val="0"/>
              <w:marBottom w:val="0"/>
              <w:divBdr>
                <w:top w:val="none" w:sz="0" w:space="0" w:color="auto"/>
                <w:left w:val="none" w:sz="0" w:space="0" w:color="auto"/>
                <w:bottom w:val="none" w:sz="0" w:space="0" w:color="auto"/>
                <w:right w:val="none" w:sz="0" w:space="0" w:color="auto"/>
              </w:divBdr>
              <w:divsChild>
                <w:div w:id="356277807">
                  <w:marLeft w:val="0"/>
                  <w:marRight w:val="0"/>
                  <w:marTop w:val="0"/>
                  <w:marBottom w:val="0"/>
                  <w:divBdr>
                    <w:top w:val="none" w:sz="0" w:space="0" w:color="auto"/>
                    <w:left w:val="none" w:sz="0" w:space="0" w:color="auto"/>
                    <w:bottom w:val="none" w:sz="0" w:space="0" w:color="auto"/>
                    <w:right w:val="none" w:sz="0" w:space="0" w:color="auto"/>
                  </w:divBdr>
                  <w:divsChild>
                    <w:div w:id="451486469">
                      <w:marLeft w:val="0"/>
                      <w:marRight w:val="0"/>
                      <w:marTop w:val="0"/>
                      <w:marBottom w:val="0"/>
                      <w:divBdr>
                        <w:top w:val="none" w:sz="0" w:space="0" w:color="auto"/>
                        <w:left w:val="none" w:sz="0" w:space="0" w:color="auto"/>
                        <w:bottom w:val="none" w:sz="0" w:space="0" w:color="auto"/>
                        <w:right w:val="none" w:sz="0" w:space="0" w:color="auto"/>
                      </w:divBdr>
                      <w:divsChild>
                        <w:div w:id="1823110943">
                          <w:marLeft w:val="0"/>
                          <w:marRight w:val="0"/>
                          <w:marTop w:val="0"/>
                          <w:marBottom w:val="0"/>
                          <w:divBdr>
                            <w:top w:val="none" w:sz="0" w:space="0" w:color="auto"/>
                            <w:left w:val="none" w:sz="0" w:space="0" w:color="auto"/>
                            <w:bottom w:val="none" w:sz="0" w:space="0" w:color="auto"/>
                            <w:right w:val="none" w:sz="0" w:space="0" w:color="auto"/>
                          </w:divBdr>
                          <w:divsChild>
                            <w:div w:id="1219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707455">
      <w:bodyDiv w:val="1"/>
      <w:marLeft w:val="0"/>
      <w:marRight w:val="0"/>
      <w:marTop w:val="0"/>
      <w:marBottom w:val="0"/>
      <w:divBdr>
        <w:top w:val="none" w:sz="0" w:space="0" w:color="auto"/>
        <w:left w:val="none" w:sz="0" w:space="0" w:color="auto"/>
        <w:bottom w:val="none" w:sz="0" w:space="0" w:color="auto"/>
        <w:right w:val="none" w:sz="0" w:space="0" w:color="auto"/>
      </w:divBdr>
    </w:div>
    <w:div w:id="403335302">
      <w:bodyDiv w:val="1"/>
      <w:marLeft w:val="0"/>
      <w:marRight w:val="0"/>
      <w:marTop w:val="0"/>
      <w:marBottom w:val="0"/>
      <w:divBdr>
        <w:top w:val="none" w:sz="0" w:space="0" w:color="auto"/>
        <w:left w:val="none" w:sz="0" w:space="0" w:color="auto"/>
        <w:bottom w:val="none" w:sz="0" w:space="0" w:color="auto"/>
        <w:right w:val="none" w:sz="0" w:space="0" w:color="auto"/>
      </w:divBdr>
    </w:div>
    <w:div w:id="456292606">
      <w:bodyDiv w:val="1"/>
      <w:marLeft w:val="0"/>
      <w:marRight w:val="0"/>
      <w:marTop w:val="0"/>
      <w:marBottom w:val="0"/>
      <w:divBdr>
        <w:top w:val="none" w:sz="0" w:space="0" w:color="auto"/>
        <w:left w:val="none" w:sz="0" w:space="0" w:color="auto"/>
        <w:bottom w:val="none" w:sz="0" w:space="0" w:color="auto"/>
        <w:right w:val="none" w:sz="0" w:space="0" w:color="auto"/>
      </w:divBdr>
    </w:div>
    <w:div w:id="511649132">
      <w:bodyDiv w:val="1"/>
      <w:marLeft w:val="0"/>
      <w:marRight w:val="0"/>
      <w:marTop w:val="0"/>
      <w:marBottom w:val="0"/>
      <w:divBdr>
        <w:top w:val="none" w:sz="0" w:space="0" w:color="auto"/>
        <w:left w:val="none" w:sz="0" w:space="0" w:color="auto"/>
        <w:bottom w:val="none" w:sz="0" w:space="0" w:color="auto"/>
        <w:right w:val="none" w:sz="0" w:space="0" w:color="auto"/>
      </w:divBdr>
    </w:div>
    <w:div w:id="673994181">
      <w:bodyDiv w:val="1"/>
      <w:marLeft w:val="0"/>
      <w:marRight w:val="0"/>
      <w:marTop w:val="0"/>
      <w:marBottom w:val="0"/>
      <w:divBdr>
        <w:top w:val="none" w:sz="0" w:space="0" w:color="auto"/>
        <w:left w:val="none" w:sz="0" w:space="0" w:color="auto"/>
        <w:bottom w:val="none" w:sz="0" w:space="0" w:color="auto"/>
        <w:right w:val="none" w:sz="0" w:space="0" w:color="auto"/>
      </w:divBdr>
    </w:div>
    <w:div w:id="684402253">
      <w:bodyDiv w:val="1"/>
      <w:marLeft w:val="0"/>
      <w:marRight w:val="0"/>
      <w:marTop w:val="0"/>
      <w:marBottom w:val="0"/>
      <w:divBdr>
        <w:top w:val="none" w:sz="0" w:space="0" w:color="auto"/>
        <w:left w:val="none" w:sz="0" w:space="0" w:color="auto"/>
        <w:bottom w:val="none" w:sz="0" w:space="0" w:color="auto"/>
        <w:right w:val="none" w:sz="0" w:space="0" w:color="auto"/>
      </w:divBdr>
    </w:div>
    <w:div w:id="727992970">
      <w:bodyDiv w:val="1"/>
      <w:marLeft w:val="0"/>
      <w:marRight w:val="0"/>
      <w:marTop w:val="0"/>
      <w:marBottom w:val="0"/>
      <w:divBdr>
        <w:top w:val="none" w:sz="0" w:space="0" w:color="auto"/>
        <w:left w:val="none" w:sz="0" w:space="0" w:color="auto"/>
        <w:bottom w:val="none" w:sz="0" w:space="0" w:color="auto"/>
        <w:right w:val="none" w:sz="0" w:space="0" w:color="auto"/>
      </w:divBdr>
    </w:div>
    <w:div w:id="759838410">
      <w:bodyDiv w:val="1"/>
      <w:marLeft w:val="0"/>
      <w:marRight w:val="0"/>
      <w:marTop w:val="0"/>
      <w:marBottom w:val="0"/>
      <w:divBdr>
        <w:top w:val="none" w:sz="0" w:space="0" w:color="auto"/>
        <w:left w:val="none" w:sz="0" w:space="0" w:color="auto"/>
        <w:bottom w:val="none" w:sz="0" w:space="0" w:color="auto"/>
        <w:right w:val="none" w:sz="0" w:space="0" w:color="auto"/>
      </w:divBdr>
    </w:div>
    <w:div w:id="1024403353">
      <w:bodyDiv w:val="1"/>
      <w:marLeft w:val="0"/>
      <w:marRight w:val="0"/>
      <w:marTop w:val="0"/>
      <w:marBottom w:val="0"/>
      <w:divBdr>
        <w:top w:val="none" w:sz="0" w:space="0" w:color="auto"/>
        <w:left w:val="none" w:sz="0" w:space="0" w:color="auto"/>
        <w:bottom w:val="none" w:sz="0" w:space="0" w:color="auto"/>
        <w:right w:val="none" w:sz="0" w:space="0" w:color="auto"/>
      </w:divBdr>
    </w:div>
    <w:div w:id="1054039390">
      <w:bodyDiv w:val="1"/>
      <w:marLeft w:val="0"/>
      <w:marRight w:val="0"/>
      <w:marTop w:val="0"/>
      <w:marBottom w:val="0"/>
      <w:divBdr>
        <w:top w:val="none" w:sz="0" w:space="0" w:color="auto"/>
        <w:left w:val="none" w:sz="0" w:space="0" w:color="auto"/>
        <w:bottom w:val="none" w:sz="0" w:space="0" w:color="auto"/>
        <w:right w:val="none" w:sz="0" w:space="0" w:color="auto"/>
      </w:divBdr>
    </w:div>
    <w:div w:id="1200631086">
      <w:bodyDiv w:val="1"/>
      <w:marLeft w:val="0"/>
      <w:marRight w:val="0"/>
      <w:marTop w:val="0"/>
      <w:marBottom w:val="0"/>
      <w:divBdr>
        <w:top w:val="none" w:sz="0" w:space="0" w:color="auto"/>
        <w:left w:val="none" w:sz="0" w:space="0" w:color="auto"/>
        <w:bottom w:val="none" w:sz="0" w:space="0" w:color="auto"/>
        <w:right w:val="none" w:sz="0" w:space="0" w:color="auto"/>
      </w:divBdr>
    </w:div>
    <w:div w:id="1269464514">
      <w:bodyDiv w:val="1"/>
      <w:marLeft w:val="0"/>
      <w:marRight w:val="0"/>
      <w:marTop w:val="0"/>
      <w:marBottom w:val="0"/>
      <w:divBdr>
        <w:top w:val="none" w:sz="0" w:space="0" w:color="auto"/>
        <w:left w:val="none" w:sz="0" w:space="0" w:color="auto"/>
        <w:bottom w:val="none" w:sz="0" w:space="0" w:color="auto"/>
        <w:right w:val="none" w:sz="0" w:space="0" w:color="auto"/>
      </w:divBdr>
    </w:div>
    <w:div w:id="1278607902">
      <w:bodyDiv w:val="1"/>
      <w:marLeft w:val="0"/>
      <w:marRight w:val="0"/>
      <w:marTop w:val="0"/>
      <w:marBottom w:val="0"/>
      <w:divBdr>
        <w:top w:val="none" w:sz="0" w:space="0" w:color="auto"/>
        <w:left w:val="none" w:sz="0" w:space="0" w:color="auto"/>
        <w:bottom w:val="none" w:sz="0" w:space="0" w:color="auto"/>
        <w:right w:val="none" w:sz="0" w:space="0" w:color="auto"/>
      </w:divBdr>
    </w:div>
    <w:div w:id="1567951579">
      <w:bodyDiv w:val="1"/>
      <w:marLeft w:val="0"/>
      <w:marRight w:val="0"/>
      <w:marTop w:val="0"/>
      <w:marBottom w:val="0"/>
      <w:divBdr>
        <w:top w:val="none" w:sz="0" w:space="0" w:color="auto"/>
        <w:left w:val="none" w:sz="0" w:space="0" w:color="auto"/>
        <w:bottom w:val="none" w:sz="0" w:space="0" w:color="auto"/>
        <w:right w:val="none" w:sz="0" w:space="0" w:color="auto"/>
      </w:divBdr>
    </w:div>
    <w:div w:id="1631089985">
      <w:bodyDiv w:val="1"/>
      <w:marLeft w:val="0"/>
      <w:marRight w:val="0"/>
      <w:marTop w:val="0"/>
      <w:marBottom w:val="0"/>
      <w:divBdr>
        <w:top w:val="none" w:sz="0" w:space="0" w:color="auto"/>
        <w:left w:val="none" w:sz="0" w:space="0" w:color="auto"/>
        <w:bottom w:val="none" w:sz="0" w:space="0" w:color="auto"/>
        <w:right w:val="none" w:sz="0" w:space="0" w:color="auto"/>
      </w:divBdr>
    </w:div>
    <w:div w:id="1678851731">
      <w:bodyDiv w:val="1"/>
      <w:marLeft w:val="0"/>
      <w:marRight w:val="0"/>
      <w:marTop w:val="0"/>
      <w:marBottom w:val="0"/>
      <w:divBdr>
        <w:top w:val="none" w:sz="0" w:space="0" w:color="auto"/>
        <w:left w:val="none" w:sz="0" w:space="0" w:color="auto"/>
        <w:bottom w:val="none" w:sz="0" w:space="0" w:color="auto"/>
        <w:right w:val="none" w:sz="0" w:space="0" w:color="auto"/>
      </w:divBdr>
    </w:div>
    <w:div w:id="206749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ga.copyright@tga.gov.au" TargetMode="External"/><Relationship Id="rId18" Type="http://schemas.openxmlformats.org/officeDocument/2006/relationships/image" Target="media/image3.png"/><Relationship Id="rId26" Type="http://schemas.openxmlformats.org/officeDocument/2006/relationships/hyperlink" Target="mailto:info@tga.gov.au" TargetMode="External"/><Relationship Id="rId3" Type="http://schemas.openxmlformats.org/officeDocument/2006/relationships/customXml" Target="../customXml/item3.xml"/><Relationship Id="rId21" Type="http://schemas.openxmlformats.org/officeDocument/2006/relationships/hyperlink" Target="https://www.tga.gov.au/product-information-pi"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www.tga.gov.au" TargetMode="External"/><Relationship Id="rId17" Type="http://schemas.openxmlformats.org/officeDocument/2006/relationships/hyperlink" Target="https://www.tga.gov.au/product-information-pi"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5.xml"/><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3.xml"/><Relationship Id="rId27" Type="http://schemas.openxmlformats.org/officeDocument/2006/relationships/hyperlink" Target="https://www.tga.gov.au" TargetMode="Externa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ilel\AppData\Local\Hewlett-Packard\HP%20TRIM\TEMP\HPTRIM.6028\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7B82199ECB48469B875285DAC540A9" ma:contentTypeVersion="0" ma:contentTypeDescription="Create a new document." ma:contentTypeScope="" ma:versionID="d4f0a4f4f5393e03eb35fbe46c553e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EB857-1916-4C16-B3AC-B66B6CFD9A25}">
  <ds:schemaRefs>
    <ds:schemaRef ds:uri="http://schemas.microsoft.com/sharepoint/v3/contenttype/forms"/>
  </ds:schemaRefs>
</ds:datastoreItem>
</file>

<file path=customXml/itemProps2.xml><?xml version="1.0" encoding="utf-8"?>
<ds:datastoreItem xmlns:ds="http://schemas.openxmlformats.org/officeDocument/2006/customXml" ds:itemID="{501BE494-75CD-4D34-845B-BEA2B898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2F68DC-B6B8-42DE-9A09-B298EEC195F5}">
  <ds:schemaRefs>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s>
</ds:datastoreItem>
</file>

<file path=customXml/itemProps4.xml><?xml version="1.0" encoding="utf-8"?>
<ds:datastoreItem xmlns:ds="http://schemas.openxmlformats.org/officeDocument/2006/customXml" ds:itemID="{E37EBDDF-9FA4-45D8-A93A-08DA646D6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67</TotalTime>
  <Pages>67</Pages>
  <Words>25904</Words>
  <Characters>145844</Characters>
  <Application>Microsoft Office Word</Application>
  <DocSecurity>0</DocSecurity>
  <Lines>3472</Lines>
  <Paragraphs>1519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Australian public assessment for...</vt:lpstr>
      <vt:lpstr>Australian public assessment for...</vt:lpstr>
    </vt:vector>
  </TitlesOfParts>
  <Company>Department of Health Therapeutic Goods Administration</Company>
  <LinksUpToDate>false</LinksUpToDate>
  <CharactersWithSpaces>170229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Ivermectin</dc:title>
  <dc:subject>Prescription medicines</dc:subject>
  <dc:creator>Therapeutic Goods Administration</dc:creator>
  <cp:keywords>AusPARs</cp:keywords>
  <cp:lastModifiedBy>Schilg, Cassie</cp:lastModifiedBy>
  <cp:revision>9</cp:revision>
  <cp:lastPrinted>2015-11-27T12:34:00Z</cp:lastPrinted>
  <dcterms:created xsi:type="dcterms:W3CDTF">2015-12-08T22:09:00Z</dcterms:created>
  <dcterms:modified xsi:type="dcterms:W3CDTF">2016-01-04T03:27:00Z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0x010100097B82199ECB48469B875285DAC540A9</vt:lpwstr>
  </property>
</Properties>
</file>