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FF" w:rsidRPr="001F197D" w:rsidRDefault="00481CFF" w:rsidP="000B5C8A">
      <w:pPr>
        <w:pStyle w:val="Heading1"/>
        <w:rPr>
          <w:lang w:val="en-AU"/>
        </w:rPr>
      </w:pPr>
      <w:r w:rsidRPr="001F197D">
        <w:rPr>
          <w:lang w:val="en-AU"/>
        </w:rPr>
        <w:t xml:space="preserve">PRODUCT </w:t>
      </w:r>
      <w:r w:rsidRPr="000B5C8A">
        <w:t>INFORMATION</w:t>
      </w:r>
    </w:p>
    <w:p w:rsidR="00047CD5" w:rsidRDefault="00047CD5" w:rsidP="00481CFF">
      <w:pPr>
        <w:tabs>
          <w:tab w:val="left" w:pos="7806"/>
        </w:tabs>
        <w:rPr>
          <w:b/>
          <w:lang w:val="en-AU"/>
        </w:rPr>
      </w:pPr>
    </w:p>
    <w:p w:rsidR="00712E56" w:rsidRDefault="00712E56" w:rsidP="00481CFF">
      <w:pPr>
        <w:tabs>
          <w:tab w:val="left" w:pos="7806"/>
        </w:tabs>
        <w:rPr>
          <w:b/>
          <w:lang w:val="en-AU"/>
        </w:rPr>
      </w:pPr>
    </w:p>
    <w:p w:rsidR="00481CFF" w:rsidRPr="0005113A" w:rsidRDefault="00481CFF" w:rsidP="0005113A">
      <w:pPr>
        <w:pStyle w:val="Heading2"/>
      </w:pPr>
      <w:r w:rsidRPr="0005113A">
        <w:t>NAME OF THE MEDICINE</w:t>
      </w:r>
    </w:p>
    <w:p w:rsidR="00481CFF" w:rsidRPr="001F197D" w:rsidDel="00E06181" w:rsidRDefault="00481CFF" w:rsidP="00481CFF">
      <w:pPr>
        <w:rPr>
          <w:lang w:val="en-AU"/>
        </w:rPr>
      </w:pPr>
      <w:r w:rsidRPr="00B518F1" w:rsidDel="00E06181">
        <w:rPr>
          <w:lang w:val="en-AU"/>
        </w:rPr>
        <w:t>SOOLANTRA</w:t>
      </w:r>
      <w:r w:rsidRPr="00B518F1" w:rsidDel="00E06181">
        <w:rPr>
          <w:vertAlign w:val="superscript"/>
          <w:lang w:val="en-AU"/>
        </w:rPr>
        <w:t>®</w:t>
      </w:r>
      <w:r w:rsidRPr="00B518F1" w:rsidDel="00E06181">
        <w:rPr>
          <w:lang w:val="en-AU"/>
        </w:rPr>
        <w:t xml:space="preserve"> </w:t>
      </w:r>
      <w:r w:rsidR="00FA590D" w:rsidRPr="00B518F1" w:rsidDel="00E06181">
        <w:rPr>
          <w:lang w:val="en-AU"/>
        </w:rPr>
        <w:t>(</w:t>
      </w:r>
      <w:r w:rsidRPr="00B518F1" w:rsidDel="00E06181">
        <w:rPr>
          <w:lang w:val="en-AU"/>
        </w:rPr>
        <w:t>ivermectin</w:t>
      </w:r>
      <w:r w:rsidR="00FA590D" w:rsidRPr="00B518F1" w:rsidDel="00E06181">
        <w:rPr>
          <w:lang w:val="en-AU"/>
        </w:rPr>
        <w:t>)</w:t>
      </w:r>
      <w:r w:rsidRPr="00B518F1" w:rsidDel="00E06181">
        <w:rPr>
          <w:lang w:val="en-AU"/>
        </w:rPr>
        <w:t xml:space="preserve"> 10mg/g</w:t>
      </w:r>
      <w:r w:rsidR="00FA590D" w:rsidRPr="00B518F1" w:rsidDel="00E06181">
        <w:rPr>
          <w:lang w:val="en-AU"/>
        </w:rPr>
        <w:t xml:space="preserve"> cream</w:t>
      </w:r>
    </w:p>
    <w:p w:rsidR="00481CFF" w:rsidRPr="001F197D" w:rsidRDefault="00481CFF" w:rsidP="00481CFF">
      <w:pPr>
        <w:tabs>
          <w:tab w:val="left" w:pos="7806"/>
        </w:tabs>
        <w:rPr>
          <w:lang w:val="en-AU"/>
        </w:rPr>
      </w:pPr>
    </w:p>
    <w:p w:rsidR="00481CFF" w:rsidRDefault="00481CFF" w:rsidP="00481CFF">
      <w:pPr>
        <w:tabs>
          <w:tab w:val="left" w:pos="7806"/>
        </w:tabs>
        <w:rPr>
          <w:lang w:val="en-AU"/>
        </w:rPr>
      </w:pPr>
      <w:r w:rsidRPr="001F197D">
        <w:rPr>
          <w:b/>
          <w:lang w:val="en-AU"/>
        </w:rPr>
        <w:t>Australian Approved Name (AAN):</w:t>
      </w:r>
      <w:r w:rsidRPr="001F197D">
        <w:rPr>
          <w:lang w:val="en-AU"/>
        </w:rPr>
        <w:t xml:space="preserve"> </w:t>
      </w:r>
      <w:r>
        <w:rPr>
          <w:lang w:val="en-AU"/>
        </w:rPr>
        <w:t>ivermectin</w:t>
      </w:r>
    </w:p>
    <w:p w:rsidR="00481CFF" w:rsidRPr="001F197D" w:rsidRDefault="00481CFF" w:rsidP="00481CFF">
      <w:pPr>
        <w:tabs>
          <w:tab w:val="left" w:pos="7806"/>
        </w:tabs>
        <w:rPr>
          <w:lang w:val="en-AU"/>
        </w:rPr>
      </w:pPr>
    </w:p>
    <w:p w:rsidR="00CC355E" w:rsidRDefault="00481CFF" w:rsidP="00CC355E">
      <w:pPr>
        <w:autoSpaceDE w:val="0"/>
        <w:autoSpaceDN w:val="0"/>
        <w:adjustRightInd w:val="0"/>
      </w:pPr>
      <w:r w:rsidRPr="001F197D">
        <w:rPr>
          <w:b/>
          <w:lang w:val="en-AU"/>
        </w:rPr>
        <w:t>Chemical Names:</w:t>
      </w:r>
      <w:r w:rsidRPr="001F197D">
        <w:rPr>
          <w:lang w:val="en-AU"/>
        </w:rPr>
        <w:t xml:space="preserve"> </w:t>
      </w:r>
      <w:r w:rsidR="00CC355E">
        <w:rPr>
          <w:rStyle w:val="s"/>
        </w:rPr>
        <w:t>5-</w:t>
      </w:r>
      <w:r w:rsidR="00CC355E">
        <w:rPr>
          <w:rStyle w:val="s"/>
          <w:i/>
          <w:iCs/>
        </w:rPr>
        <w:t>O</w:t>
      </w:r>
      <w:r w:rsidR="00CC355E">
        <w:rPr>
          <w:rStyle w:val="s"/>
        </w:rPr>
        <w:t>-demethyl-22</w:t>
      </w:r>
      <w:proofErr w:type="gramStart"/>
      <w:r w:rsidR="00CC355E">
        <w:rPr>
          <w:rStyle w:val="s"/>
        </w:rPr>
        <w:t>,23</w:t>
      </w:r>
      <w:proofErr w:type="gramEnd"/>
      <w:r w:rsidR="00CC355E">
        <w:rPr>
          <w:rStyle w:val="s"/>
        </w:rPr>
        <w:t>-dihydroavermectin A</w:t>
      </w:r>
      <w:r w:rsidR="00CC355E">
        <w:rPr>
          <w:rStyle w:val="s"/>
          <w:vertAlign w:val="subscript"/>
        </w:rPr>
        <w:t>1a</w:t>
      </w:r>
      <w:r w:rsidRPr="001F197D">
        <w:rPr>
          <w:lang w:val="en-AU"/>
        </w:rPr>
        <w:t xml:space="preserve">; </w:t>
      </w:r>
      <w:r w:rsidR="00CC355E">
        <w:rPr>
          <w:rStyle w:val="s"/>
        </w:rPr>
        <w:t>5-</w:t>
      </w:r>
      <w:r w:rsidR="00CC355E">
        <w:rPr>
          <w:rStyle w:val="s"/>
          <w:i/>
          <w:iCs/>
        </w:rPr>
        <w:t>O</w:t>
      </w:r>
      <w:r w:rsidR="00CC355E">
        <w:rPr>
          <w:rStyle w:val="s"/>
        </w:rPr>
        <w:t>-demethyl-25-de(1-methylpropyl)-25-(1-methylethyl)-22,23-dihydroavermectin A</w:t>
      </w:r>
      <w:r w:rsidR="00CC355E">
        <w:rPr>
          <w:rStyle w:val="s"/>
          <w:vertAlign w:val="subscript"/>
        </w:rPr>
        <w:t>1a</w:t>
      </w:r>
    </w:p>
    <w:p w:rsidR="00481CFF" w:rsidRPr="00597B4B" w:rsidRDefault="00481CFF" w:rsidP="00CC355E">
      <w:pPr>
        <w:autoSpaceDE w:val="0"/>
        <w:autoSpaceDN w:val="0"/>
        <w:adjustRightInd w:val="0"/>
        <w:rPr>
          <w:rStyle w:val="s"/>
        </w:rPr>
      </w:pPr>
    </w:p>
    <w:p w:rsidR="00A13E49" w:rsidRPr="00597B4B" w:rsidRDefault="00A13E49" w:rsidP="00481CFF">
      <w:pPr>
        <w:tabs>
          <w:tab w:val="left" w:pos="7806"/>
        </w:tabs>
        <w:rPr>
          <w:rStyle w:val="s"/>
        </w:rPr>
      </w:pPr>
    </w:p>
    <w:p w:rsidR="00481CFF" w:rsidRDefault="00481CFF" w:rsidP="00481CFF">
      <w:pPr>
        <w:tabs>
          <w:tab w:val="left" w:pos="7806"/>
        </w:tabs>
        <w:rPr>
          <w:lang w:val="en-AU"/>
        </w:rPr>
      </w:pPr>
      <w:r w:rsidRPr="001F197D">
        <w:rPr>
          <w:b/>
          <w:lang w:val="en-AU"/>
        </w:rPr>
        <w:t>Molecular Formula</w:t>
      </w:r>
      <w:r w:rsidR="004F3DC6">
        <w:rPr>
          <w:b/>
          <w:lang w:val="en-AU"/>
        </w:rPr>
        <w:t xml:space="preserve"> and </w:t>
      </w:r>
      <w:r w:rsidR="004F3DC6" w:rsidRPr="001F197D">
        <w:rPr>
          <w:b/>
          <w:lang w:val="en-AU"/>
        </w:rPr>
        <w:t>Molecular Weight</w:t>
      </w:r>
      <w:r w:rsidRPr="001F197D">
        <w:rPr>
          <w:b/>
          <w:lang w:val="en-AU"/>
        </w:rPr>
        <w:t>:</w:t>
      </w:r>
      <w:r w:rsidRPr="001F197D">
        <w:rPr>
          <w:lang w:val="en-AU"/>
        </w:rPr>
        <w:t xml:space="preserve"> </w:t>
      </w:r>
    </w:p>
    <w:p w:rsidR="004F3DC6" w:rsidRPr="00411148" w:rsidRDefault="004F3DC6" w:rsidP="004F3DC6">
      <w:pPr>
        <w:pStyle w:val="Default"/>
        <w:rPr>
          <w:rFonts w:ascii="Times New Roman" w:eastAsia="ヒラギノ角ゴ Pro W3" w:hAnsi="Times New Roman" w:cs="Times New Roman"/>
        </w:rPr>
      </w:pPr>
      <w:r w:rsidRPr="00411148">
        <w:rPr>
          <w:rFonts w:ascii="Times New Roman" w:eastAsia="ヒラギノ角ゴ Pro W3" w:hAnsi="Times New Roman" w:cs="Times New Roman"/>
        </w:rPr>
        <w:t>22, 23-dihydroavermectin B</w:t>
      </w:r>
      <w:r w:rsidRPr="00411148">
        <w:rPr>
          <w:rFonts w:ascii="Times New Roman" w:eastAsia="ヒラギノ角ゴ Pro W3" w:hAnsi="Times New Roman" w:cs="Times New Roman"/>
          <w:vertAlign w:val="subscript"/>
        </w:rPr>
        <w:t>1a</w:t>
      </w:r>
      <w:r w:rsidRPr="00411148">
        <w:rPr>
          <w:rFonts w:ascii="Times New Roman" w:eastAsia="ヒラギノ角ゴ Pro W3" w:hAnsi="Times New Roman" w:cs="Times New Roman"/>
        </w:rPr>
        <w:t xml:space="preserve"> </w:t>
      </w:r>
      <w:r w:rsidR="00411148">
        <w:rPr>
          <w:rFonts w:ascii="Times New Roman" w:eastAsia="ヒラギノ角ゴ Pro W3" w:hAnsi="Times New Roman" w:cs="Times New Roman"/>
        </w:rPr>
        <w:tab/>
      </w:r>
      <w:r w:rsidR="00411148">
        <w:rPr>
          <w:rFonts w:ascii="Times New Roman" w:eastAsia="ヒラギノ角ゴ Pro W3" w:hAnsi="Times New Roman" w:cs="Times New Roman"/>
        </w:rPr>
        <w:tab/>
      </w:r>
      <w:r w:rsidRPr="00411148">
        <w:rPr>
          <w:rFonts w:ascii="Times New Roman" w:eastAsia="ヒラギノ角ゴ Pro W3" w:hAnsi="Times New Roman" w:cs="Times New Roman"/>
        </w:rPr>
        <w:t>C</w:t>
      </w:r>
      <w:r w:rsidRPr="00411148">
        <w:rPr>
          <w:rFonts w:ascii="Times New Roman" w:eastAsia="ヒラギノ角ゴ Pro W3" w:hAnsi="Times New Roman" w:cs="Times New Roman"/>
          <w:vertAlign w:val="subscript"/>
        </w:rPr>
        <w:t>48</w:t>
      </w:r>
      <w:r w:rsidRPr="00411148">
        <w:rPr>
          <w:rFonts w:ascii="Times New Roman" w:eastAsia="ヒラギノ角ゴ Pro W3" w:hAnsi="Times New Roman" w:cs="Times New Roman"/>
        </w:rPr>
        <w:t>H</w:t>
      </w:r>
      <w:r w:rsidRPr="00C96340">
        <w:rPr>
          <w:rFonts w:ascii="Times New Roman" w:eastAsia="ヒラギノ角ゴ Pro W3" w:hAnsi="Times New Roman" w:cs="Times New Roman"/>
          <w:vertAlign w:val="subscript"/>
        </w:rPr>
        <w:t>74</w:t>
      </w:r>
      <w:r w:rsidRPr="00411148">
        <w:rPr>
          <w:rFonts w:ascii="Times New Roman" w:eastAsia="ヒラギノ角ゴ Pro W3" w:hAnsi="Times New Roman" w:cs="Times New Roman"/>
        </w:rPr>
        <w:t>O</w:t>
      </w:r>
      <w:r w:rsidRPr="00C96340">
        <w:rPr>
          <w:rFonts w:ascii="Times New Roman" w:eastAsia="ヒラギノ角ゴ Pro W3" w:hAnsi="Times New Roman" w:cs="Times New Roman"/>
          <w:vertAlign w:val="subscript"/>
        </w:rPr>
        <w:t>14</w:t>
      </w:r>
      <w:r w:rsidRPr="00411148">
        <w:rPr>
          <w:rFonts w:ascii="Times New Roman" w:eastAsia="ヒラギノ角ゴ Pro W3" w:hAnsi="Times New Roman" w:cs="Times New Roman"/>
        </w:rPr>
        <w:t xml:space="preserve"> (R=C</w:t>
      </w:r>
      <w:r w:rsidRPr="00C96340">
        <w:rPr>
          <w:rFonts w:ascii="Times New Roman" w:eastAsia="ヒラギノ角ゴ Pro W3" w:hAnsi="Times New Roman" w:cs="Times New Roman"/>
          <w:vertAlign w:val="subscript"/>
        </w:rPr>
        <w:t>2</w:t>
      </w:r>
      <w:r w:rsidRPr="00411148">
        <w:rPr>
          <w:rFonts w:ascii="Times New Roman" w:eastAsia="ヒラギノ角ゴ Pro W3" w:hAnsi="Times New Roman" w:cs="Times New Roman"/>
        </w:rPr>
        <w:t>H</w:t>
      </w:r>
      <w:r w:rsidRPr="00C96340">
        <w:rPr>
          <w:rFonts w:ascii="Times New Roman" w:eastAsia="ヒラギノ角ゴ Pro W3" w:hAnsi="Times New Roman" w:cs="Times New Roman"/>
          <w:vertAlign w:val="subscript"/>
        </w:rPr>
        <w:t>5</w:t>
      </w:r>
      <w:r w:rsidRPr="00411148">
        <w:rPr>
          <w:rFonts w:ascii="Times New Roman" w:eastAsia="ヒラギノ角ゴ Pro W3" w:hAnsi="Times New Roman" w:cs="Times New Roman"/>
        </w:rPr>
        <w:t xml:space="preserve">) 875.10 </w:t>
      </w:r>
    </w:p>
    <w:p w:rsidR="004F3DC6" w:rsidRDefault="004F3DC6" w:rsidP="00411148">
      <w:pPr>
        <w:tabs>
          <w:tab w:val="left" w:pos="3402"/>
        </w:tabs>
        <w:rPr>
          <w:lang w:val="en-AU"/>
        </w:rPr>
      </w:pPr>
      <w:r w:rsidRPr="00411148">
        <w:rPr>
          <w:lang w:val="en-AU"/>
        </w:rPr>
        <w:t>22, 23-dihydroavermectin B</w:t>
      </w:r>
      <w:r w:rsidRPr="00411148">
        <w:rPr>
          <w:vertAlign w:val="subscript"/>
          <w:lang w:val="en-AU"/>
        </w:rPr>
        <w:t>1b</w:t>
      </w:r>
      <w:r w:rsidRPr="00411148">
        <w:rPr>
          <w:lang w:val="en-AU"/>
        </w:rPr>
        <w:t xml:space="preserve"> </w:t>
      </w:r>
      <w:r w:rsidR="00411148">
        <w:rPr>
          <w:lang w:val="en-AU"/>
        </w:rPr>
        <w:tab/>
      </w:r>
      <w:r w:rsidR="00411148">
        <w:rPr>
          <w:lang w:val="en-AU"/>
        </w:rPr>
        <w:tab/>
      </w:r>
      <w:r w:rsidR="00411148">
        <w:rPr>
          <w:lang w:val="en-AU"/>
        </w:rPr>
        <w:tab/>
      </w:r>
      <w:r w:rsidRPr="00411148">
        <w:rPr>
          <w:lang w:val="en-AU"/>
        </w:rPr>
        <w:t>C</w:t>
      </w:r>
      <w:r w:rsidRPr="003B2597">
        <w:rPr>
          <w:vertAlign w:val="subscript"/>
          <w:lang w:val="en-AU"/>
        </w:rPr>
        <w:t>47</w:t>
      </w:r>
      <w:r w:rsidRPr="00411148">
        <w:rPr>
          <w:lang w:val="en-AU"/>
        </w:rPr>
        <w:t>H</w:t>
      </w:r>
      <w:r w:rsidRPr="003B2597">
        <w:rPr>
          <w:vertAlign w:val="subscript"/>
          <w:lang w:val="en-AU"/>
        </w:rPr>
        <w:t>72</w:t>
      </w:r>
      <w:r w:rsidRPr="00411148">
        <w:rPr>
          <w:lang w:val="en-AU"/>
        </w:rPr>
        <w:t>O</w:t>
      </w:r>
      <w:r w:rsidRPr="003B2597">
        <w:rPr>
          <w:vertAlign w:val="subscript"/>
          <w:lang w:val="en-AU"/>
        </w:rPr>
        <w:t>14</w:t>
      </w:r>
      <w:r w:rsidRPr="00411148">
        <w:rPr>
          <w:lang w:val="en-AU"/>
        </w:rPr>
        <w:t xml:space="preserve"> (R=CH</w:t>
      </w:r>
      <w:r w:rsidRPr="003B2597">
        <w:rPr>
          <w:vertAlign w:val="subscript"/>
          <w:lang w:val="en-AU"/>
        </w:rPr>
        <w:t>3</w:t>
      </w:r>
      <w:r w:rsidRPr="00411148">
        <w:rPr>
          <w:lang w:val="en-AU"/>
        </w:rPr>
        <w:t>) 861.07</w:t>
      </w:r>
    </w:p>
    <w:p w:rsidR="00411148" w:rsidRDefault="00411148" w:rsidP="00481CFF">
      <w:pPr>
        <w:tabs>
          <w:tab w:val="left" w:pos="7806"/>
        </w:tabs>
        <w:rPr>
          <w:b/>
          <w:lang w:val="en-AU"/>
        </w:rPr>
      </w:pPr>
    </w:p>
    <w:p w:rsidR="006B7055" w:rsidRDefault="00411148" w:rsidP="00481CFF">
      <w:pPr>
        <w:tabs>
          <w:tab w:val="left" w:pos="7806"/>
        </w:tabs>
        <w:rPr>
          <w:lang w:val="en-AU"/>
        </w:rPr>
      </w:pPr>
      <w:r w:rsidRPr="001F197D">
        <w:rPr>
          <w:b/>
          <w:lang w:val="en-AU"/>
        </w:rPr>
        <w:t>CAS Number:</w:t>
      </w:r>
      <w:r w:rsidRPr="001F197D">
        <w:rPr>
          <w:lang w:val="en-AU"/>
        </w:rPr>
        <w:t xml:space="preserve"> </w:t>
      </w:r>
    </w:p>
    <w:p w:rsidR="004F3DC6" w:rsidRDefault="00411148" w:rsidP="00481CFF">
      <w:pPr>
        <w:tabs>
          <w:tab w:val="left" w:pos="7806"/>
        </w:tabs>
        <w:rPr>
          <w:lang w:val="en-AU"/>
        </w:rPr>
      </w:pPr>
      <w:r>
        <w:rPr>
          <w:lang w:val="en-AU"/>
        </w:rPr>
        <w:t>70288-86-7</w:t>
      </w:r>
      <w:r w:rsidR="006B7055">
        <w:rPr>
          <w:lang w:val="en-AU"/>
        </w:rPr>
        <w:t xml:space="preserve"> (ivermectin)</w:t>
      </w:r>
    </w:p>
    <w:p w:rsidR="006B7055" w:rsidRDefault="00997F9B" w:rsidP="00481CFF">
      <w:pPr>
        <w:tabs>
          <w:tab w:val="left" w:pos="7806"/>
        </w:tabs>
        <w:rPr>
          <w:lang w:val="en-AU"/>
        </w:rPr>
      </w:pPr>
      <w:r>
        <w:t>71827-03-7</w:t>
      </w:r>
      <w:r w:rsidDel="00997F9B">
        <w:rPr>
          <w:lang w:val="en-AU"/>
        </w:rPr>
        <w:t xml:space="preserve"> </w:t>
      </w:r>
      <w:r w:rsidR="006B7055">
        <w:rPr>
          <w:lang w:val="en-AU"/>
        </w:rPr>
        <w:t>(ivermectin B</w:t>
      </w:r>
      <w:r w:rsidR="006B7055" w:rsidRPr="00997F9B">
        <w:rPr>
          <w:vertAlign w:val="subscript"/>
          <w:lang w:val="en-AU"/>
        </w:rPr>
        <w:t>1a</w:t>
      </w:r>
      <w:r w:rsidR="006B7055">
        <w:rPr>
          <w:lang w:val="en-AU"/>
        </w:rPr>
        <w:t>)</w:t>
      </w:r>
    </w:p>
    <w:p w:rsidR="006B7055" w:rsidRDefault="00997F9B" w:rsidP="00481CFF">
      <w:pPr>
        <w:tabs>
          <w:tab w:val="left" w:pos="7806"/>
        </w:tabs>
        <w:rPr>
          <w:lang w:val="en-AU"/>
        </w:rPr>
      </w:pPr>
      <w:r>
        <w:t>70209-81-3</w:t>
      </w:r>
      <w:r w:rsidDel="00997F9B">
        <w:rPr>
          <w:lang w:val="en-AU"/>
        </w:rPr>
        <w:t xml:space="preserve"> </w:t>
      </w:r>
      <w:r w:rsidR="006B7055">
        <w:rPr>
          <w:lang w:val="en-AU"/>
        </w:rPr>
        <w:t>(ivermectin B</w:t>
      </w:r>
      <w:r w:rsidR="006B7055" w:rsidRPr="00997F9B">
        <w:rPr>
          <w:vertAlign w:val="subscript"/>
          <w:lang w:val="en-AU"/>
        </w:rPr>
        <w:t>1b</w:t>
      </w:r>
      <w:r w:rsidR="006B7055">
        <w:rPr>
          <w:lang w:val="en-AU"/>
        </w:rPr>
        <w:t>)</w:t>
      </w:r>
    </w:p>
    <w:p w:rsidR="004F3DC6" w:rsidRPr="001F197D" w:rsidRDefault="004F3DC6" w:rsidP="00481CFF">
      <w:pPr>
        <w:tabs>
          <w:tab w:val="left" w:pos="7806"/>
        </w:tabs>
        <w:rPr>
          <w:lang w:val="en-AU"/>
        </w:rPr>
      </w:pPr>
    </w:p>
    <w:p w:rsidR="00A021A8" w:rsidRDefault="00481CFF" w:rsidP="00481CFF">
      <w:pPr>
        <w:rPr>
          <w:lang w:val="en-AU"/>
        </w:rPr>
      </w:pPr>
      <w:r w:rsidRPr="001F197D">
        <w:rPr>
          <w:b/>
          <w:lang w:val="en-AU"/>
        </w:rPr>
        <w:t>Structural Formula:</w:t>
      </w:r>
      <w:r w:rsidRPr="001F197D">
        <w:rPr>
          <w:lang w:val="en-AU"/>
        </w:rPr>
        <w:t xml:space="preserve"> </w:t>
      </w:r>
      <w:r w:rsidR="00411148">
        <w:rPr>
          <w:lang w:val="en-AU"/>
        </w:rPr>
        <w:t>ivermectin</w:t>
      </w:r>
    </w:p>
    <w:p w:rsidR="00481CFF" w:rsidRDefault="00481CFF" w:rsidP="00481CFF">
      <w:pPr>
        <w:rPr>
          <w:lang w:val="en-AU"/>
        </w:rPr>
      </w:pPr>
    </w:p>
    <w:p w:rsidR="006C4A8D" w:rsidRDefault="006C4A8D" w:rsidP="006C4A8D">
      <w:pPr>
        <w:jc w:val="center"/>
        <w:rPr>
          <w:lang w:val="en-AU"/>
        </w:rPr>
      </w:pPr>
      <w:r>
        <w:rPr>
          <w:noProof/>
          <w:lang w:val="en-AU" w:eastAsia="en-AU"/>
        </w:rPr>
        <w:drawing>
          <wp:inline distT="0" distB="0" distL="0" distR="0" wp14:anchorId="7CA53FC9" wp14:editId="6A8CEF1D">
            <wp:extent cx="3590925" cy="2619375"/>
            <wp:effectExtent l="0" t="0" r="9525" b="9525"/>
            <wp:docPr id="1"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0925" cy="2619375"/>
                    </a:xfrm>
                    <a:prstGeom prst="rect">
                      <a:avLst/>
                    </a:prstGeom>
                    <a:noFill/>
                    <a:ln>
                      <a:noFill/>
                    </a:ln>
                  </pic:spPr>
                </pic:pic>
              </a:graphicData>
            </a:graphic>
          </wp:inline>
        </w:drawing>
      </w:r>
    </w:p>
    <w:p w:rsidR="006C4A8D" w:rsidRPr="00396CD7" w:rsidRDefault="006C4A8D" w:rsidP="004A2E4E">
      <w:pPr>
        <w:rPr>
          <w:lang w:val="en-AU"/>
        </w:rPr>
      </w:pPr>
    </w:p>
    <w:p w:rsidR="00481CFF" w:rsidRPr="00396CD7" w:rsidRDefault="00481CFF" w:rsidP="004A2E4E">
      <w:pPr>
        <w:rPr>
          <w:highlight w:val="yellow"/>
          <w:lang w:val="en-AU"/>
        </w:rPr>
      </w:pPr>
    </w:p>
    <w:p w:rsidR="004F3DC6" w:rsidRPr="00396CD7" w:rsidRDefault="004F3DC6" w:rsidP="004A2E4E">
      <w:pPr>
        <w:rPr>
          <w:highlight w:val="yellow"/>
          <w:lang w:val="en-AU" w:eastAsia="en-AU"/>
        </w:rPr>
      </w:pPr>
      <w:r w:rsidRPr="00396CD7">
        <w:t>Ivermectin contains a minimum of 90% of 22, 23-dihydroavermectin B1a (where the R group is ethyl) and a maximum of 10% of 22, 23-dihydroavermectin B1b (the R group is methyl).</w:t>
      </w:r>
    </w:p>
    <w:p w:rsidR="004F3DC6" w:rsidRDefault="004F3DC6" w:rsidP="004A2E4E">
      <w:pPr>
        <w:rPr>
          <w:highlight w:val="yellow"/>
          <w:lang w:val="en-AU" w:eastAsia="en-AU"/>
        </w:rPr>
      </w:pPr>
    </w:p>
    <w:p w:rsidR="003B2597" w:rsidRPr="004F3DC6" w:rsidRDefault="003B2597" w:rsidP="004A2E4E">
      <w:pPr>
        <w:rPr>
          <w:highlight w:val="yellow"/>
          <w:lang w:val="en-AU" w:eastAsia="en-AU"/>
        </w:rPr>
      </w:pPr>
    </w:p>
    <w:p w:rsidR="00481CFF" w:rsidRPr="001F197D" w:rsidRDefault="00481CFF" w:rsidP="0005113A">
      <w:pPr>
        <w:pStyle w:val="Heading2"/>
        <w:rPr>
          <w:lang w:val="en-AU"/>
        </w:rPr>
      </w:pPr>
      <w:r w:rsidRPr="001F197D">
        <w:rPr>
          <w:lang w:val="en-AU"/>
        </w:rPr>
        <w:t>DESCRIPTION</w:t>
      </w:r>
    </w:p>
    <w:p w:rsidR="00F77DC0" w:rsidRPr="00032974" w:rsidRDefault="00F77DC0" w:rsidP="004A2E4E">
      <w:r w:rsidRPr="00FF4CF1">
        <w:t xml:space="preserve">Ivermectin is a white or yellowish-white crystalline powder. It is freely soluble in methylene chloride, soluble in ethanol (96%) and practically insoluble in water. It presents a specific </w:t>
      </w:r>
      <w:r w:rsidRPr="00FF4CF1">
        <w:lastRenderedPageBreak/>
        <w:t xml:space="preserve">optical rotation between -20 </w:t>
      </w:r>
      <w:r>
        <w:t xml:space="preserve">to </w:t>
      </w:r>
      <w:r w:rsidRPr="00FF4CF1">
        <w:t>-17 measured at 20ºC</w:t>
      </w:r>
      <w:r>
        <w:t xml:space="preserve">. </w:t>
      </w:r>
      <w:r w:rsidRPr="00032974">
        <w:t>It is a semi</w:t>
      </w:r>
      <w:r w:rsidRPr="00032974">
        <w:noBreakHyphen/>
        <w:t xml:space="preserve">synthetic product derived from fermentation of the bacterium </w:t>
      </w:r>
      <w:r w:rsidRPr="00032974">
        <w:rPr>
          <w:i/>
          <w:iCs/>
        </w:rPr>
        <w:t xml:space="preserve">Streptomyces </w:t>
      </w:r>
      <w:proofErr w:type="spellStart"/>
      <w:r w:rsidRPr="00032974">
        <w:rPr>
          <w:i/>
          <w:iCs/>
        </w:rPr>
        <w:t>avermitilis</w:t>
      </w:r>
      <w:proofErr w:type="spellEnd"/>
      <w:r w:rsidRPr="00032974">
        <w:rPr>
          <w:i/>
          <w:iCs/>
        </w:rPr>
        <w:t>.</w:t>
      </w:r>
    </w:p>
    <w:p w:rsidR="00F77DC0" w:rsidRPr="001F197D" w:rsidRDefault="00F77DC0" w:rsidP="00481CFF">
      <w:pPr>
        <w:rPr>
          <w:lang w:val="en-AU"/>
        </w:rPr>
      </w:pPr>
    </w:p>
    <w:p w:rsidR="0082049D" w:rsidRPr="005045B0" w:rsidRDefault="00FA590D" w:rsidP="004A2E4E">
      <w:pPr>
        <w:rPr>
          <w:noProof/>
        </w:rPr>
      </w:pPr>
      <w:r>
        <w:rPr>
          <w:lang w:val="en-AU"/>
        </w:rPr>
        <w:t>SOOLANTRA</w:t>
      </w:r>
      <w:r w:rsidR="00481CFF" w:rsidRPr="001F197D">
        <w:rPr>
          <w:lang w:val="en-AU"/>
        </w:rPr>
        <w:t xml:space="preserve"> is a white to </w:t>
      </w:r>
      <w:r w:rsidRPr="005045B0">
        <w:rPr>
          <w:noProof/>
        </w:rPr>
        <w:t>pale yellow hydrophilic cream</w:t>
      </w:r>
      <w:r w:rsidR="00481CFF" w:rsidRPr="001F197D">
        <w:rPr>
          <w:lang w:val="en-AU"/>
        </w:rPr>
        <w:t xml:space="preserve">. One gram of </w:t>
      </w:r>
      <w:r>
        <w:rPr>
          <w:lang w:val="en-AU"/>
        </w:rPr>
        <w:t>SOOLANTRA</w:t>
      </w:r>
      <w:r w:rsidR="00481CFF" w:rsidRPr="001F197D">
        <w:rPr>
          <w:lang w:val="en-AU"/>
        </w:rPr>
        <w:t xml:space="preserve"> </w:t>
      </w:r>
      <w:r>
        <w:rPr>
          <w:lang w:val="en-AU"/>
        </w:rPr>
        <w:t>cream</w:t>
      </w:r>
      <w:r w:rsidR="00481CFF" w:rsidRPr="001F197D">
        <w:rPr>
          <w:lang w:val="en-AU"/>
        </w:rPr>
        <w:t xml:space="preserve"> c</w:t>
      </w:r>
      <w:r>
        <w:rPr>
          <w:lang w:val="en-AU"/>
        </w:rPr>
        <w:t>ontains 10</w:t>
      </w:r>
      <w:r w:rsidR="00481CFF" w:rsidRPr="001F197D">
        <w:rPr>
          <w:lang w:val="en-AU"/>
        </w:rPr>
        <w:t xml:space="preserve">mg </w:t>
      </w:r>
      <w:r>
        <w:rPr>
          <w:lang w:val="en-AU"/>
        </w:rPr>
        <w:t>(or 1.0</w:t>
      </w:r>
      <w:r w:rsidR="00481CFF" w:rsidRPr="001F197D">
        <w:rPr>
          <w:lang w:val="en-AU"/>
        </w:rPr>
        <w:t>%</w:t>
      </w:r>
      <w:r w:rsidR="006B7055">
        <w:rPr>
          <w:lang w:val="en-AU"/>
        </w:rPr>
        <w:t xml:space="preserve"> w/w</w:t>
      </w:r>
      <w:r w:rsidR="00481CFF" w:rsidRPr="001F197D">
        <w:rPr>
          <w:lang w:val="en-AU"/>
        </w:rPr>
        <w:t xml:space="preserve">) of </w:t>
      </w:r>
      <w:r>
        <w:rPr>
          <w:lang w:val="en-AU"/>
        </w:rPr>
        <w:t>ivermectin</w:t>
      </w:r>
      <w:r w:rsidR="00C7380F">
        <w:rPr>
          <w:lang w:val="en-AU"/>
        </w:rPr>
        <w:t>. SOOLANTRA also contains</w:t>
      </w:r>
      <w:r w:rsidR="00C7380F" w:rsidRPr="00C7380F">
        <w:rPr>
          <w:noProof/>
        </w:rPr>
        <w:t xml:space="preserve"> the </w:t>
      </w:r>
      <w:r w:rsidR="00DA587E">
        <w:rPr>
          <w:noProof/>
        </w:rPr>
        <w:t>excipients</w:t>
      </w:r>
      <w:r w:rsidRPr="00C7380F">
        <w:rPr>
          <w:noProof/>
        </w:rPr>
        <w:t xml:space="preserve"> </w:t>
      </w:r>
      <w:r w:rsidR="00DA587E">
        <w:rPr>
          <w:noProof/>
        </w:rPr>
        <w:t xml:space="preserve">glycerol, </w:t>
      </w:r>
      <w:r w:rsidR="00DA587E">
        <w:t>i</w:t>
      </w:r>
      <w:r w:rsidR="0082049D" w:rsidRPr="005045B0">
        <w:t xml:space="preserve">sopropyl </w:t>
      </w:r>
      <w:proofErr w:type="spellStart"/>
      <w:r w:rsidR="0082049D" w:rsidRPr="005045B0">
        <w:t>palmitate</w:t>
      </w:r>
      <w:proofErr w:type="spellEnd"/>
      <w:r w:rsidR="00DA587E">
        <w:t>,</w:t>
      </w:r>
      <w:r w:rsidR="00DA587E">
        <w:rPr>
          <w:noProof/>
        </w:rPr>
        <w:t xml:space="preserve"> </w:t>
      </w:r>
      <w:proofErr w:type="spellStart"/>
      <w:r w:rsidR="00DA587E">
        <w:t>c</w:t>
      </w:r>
      <w:r w:rsidR="0082049D" w:rsidRPr="005045B0">
        <w:t>arbomer</w:t>
      </w:r>
      <w:proofErr w:type="spellEnd"/>
      <w:r w:rsidR="002975D8">
        <w:t xml:space="preserve"> copolymer (type B)</w:t>
      </w:r>
      <w:r w:rsidR="00DA587E">
        <w:t>,</w:t>
      </w:r>
      <w:r w:rsidR="00DA587E">
        <w:rPr>
          <w:noProof/>
        </w:rPr>
        <w:t xml:space="preserve"> </w:t>
      </w:r>
      <w:proofErr w:type="spellStart"/>
      <w:r w:rsidR="00DA587E">
        <w:t>d</w:t>
      </w:r>
      <w:r w:rsidR="0082049D">
        <w:t>imet</w:t>
      </w:r>
      <w:r w:rsidR="00DA587E">
        <w:t>hicone</w:t>
      </w:r>
      <w:proofErr w:type="spellEnd"/>
      <w:r w:rsidR="006B7055">
        <w:t xml:space="preserve"> </w:t>
      </w:r>
      <w:r w:rsidR="00DA587E">
        <w:t>20, d</w:t>
      </w:r>
      <w:r w:rsidR="0082049D" w:rsidRPr="005045B0">
        <w:t xml:space="preserve">isodium </w:t>
      </w:r>
      <w:proofErr w:type="spellStart"/>
      <w:r w:rsidR="0082049D" w:rsidRPr="005045B0">
        <w:t>edetate</w:t>
      </w:r>
      <w:proofErr w:type="spellEnd"/>
      <w:r w:rsidR="00DA587E">
        <w:rPr>
          <w:noProof/>
        </w:rPr>
        <w:t xml:space="preserve">, </w:t>
      </w:r>
      <w:r w:rsidR="00DA587E">
        <w:t>c</w:t>
      </w:r>
      <w:r w:rsidR="0082049D" w:rsidRPr="005045B0">
        <w:t>itric acid monohydrate</w:t>
      </w:r>
      <w:r w:rsidR="00DA587E">
        <w:rPr>
          <w:noProof/>
        </w:rPr>
        <w:t xml:space="preserve">, </w:t>
      </w:r>
      <w:proofErr w:type="spellStart"/>
      <w:r w:rsidR="00DA587E">
        <w:t>c</w:t>
      </w:r>
      <w:r w:rsidR="0082049D" w:rsidRPr="005045B0">
        <w:t>etyl</w:t>
      </w:r>
      <w:proofErr w:type="spellEnd"/>
      <w:r w:rsidR="0082049D" w:rsidRPr="005045B0">
        <w:t xml:space="preserve"> alcohol</w:t>
      </w:r>
      <w:r w:rsidR="00DA587E">
        <w:t>,</w:t>
      </w:r>
      <w:r w:rsidR="0082049D" w:rsidRPr="005045B0">
        <w:t xml:space="preserve"> </w:t>
      </w:r>
      <w:proofErr w:type="spellStart"/>
      <w:r w:rsidR="00DA587E">
        <w:t>s</w:t>
      </w:r>
      <w:r w:rsidR="0082049D" w:rsidRPr="005045B0">
        <w:t>tearyl</w:t>
      </w:r>
      <w:proofErr w:type="spellEnd"/>
      <w:r w:rsidR="0082049D" w:rsidRPr="005045B0">
        <w:t xml:space="preserve"> alcohol</w:t>
      </w:r>
      <w:r w:rsidR="00DA587E">
        <w:t xml:space="preserve">, ceteareth-20, </w:t>
      </w:r>
      <w:proofErr w:type="spellStart"/>
      <w:r w:rsidR="00DA587E">
        <w:t>s</w:t>
      </w:r>
      <w:r w:rsidR="0082049D" w:rsidRPr="005045B0">
        <w:t>orbitan</w:t>
      </w:r>
      <w:proofErr w:type="spellEnd"/>
      <w:r w:rsidR="0082049D" w:rsidRPr="005045B0">
        <w:t xml:space="preserve"> stearate</w:t>
      </w:r>
      <w:r w:rsidR="00DA587E">
        <w:rPr>
          <w:noProof/>
        </w:rPr>
        <w:t xml:space="preserve">, </w:t>
      </w:r>
      <w:r w:rsidR="00DA587E">
        <w:t>m</w:t>
      </w:r>
      <w:r w:rsidR="0082049D" w:rsidRPr="005045B0">
        <w:t xml:space="preserve">ethyl </w:t>
      </w:r>
      <w:proofErr w:type="spellStart"/>
      <w:r w:rsidR="0082049D" w:rsidRPr="005045B0">
        <w:t>hydroxybenzoate</w:t>
      </w:r>
      <w:proofErr w:type="spellEnd"/>
      <w:r w:rsidR="0082049D" w:rsidRPr="005045B0">
        <w:t xml:space="preserve"> (E218)</w:t>
      </w:r>
      <w:r w:rsidR="00DA587E">
        <w:rPr>
          <w:noProof/>
        </w:rPr>
        <w:t xml:space="preserve">, </w:t>
      </w:r>
      <w:r w:rsidR="00DA587E">
        <w:t xml:space="preserve">propyl </w:t>
      </w:r>
      <w:proofErr w:type="spellStart"/>
      <w:r w:rsidR="0082049D" w:rsidRPr="005045B0">
        <w:t>hydroxybenzoate</w:t>
      </w:r>
      <w:proofErr w:type="spellEnd"/>
      <w:r w:rsidR="0082049D" w:rsidRPr="005045B0">
        <w:t xml:space="preserve"> (E217)</w:t>
      </w:r>
      <w:r w:rsidR="00DA587E">
        <w:rPr>
          <w:noProof/>
        </w:rPr>
        <w:t xml:space="preserve">, </w:t>
      </w:r>
      <w:proofErr w:type="spellStart"/>
      <w:r w:rsidR="00DA587E">
        <w:t>p</w:t>
      </w:r>
      <w:r w:rsidR="0082049D" w:rsidRPr="005045B0">
        <w:t>henoxyethanol</w:t>
      </w:r>
      <w:proofErr w:type="spellEnd"/>
      <w:r w:rsidR="00DA587E">
        <w:rPr>
          <w:noProof/>
        </w:rPr>
        <w:t xml:space="preserve">, </w:t>
      </w:r>
      <w:r w:rsidR="00DA587E">
        <w:t>p</w:t>
      </w:r>
      <w:r w:rsidR="0082049D" w:rsidRPr="005045B0">
        <w:t>ropylene glycol</w:t>
      </w:r>
      <w:r w:rsidR="00DA587E">
        <w:rPr>
          <w:noProof/>
        </w:rPr>
        <w:t xml:space="preserve">, </w:t>
      </w:r>
      <w:proofErr w:type="spellStart"/>
      <w:r w:rsidR="00DA587E">
        <w:t>o</w:t>
      </w:r>
      <w:r w:rsidR="0082049D" w:rsidRPr="005045B0">
        <w:t>leyl</w:t>
      </w:r>
      <w:proofErr w:type="spellEnd"/>
      <w:r w:rsidR="0082049D" w:rsidRPr="005045B0">
        <w:t xml:space="preserve"> alcohol</w:t>
      </w:r>
      <w:r w:rsidR="00DA587E">
        <w:rPr>
          <w:noProof/>
        </w:rPr>
        <w:t xml:space="preserve">, </w:t>
      </w:r>
      <w:r w:rsidR="00DA587E">
        <w:t>s</w:t>
      </w:r>
      <w:r w:rsidR="0082049D" w:rsidRPr="005045B0">
        <w:t>odium hydroxide</w:t>
      </w:r>
      <w:r w:rsidR="00DA587E">
        <w:t xml:space="preserve"> </w:t>
      </w:r>
      <w:r w:rsidR="00DA587E">
        <w:rPr>
          <w:noProof/>
        </w:rPr>
        <w:t xml:space="preserve">and </w:t>
      </w:r>
      <w:r w:rsidR="00DA587E">
        <w:t>p</w:t>
      </w:r>
      <w:r w:rsidR="0082049D" w:rsidRPr="005045B0">
        <w:t>urified water</w:t>
      </w:r>
      <w:r w:rsidR="00DA587E">
        <w:t>.</w:t>
      </w:r>
    </w:p>
    <w:p w:rsidR="00481CFF" w:rsidRDefault="00481CFF" w:rsidP="00481CFF">
      <w:pPr>
        <w:rPr>
          <w:highlight w:val="yellow"/>
          <w:lang w:val="en-AU"/>
        </w:rPr>
      </w:pPr>
    </w:p>
    <w:p w:rsidR="00095EE3" w:rsidRPr="001F197D" w:rsidRDefault="00095EE3" w:rsidP="00481CFF">
      <w:pPr>
        <w:rPr>
          <w:highlight w:val="yellow"/>
          <w:lang w:val="en-AU"/>
        </w:rPr>
      </w:pPr>
    </w:p>
    <w:p w:rsidR="00481CFF" w:rsidRPr="00396CD7" w:rsidRDefault="00396CD7" w:rsidP="004A2E4E">
      <w:pPr>
        <w:pStyle w:val="Heading2"/>
        <w:rPr>
          <w:lang w:val="en-AU"/>
        </w:rPr>
      </w:pPr>
      <w:r>
        <w:rPr>
          <w:lang w:val="en-AU"/>
        </w:rPr>
        <w:t>PHARMACOLOGY</w:t>
      </w:r>
    </w:p>
    <w:p w:rsidR="00481CFF" w:rsidRPr="001F197D" w:rsidRDefault="0005113A" w:rsidP="004A2E4E">
      <w:pPr>
        <w:pStyle w:val="Heading3"/>
        <w:rPr>
          <w:lang w:val="en-AU"/>
        </w:rPr>
      </w:pPr>
      <w:r>
        <w:rPr>
          <w:lang w:val="en-AU"/>
        </w:rPr>
        <w:t>Mechanism of action</w:t>
      </w:r>
    </w:p>
    <w:p w:rsidR="0005113A" w:rsidRDefault="009141BD" w:rsidP="004A2E4E">
      <w:pPr>
        <w:rPr>
          <w:noProof/>
        </w:rPr>
      </w:pPr>
      <w:r>
        <w:rPr>
          <w:noProof/>
        </w:rPr>
        <w:t xml:space="preserve">The mechanism of action of SOOLANTRA cream in treating rosacea lesions is unknown. </w:t>
      </w:r>
      <w:r w:rsidR="0005113A" w:rsidRPr="005045B0">
        <w:rPr>
          <w:noProof/>
        </w:rPr>
        <w:t>Ivermectin is a member of the avermectin class. Avermectin has been reported to exert anti-inflammatory effects by inhibiting lipopolysaccharide-induced production of inflammatory cytokines. Anti-inflammatory properties of cutaneous ivermectin have also been observed in animal models of skin inflammation.  Ivermectin also causes death of parasites, primarily through binding selectively and with high affinity to glutamate-gated chloride channels, which occur in invertebrate nerve and muscle cells. The mechanism of action of S</w:t>
      </w:r>
      <w:r w:rsidR="0005113A">
        <w:rPr>
          <w:noProof/>
        </w:rPr>
        <w:t>OOLANTRA</w:t>
      </w:r>
      <w:r w:rsidR="0005113A" w:rsidRPr="005045B0">
        <w:rPr>
          <w:noProof/>
        </w:rPr>
        <w:t xml:space="preserve"> in treating the inflammatory lesions of rosacea may be linked to anti-inflammatory effects of ivermectin as well as causing the death of Demodex mites that have been reported to be a fact</w:t>
      </w:r>
      <w:r w:rsidR="0005113A">
        <w:rPr>
          <w:noProof/>
        </w:rPr>
        <w:t>or in inflammation of the skin.</w:t>
      </w:r>
    </w:p>
    <w:p w:rsidR="0005113A" w:rsidRPr="0005113A" w:rsidRDefault="0005113A" w:rsidP="0005113A">
      <w:pPr>
        <w:autoSpaceDE w:val="0"/>
        <w:autoSpaceDN w:val="0"/>
        <w:adjustRightInd w:val="0"/>
        <w:rPr>
          <w:noProof/>
          <w:szCs w:val="22"/>
        </w:rPr>
      </w:pPr>
    </w:p>
    <w:p w:rsidR="0005113A" w:rsidRPr="001F197D" w:rsidRDefault="0005113A" w:rsidP="00481CFF">
      <w:pPr>
        <w:rPr>
          <w:spacing w:val="-3"/>
          <w:lang w:val="en-AU"/>
        </w:rPr>
      </w:pPr>
    </w:p>
    <w:p w:rsidR="0005113A" w:rsidRPr="00396CD7" w:rsidRDefault="00396CD7" w:rsidP="004A2E4E">
      <w:pPr>
        <w:pStyle w:val="Heading3"/>
        <w:rPr>
          <w:lang w:val="en-AU"/>
        </w:rPr>
      </w:pPr>
      <w:r>
        <w:rPr>
          <w:lang w:val="en-AU"/>
        </w:rPr>
        <w:t>Pharmacokinetics</w:t>
      </w:r>
    </w:p>
    <w:p w:rsidR="0005113A" w:rsidRPr="005045B0" w:rsidRDefault="0005113A" w:rsidP="004A2E4E">
      <w:pPr>
        <w:pStyle w:val="Heading4"/>
      </w:pPr>
      <w:r w:rsidRPr="005045B0">
        <w:t>Absorption</w:t>
      </w:r>
    </w:p>
    <w:p w:rsidR="0005113A" w:rsidRPr="005045B0" w:rsidRDefault="0005113A" w:rsidP="004A2E4E">
      <w:pPr>
        <w:rPr>
          <w:u w:val="single"/>
        </w:rPr>
      </w:pPr>
      <w:r w:rsidRPr="005045B0">
        <w:t xml:space="preserve">The absorption of ivermectin from </w:t>
      </w:r>
      <w:r w:rsidRPr="00AA020E">
        <w:rPr>
          <w:caps/>
        </w:rPr>
        <w:t>Soolantra</w:t>
      </w:r>
      <w:r w:rsidRPr="005045B0">
        <w:t xml:space="preserve"> was evaluated in a clinical trial in adult </w:t>
      </w:r>
      <w:r w:rsidR="004F28A7">
        <w:t>participants</w:t>
      </w:r>
      <w:r w:rsidRPr="005045B0">
        <w:t xml:space="preserve"> with severe papulopustular rosacea under maximal use conditions. At steady state (after 2 weeks of treatment), the highest mean (± standard deviation) plasma concentrations of</w:t>
      </w:r>
      <w:r>
        <w:t xml:space="preserve"> ivermectin peaked within 10 ±8 </w:t>
      </w:r>
      <w:r w:rsidRPr="005045B0">
        <w:t>hours post-dose (</w:t>
      </w:r>
      <w:proofErr w:type="spellStart"/>
      <w:r w:rsidRPr="005045B0">
        <w:t>C</w:t>
      </w:r>
      <w:r w:rsidRPr="005045B0">
        <w:rPr>
          <w:vertAlign w:val="subscript"/>
        </w:rPr>
        <w:t>max</w:t>
      </w:r>
      <w:proofErr w:type="spellEnd"/>
      <w:r w:rsidRPr="005045B0">
        <w:t>: 2.10 ± 1.04 ng/mL range: 0.69 - 4.02 ng/mL) and the highest mean (± standard deviation) AUC</w:t>
      </w:r>
      <w:r w:rsidRPr="005045B0">
        <w:rPr>
          <w:vertAlign w:val="subscript"/>
        </w:rPr>
        <w:t>0-24hr</w:t>
      </w:r>
      <w:r w:rsidRPr="005045B0">
        <w:t xml:space="preserve"> was 36.14 ± 15.56 ng.hr/mL (range: 13.69-75.16 ng.hr/mL). In addition, systemic exposure assessment in longer treatment durations (Phase 3 studies) evidenced that there was no plasma accumulation of ivermectin over the 52-week treatment period.</w:t>
      </w:r>
      <w:r w:rsidR="00E31F06" w:rsidRPr="005045B0" w:rsidDel="00E31F06">
        <w:t xml:space="preserve"> </w:t>
      </w:r>
    </w:p>
    <w:p w:rsidR="0005113A" w:rsidRPr="005045B0" w:rsidRDefault="0005113A" w:rsidP="00632086">
      <w:pPr>
        <w:rPr>
          <w:szCs w:val="22"/>
          <w:u w:val="single"/>
        </w:rPr>
      </w:pPr>
    </w:p>
    <w:p w:rsidR="0005113A" w:rsidRPr="005045B0" w:rsidRDefault="0005113A" w:rsidP="004A2E4E">
      <w:pPr>
        <w:pStyle w:val="Heading4"/>
      </w:pPr>
      <w:r w:rsidRPr="005045B0">
        <w:t>Distribution</w:t>
      </w:r>
    </w:p>
    <w:p w:rsidR="0005113A" w:rsidRPr="005045B0" w:rsidRDefault="0005113A" w:rsidP="004A2E4E">
      <w:r w:rsidRPr="005045B0">
        <w:t xml:space="preserve">An </w:t>
      </w:r>
      <w:r w:rsidRPr="0005113A">
        <w:rPr>
          <w:i/>
        </w:rPr>
        <w:t>in vitro</w:t>
      </w:r>
      <w:r w:rsidRPr="005045B0">
        <w:t xml:space="preserve"> study demonstrated that ivermectin is greater than 99% bound to plasma proteins and is bound primarily to human serum albumin. No significant binding of ivermectin to erythrocytes was observed.</w:t>
      </w:r>
      <w:r w:rsidR="009141BD">
        <w:t xml:space="preserve"> </w:t>
      </w:r>
      <w:r w:rsidR="009141BD" w:rsidRPr="009141BD">
        <w:t>Ivermectin distribution into the brain, retina, and testis and distribution across the placenta is limited by ABC B1 (p-glycoprotein) efflux transporters. Pharmacokinetic interactions at these efflux transporters may increase the distribution of ivermectin into these tissues.</w:t>
      </w:r>
    </w:p>
    <w:p w:rsidR="0005113A" w:rsidRPr="005045B0" w:rsidRDefault="0005113A" w:rsidP="0005113A">
      <w:pPr>
        <w:numPr>
          <w:ilvl w:val="12"/>
          <w:numId w:val="0"/>
        </w:numPr>
        <w:ind w:right="-2"/>
        <w:rPr>
          <w:szCs w:val="22"/>
          <w:u w:val="single"/>
        </w:rPr>
      </w:pPr>
    </w:p>
    <w:p w:rsidR="0005113A" w:rsidRPr="005045B0" w:rsidRDefault="0005113A" w:rsidP="004A2E4E">
      <w:pPr>
        <w:pStyle w:val="Heading4"/>
      </w:pPr>
      <w:r w:rsidRPr="005045B0">
        <w:t>Biotransformation</w:t>
      </w:r>
    </w:p>
    <w:p w:rsidR="0005113A" w:rsidRPr="005045B0" w:rsidRDefault="0005113A" w:rsidP="004A2E4E">
      <w:r w:rsidRPr="007F633D">
        <w:rPr>
          <w:i/>
        </w:rPr>
        <w:t>In vitro</w:t>
      </w:r>
      <w:r w:rsidRPr="005045B0">
        <w:t xml:space="preserve"> studies using human hepatic </w:t>
      </w:r>
      <w:proofErr w:type="spellStart"/>
      <w:r w:rsidRPr="005045B0">
        <w:t>microsomes</w:t>
      </w:r>
      <w:proofErr w:type="spellEnd"/>
      <w:r w:rsidRPr="005045B0">
        <w:t xml:space="preserve"> and recombinant CYP450 enzymes have shown that ivermectin is primarily metabolized by CYP3A4.  </w:t>
      </w:r>
    </w:p>
    <w:p w:rsidR="0005113A" w:rsidRDefault="0005113A" w:rsidP="004A2E4E">
      <w:r w:rsidRPr="007F633D">
        <w:rPr>
          <w:i/>
        </w:rPr>
        <w:lastRenderedPageBreak/>
        <w:t>In vitro</w:t>
      </w:r>
      <w:r w:rsidRPr="005045B0">
        <w:t xml:space="preserve"> studies show that ivermectin does not inhibit the CYP450 </w:t>
      </w:r>
      <w:proofErr w:type="spellStart"/>
      <w:r w:rsidRPr="005045B0">
        <w:t>isoenzymes</w:t>
      </w:r>
      <w:proofErr w:type="spellEnd"/>
      <w:r w:rsidRPr="005045B0">
        <w:t xml:space="preserve"> 1A2, 2A6, 2B6, 2C8, 2C9, 2C19, 2D6, 3A4, 4A11 or 2E1. Ivermectin does not induce CYP450 enzyme expression (1A2, 2B6, 2C9 or 3A4) in cultured human hepatocytes.</w:t>
      </w:r>
    </w:p>
    <w:p w:rsidR="000C4EDB" w:rsidRPr="005045B0" w:rsidRDefault="000C4EDB" w:rsidP="004A2E4E"/>
    <w:p w:rsidR="0005113A" w:rsidRPr="005045B0" w:rsidRDefault="0005113A" w:rsidP="004A2E4E">
      <w:r w:rsidRPr="005045B0">
        <w:t xml:space="preserve">Two major metabolites of ivermectin were identified in a maximal use clinical pharmacokinetic study and assessed during Phase 2 clinical studies (3’’-O-demethyl ivermectin and 4a-hydroxy ivermectin). Similar to the parent compound, metabolites reached steady state </w:t>
      </w:r>
      <w:r>
        <w:t>conditions by 2 </w:t>
      </w:r>
      <w:r w:rsidRPr="005045B0">
        <w:t>weeks of treatment, with no ev</w:t>
      </w:r>
      <w:r>
        <w:t>idence of accumulation up to 12 </w:t>
      </w:r>
      <w:r w:rsidRPr="005045B0">
        <w:t xml:space="preserve">weeks. Furthermore, the metabolites systemic exposures (estimated with </w:t>
      </w:r>
      <w:proofErr w:type="spellStart"/>
      <w:r w:rsidRPr="005045B0">
        <w:t>C</w:t>
      </w:r>
      <w:r w:rsidRPr="005045B0">
        <w:rPr>
          <w:vertAlign w:val="subscript"/>
        </w:rPr>
        <w:t>max</w:t>
      </w:r>
      <w:proofErr w:type="spellEnd"/>
      <w:r w:rsidRPr="005045B0">
        <w:t xml:space="preserve"> and AUC) obtained at steady state were much lower than those observed following oral administration of ivermectin.</w:t>
      </w:r>
    </w:p>
    <w:p w:rsidR="0005113A" w:rsidRPr="005045B0" w:rsidRDefault="0005113A" w:rsidP="004A2E4E"/>
    <w:p w:rsidR="0005113A" w:rsidRPr="005045B0" w:rsidRDefault="0005113A" w:rsidP="004A2E4E">
      <w:pPr>
        <w:pStyle w:val="Heading4"/>
      </w:pPr>
      <w:r w:rsidRPr="005045B0">
        <w:t>Elimination</w:t>
      </w:r>
    </w:p>
    <w:p w:rsidR="00C72D9F" w:rsidRDefault="0005113A" w:rsidP="004A2E4E">
      <w:r w:rsidRPr="005045B0">
        <w:t>Th</w:t>
      </w:r>
      <w:r>
        <w:t xml:space="preserve">e </w:t>
      </w:r>
      <w:r w:rsidR="00C72D9F">
        <w:t xml:space="preserve">apparent </w:t>
      </w:r>
      <w:r>
        <w:t>terminal half-life averaged 6 </w:t>
      </w:r>
      <w:r w:rsidRPr="005045B0">
        <w:t xml:space="preserve">days (mean: 145 hours, range 92-238 hours) in </w:t>
      </w:r>
      <w:r w:rsidR="00C72D9F">
        <w:t>subjects</w:t>
      </w:r>
      <w:r w:rsidR="00C72D9F" w:rsidRPr="005045B0">
        <w:t xml:space="preserve"> </w:t>
      </w:r>
      <w:r w:rsidRPr="005045B0">
        <w:t xml:space="preserve">receiving a once daily </w:t>
      </w:r>
      <w:r w:rsidR="00182021">
        <w:t xml:space="preserve">topical </w:t>
      </w:r>
      <w:r w:rsidRPr="005045B0">
        <w:t>application of the medicinal product for 28 days, in the maximal use clinical pharmacokinetic study.</w:t>
      </w:r>
    </w:p>
    <w:p w:rsidR="0005113A" w:rsidRPr="005045B0" w:rsidRDefault="0005113A" w:rsidP="004A2E4E"/>
    <w:p w:rsidR="00481CFF" w:rsidRPr="001F197D" w:rsidRDefault="00481CFF" w:rsidP="004A2E4E">
      <w:pPr>
        <w:rPr>
          <w:highlight w:val="yellow"/>
          <w:lang w:val="en-AU"/>
        </w:rPr>
      </w:pPr>
    </w:p>
    <w:p w:rsidR="0005113A" w:rsidRPr="00396CD7" w:rsidRDefault="00396CD7" w:rsidP="004A2E4E">
      <w:pPr>
        <w:pStyle w:val="Heading2"/>
        <w:rPr>
          <w:lang w:val="en-AU"/>
        </w:rPr>
      </w:pPr>
      <w:r>
        <w:rPr>
          <w:lang w:val="en-AU"/>
        </w:rPr>
        <w:t>CLINICAL TRIALS</w:t>
      </w:r>
    </w:p>
    <w:p w:rsidR="0005113A" w:rsidRPr="005045B0" w:rsidRDefault="0005113A" w:rsidP="004A2E4E">
      <w:pPr>
        <w:rPr>
          <w:noProof/>
        </w:rPr>
      </w:pPr>
      <w:r w:rsidRPr="00AA020E">
        <w:rPr>
          <w:caps/>
          <w:noProof/>
        </w:rPr>
        <w:t>Soolantra</w:t>
      </w:r>
      <w:r w:rsidRPr="005045B0">
        <w:rPr>
          <w:noProof/>
        </w:rPr>
        <w:t xml:space="preserve"> applied once daily at bedtime was evaluated in the treatment of inflammatory lesions of rosacea in two randomised, double-blind, </w:t>
      </w:r>
      <w:r w:rsidRPr="000F4CA3">
        <w:rPr>
          <w:noProof/>
        </w:rPr>
        <w:t>vehicle-controlled clinical studies</w:t>
      </w:r>
      <w:r w:rsidRPr="005045B0">
        <w:rPr>
          <w:noProof/>
        </w:rPr>
        <w:t>, which were identical in design. The studies were conducted in 1371 </w:t>
      </w:r>
      <w:r w:rsidR="00D921AA">
        <w:rPr>
          <w:noProof/>
        </w:rPr>
        <w:t>participants</w:t>
      </w:r>
      <w:r w:rsidRPr="005045B0">
        <w:rPr>
          <w:noProof/>
        </w:rPr>
        <w:t xml:space="preserve"> aged 18 years and older who were treated once daily for 12 weeks with either </w:t>
      </w:r>
      <w:r w:rsidRPr="00AA020E">
        <w:rPr>
          <w:caps/>
          <w:noProof/>
        </w:rPr>
        <w:t>Soolantra</w:t>
      </w:r>
      <w:r w:rsidRPr="005045B0" w:rsidDel="00A72A34">
        <w:rPr>
          <w:noProof/>
        </w:rPr>
        <w:t xml:space="preserve"> </w:t>
      </w:r>
      <w:r w:rsidRPr="005045B0">
        <w:rPr>
          <w:noProof/>
        </w:rPr>
        <w:t xml:space="preserve">or vehicle. </w:t>
      </w:r>
    </w:p>
    <w:p w:rsidR="0005113A" w:rsidRPr="005045B0" w:rsidRDefault="0005113A" w:rsidP="004A2E4E">
      <w:pPr>
        <w:rPr>
          <w:noProof/>
        </w:rPr>
      </w:pPr>
    </w:p>
    <w:p w:rsidR="0005113A" w:rsidRPr="005045B0" w:rsidRDefault="0005113A" w:rsidP="004A2E4E">
      <w:pPr>
        <w:rPr>
          <w:noProof/>
        </w:rPr>
      </w:pPr>
      <w:r w:rsidRPr="005045B0">
        <w:rPr>
          <w:noProof/>
        </w:rPr>
        <w:t xml:space="preserve">Overall, 96% of </w:t>
      </w:r>
      <w:r w:rsidR="004F28A7">
        <w:rPr>
          <w:noProof/>
        </w:rPr>
        <w:t>participants</w:t>
      </w:r>
      <w:r w:rsidRPr="005045B0">
        <w:rPr>
          <w:noProof/>
        </w:rPr>
        <w:t xml:space="preserve"> were Caucasian and 67% were female. Using the 5-point Investigator Global Assessment (IGA) scale, 79% of </w:t>
      </w:r>
      <w:r w:rsidR="004F28A7">
        <w:rPr>
          <w:noProof/>
        </w:rPr>
        <w:t>participants</w:t>
      </w:r>
      <w:r w:rsidRPr="005045B0">
        <w:rPr>
          <w:noProof/>
        </w:rPr>
        <w:t xml:space="preserve"> were scored as moderate (IGA=3) and 21% scored as severe (IGA= 4) at baseline.</w:t>
      </w:r>
    </w:p>
    <w:p w:rsidR="0005113A" w:rsidRPr="005045B0" w:rsidRDefault="0005113A" w:rsidP="004A2E4E">
      <w:pPr>
        <w:rPr>
          <w:noProof/>
        </w:rPr>
      </w:pPr>
    </w:p>
    <w:p w:rsidR="0005113A" w:rsidRPr="005045B0" w:rsidRDefault="0005113A" w:rsidP="004A2E4E">
      <w:pPr>
        <w:rPr>
          <w:noProof/>
        </w:rPr>
      </w:pPr>
      <w:r w:rsidRPr="005045B0">
        <w:rPr>
          <w:noProof/>
        </w:rPr>
        <w:t xml:space="preserve">The co-primary efficacy endpoints in both clinical studies were the success rate based on the IGA outcome (percentage of </w:t>
      </w:r>
      <w:r w:rsidR="004F28A7">
        <w:rPr>
          <w:noProof/>
        </w:rPr>
        <w:t>participants</w:t>
      </w:r>
      <w:r w:rsidRPr="005045B0">
        <w:rPr>
          <w:noProof/>
        </w:rPr>
        <w:t xml:space="preserve"> “clear” and “almost clear” at Week 12 of the study) and absolute change from baseline in inflammatory lesion counts.  The IGA scale is based on the following definitions:</w:t>
      </w:r>
    </w:p>
    <w:p w:rsidR="0005113A" w:rsidRDefault="0005113A" w:rsidP="006C4A8D">
      <w:pPr>
        <w:rPr>
          <w:szCs w:val="20"/>
          <w:lang w:val="en-AU" w:eastAsia="en-AU"/>
        </w:rPr>
      </w:pPr>
    </w:p>
    <w:p w:rsidR="0005113A" w:rsidRPr="005045B0" w:rsidRDefault="0005113A" w:rsidP="0005113A">
      <w:pPr>
        <w:tabs>
          <w:tab w:val="left" w:pos="360"/>
        </w:tabs>
        <w:spacing w:line="240" w:lineRule="atLeast"/>
        <w:rPr>
          <w:b/>
          <w:szCs w:val="22"/>
        </w:rPr>
      </w:pPr>
      <w:r w:rsidRPr="005045B0">
        <w:rPr>
          <w:b/>
          <w:szCs w:val="22"/>
        </w:rPr>
        <w:t>Table</w:t>
      </w:r>
      <w:r>
        <w:rPr>
          <w:b/>
          <w:szCs w:val="22"/>
        </w:rPr>
        <w:t> </w:t>
      </w:r>
      <w:r w:rsidR="00DF6865">
        <w:rPr>
          <w:b/>
          <w:szCs w:val="22"/>
        </w:rPr>
        <w:t>1</w:t>
      </w:r>
      <w:r w:rsidRPr="005045B0">
        <w:rPr>
          <w:b/>
          <w:szCs w:val="22"/>
        </w:rPr>
        <w:t>: Investigator Global Assessment (IGA) scale</w:t>
      </w:r>
    </w:p>
    <w:p w:rsidR="0005113A" w:rsidRPr="005045B0" w:rsidRDefault="0005113A" w:rsidP="004A2E4E">
      <w:pPr>
        <w:tabs>
          <w:tab w:val="left" w:pos="360"/>
        </w:tabs>
        <w:spacing w:line="240" w:lineRule="atLeast"/>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6378"/>
      </w:tblGrid>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b/>
                <w:szCs w:val="22"/>
              </w:rPr>
            </w:pPr>
            <w:r w:rsidRPr="005045B0">
              <w:rPr>
                <w:b/>
                <w:szCs w:val="22"/>
              </w:rPr>
              <w:t>Grade</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b/>
                <w:szCs w:val="22"/>
              </w:rPr>
            </w:pPr>
            <w:r w:rsidRPr="005045B0">
              <w:rPr>
                <w:b/>
                <w:szCs w:val="22"/>
              </w:rPr>
              <w:t>Score</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b/>
                <w:szCs w:val="22"/>
              </w:rPr>
            </w:pPr>
            <w:r w:rsidRPr="005045B0">
              <w:rPr>
                <w:b/>
                <w:szCs w:val="22"/>
              </w:rPr>
              <w:t>Clinical Description</w:t>
            </w:r>
          </w:p>
        </w:tc>
      </w:tr>
      <w:tr w:rsidR="0005113A" w:rsidRPr="005045B0" w:rsidTr="0005113A">
        <w:trPr>
          <w:trHeight w:val="404"/>
        </w:trPr>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Clear</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0</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No inflammatory lesions present, no erythema</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Almost Clear</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1</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Very few small papules/pustules, very mild erythema present</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Mild</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2</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Few small papules/pustules, mild erythema</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Moderate</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3</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Several small or large papules/pustules, moderate erythema</w:t>
            </w:r>
          </w:p>
        </w:tc>
      </w:tr>
      <w:tr w:rsidR="0005113A" w:rsidRPr="005045B0" w:rsidTr="0005113A">
        <w:tc>
          <w:tcPr>
            <w:tcW w:w="1701"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Severe</w:t>
            </w:r>
          </w:p>
        </w:tc>
        <w:tc>
          <w:tcPr>
            <w:tcW w:w="993"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4</w:t>
            </w:r>
          </w:p>
        </w:tc>
        <w:tc>
          <w:tcPr>
            <w:tcW w:w="6378" w:type="dxa"/>
            <w:tcBorders>
              <w:top w:val="single" w:sz="4" w:space="0" w:color="auto"/>
              <w:left w:val="single" w:sz="4" w:space="0" w:color="auto"/>
              <w:bottom w:val="single" w:sz="4" w:space="0" w:color="auto"/>
              <w:right w:val="single" w:sz="4" w:space="0" w:color="auto"/>
            </w:tcBorders>
          </w:tcPr>
          <w:p w:rsidR="0005113A" w:rsidRPr="005045B0" w:rsidRDefault="0005113A" w:rsidP="0005113A">
            <w:pPr>
              <w:spacing w:before="120"/>
              <w:rPr>
                <w:szCs w:val="22"/>
              </w:rPr>
            </w:pPr>
            <w:r w:rsidRPr="005045B0">
              <w:rPr>
                <w:szCs w:val="22"/>
              </w:rPr>
              <w:t>Numerous small and/or large papules/pustules, severe erythema</w:t>
            </w:r>
          </w:p>
        </w:tc>
      </w:tr>
    </w:tbl>
    <w:p w:rsidR="0005113A" w:rsidRDefault="0005113A" w:rsidP="006C4A8D">
      <w:pPr>
        <w:rPr>
          <w:szCs w:val="20"/>
          <w:lang w:val="en-AU" w:eastAsia="en-AU"/>
        </w:rPr>
      </w:pPr>
    </w:p>
    <w:p w:rsidR="0005113A" w:rsidRDefault="0005113A" w:rsidP="004A2E4E">
      <w:pPr>
        <w:rPr>
          <w:noProof/>
        </w:rPr>
      </w:pPr>
      <w:r w:rsidRPr="005045B0">
        <w:rPr>
          <w:noProof/>
        </w:rPr>
        <w:t xml:space="preserve">The results from both clinical studies demonstrated that </w:t>
      </w:r>
      <w:r w:rsidRPr="00AA020E">
        <w:rPr>
          <w:caps/>
          <w:noProof/>
        </w:rPr>
        <w:t>Soolantra</w:t>
      </w:r>
      <w:r w:rsidRPr="005045B0">
        <w:rPr>
          <w:noProof/>
        </w:rPr>
        <w:t xml:space="preserve"> applied once daily for </w:t>
      </w:r>
      <w:r w:rsidRPr="003F3F6C">
        <w:rPr>
          <w:noProof/>
          <w:color w:val="auto"/>
        </w:rPr>
        <w:t>12 weeks</w:t>
      </w:r>
      <w:r w:rsidR="00C10D4C" w:rsidRPr="003F3F6C">
        <w:rPr>
          <w:noProof/>
          <w:color w:val="auto"/>
        </w:rPr>
        <w:t xml:space="preserve"> was </w:t>
      </w:r>
      <w:r w:rsidR="00C10D4C" w:rsidRPr="003F3F6C">
        <w:rPr>
          <w:color w:val="auto"/>
        </w:rPr>
        <w:t xml:space="preserve">significantly more effective than vehicle in clearing lesions (as demonstrated by IGA success rate) and reduction in inflammatory lesion counts (p&lt;0.001; </w:t>
      </w:r>
      <w:r w:rsidR="00C10D4C" w:rsidRPr="003F3F6C">
        <w:rPr>
          <w:noProof/>
          <w:color w:val="auto"/>
        </w:rPr>
        <w:t xml:space="preserve">see table 2 and </w:t>
      </w:r>
      <w:r w:rsidR="00C10D4C" w:rsidRPr="003F3F6C">
        <w:rPr>
          <w:noProof/>
          <w:color w:val="auto"/>
        </w:rPr>
        <w:lastRenderedPageBreak/>
        <w:t>figures 1,2,3 and 4</w:t>
      </w:r>
      <w:r w:rsidR="00C10D4C" w:rsidRPr="003F3F6C">
        <w:rPr>
          <w:color w:val="auto"/>
        </w:rPr>
        <w:t>).</w:t>
      </w:r>
      <w:r w:rsidRPr="003F3F6C">
        <w:rPr>
          <w:noProof/>
          <w:color w:val="auto"/>
        </w:rPr>
        <w:t xml:space="preserve"> </w:t>
      </w:r>
      <w:r w:rsidR="00432DE4">
        <w:rPr>
          <w:noProof/>
          <w:color w:val="auto"/>
        </w:rPr>
        <w:t xml:space="preserve"> </w:t>
      </w:r>
      <w:r w:rsidR="000E5911">
        <w:rPr>
          <w:noProof/>
          <w:color w:val="auto"/>
        </w:rPr>
        <w:t>SOOLANTRA demonstrated</w:t>
      </w:r>
      <w:r w:rsidR="00474636">
        <w:rPr>
          <w:noProof/>
          <w:color w:val="auto"/>
        </w:rPr>
        <w:t xml:space="preserve"> a</w:t>
      </w:r>
      <w:r w:rsidR="000E5911">
        <w:rPr>
          <w:noProof/>
          <w:color w:val="auto"/>
        </w:rPr>
        <w:t xml:space="preserve"> </w:t>
      </w:r>
      <w:r w:rsidR="00432DE4">
        <w:rPr>
          <w:noProof/>
          <w:color w:val="auto"/>
        </w:rPr>
        <w:t>significant</w:t>
      </w:r>
      <w:r w:rsidR="00474636">
        <w:rPr>
          <w:noProof/>
          <w:color w:val="auto"/>
        </w:rPr>
        <w:t>ly</w:t>
      </w:r>
      <w:r w:rsidR="00772DCC">
        <w:rPr>
          <w:noProof/>
          <w:color w:val="auto"/>
        </w:rPr>
        <w:t xml:space="preserve"> superior efficacy </w:t>
      </w:r>
      <w:r w:rsidR="00150A25">
        <w:rPr>
          <w:noProof/>
          <w:color w:val="auto"/>
        </w:rPr>
        <w:t>versus vehicle on both co</w:t>
      </w:r>
      <w:r w:rsidR="00772DCC">
        <w:rPr>
          <w:noProof/>
          <w:color w:val="auto"/>
        </w:rPr>
        <w:t>primary endpoints</w:t>
      </w:r>
      <w:r w:rsidR="00432DE4">
        <w:rPr>
          <w:noProof/>
          <w:color w:val="auto"/>
        </w:rPr>
        <w:t xml:space="preserve"> </w:t>
      </w:r>
      <w:r w:rsidR="00772DCC">
        <w:rPr>
          <w:noProof/>
          <w:color w:val="auto"/>
        </w:rPr>
        <w:t>(</w:t>
      </w:r>
      <w:r w:rsidR="00432DE4">
        <w:rPr>
          <w:noProof/>
          <w:color w:val="auto"/>
        </w:rPr>
        <w:t xml:space="preserve">reduction </w:t>
      </w:r>
      <w:r w:rsidR="00772DCC">
        <w:rPr>
          <w:noProof/>
          <w:color w:val="auto"/>
        </w:rPr>
        <w:t>of</w:t>
      </w:r>
      <w:r w:rsidR="00432DE4">
        <w:rPr>
          <w:noProof/>
          <w:color w:val="auto"/>
        </w:rPr>
        <w:t xml:space="preserve"> inflammatory lesion</w:t>
      </w:r>
      <w:r w:rsidR="00772DCC">
        <w:rPr>
          <w:noProof/>
          <w:color w:val="auto"/>
        </w:rPr>
        <w:t>s</w:t>
      </w:r>
      <w:r w:rsidR="00432DE4">
        <w:rPr>
          <w:noProof/>
          <w:color w:val="auto"/>
        </w:rPr>
        <w:t xml:space="preserve"> </w:t>
      </w:r>
      <w:r w:rsidR="00772DCC">
        <w:rPr>
          <w:noProof/>
          <w:color w:val="auto"/>
        </w:rPr>
        <w:t>and IGA success</w:t>
      </w:r>
      <w:r w:rsidR="007F1DA6">
        <w:rPr>
          <w:noProof/>
          <w:color w:val="auto"/>
        </w:rPr>
        <w:t xml:space="preserve"> rate</w:t>
      </w:r>
      <w:r w:rsidR="00772DCC">
        <w:rPr>
          <w:noProof/>
          <w:color w:val="auto"/>
        </w:rPr>
        <w:t xml:space="preserve">) </w:t>
      </w:r>
      <w:r w:rsidR="00150A25">
        <w:rPr>
          <w:noProof/>
          <w:color w:val="auto"/>
        </w:rPr>
        <w:t xml:space="preserve">which occurred </w:t>
      </w:r>
      <w:r w:rsidR="000E5911">
        <w:rPr>
          <w:noProof/>
          <w:color w:val="auto"/>
        </w:rPr>
        <w:t>as</w:t>
      </w:r>
      <w:r w:rsidR="00432DE4">
        <w:rPr>
          <w:noProof/>
          <w:color w:val="auto"/>
        </w:rPr>
        <w:t xml:space="preserve"> early </w:t>
      </w:r>
      <w:r w:rsidR="000E5911">
        <w:rPr>
          <w:noProof/>
          <w:color w:val="auto"/>
        </w:rPr>
        <w:t>as</w:t>
      </w:r>
      <w:r w:rsidR="00432DE4">
        <w:rPr>
          <w:noProof/>
          <w:color w:val="auto"/>
        </w:rPr>
        <w:t xml:space="preserve"> </w:t>
      </w:r>
      <w:r w:rsidR="00150A25">
        <w:rPr>
          <w:noProof/>
          <w:color w:val="auto"/>
        </w:rPr>
        <w:t>Week 4</w:t>
      </w:r>
      <w:r w:rsidR="00432DE4">
        <w:rPr>
          <w:noProof/>
          <w:color w:val="auto"/>
        </w:rPr>
        <w:t xml:space="preserve"> </w:t>
      </w:r>
      <w:r w:rsidR="00150A25">
        <w:rPr>
          <w:noProof/>
          <w:color w:val="auto"/>
        </w:rPr>
        <w:t>and continued</w:t>
      </w:r>
      <w:r w:rsidR="00432DE4" w:rsidRPr="003F3F6C">
        <w:rPr>
          <w:noProof/>
        </w:rPr>
        <w:t xml:space="preserve"> </w:t>
      </w:r>
      <w:r w:rsidR="00772DCC">
        <w:rPr>
          <w:noProof/>
        </w:rPr>
        <w:t xml:space="preserve">up </w:t>
      </w:r>
      <w:r w:rsidR="00432DE4" w:rsidRPr="003F3F6C">
        <w:rPr>
          <w:noProof/>
        </w:rPr>
        <w:t xml:space="preserve">to </w:t>
      </w:r>
      <w:r w:rsidR="00150A25">
        <w:rPr>
          <w:noProof/>
        </w:rPr>
        <w:t xml:space="preserve">and including </w:t>
      </w:r>
      <w:r w:rsidR="00432DE4">
        <w:rPr>
          <w:noProof/>
        </w:rPr>
        <w:t xml:space="preserve">the </w:t>
      </w:r>
      <w:r w:rsidR="00432DE4" w:rsidRPr="003F3F6C">
        <w:rPr>
          <w:noProof/>
        </w:rPr>
        <w:t>12</w:t>
      </w:r>
      <w:r w:rsidR="00150A25">
        <w:rPr>
          <w:noProof/>
        </w:rPr>
        <w:t>-</w:t>
      </w:r>
      <w:r w:rsidR="00432DE4" w:rsidRPr="003F3F6C">
        <w:rPr>
          <w:noProof/>
        </w:rPr>
        <w:t>week</w:t>
      </w:r>
      <w:r w:rsidR="00432DE4">
        <w:rPr>
          <w:noProof/>
        </w:rPr>
        <w:t xml:space="preserve"> time point. </w:t>
      </w:r>
    </w:p>
    <w:p w:rsidR="00EA7FC5" w:rsidRDefault="00EA7FC5" w:rsidP="004A2E4E">
      <w:pPr>
        <w:rPr>
          <w:noProof/>
        </w:rPr>
      </w:pPr>
    </w:p>
    <w:p w:rsidR="00EA7FC5" w:rsidRDefault="00EA7FC5" w:rsidP="004A2E4E">
      <w:pPr>
        <w:rPr>
          <w:noProof/>
        </w:rPr>
      </w:pPr>
    </w:p>
    <w:p w:rsidR="00EA7FC5" w:rsidRDefault="00EA7FC5" w:rsidP="004A2E4E">
      <w:pPr>
        <w:rPr>
          <w:noProof/>
        </w:rPr>
      </w:pPr>
    </w:p>
    <w:p w:rsidR="00772DCC" w:rsidRPr="005045B0" w:rsidRDefault="00772DCC" w:rsidP="004A2E4E">
      <w:pPr>
        <w:rPr>
          <w:noProof/>
        </w:rPr>
      </w:pPr>
    </w:p>
    <w:p w:rsidR="0005113A" w:rsidRPr="005045B0" w:rsidRDefault="0005113A" w:rsidP="004A2E4E">
      <w:pPr>
        <w:rPr>
          <w:noProof/>
        </w:rPr>
      </w:pPr>
      <w:r w:rsidRPr="005045B0">
        <w:rPr>
          <w:noProof/>
        </w:rPr>
        <w:t>The following table and figures present efficacy outcomes from both studies.</w:t>
      </w:r>
    </w:p>
    <w:p w:rsidR="0005113A" w:rsidRPr="005045B0" w:rsidRDefault="0005113A" w:rsidP="0005113A">
      <w:pPr>
        <w:tabs>
          <w:tab w:val="left" w:pos="360"/>
        </w:tabs>
        <w:spacing w:line="240" w:lineRule="atLeast"/>
        <w:rPr>
          <w:b/>
          <w:szCs w:val="22"/>
        </w:rPr>
      </w:pPr>
      <w:r>
        <w:rPr>
          <w:b/>
          <w:szCs w:val="22"/>
        </w:rPr>
        <w:t>Table </w:t>
      </w:r>
      <w:r w:rsidR="00DF6865">
        <w:rPr>
          <w:b/>
          <w:szCs w:val="22"/>
        </w:rPr>
        <w:t>2</w:t>
      </w:r>
      <w:r w:rsidRPr="005045B0">
        <w:rPr>
          <w:b/>
          <w:szCs w:val="22"/>
        </w:rPr>
        <w:t xml:space="preserve">: Efficacy Results </w:t>
      </w:r>
    </w:p>
    <w:p w:rsidR="0005113A" w:rsidRPr="005045B0" w:rsidRDefault="0005113A" w:rsidP="0005113A">
      <w:pPr>
        <w:tabs>
          <w:tab w:val="left" w:pos="540"/>
        </w:tabs>
        <w:spacing w:line="240" w:lineRule="atLeast"/>
        <w:ind w:left="360" w:hanging="36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1"/>
        <w:gridCol w:w="1417"/>
        <w:gridCol w:w="1843"/>
        <w:gridCol w:w="1417"/>
      </w:tblGrid>
      <w:tr w:rsidR="0005113A" w:rsidRPr="005045B0" w:rsidTr="00AA020E">
        <w:tc>
          <w:tcPr>
            <w:tcW w:w="2802" w:type="dxa"/>
            <w:vMerge w:val="restart"/>
            <w:shd w:val="clear" w:color="auto" w:fill="auto"/>
          </w:tcPr>
          <w:p w:rsidR="0005113A" w:rsidRPr="00AA020E" w:rsidRDefault="0005113A" w:rsidP="0005113A">
            <w:pPr>
              <w:suppressAutoHyphens/>
              <w:spacing w:line="240" w:lineRule="atLeast"/>
              <w:rPr>
                <w:rFonts w:eastAsia="Calibri"/>
                <w:sz w:val="22"/>
                <w:szCs w:val="22"/>
                <w:lang w:eastAsia="x-none"/>
              </w:rPr>
            </w:pPr>
          </w:p>
        </w:tc>
        <w:tc>
          <w:tcPr>
            <w:tcW w:w="3118" w:type="dxa"/>
            <w:gridSpan w:val="2"/>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Study 1</w:t>
            </w:r>
          </w:p>
        </w:tc>
        <w:tc>
          <w:tcPr>
            <w:tcW w:w="3260" w:type="dxa"/>
            <w:gridSpan w:val="2"/>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Study 2</w:t>
            </w:r>
          </w:p>
        </w:tc>
      </w:tr>
      <w:tr w:rsidR="0005113A" w:rsidRPr="005045B0" w:rsidTr="00AA020E">
        <w:tc>
          <w:tcPr>
            <w:tcW w:w="2802" w:type="dxa"/>
            <w:vMerge/>
            <w:shd w:val="clear" w:color="auto" w:fill="auto"/>
          </w:tcPr>
          <w:p w:rsidR="0005113A" w:rsidRPr="00AA020E" w:rsidRDefault="0005113A" w:rsidP="0005113A">
            <w:pPr>
              <w:suppressAutoHyphens/>
              <w:spacing w:line="240" w:lineRule="atLeast"/>
              <w:rPr>
                <w:rFonts w:eastAsia="Calibri"/>
                <w:sz w:val="22"/>
                <w:szCs w:val="22"/>
                <w:lang w:eastAsia="x-none"/>
              </w:rPr>
            </w:pPr>
          </w:p>
        </w:tc>
        <w:tc>
          <w:tcPr>
            <w:tcW w:w="1701" w:type="dxa"/>
            <w:shd w:val="clear" w:color="auto" w:fill="auto"/>
          </w:tcPr>
          <w:p w:rsidR="0005113A" w:rsidRPr="00AA020E" w:rsidRDefault="0005113A" w:rsidP="00AA020E">
            <w:pPr>
              <w:suppressAutoHyphens/>
              <w:spacing w:line="240" w:lineRule="atLeast"/>
              <w:jc w:val="center"/>
              <w:rPr>
                <w:rFonts w:eastAsia="Calibri"/>
                <w:b/>
                <w:caps/>
                <w:sz w:val="22"/>
                <w:szCs w:val="22"/>
                <w:lang w:eastAsia="x-none"/>
              </w:rPr>
            </w:pPr>
            <w:r w:rsidRPr="00AA020E">
              <w:rPr>
                <w:rFonts w:eastAsia="Calibri"/>
                <w:b/>
                <w:caps/>
                <w:sz w:val="22"/>
                <w:szCs w:val="22"/>
                <w:lang w:eastAsia="x-none"/>
              </w:rPr>
              <w:t>Soolantra</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(N=451)</w:t>
            </w:r>
          </w:p>
        </w:tc>
        <w:tc>
          <w:tcPr>
            <w:tcW w:w="1417" w:type="dxa"/>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Vehicle</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(N=232)</w:t>
            </w:r>
          </w:p>
        </w:tc>
        <w:tc>
          <w:tcPr>
            <w:tcW w:w="1843" w:type="dxa"/>
            <w:shd w:val="clear" w:color="auto" w:fill="auto"/>
          </w:tcPr>
          <w:p w:rsidR="0005113A" w:rsidRPr="00AA020E" w:rsidRDefault="0005113A" w:rsidP="00AA020E">
            <w:pPr>
              <w:suppressAutoHyphens/>
              <w:spacing w:line="240" w:lineRule="atLeast"/>
              <w:jc w:val="center"/>
              <w:rPr>
                <w:rFonts w:eastAsia="Calibri"/>
                <w:b/>
                <w:caps/>
                <w:sz w:val="22"/>
                <w:szCs w:val="22"/>
                <w:lang w:eastAsia="x-none"/>
              </w:rPr>
            </w:pPr>
            <w:r w:rsidRPr="00AA020E">
              <w:rPr>
                <w:rFonts w:eastAsia="Calibri"/>
                <w:b/>
                <w:caps/>
                <w:sz w:val="22"/>
                <w:szCs w:val="22"/>
                <w:lang w:eastAsia="x-none"/>
              </w:rPr>
              <w:t>Soolantra</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(N=459)</w:t>
            </w:r>
          </w:p>
        </w:tc>
        <w:tc>
          <w:tcPr>
            <w:tcW w:w="1417" w:type="dxa"/>
            <w:shd w:val="clear" w:color="auto" w:fill="auto"/>
          </w:tcPr>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Vehicle</w:t>
            </w:r>
          </w:p>
          <w:p w:rsidR="0005113A" w:rsidRPr="00AA020E" w:rsidRDefault="0005113A" w:rsidP="00AA020E">
            <w:pPr>
              <w:suppressAutoHyphens/>
              <w:spacing w:line="240" w:lineRule="atLeast"/>
              <w:jc w:val="center"/>
              <w:rPr>
                <w:rFonts w:eastAsia="Calibri"/>
                <w:b/>
                <w:sz w:val="22"/>
                <w:szCs w:val="22"/>
                <w:lang w:eastAsia="x-none"/>
              </w:rPr>
            </w:pPr>
            <w:r w:rsidRPr="00AA020E">
              <w:rPr>
                <w:rFonts w:eastAsia="Calibri"/>
                <w:b/>
                <w:sz w:val="22"/>
                <w:szCs w:val="22"/>
                <w:lang w:eastAsia="x-none"/>
              </w:rPr>
              <w:t>(N=229)</w:t>
            </w:r>
          </w:p>
        </w:tc>
      </w:tr>
      <w:tr w:rsidR="0005113A" w:rsidRPr="005045B0" w:rsidTr="00AA020E">
        <w:tc>
          <w:tcPr>
            <w:tcW w:w="2802" w:type="dxa"/>
            <w:shd w:val="clear" w:color="auto" w:fill="auto"/>
          </w:tcPr>
          <w:p w:rsidR="0005113A" w:rsidRPr="00AA020E" w:rsidRDefault="0005113A" w:rsidP="00C85919">
            <w:pPr>
              <w:suppressAutoHyphens/>
              <w:spacing w:line="240" w:lineRule="atLeast"/>
              <w:jc w:val="left"/>
              <w:rPr>
                <w:rFonts w:eastAsia="Calibri"/>
                <w:b/>
                <w:sz w:val="22"/>
                <w:szCs w:val="22"/>
                <w:lang w:eastAsia="x-none"/>
              </w:rPr>
            </w:pPr>
            <w:r w:rsidRPr="00AA020E">
              <w:rPr>
                <w:rFonts w:eastAsia="Calibri"/>
                <w:b/>
                <w:sz w:val="22"/>
                <w:szCs w:val="22"/>
                <w:lang w:eastAsia="x-none"/>
              </w:rPr>
              <w:t>Investigator Global Assessment</w:t>
            </w:r>
          </w:p>
        </w:tc>
        <w:tc>
          <w:tcPr>
            <w:tcW w:w="1701"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c>
          <w:tcPr>
            <w:tcW w:w="1843"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AA020E" w:rsidRDefault="0005113A" w:rsidP="00AA020E">
            <w:pPr>
              <w:suppressAutoHyphens/>
              <w:spacing w:line="240" w:lineRule="atLeast"/>
              <w:jc w:val="center"/>
              <w:rPr>
                <w:rFonts w:eastAsia="Calibri"/>
                <w:sz w:val="22"/>
                <w:szCs w:val="22"/>
                <w:lang w:eastAsia="x-none"/>
              </w:rPr>
            </w:pPr>
          </w:p>
        </w:tc>
      </w:tr>
      <w:tr w:rsidR="0005113A" w:rsidRPr="003F3F6C" w:rsidTr="00AA020E">
        <w:tc>
          <w:tcPr>
            <w:tcW w:w="2802" w:type="dxa"/>
            <w:shd w:val="clear" w:color="auto" w:fill="auto"/>
          </w:tcPr>
          <w:p w:rsidR="0005113A" w:rsidRPr="003F3F6C" w:rsidRDefault="0005113A" w:rsidP="00C85919">
            <w:pPr>
              <w:suppressAutoHyphens/>
              <w:spacing w:line="240" w:lineRule="atLeast"/>
              <w:jc w:val="left"/>
              <w:rPr>
                <w:rFonts w:eastAsia="Calibri"/>
                <w:sz w:val="22"/>
                <w:szCs w:val="22"/>
                <w:lang w:eastAsia="x-none"/>
              </w:rPr>
            </w:pPr>
            <w:r w:rsidRPr="003F3F6C">
              <w:rPr>
                <w:rFonts w:eastAsia="Calibri"/>
                <w:sz w:val="22"/>
                <w:szCs w:val="22"/>
                <w:lang w:eastAsia="x-none"/>
              </w:rPr>
              <w:t xml:space="preserve">Number (%) of </w:t>
            </w:r>
            <w:r w:rsidR="004F28A7" w:rsidRPr="003F3F6C">
              <w:rPr>
                <w:rFonts w:eastAsia="Calibri"/>
                <w:sz w:val="22"/>
                <w:szCs w:val="22"/>
                <w:lang w:eastAsia="x-none"/>
              </w:rPr>
              <w:t>Participants</w:t>
            </w:r>
            <w:r w:rsidRPr="003F3F6C">
              <w:rPr>
                <w:rFonts w:eastAsia="Calibri"/>
                <w:sz w:val="22"/>
                <w:szCs w:val="22"/>
                <w:lang w:eastAsia="x-none"/>
              </w:rPr>
              <w:t xml:space="preserve"> Clear or Almost Clear in the IGA at Week 12</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173</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(38.4)</w:t>
            </w:r>
            <w:r w:rsidR="00671137" w:rsidRPr="003F3F6C">
              <w:rPr>
                <w:rFonts w:eastAsia="Calibri"/>
                <w:sz w:val="22"/>
                <w:szCs w:val="22"/>
                <w:lang w:eastAsia="x-none"/>
              </w:rPr>
              <w:t>*</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27</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(11.6)</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184</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(40.1)</w:t>
            </w:r>
            <w:r w:rsidR="0086569C" w:rsidRPr="003F3F6C">
              <w:rPr>
                <w:rFonts w:eastAsia="Calibri"/>
                <w:sz w:val="22"/>
                <w:szCs w:val="22"/>
                <w:lang w:eastAsia="x-none"/>
              </w:rPr>
              <w:t>*</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43</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(18.8)</w:t>
            </w:r>
          </w:p>
        </w:tc>
      </w:tr>
      <w:tr w:rsidR="0086569C" w:rsidRPr="003F3F6C" w:rsidTr="00AA020E">
        <w:tc>
          <w:tcPr>
            <w:tcW w:w="2802" w:type="dxa"/>
            <w:shd w:val="clear" w:color="auto" w:fill="auto"/>
          </w:tcPr>
          <w:p w:rsidR="00AA020E" w:rsidRPr="003F3F6C" w:rsidRDefault="0086569C" w:rsidP="00C85919">
            <w:pPr>
              <w:suppressAutoHyphens/>
              <w:spacing w:line="240" w:lineRule="atLeast"/>
              <w:jc w:val="left"/>
              <w:rPr>
                <w:rFonts w:eastAsia="Calibri"/>
                <w:sz w:val="22"/>
                <w:szCs w:val="22"/>
                <w:lang w:eastAsia="x-none"/>
              </w:rPr>
            </w:pPr>
            <w:r w:rsidRPr="003F3F6C">
              <w:rPr>
                <w:rFonts w:eastAsia="Calibri"/>
                <w:sz w:val="22"/>
                <w:szCs w:val="22"/>
                <w:lang w:eastAsia="x-none"/>
              </w:rPr>
              <w:t xml:space="preserve">Difference in success </w:t>
            </w:r>
          </w:p>
          <w:p w:rsidR="0086569C" w:rsidRPr="003F3F6C" w:rsidRDefault="0086569C" w:rsidP="00C85919">
            <w:pPr>
              <w:suppressAutoHyphens/>
              <w:spacing w:line="240" w:lineRule="atLeast"/>
              <w:jc w:val="left"/>
              <w:rPr>
                <w:rFonts w:eastAsia="Calibri"/>
                <w:sz w:val="22"/>
                <w:szCs w:val="22"/>
                <w:lang w:eastAsia="x-none"/>
              </w:rPr>
            </w:pPr>
            <w:r w:rsidRPr="003F3F6C">
              <w:rPr>
                <w:rFonts w:eastAsia="Calibri"/>
                <w:sz w:val="22"/>
                <w:szCs w:val="22"/>
                <w:lang w:eastAsia="x-none"/>
              </w:rPr>
              <w:t>(95% CI)</w:t>
            </w:r>
          </w:p>
        </w:tc>
        <w:tc>
          <w:tcPr>
            <w:tcW w:w="3118"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26.7% (20.3%, 33.1%)</w:t>
            </w:r>
          </w:p>
        </w:tc>
        <w:tc>
          <w:tcPr>
            <w:tcW w:w="3260"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21.3% (14.2%, 28.4%)</w:t>
            </w:r>
          </w:p>
        </w:tc>
      </w:tr>
      <w:tr w:rsidR="0005113A" w:rsidRPr="003F3F6C" w:rsidTr="00AA020E">
        <w:tc>
          <w:tcPr>
            <w:tcW w:w="2802" w:type="dxa"/>
            <w:shd w:val="clear" w:color="auto" w:fill="auto"/>
          </w:tcPr>
          <w:p w:rsidR="0005113A" w:rsidRPr="003F3F6C" w:rsidRDefault="0005113A" w:rsidP="00C85919">
            <w:pPr>
              <w:suppressAutoHyphens/>
              <w:spacing w:line="240" w:lineRule="atLeast"/>
              <w:jc w:val="left"/>
              <w:rPr>
                <w:rFonts w:eastAsia="Calibri"/>
                <w:b/>
                <w:sz w:val="22"/>
                <w:szCs w:val="22"/>
                <w:lang w:eastAsia="x-none"/>
              </w:rPr>
            </w:pPr>
            <w:r w:rsidRPr="003F3F6C">
              <w:rPr>
                <w:rFonts w:eastAsia="Calibri"/>
                <w:b/>
                <w:sz w:val="22"/>
                <w:szCs w:val="22"/>
                <w:lang w:eastAsia="x-none"/>
              </w:rPr>
              <w:t>Inflammatory Lesions</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p>
        </w:tc>
      </w:tr>
      <w:tr w:rsidR="0005113A" w:rsidRPr="003F3F6C" w:rsidTr="00AA020E">
        <w:tc>
          <w:tcPr>
            <w:tcW w:w="2802" w:type="dxa"/>
            <w:shd w:val="clear" w:color="auto" w:fill="auto"/>
          </w:tcPr>
          <w:p w:rsidR="0005113A" w:rsidRPr="003F3F6C" w:rsidRDefault="0005113A" w:rsidP="00C85919">
            <w:pPr>
              <w:suppressAutoHyphens/>
              <w:spacing w:line="240" w:lineRule="atLeast"/>
              <w:jc w:val="left"/>
              <w:rPr>
                <w:rFonts w:eastAsia="Calibri"/>
                <w:sz w:val="22"/>
                <w:szCs w:val="22"/>
                <w:lang w:eastAsia="x-none"/>
              </w:rPr>
            </w:pPr>
            <w:r w:rsidRPr="003F3F6C">
              <w:rPr>
                <w:rFonts w:eastAsia="Calibri"/>
                <w:sz w:val="22"/>
                <w:szCs w:val="22"/>
                <w:lang w:eastAsia="x-none"/>
              </w:rPr>
              <w:t>Mean Inflam</w:t>
            </w:r>
            <w:r w:rsidR="00DF6865" w:rsidRPr="003F3F6C">
              <w:rPr>
                <w:rFonts w:eastAsia="Calibri"/>
                <w:sz w:val="22"/>
                <w:szCs w:val="22"/>
                <w:lang w:eastAsia="x-none"/>
              </w:rPr>
              <w:t xml:space="preserve">matory Lesion Count  </w:t>
            </w:r>
            <w:r w:rsidRPr="003F3F6C">
              <w:rPr>
                <w:rFonts w:eastAsia="Calibri"/>
                <w:sz w:val="22"/>
                <w:szCs w:val="22"/>
                <w:lang w:eastAsia="x-none"/>
              </w:rPr>
              <w:t>at Baseline</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31.0</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30.5</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33.3</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32.2</w:t>
            </w:r>
          </w:p>
        </w:tc>
      </w:tr>
      <w:tr w:rsidR="0005113A" w:rsidRPr="003F3F6C" w:rsidTr="00AA020E">
        <w:tc>
          <w:tcPr>
            <w:tcW w:w="2802" w:type="dxa"/>
            <w:shd w:val="clear" w:color="auto" w:fill="auto"/>
          </w:tcPr>
          <w:p w:rsidR="0005113A" w:rsidRPr="003F3F6C" w:rsidRDefault="00DF6865" w:rsidP="00C85919">
            <w:pPr>
              <w:suppressAutoHyphens/>
              <w:spacing w:line="240" w:lineRule="atLeast"/>
              <w:jc w:val="left"/>
              <w:rPr>
                <w:rFonts w:eastAsia="Calibri"/>
                <w:sz w:val="22"/>
                <w:szCs w:val="22"/>
                <w:lang w:eastAsia="x-none"/>
              </w:rPr>
            </w:pPr>
            <w:r w:rsidRPr="003F3F6C">
              <w:rPr>
                <w:rFonts w:eastAsia="Calibri"/>
                <w:sz w:val="22"/>
                <w:szCs w:val="22"/>
                <w:lang w:eastAsia="x-none"/>
              </w:rPr>
              <w:t xml:space="preserve">Mean Inflammatory Lesion Count </w:t>
            </w:r>
            <w:r w:rsidR="0005113A" w:rsidRPr="003F3F6C">
              <w:rPr>
                <w:rFonts w:eastAsia="Calibri"/>
                <w:sz w:val="22"/>
                <w:szCs w:val="22"/>
                <w:lang w:eastAsia="x-none"/>
              </w:rPr>
              <w:t>at Week 12</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10.6</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18.5</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11.0</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18.8</w:t>
            </w:r>
          </w:p>
        </w:tc>
      </w:tr>
      <w:tr w:rsidR="0005113A" w:rsidRPr="003F3F6C" w:rsidTr="00AA020E">
        <w:tc>
          <w:tcPr>
            <w:tcW w:w="2802" w:type="dxa"/>
            <w:shd w:val="clear" w:color="auto" w:fill="auto"/>
          </w:tcPr>
          <w:p w:rsidR="0005113A" w:rsidRPr="003F3F6C" w:rsidRDefault="0005113A" w:rsidP="00B30318">
            <w:pPr>
              <w:suppressAutoHyphens/>
              <w:spacing w:line="240" w:lineRule="atLeast"/>
              <w:jc w:val="left"/>
              <w:rPr>
                <w:rFonts w:eastAsia="Calibri"/>
                <w:sz w:val="22"/>
                <w:szCs w:val="22"/>
                <w:lang w:eastAsia="x-none"/>
              </w:rPr>
            </w:pPr>
            <w:r w:rsidRPr="003F3F6C">
              <w:rPr>
                <w:rFonts w:eastAsia="Calibri"/>
                <w:sz w:val="22"/>
                <w:szCs w:val="22"/>
                <w:lang w:eastAsia="x-none"/>
              </w:rPr>
              <w:t>Mean Absolute Change in Inflammatory Lesion Count from Baseline at Week 12</w:t>
            </w:r>
            <w:r w:rsidR="00671137" w:rsidRPr="003F3F6C">
              <w:rPr>
                <w:rFonts w:eastAsia="Calibri"/>
                <w:sz w:val="22"/>
                <w:szCs w:val="22"/>
                <w:lang w:eastAsia="x-none"/>
              </w:rPr>
              <w:t xml:space="preserve"> ±SD</w:t>
            </w:r>
            <w:r w:rsidR="00B30318">
              <w:rPr>
                <w:rFonts w:eastAsia="Calibri"/>
                <w:sz w:val="22"/>
                <w:szCs w:val="22"/>
                <w:lang w:eastAsia="x-none"/>
              </w:rPr>
              <w:t xml:space="preserve"> (% Change)</w:t>
            </w:r>
          </w:p>
        </w:tc>
        <w:tc>
          <w:tcPr>
            <w:tcW w:w="1701"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-20.5</w:t>
            </w:r>
            <w:r w:rsidR="00671137" w:rsidRPr="003F3F6C">
              <w:rPr>
                <w:rFonts w:eastAsia="Calibri"/>
                <w:sz w:val="22"/>
                <w:szCs w:val="22"/>
                <w:lang w:eastAsia="x-none"/>
              </w:rPr>
              <w:t>±16.0</w:t>
            </w:r>
            <w:r w:rsidR="000D348D" w:rsidRPr="003F3F6C">
              <w:rPr>
                <w:rFonts w:eastAsia="Calibri"/>
                <w:sz w:val="22"/>
                <w:szCs w:val="22"/>
                <w:lang w:eastAsia="x-none"/>
              </w:rPr>
              <w:t>*</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(-64.9)</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-12.0</w:t>
            </w:r>
            <w:r w:rsidR="00671137" w:rsidRPr="003F3F6C">
              <w:rPr>
                <w:rFonts w:eastAsia="Calibri"/>
                <w:sz w:val="22"/>
                <w:szCs w:val="22"/>
                <w:lang w:eastAsia="x-none"/>
              </w:rPr>
              <w:t>±13.6</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(-41.6)</w:t>
            </w:r>
          </w:p>
        </w:tc>
        <w:tc>
          <w:tcPr>
            <w:tcW w:w="1843"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-22.2</w:t>
            </w:r>
            <w:r w:rsidR="00671137" w:rsidRPr="003F3F6C">
              <w:rPr>
                <w:rFonts w:eastAsia="Calibri"/>
                <w:sz w:val="22"/>
                <w:szCs w:val="22"/>
                <w:lang w:eastAsia="x-none"/>
              </w:rPr>
              <w:t>±14.9</w:t>
            </w:r>
            <w:r w:rsidR="000D348D" w:rsidRPr="003F3F6C">
              <w:rPr>
                <w:rFonts w:eastAsia="Calibri"/>
                <w:sz w:val="22"/>
                <w:szCs w:val="22"/>
                <w:lang w:eastAsia="x-none"/>
              </w:rPr>
              <w:t>*</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(-65.7)</w:t>
            </w:r>
          </w:p>
        </w:tc>
        <w:tc>
          <w:tcPr>
            <w:tcW w:w="1417" w:type="dxa"/>
            <w:shd w:val="clear" w:color="auto" w:fill="auto"/>
            <w:vAlign w:val="center"/>
          </w:tcPr>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-13.4</w:t>
            </w:r>
            <w:r w:rsidR="00671137" w:rsidRPr="003F3F6C">
              <w:rPr>
                <w:rFonts w:eastAsia="Calibri"/>
                <w:sz w:val="22"/>
                <w:szCs w:val="22"/>
                <w:lang w:eastAsia="x-none"/>
              </w:rPr>
              <w:t>±14.5</w:t>
            </w:r>
          </w:p>
          <w:p w:rsidR="0005113A" w:rsidRPr="003F3F6C" w:rsidRDefault="0005113A" w:rsidP="00AA020E">
            <w:pPr>
              <w:suppressAutoHyphens/>
              <w:spacing w:line="240" w:lineRule="atLeast"/>
              <w:jc w:val="center"/>
              <w:rPr>
                <w:rFonts w:eastAsia="Calibri"/>
                <w:sz w:val="22"/>
                <w:szCs w:val="22"/>
                <w:lang w:eastAsia="x-none"/>
              </w:rPr>
            </w:pPr>
            <w:r w:rsidRPr="003F3F6C">
              <w:rPr>
                <w:rFonts w:eastAsia="Calibri"/>
                <w:sz w:val="22"/>
                <w:szCs w:val="22"/>
                <w:lang w:eastAsia="x-none"/>
              </w:rPr>
              <w:t>(-43.4)</w:t>
            </w:r>
          </w:p>
        </w:tc>
      </w:tr>
      <w:tr w:rsidR="0086569C" w:rsidRPr="003F3F6C" w:rsidTr="00AA020E">
        <w:tc>
          <w:tcPr>
            <w:tcW w:w="2802" w:type="dxa"/>
            <w:shd w:val="clear" w:color="auto" w:fill="auto"/>
          </w:tcPr>
          <w:p w:rsidR="0086569C" w:rsidRPr="003F3F6C" w:rsidRDefault="00B30318" w:rsidP="00817F22">
            <w:pPr>
              <w:suppressAutoHyphens/>
              <w:spacing w:line="240" w:lineRule="atLeast"/>
              <w:jc w:val="left"/>
              <w:rPr>
                <w:rFonts w:eastAsia="Calibri"/>
                <w:sz w:val="22"/>
                <w:szCs w:val="22"/>
                <w:lang w:eastAsia="x-none"/>
              </w:rPr>
            </w:pPr>
            <w:r>
              <w:rPr>
                <w:rFonts w:eastAsia="Calibri"/>
                <w:sz w:val="22"/>
                <w:szCs w:val="22"/>
                <w:lang w:eastAsia="x-none"/>
              </w:rPr>
              <w:t xml:space="preserve">Least Square </w:t>
            </w:r>
            <w:r w:rsidR="0086569C" w:rsidRPr="003F3F6C">
              <w:rPr>
                <w:rFonts w:eastAsia="Calibri"/>
                <w:sz w:val="22"/>
                <w:szCs w:val="22"/>
                <w:lang w:eastAsia="x-none"/>
              </w:rPr>
              <w:t>Mean difference (95% CI)</w:t>
            </w:r>
          </w:p>
        </w:tc>
        <w:tc>
          <w:tcPr>
            <w:tcW w:w="3118"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-8.1 (-10.1, -6.1)</w:t>
            </w:r>
          </w:p>
        </w:tc>
        <w:tc>
          <w:tcPr>
            <w:tcW w:w="3260" w:type="dxa"/>
            <w:gridSpan w:val="2"/>
            <w:shd w:val="clear" w:color="auto" w:fill="auto"/>
            <w:vAlign w:val="center"/>
          </w:tcPr>
          <w:p w:rsidR="0086569C" w:rsidRPr="003F3F6C" w:rsidRDefault="0086569C" w:rsidP="00AA020E">
            <w:pPr>
              <w:suppressAutoHyphens/>
              <w:spacing w:line="240" w:lineRule="atLeast"/>
              <w:jc w:val="center"/>
              <w:rPr>
                <w:rFonts w:eastAsia="Calibri"/>
                <w:sz w:val="22"/>
                <w:szCs w:val="22"/>
                <w:lang w:eastAsia="x-none"/>
              </w:rPr>
            </w:pPr>
            <w:r w:rsidRPr="003F3F6C">
              <w:rPr>
                <w:rFonts w:eastAsia="Calibri"/>
                <w:sz w:val="22"/>
                <w:szCs w:val="22"/>
                <w:lang w:eastAsia="x-none"/>
              </w:rPr>
              <w:t>-8.2 (-10.2, -6.3)</w:t>
            </w:r>
          </w:p>
        </w:tc>
      </w:tr>
    </w:tbl>
    <w:p w:rsidR="0005113A" w:rsidRDefault="00671137" w:rsidP="0005113A">
      <w:pPr>
        <w:tabs>
          <w:tab w:val="left" w:pos="540"/>
        </w:tabs>
        <w:spacing w:line="240" w:lineRule="atLeast"/>
        <w:ind w:left="360" w:hanging="360"/>
        <w:rPr>
          <w:szCs w:val="22"/>
        </w:rPr>
      </w:pPr>
      <w:r w:rsidRPr="003F3F6C">
        <w:rPr>
          <w:szCs w:val="22"/>
        </w:rPr>
        <w:t>*p&lt;0.001 compared to vehicle</w:t>
      </w:r>
    </w:p>
    <w:p w:rsidR="00671137" w:rsidRDefault="00671137" w:rsidP="0005113A">
      <w:pPr>
        <w:tabs>
          <w:tab w:val="left" w:pos="540"/>
        </w:tabs>
        <w:spacing w:line="240" w:lineRule="atLeast"/>
        <w:ind w:left="360" w:hanging="360"/>
        <w:rPr>
          <w:szCs w:val="22"/>
        </w:rPr>
      </w:pPr>
    </w:p>
    <w:p w:rsidR="00597B4B" w:rsidRDefault="00597B4B" w:rsidP="00597B4B">
      <w:pPr>
        <w:tabs>
          <w:tab w:val="left" w:pos="540"/>
        </w:tabs>
        <w:spacing w:line="240" w:lineRule="atLeast"/>
        <w:rPr>
          <w:b/>
          <w:szCs w:val="22"/>
          <w:lang w:val="en-GB"/>
        </w:rPr>
      </w:pPr>
      <w:r w:rsidRPr="00597B4B">
        <w:rPr>
          <w:b/>
          <w:szCs w:val="22"/>
          <w:lang w:val="en-GB"/>
        </w:rPr>
        <w:t xml:space="preserve">Figures 1 and 2: IGA Success Rates </w:t>
      </w:r>
      <w:proofErr w:type="gramStart"/>
      <w:r w:rsidRPr="00597B4B">
        <w:rPr>
          <w:b/>
          <w:szCs w:val="22"/>
          <w:lang w:val="en-GB"/>
        </w:rPr>
        <w:t>Over</w:t>
      </w:r>
      <w:proofErr w:type="gramEnd"/>
      <w:r w:rsidRPr="00597B4B">
        <w:rPr>
          <w:b/>
          <w:szCs w:val="22"/>
          <w:lang w:val="en-GB"/>
        </w:rPr>
        <w:t xml:space="preserve"> Time in weeks </w:t>
      </w:r>
    </w:p>
    <w:p w:rsidR="00004205" w:rsidRPr="00597B4B" w:rsidRDefault="00004205" w:rsidP="00597B4B">
      <w:pPr>
        <w:tabs>
          <w:tab w:val="left" w:pos="540"/>
        </w:tabs>
        <w:spacing w:line="240" w:lineRule="atLeast"/>
        <w:rPr>
          <w:b/>
          <w:szCs w:val="22"/>
          <w:lang w:val="en-GB"/>
        </w:rPr>
      </w:pPr>
    </w:p>
    <w:p w:rsidR="00597B4B" w:rsidRPr="005112E3" w:rsidRDefault="00004205" w:rsidP="005112E3">
      <w:pPr>
        <w:tabs>
          <w:tab w:val="left" w:pos="540"/>
        </w:tabs>
        <w:spacing w:line="240" w:lineRule="atLeast"/>
        <w:jc w:val="center"/>
        <w:rPr>
          <w:b/>
          <w:szCs w:val="22"/>
          <w:lang w:val="en-GB"/>
        </w:rPr>
      </w:pPr>
      <w:r w:rsidRPr="005112E3">
        <w:rPr>
          <w:b/>
          <w:szCs w:val="22"/>
          <w:lang w:val="en-GB"/>
        </w:rPr>
        <w:t>Study 1</w:t>
      </w:r>
    </w:p>
    <w:p w:rsidR="00004205" w:rsidRDefault="00597B4B" w:rsidP="005112E3">
      <w:pPr>
        <w:tabs>
          <w:tab w:val="left" w:pos="540"/>
        </w:tabs>
        <w:spacing w:line="240" w:lineRule="atLeast"/>
        <w:jc w:val="center"/>
        <w:rPr>
          <w:b/>
          <w:szCs w:val="22"/>
          <w:lang w:val="en-GB"/>
        </w:rPr>
      </w:pPr>
      <w:r w:rsidRPr="00E226BC">
        <w:rPr>
          <w:b/>
          <w:noProof/>
          <w:szCs w:val="22"/>
          <w:lang w:val="en-AU" w:eastAsia="en-AU"/>
        </w:rPr>
        <w:lastRenderedPageBreak/>
        <w:drawing>
          <wp:inline distT="0" distB="0" distL="0" distR="0" wp14:anchorId="3BBE175C" wp14:editId="0692E683">
            <wp:extent cx="4107976" cy="2373189"/>
            <wp:effectExtent l="0" t="0" r="6985" b="82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09729" cy="2374201"/>
                    </a:xfrm>
                    <a:prstGeom prst="rect">
                      <a:avLst/>
                    </a:prstGeom>
                    <a:noFill/>
                    <a:ln>
                      <a:noFill/>
                    </a:ln>
                  </pic:spPr>
                </pic:pic>
              </a:graphicData>
            </a:graphic>
          </wp:inline>
        </w:drawing>
      </w:r>
    </w:p>
    <w:p w:rsidR="00004205" w:rsidRDefault="00004205" w:rsidP="00597B4B">
      <w:pPr>
        <w:tabs>
          <w:tab w:val="left" w:pos="540"/>
        </w:tabs>
        <w:spacing w:line="240" w:lineRule="atLeast"/>
        <w:rPr>
          <w:b/>
          <w:szCs w:val="22"/>
          <w:lang w:val="en-GB"/>
        </w:rPr>
      </w:pPr>
    </w:p>
    <w:p w:rsidR="00E226BC" w:rsidRDefault="00E226BC" w:rsidP="005112E3">
      <w:pPr>
        <w:tabs>
          <w:tab w:val="left" w:pos="540"/>
        </w:tabs>
        <w:spacing w:line="240" w:lineRule="atLeast"/>
        <w:jc w:val="center"/>
        <w:rPr>
          <w:b/>
          <w:szCs w:val="22"/>
          <w:lang w:val="en-GB"/>
        </w:rPr>
      </w:pPr>
    </w:p>
    <w:p w:rsidR="00E226BC" w:rsidRDefault="00E226BC" w:rsidP="005112E3">
      <w:pPr>
        <w:tabs>
          <w:tab w:val="left" w:pos="540"/>
        </w:tabs>
        <w:spacing w:line="240" w:lineRule="atLeast"/>
        <w:jc w:val="center"/>
        <w:rPr>
          <w:b/>
          <w:szCs w:val="22"/>
          <w:lang w:val="en-GB"/>
        </w:rPr>
      </w:pPr>
    </w:p>
    <w:p w:rsidR="00E226BC" w:rsidRDefault="00E226BC" w:rsidP="005112E3">
      <w:pPr>
        <w:tabs>
          <w:tab w:val="left" w:pos="540"/>
        </w:tabs>
        <w:spacing w:line="240" w:lineRule="atLeast"/>
        <w:jc w:val="center"/>
        <w:rPr>
          <w:b/>
          <w:szCs w:val="22"/>
          <w:lang w:val="en-GB"/>
        </w:rPr>
      </w:pPr>
    </w:p>
    <w:p w:rsidR="00E226BC" w:rsidRDefault="00E226BC" w:rsidP="005112E3">
      <w:pPr>
        <w:tabs>
          <w:tab w:val="left" w:pos="540"/>
        </w:tabs>
        <w:spacing w:line="240" w:lineRule="atLeast"/>
        <w:jc w:val="center"/>
        <w:rPr>
          <w:b/>
          <w:szCs w:val="22"/>
          <w:lang w:val="en-GB"/>
        </w:rPr>
      </w:pPr>
    </w:p>
    <w:p w:rsidR="00E226BC" w:rsidRDefault="00E226BC" w:rsidP="005112E3">
      <w:pPr>
        <w:tabs>
          <w:tab w:val="left" w:pos="540"/>
        </w:tabs>
        <w:spacing w:line="240" w:lineRule="atLeast"/>
        <w:jc w:val="center"/>
        <w:rPr>
          <w:b/>
          <w:szCs w:val="22"/>
          <w:lang w:val="en-GB"/>
        </w:rPr>
      </w:pPr>
    </w:p>
    <w:p w:rsidR="00E226BC" w:rsidRDefault="00E226BC" w:rsidP="005112E3">
      <w:pPr>
        <w:tabs>
          <w:tab w:val="left" w:pos="540"/>
        </w:tabs>
        <w:spacing w:line="240" w:lineRule="atLeast"/>
        <w:jc w:val="center"/>
        <w:rPr>
          <w:b/>
          <w:szCs w:val="22"/>
          <w:lang w:val="en-GB"/>
        </w:rPr>
      </w:pPr>
    </w:p>
    <w:p w:rsidR="00E226BC" w:rsidRDefault="00E226BC" w:rsidP="005112E3">
      <w:pPr>
        <w:tabs>
          <w:tab w:val="left" w:pos="540"/>
        </w:tabs>
        <w:spacing w:line="240" w:lineRule="atLeast"/>
        <w:jc w:val="center"/>
        <w:rPr>
          <w:b/>
          <w:szCs w:val="22"/>
          <w:lang w:val="en-GB"/>
        </w:rPr>
      </w:pPr>
    </w:p>
    <w:p w:rsidR="00E226BC" w:rsidRDefault="00E226BC" w:rsidP="005112E3">
      <w:pPr>
        <w:tabs>
          <w:tab w:val="left" w:pos="540"/>
        </w:tabs>
        <w:spacing w:line="240" w:lineRule="atLeast"/>
        <w:jc w:val="center"/>
        <w:rPr>
          <w:b/>
          <w:szCs w:val="22"/>
          <w:lang w:val="en-GB"/>
        </w:rPr>
      </w:pPr>
    </w:p>
    <w:p w:rsidR="00004205" w:rsidRDefault="00004205" w:rsidP="005112E3">
      <w:pPr>
        <w:tabs>
          <w:tab w:val="left" w:pos="540"/>
        </w:tabs>
        <w:spacing w:line="240" w:lineRule="atLeast"/>
        <w:jc w:val="center"/>
        <w:rPr>
          <w:b/>
          <w:szCs w:val="22"/>
          <w:lang w:val="en-GB"/>
        </w:rPr>
      </w:pPr>
      <w:r>
        <w:rPr>
          <w:b/>
          <w:szCs w:val="22"/>
          <w:lang w:val="en-GB"/>
        </w:rPr>
        <w:t>Study 2</w:t>
      </w:r>
    </w:p>
    <w:p w:rsidR="00E226BC" w:rsidRDefault="00597B4B" w:rsidP="005112E3">
      <w:pPr>
        <w:tabs>
          <w:tab w:val="left" w:pos="540"/>
        </w:tabs>
        <w:spacing w:line="240" w:lineRule="atLeast"/>
        <w:jc w:val="center"/>
        <w:rPr>
          <w:b/>
          <w:szCs w:val="22"/>
          <w:lang w:val="en-GB"/>
        </w:rPr>
      </w:pPr>
      <w:r w:rsidRPr="00E226BC">
        <w:rPr>
          <w:b/>
          <w:noProof/>
          <w:szCs w:val="22"/>
          <w:lang w:val="en-AU" w:eastAsia="en-AU"/>
        </w:rPr>
        <w:drawing>
          <wp:inline distT="0" distB="0" distL="0" distR="0" wp14:anchorId="70A3176E" wp14:editId="3BC6C661">
            <wp:extent cx="4612943" cy="274541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8960" cy="2754952"/>
                    </a:xfrm>
                    <a:prstGeom prst="rect">
                      <a:avLst/>
                    </a:prstGeom>
                    <a:noFill/>
                    <a:ln>
                      <a:noFill/>
                    </a:ln>
                  </pic:spPr>
                </pic:pic>
              </a:graphicData>
            </a:graphic>
          </wp:inline>
        </w:drawing>
      </w:r>
    </w:p>
    <w:p w:rsidR="00E226BC" w:rsidRDefault="00E226BC" w:rsidP="00E226BC">
      <w:pPr>
        <w:rPr>
          <w:szCs w:val="22"/>
          <w:lang w:val="en-GB"/>
        </w:rPr>
      </w:pPr>
    </w:p>
    <w:p w:rsidR="00035FCA" w:rsidRDefault="00035FCA" w:rsidP="00E226BC">
      <w:pPr>
        <w:keepNext/>
        <w:keepLines/>
        <w:tabs>
          <w:tab w:val="left" w:pos="540"/>
        </w:tabs>
        <w:spacing w:line="240" w:lineRule="atLeast"/>
        <w:rPr>
          <w:b/>
          <w:szCs w:val="22"/>
          <w:lang w:val="en-GB"/>
        </w:rPr>
      </w:pPr>
    </w:p>
    <w:p w:rsidR="00E226BC" w:rsidRDefault="00E226BC" w:rsidP="00E226BC">
      <w:pPr>
        <w:keepNext/>
        <w:keepLines/>
        <w:tabs>
          <w:tab w:val="left" w:pos="540"/>
        </w:tabs>
        <w:spacing w:line="240" w:lineRule="atLeast"/>
        <w:rPr>
          <w:b/>
          <w:szCs w:val="22"/>
          <w:lang w:val="en-GB"/>
        </w:rPr>
      </w:pPr>
      <w:r w:rsidRPr="00597B4B">
        <w:rPr>
          <w:b/>
          <w:szCs w:val="22"/>
          <w:lang w:val="en-GB"/>
        </w:rPr>
        <w:t xml:space="preserve">Figures 3 and 4: Mean Absolute Change in Inflammatory Lesion Counts from Baseline </w:t>
      </w:r>
      <w:proofErr w:type="gramStart"/>
      <w:r w:rsidRPr="00597B4B">
        <w:rPr>
          <w:b/>
          <w:szCs w:val="22"/>
          <w:lang w:val="en-GB"/>
        </w:rPr>
        <w:t>Over</w:t>
      </w:r>
      <w:proofErr w:type="gramEnd"/>
      <w:r w:rsidRPr="00597B4B">
        <w:rPr>
          <w:b/>
          <w:szCs w:val="22"/>
          <w:lang w:val="en-GB"/>
        </w:rPr>
        <w:t xml:space="preserve"> Time in weeks</w:t>
      </w:r>
    </w:p>
    <w:p w:rsidR="00035FCA" w:rsidRPr="00597B4B" w:rsidRDefault="00035FCA" w:rsidP="00E226BC">
      <w:pPr>
        <w:keepNext/>
        <w:keepLines/>
        <w:tabs>
          <w:tab w:val="left" w:pos="540"/>
        </w:tabs>
        <w:spacing w:line="240" w:lineRule="atLeast"/>
        <w:rPr>
          <w:b/>
          <w:szCs w:val="22"/>
          <w:lang w:val="en-GB"/>
        </w:rPr>
      </w:pPr>
    </w:p>
    <w:p w:rsidR="00597B4B" w:rsidRDefault="00597B4B" w:rsidP="00E226BC">
      <w:pPr>
        <w:tabs>
          <w:tab w:val="left" w:pos="5685"/>
        </w:tabs>
        <w:rPr>
          <w:szCs w:val="22"/>
          <w:lang w:val="en-GB"/>
        </w:rPr>
      </w:pPr>
    </w:p>
    <w:p w:rsidR="00E226BC" w:rsidRPr="00597B4B" w:rsidRDefault="00E226BC" w:rsidP="00E226BC">
      <w:pPr>
        <w:keepNext/>
        <w:keepLines/>
        <w:tabs>
          <w:tab w:val="left" w:pos="540"/>
        </w:tabs>
        <w:spacing w:line="240" w:lineRule="atLeast"/>
        <w:jc w:val="center"/>
        <w:rPr>
          <w:b/>
          <w:szCs w:val="22"/>
          <w:lang w:val="en-GB"/>
        </w:rPr>
      </w:pPr>
      <w:r>
        <w:rPr>
          <w:b/>
          <w:szCs w:val="22"/>
          <w:lang w:val="en-GB"/>
        </w:rPr>
        <w:lastRenderedPageBreak/>
        <w:t>Study 1</w:t>
      </w:r>
    </w:p>
    <w:p w:rsidR="00004205" w:rsidRPr="00E226BC" w:rsidRDefault="00E226BC" w:rsidP="00E226BC">
      <w:pPr>
        <w:tabs>
          <w:tab w:val="left" w:pos="5685"/>
        </w:tabs>
        <w:jc w:val="center"/>
        <w:rPr>
          <w:szCs w:val="22"/>
          <w:lang w:val="en-GB"/>
        </w:rPr>
      </w:pPr>
      <w:r w:rsidRPr="00E226BC">
        <w:rPr>
          <w:b/>
          <w:noProof/>
          <w:szCs w:val="22"/>
          <w:lang w:val="en-AU" w:eastAsia="en-AU"/>
        </w:rPr>
        <w:drawing>
          <wp:inline distT="0" distB="0" distL="0" distR="0" wp14:anchorId="79721771" wp14:editId="28FA380C">
            <wp:extent cx="4708478" cy="2720100"/>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0" cy="2714624"/>
                    </a:xfrm>
                    <a:prstGeom prst="rect">
                      <a:avLst/>
                    </a:prstGeom>
                    <a:noFill/>
                    <a:ln>
                      <a:noFill/>
                    </a:ln>
                  </pic:spPr>
                </pic:pic>
              </a:graphicData>
            </a:graphic>
          </wp:inline>
        </w:drawing>
      </w:r>
    </w:p>
    <w:p w:rsidR="00004205" w:rsidRDefault="00004205" w:rsidP="005112E3">
      <w:pPr>
        <w:keepNext/>
        <w:keepLines/>
        <w:tabs>
          <w:tab w:val="left" w:pos="540"/>
        </w:tabs>
        <w:spacing w:line="240" w:lineRule="atLeast"/>
        <w:rPr>
          <w:b/>
          <w:szCs w:val="22"/>
          <w:lang w:val="en-GB"/>
        </w:rPr>
      </w:pPr>
    </w:p>
    <w:p w:rsidR="00004205" w:rsidRDefault="00004205" w:rsidP="00E226BC">
      <w:pPr>
        <w:keepNext/>
        <w:keepLines/>
        <w:tabs>
          <w:tab w:val="left" w:pos="540"/>
        </w:tabs>
        <w:spacing w:line="240" w:lineRule="atLeast"/>
        <w:jc w:val="center"/>
        <w:rPr>
          <w:b/>
          <w:szCs w:val="22"/>
          <w:lang w:val="en-GB"/>
        </w:rPr>
      </w:pPr>
      <w:r>
        <w:rPr>
          <w:b/>
          <w:szCs w:val="22"/>
          <w:lang w:val="en-GB"/>
        </w:rPr>
        <w:t>Study 2</w:t>
      </w:r>
    </w:p>
    <w:p w:rsidR="00597B4B" w:rsidRPr="00597B4B" w:rsidRDefault="00597B4B" w:rsidP="005112E3">
      <w:pPr>
        <w:keepNext/>
        <w:keepLines/>
        <w:tabs>
          <w:tab w:val="left" w:pos="540"/>
        </w:tabs>
        <w:spacing w:line="240" w:lineRule="atLeast"/>
        <w:jc w:val="center"/>
        <w:rPr>
          <w:b/>
          <w:szCs w:val="22"/>
          <w:lang w:val="en-GB"/>
        </w:rPr>
      </w:pPr>
      <w:r w:rsidRPr="00E226BC">
        <w:rPr>
          <w:b/>
          <w:noProof/>
          <w:szCs w:val="22"/>
          <w:lang w:val="en-AU" w:eastAsia="en-AU"/>
        </w:rPr>
        <w:drawing>
          <wp:inline distT="0" distB="0" distL="0" distR="0" wp14:anchorId="141693A4" wp14:editId="412AA596">
            <wp:extent cx="4708478" cy="2831673"/>
            <wp:effectExtent l="0" t="0" r="0" b="698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99160" cy="2826069"/>
                    </a:xfrm>
                    <a:prstGeom prst="rect">
                      <a:avLst/>
                    </a:prstGeom>
                    <a:noFill/>
                    <a:ln>
                      <a:noFill/>
                    </a:ln>
                  </pic:spPr>
                </pic:pic>
              </a:graphicData>
            </a:graphic>
          </wp:inline>
        </w:drawing>
      </w:r>
    </w:p>
    <w:p w:rsidR="00671137" w:rsidRPr="005045B0" w:rsidRDefault="00671137" w:rsidP="003F3F6C">
      <w:pPr>
        <w:tabs>
          <w:tab w:val="left" w:pos="540"/>
        </w:tabs>
        <w:spacing w:line="240" w:lineRule="atLeast"/>
        <w:rPr>
          <w:szCs w:val="22"/>
        </w:rPr>
      </w:pPr>
    </w:p>
    <w:p w:rsidR="0005113A" w:rsidRPr="005045B0" w:rsidRDefault="0005113A" w:rsidP="003437A6">
      <w:pPr>
        <w:rPr>
          <w:noProof/>
        </w:rPr>
      </w:pPr>
    </w:p>
    <w:p w:rsidR="0005113A" w:rsidRPr="005045B0" w:rsidRDefault="0005113A" w:rsidP="003437A6">
      <w:pPr>
        <w:rPr>
          <w:noProof/>
        </w:rPr>
      </w:pPr>
      <w:r w:rsidRPr="005045B0">
        <w:rPr>
          <w:noProof/>
        </w:rPr>
        <w:t xml:space="preserve">IGA </w:t>
      </w:r>
      <w:r>
        <w:rPr>
          <w:noProof/>
        </w:rPr>
        <w:t xml:space="preserve">was assessed during the </w:t>
      </w:r>
      <w:r w:rsidRPr="005045B0">
        <w:rPr>
          <w:noProof/>
        </w:rPr>
        <w:t xml:space="preserve">40-week extension of the two clinical studies and the percentages of </w:t>
      </w:r>
      <w:r w:rsidR="00182021">
        <w:rPr>
          <w:noProof/>
        </w:rPr>
        <w:t>participants</w:t>
      </w:r>
      <w:r w:rsidRPr="005045B0">
        <w:rPr>
          <w:noProof/>
        </w:rPr>
        <w:t xml:space="preserve"> treated with S</w:t>
      </w:r>
      <w:r w:rsidR="00C804E8">
        <w:rPr>
          <w:noProof/>
        </w:rPr>
        <w:t>OOLANTRA</w:t>
      </w:r>
      <w:r w:rsidRPr="005045B0">
        <w:rPr>
          <w:noProof/>
        </w:rPr>
        <w:t xml:space="preserve"> achieving an IGA score of 0 or 1 continued to increase up to Week 52. The Success Rate (IGA=0 or 1) at Week 52 was 71% and 76% in Studies 1 and 2, respectively.</w:t>
      </w:r>
    </w:p>
    <w:p w:rsidR="0005113A" w:rsidRPr="005045B0" w:rsidRDefault="0005113A" w:rsidP="003437A6">
      <w:pPr>
        <w:rPr>
          <w:noProof/>
        </w:rPr>
      </w:pPr>
    </w:p>
    <w:p w:rsidR="0005113A" w:rsidRDefault="0005113A" w:rsidP="003437A6">
      <w:r w:rsidRPr="003F3F6C">
        <w:t xml:space="preserve">The efficacy and safety of </w:t>
      </w:r>
      <w:r w:rsidR="00D921AA" w:rsidRPr="003F3F6C">
        <w:t xml:space="preserve">topical ivermectin </w:t>
      </w:r>
      <w:r w:rsidRPr="003F3F6C">
        <w:t>in the treatment of inflammatory lesions of rosacea w</w:t>
      </w:r>
      <w:r w:rsidR="00D921AA" w:rsidRPr="003F3F6C">
        <w:t>as</w:t>
      </w:r>
      <w:r w:rsidRPr="003F3F6C">
        <w:t xml:space="preserve"> also evaluated in a </w:t>
      </w:r>
      <w:proofErr w:type="spellStart"/>
      <w:r w:rsidRPr="003F3F6C">
        <w:t>randomised</w:t>
      </w:r>
      <w:proofErr w:type="spellEnd"/>
      <w:r w:rsidRPr="003F3F6C">
        <w:t>, investigator-blinded, active-controlled clinical study.</w:t>
      </w:r>
      <w:r w:rsidRPr="00F161BE">
        <w:t xml:space="preserve"> </w:t>
      </w:r>
      <w:r w:rsidR="00906995">
        <w:t>S</w:t>
      </w:r>
      <w:r w:rsidRPr="00F161BE">
        <w:t>tudy</w:t>
      </w:r>
      <w:r w:rsidR="00906995">
        <w:t xml:space="preserve"> 3</w:t>
      </w:r>
      <w:r w:rsidRPr="00F161BE">
        <w:t xml:space="preserve"> was conducted in 962 </w:t>
      </w:r>
      <w:r w:rsidR="00D921AA" w:rsidRPr="003F3F6C">
        <w:t>participants</w:t>
      </w:r>
      <w:r w:rsidRPr="00F161BE">
        <w:t xml:space="preserve"> aged</w:t>
      </w:r>
      <w:r w:rsidRPr="005045B0">
        <w:t xml:space="preserve"> 18 years and older who were treated for 16 weeks with either </w:t>
      </w:r>
      <w:r w:rsidR="00396CD7">
        <w:rPr>
          <w:noProof/>
        </w:rPr>
        <w:t>SOOLANTRA</w:t>
      </w:r>
      <w:r w:rsidRPr="005045B0">
        <w:t xml:space="preserve"> once daily or Metronidazole 7.5 mg/g</w:t>
      </w:r>
      <w:r w:rsidR="000C4EDB" w:rsidRPr="005045B0">
        <w:t> cream</w:t>
      </w:r>
      <w:r w:rsidRPr="005045B0">
        <w:t xml:space="preserve"> twice daily. In this study, 99.7% of </w:t>
      </w:r>
      <w:r w:rsidR="004F28A7">
        <w:t>participants</w:t>
      </w:r>
      <w:r w:rsidRPr="005045B0">
        <w:t xml:space="preserve"> were Caucasian and 65.2% were female; on the </w:t>
      </w:r>
      <w:r w:rsidRPr="005045B0">
        <w:lastRenderedPageBreak/>
        <w:t xml:space="preserve">IGA scale, 83.3% of </w:t>
      </w:r>
      <w:r w:rsidR="004F28A7">
        <w:t>participants</w:t>
      </w:r>
      <w:r w:rsidRPr="005045B0">
        <w:t xml:space="preserve"> were scored as moderate (IGA=3) and 16.7% scored as severe (IGA=4) at baseline</w:t>
      </w:r>
      <w:r>
        <w:t xml:space="preserve"> (see figure </w:t>
      </w:r>
      <w:r w:rsidR="00DF6865">
        <w:t>5</w:t>
      </w:r>
      <w:r w:rsidRPr="005045B0">
        <w:t>).</w:t>
      </w:r>
    </w:p>
    <w:p w:rsidR="00DF6865" w:rsidRPr="005045B0" w:rsidRDefault="00DF6865" w:rsidP="003437A6"/>
    <w:p w:rsidR="0005113A" w:rsidRPr="005045B0" w:rsidRDefault="0005113A" w:rsidP="003437A6">
      <w:r w:rsidRPr="005045B0">
        <w:t xml:space="preserve">The results of </w:t>
      </w:r>
      <w:r w:rsidR="00906995">
        <w:t>S</w:t>
      </w:r>
      <w:r w:rsidRPr="005045B0">
        <w:t xml:space="preserve">tudy </w:t>
      </w:r>
      <w:r w:rsidR="00906995">
        <w:t xml:space="preserve">3 </w:t>
      </w:r>
      <w:r w:rsidRPr="005045B0">
        <w:t xml:space="preserve">demonstrated that </w:t>
      </w:r>
      <w:r w:rsidR="00396CD7">
        <w:rPr>
          <w:noProof/>
        </w:rPr>
        <w:t>SOOLANTRA</w:t>
      </w:r>
      <w:r w:rsidRPr="005045B0">
        <w:t xml:space="preserve"> was statistically more effective than Metronidazole 7.5 mg/g cream on the primary efficacy endpoint (Mean Percent Change in Inflammatory Lesion Counts) with a reduction of 83.0% and 73.7% from baseline after 16 weeks of treatment for the ivermectin and metronidazole groups respectively (p&lt;0.001)</w:t>
      </w:r>
      <w:r>
        <w:t>.</w:t>
      </w:r>
      <w:r w:rsidRPr="005045B0">
        <w:t xml:space="preserve"> The s</w:t>
      </w:r>
      <w:r>
        <w:t xml:space="preserve">uperiority of </w:t>
      </w:r>
      <w:r w:rsidR="00396CD7">
        <w:rPr>
          <w:noProof/>
        </w:rPr>
        <w:t>SOOLANTRA</w:t>
      </w:r>
      <w:r>
        <w:t xml:space="preserve"> at Week </w:t>
      </w:r>
      <w:r w:rsidRPr="005045B0">
        <w:t>16 was confirmed on Success Rate based on IGA and Absolute Change in Inflammatory Lesion Counts (secondary endpoint</w:t>
      </w:r>
      <w:r w:rsidRPr="003F3F6C">
        <w:t xml:space="preserve">s </w:t>
      </w:r>
      <w:r w:rsidRPr="005045B0">
        <w:t>(p&lt;0.001).</w:t>
      </w:r>
    </w:p>
    <w:p w:rsidR="006C4A8D" w:rsidRDefault="006C4A8D" w:rsidP="006C4A8D">
      <w:pPr>
        <w:rPr>
          <w:szCs w:val="20"/>
          <w:lang w:val="en-AU" w:eastAsia="en-AU"/>
        </w:rPr>
      </w:pPr>
    </w:p>
    <w:p w:rsidR="00725C4C" w:rsidRDefault="00725C4C" w:rsidP="006C4A8D">
      <w:pPr>
        <w:rPr>
          <w:szCs w:val="20"/>
          <w:lang w:val="en-AU" w:eastAsia="en-AU"/>
        </w:rPr>
      </w:pPr>
    </w:p>
    <w:p w:rsidR="0005113A" w:rsidRPr="00906995" w:rsidRDefault="0005113A" w:rsidP="007313C0">
      <w:pPr>
        <w:keepNext/>
        <w:keepLines/>
        <w:autoSpaceDE w:val="0"/>
        <w:autoSpaceDN w:val="0"/>
        <w:rPr>
          <w:b/>
        </w:rPr>
      </w:pPr>
      <w:r w:rsidRPr="00906995">
        <w:rPr>
          <w:b/>
        </w:rPr>
        <w:t>Figure </w:t>
      </w:r>
      <w:r w:rsidR="00DF6865" w:rsidRPr="00906995">
        <w:rPr>
          <w:b/>
        </w:rPr>
        <w:t>5</w:t>
      </w:r>
      <w:r w:rsidR="00725C4C" w:rsidRPr="00906995">
        <w:rPr>
          <w:b/>
        </w:rPr>
        <w:t xml:space="preserve"> </w:t>
      </w:r>
      <w:r w:rsidRPr="00906995">
        <w:rPr>
          <w:b/>
        </w:rPr>
        <w:t xml:space="preserve">Mean percent change </w:t>
      </w:r>
      <w:r w:rsidR="00597B4B">
        <w:rPr>
          <w:b/>
        </w:rPr>
        <w:t>over time in weeks</w:t>
      </w:r>
      <w:r w:rsidR="00906995">
        <w:rPr>
          <w:b/>
        </w:rPr>
        <w:t xml:space="preserve"> in Study 3</w:t>
      </w:r>
      <w:r w:rsidR="000F4CA3">
        <w:rPr>
          <w:b/>
        </w:rPr>
        <w:t xml:space="preserve"> of SOOLANTRA compared to metronidazole 7.5 mg/g cream.</w:t>
      </w:r>
    </w:p>
    <w:p w:rsidR="0005113A" w:rsidRDefault="00441CEC" w:rsidP="007313C0">
      <w:pPr>
        <w:keepNext/>
        <w:keepLines/>
        <w:jc w:val="center"/>
      </w:pPr>
      <w:r w:rsidRPr="00441CEC">
        <w:rPr>
          <w:rFonts w:eastAsia="Times New Roman"/>
          <w:snapToGrid w:val="0"/>
          <w:w w:val="0"/>
          <w:sz w:val="0"/>
          <w:szCs w:val="0"/>
          <w:u w:color="000000"/>
          <w:bdr w:val="none" w:sz="0" w:space="0" w:color="000000"/>
          <w:shd w:val="clear" w:color="000000" w:fill="000000"/>
          <w:lang w:val="x-none" w:eastAsia="x-none" w:bidi="x-none"/>
        </w:rPr>
        <w:t xml:space="preserve"> </w:t>
      </w:r>
    </w:p>
    <w:p w:rsidR="00597B4B" w:rsidRDefault="00597B4B" w:rsidP="007313C0">
      <w:pPr>
        <w:keepNext/>
        <w:keepLines/>
        <w:tabs>
          <w:tab w:val="left" w:pos="708"/>
        </w:tabs>
        <w:rPr>
          <w:szCs w:val="20"/>
        </w:rPr>
      </w:pPr>
      <w:r>
        <w:rPr>
          <w:noProof/>
          <w:lang w:val="en-AU" w:eastAsia="en-AU"/>
        </w:rPr>
        <w:drawing>
          <wp:inline distT="0" distB="0" distL="0" distR="0" wp14:anchorId="1C1F4F60" wp14:editId="7834CE38">
            <wp:extent cx="5704764" cy="3292464"/>
            <wp:effectExtent l="0" t="0" r="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0668" cy="3301643"/>
                    </a:xfrm>
                    <a:prstGeom prst="rect">
                      <a:avLst/>
                    </a:prstGeom>
                    <a:noFill/>
                    <a:ln>
                      <a:noFill/>
                    </a:ln>
                  </pic:spPr>
                </pic:pic>
              </a:graphicData>
            </a:graphic>
          </wp:inline>
        </w:drawing>
      </w:r>
    </w:p>
    <w:p w:rsidR="0005113A" w:rsidRPr="005045B0" w:rsidRDefault="0005113A" w:rsidP="0005113A">
      <w:pPr>
        <w:tabs>
          <w:tab w:val="left" w:pos="540"/>
        </w:tabs>
        <w:spacing w:line="240" w:lineRule="atLeast"/>
        <w:ind w:left="360" w:hanging="360"/>
        <w:rPr>
          <w:noProof/>
          <w:szCs w:val="22"/>
        </w:rPr>
      </w:pPr>
    </w:p>
    <w:p w:rsidR="001A3430" w:rsidRDefault="001A3430" w:rsidP="0005113A">
      <w:pPr>
        <w:tabs>
          <w:tab w:val="left" w:pos="540"/>
        </w:tabs>
        <w:spacing w:line="240" w:lineRule="atLeast"/>
        <w:rPr>
          <w:bCs/>
          <w:iCs/>
          <w:szCs w:val="22"/>
        </w:rPr>
      </w:pPr>
    </w:p>
    <w:p w:rsidR="0005113A" w:rsidRPr="005045B0" w:rsidRDefault="0005113A" w:rsidP="0005113A">
      <w:pPr>
        <w:tabs>
          <w:tab w:val="left" w:pos="540"/>
        </w:tabs>
        <w:spacing w:line="240" w:lineRule="atLeast"/>
        <w:rPr>
          <w:bCs/>
          <w:iCs/>
          <w:szCs w:val="22"/>
        </w:rPr>
      </w:pPr>
      <w:r w:rsidRPr="005045B0">
        <w:rPr>
          <w:bCs/>
          <w:iCs/>
          <w:szCs w:val="22"/>
        </w:rPr>
        <w:t>The safety profile</w:t>
      </w:r>
      <w:r w:rsidR="0035757C">
        <w:rPr>
          <w:bCs/>
          <w:iCs/>
          <w:szCs w:val="22"/>
        </w:rPr>
        <w:t xml:space="preserve"> </w:t>
      </w:r>
      <w:r w:rsidRPr="005045B0">
        <w:rPr>
          <w:bCs/>
          <w:iCs/>
          <w:szCs w:val="22"/>
        </w:rPr>
        <w:t xml:space="preserve">remained stable </w:t>
      </w:r>
      <w:r w:rsidR="00FE59FB">
        <w:rPr>
          <w:bCs/>
          <w:iCs/>
          <w:szCs w:val="22"/>
        </w:rPr>
        <w:t xml:space="preserve">with </w:t>
      </w:r>
      <w:r w:rsidRPr="005045B0">
        <w:rPr>
          <w:bCs/>
          <w:iCs/>
          <w:szCs w:val="22"/>
        </w:rPr>
        <w:t xml:space="preserve">long-term use </w:t>
      </w:r>
      <w:r w:rsidR="00354C80">
        <w:rPr>
          <w:bCs/>
          <w:iCs/>
          <w:szCs w:val="22"/>
        </w:rPr>
        <w:t xml:space="preserve">for </w:t>
      </w:r>
      <w:r w:rsidRPr="005045B0">
        <w:rPr>
          <w:bCs/>
          <w:iCs/>
          <w:szCs w:val="22"/>
        </w:rPr>
        <w:t>up to one year</w:t>
      </w:r>
      <w:r w:rsidR="0035757C">
        <w:rPr>
          <w:bCs/>
          <w:iCs/>
          <w:szCs w:val="22"/>
        </w:rPr>
        <w:t xml:space="preserve"> (see ADVERSE EFFECTS)</w:t>
      </w:r>
      <w:r w:rsidRPr="005045B0">
        <w:rPr>
          <w:bCs/>
          <w:iCs/>
          <w:szCs w:val="22"/>
        </w:rPr>
        <w:t>.</w:t>
      </w:r>
    </w:p>
    <w:p w:rsidR="006C4A8D" w:rsidRDefault="006C4A8D" w:rsidP="006C4A8D">
      <w:pPr>
        <w:rPr>
          <w:szCs w:val="22"/>
        </w:rPr>
      </w:pPr>
    </w:p>
    <w:p w:rsidR="00481CFF" w:rsidRDefault="00481CFF" w:rsidP="00481CFF">
      <w:pPr>
        <w:rPr>
          <w:szCs w:val="22"/>
        </w:rPr>
      </w:pPr>
    </w:p>
    <w:p w:rsidR="00481CFF" w:rsidRPr="00396CD7" w:rsidRDefault="00396CD7" w:rsidP="00C804E8">
      <w:pPr>
        <w:pStyle w:val="Heading2"/>
        <w:rPr>
          <w:lang w:val="en-AU"/>
        </w:rPr>
      </w:pPr>
      <w:r>
        <w:rPr>
          <w:lang w:val="en-AU"/>
        </w:rPr>
        <w:t xml:space="preserve">INDICATIONS </w:t>
      </w:r>
    </w:p>
    <w:p w:rsidR="005B024F" w:rsidRDefault="005B024F" w:rsidP="005B024F">
      <w:pPr>
        <w:rPr>
          <w:noProof/>
          <w:szCs w:val="22"/>
        </w:rPr>
      </w:pPr>
      <w:r w:rsidRPr="005045B0">
        <w:rPr>
          <w:noProof/>
          <w:szCs w:val="22"/>
        </w:rPr>
        <w:t>S</w:t>
      </w:r>
      <w:r w:rsidR="006C4A8D">
        <w:rPr>
          <w:noProof/>
          <w:szCs w:val="22"/>
        </w:rPr>
        <w:t>OOLANTRA</w:t>
      </w:r>
      <w:r w:rsidRPr="005045B0">
        <w:rPr>
          <w:noProof/>
          <w:szCs w:val="22"/>
        </w:rPr>
        <w:t xml:space="preserve"> is indicated for the </w:t>
      </w:r>
      <w:r w:rsidR="00031028">
        <w:rPr>
          <w:noProof/>
          <w:szCs w:val="22"/>
        </w:rPr>
        <w:t xml:space="preserve">topical </w:t>
      </w:r>
      <w:r w:rsidRPr="005045B0">
        <w:rPr>
          <w:noProof/>
          <w:szCs w:val="22"/>
        </w:rPr>
        <w:t>treatment of inflammatory lesions of rosacea</w:t>
      </w:r>
      <w:r w:rsidR="008F3A9A">
        <w:rPr>
          <w:noProof/>
          <w:szCs w:val="22"/>
        </w:rPr>
        <w:t xml:space="preserve"> (papulo-pustular) </w:t>
      </w:r>
      <w:r w:rsidRPr="005045B0">
        <w:rPr>
          <w:noProof/>
          <w:szCs w:val="22"/>
        </w:rPr>
        <w:t xml:space="preserve"> in adult patients</w:t>
      </w:r>
      <w:r w:rsidR="008F3A9A">
        <w:rPr>
          <w:noProof/>
          <w:szCs w:val="22"/>
        </w:rPr>
        <w:t xml:space="preserve"> 18 years and over</w:t>
      </w:r>
      <w:r w:rsidRPr="005045B0">
        <w:rPr>
          <w:noProof/>
          <w:szCs w:val="22"/>
        </w:rPr>
        <w:t>.</w:t>
      </w:r>
    </w:p>
    <w:p w:rsidR="00481CFF" w:rsidRDefault="00481CFF" w:rsidP="00481CFF">
      <w:pPr>
        <w:rPr>
          <w:highlight w:val="yellow"/>
          <w:lang w:val="en-AU"/>
        </w:rPr>
      </w:pPr>
    </w:p>
    <w:p w:rsidR="00396CD7" w:rsidRPr="001F197D" w:rsidRDefault="00396CD7" w:rsidP="00481CFF">
      <w:pPr>
        <w:rPr>
          <w:highlight w:val="yellow"/>
          <w:lang w:val="en-AU"/>
        </w:rPr>
      </w:pPr>
    </w:p>
    <w:p w:rsidR="00481CFF" w:rsidRPr="00396CD7" w:rsidRDefault="006C4A8D" w:rsidP="00C804E8">
      <w:pPr>
        <w:pStyle w:val="Heading2"/>
        <w:rPr>
          <w:lang w:val="en-AU"/>
        </w:rPr>
      </w:pPr>
      <w:r>
        <w:rPr>
          <w:lang w:val="en-AU"/>
        </w:rPr>
        <w:t>CONTRA</w:t>
      </w:r>
      <w:r w:rsidR="00396CD7">
        <w:rPr>
          <w:lang w:val="en-AU"/>
        </w:rPr>
        <w:t xml:space="preserve">INDICATIONS </w:t>
      </w:r>
    </w:p>
    <w:p w:rsidR="00481CFF" w:rsidRPr="001F197D" w:rsidRDefault="00481CFF" w:rsidP="00481CFF">
      <w:pPr>
        <w:ind w:right="56"/>
        <w:rPr>
          <w:lang w:val="en-AU"/>
        </w:rPr>
      </w:pPr>
      <w:proofErr w:type="gramStart"/>
      <w:r w:rsidRPr="001F197D">
        <w:rPr>
          <w:lang w:val="en-AU"/>
        </w:rPr>
        <w:t>Hypersensitivity to the active substance or to any of the excipients.</w:t>
      </w:r>
      <w:proofErr w:type="gramEnd"/>
      <w:r w:rsidRPr="001F197D">
        <w:rPr>
          <w:lang w:val="en-AU"/>
        </w:rPr>
        <w:t xml:space="preserve"> </w:t>
      </w:r>
    </w:p>
    <w:p w:rsidR="00481CFF" w:rsidRDefault="00481CFF" w:rsidP="00481CFF"/>
    <w:p w:rsidR="00481CFF" w:rsidRDefault="00481CFF" w:rsidP="00481CFF"/>
    <w:p w:rsidR="007F633D" w:rsidRPr="006350CC" w:rsidRDefault="00396CD7" w:rsidP="006350CC">
      <w:pPr>
        <w:pStyle w:val="Heading2"/>
        <w:rPr>
          <w:lang w:val="en-AU"/>
        </w:rPr>
      </w:pPr>
      <w:r w:rsidRPr="006350CC">
        <w:rPr>
          <w:lang w:val="en-AU"/>
        </w:rPr>
        <w:lastRenderedPageBreak/>
        <w:t>PRECAUTIONS</w:t>
      </w:r>
    </w:p>
    <w:p w:rsidR="00481CFF" w:rsidRDefault="006350CC" w:rsidP="006350CC">
      <w:pPr>
        <w:ind w:right="-2"/>
        <w:rPr>
          <w:lang w:val="en-AU"/>
        </w:rPr>
      </w:pPr>
      <w:r w:rsidRPr="008B502D">
        <w:rPr>
          <w:lang w:val="en-AU"/>
        </w:rPr>
        <w:t>SOOLANTRA</w:t>
      </w:r>
      <w:r w:rsidR="00481CFF" w:rsidRPr="008B502D">
        <w:rPr>
          <w:lang w:val="en-AU"/>
        </w:rPr>
        <w:t xml:space="preserve"> contains </w:t>
      </w:r>
      <w:r w:rsidRPr="008B502D">
        <w:rPr>
          <w:noProof/>
          <w:szCs w:val="22"/>
        </w:rPr>
        <w:t xml:space="preserve">cetyl alcohol and stearyl alcohol which may cause local skin reactions (e.g. contact dermatitis), </w:t>
      </w:r>
      <w:r w:rsidR="00481CFF" w:rsidRPr="008B502D">
        <w:rPr>
          <w:lang w:val="en-AU"/>
        </w:rPr>
        <w:t xml:space="preserve">methyl </w:t>
      </w:r>
      <w:proofErr w:type="spellStart"/>
      <w:r w:rsidR="00481CFF" w:rsidRPr="008B502D">
        <w:rPr>
          <w:lang w:val="en-AU"/>
        </w:rPr>
        <w:t>hydroxybenzoate</w:t>
      </w:r>
      <w:proofErr w:type="spellEnd"/>
      <w:r w:rsidRPr="008B502D">
        <w:rPr>
          <w:lang w:val="en-AU"/>
        </w:rPr>
        <w:t xml:space="preserve"> (E218) and </w:t>
      </w:r>
      <w:r w:rsidRPr="008B502D">
        <w:rPr>
          <w:noProof/>
          <w:szCs w:val="22"/>
        </w:rPr>
        <w:t>propyl hydroxybenzoate (E217)</w:t>
      </w:r>
      <w:r w:rsidR="00481CFF" w:rsidRPr="008B502D">
        <w:rPr>
          <w:lang w:val="en-AU"/>
        </w:rPr>
        <w:t xml:space="preserve"> which may cause allergic reactions (possibly delayed), and propylene glycol which may cause skin irritation.  If severe irritation or contact allergy occurs, treatment with </w:t>
      </w:r>
      <w:r w:rsidRPr="008B502D">
        <w:rPr>
          <w:lang w:val="en-AU"/>
        </w:rPr>
        <w:t>SOOLANTRA</w:t>
      </w:r>
      <w:r w:rsidR="00481CFF" w:rsidRPr="008B502D">
        <w:rPr>
          <w:lang w:val="en-AU"/>
        </w:rPr>
        <w:t xml:space="preserve"> should be discontinued.</w:t>
      </w:r>
    </w:p>
    <w:p w:rsidR="0022560C" w:rsidRDefault="0022560C" w:rsidP="006350CC">
      <w:pPr>
        <w:ind w:right="-2"/>
        <w:rPr>
          <w:lang w:val="en-AU"/>
        </w:rPr>
      </w:pPr>
    </w:p>
    <w:p w:rsidR="0022560C" w:rsidRPr="000C4EDB" w:rsidRDefault="0022560C" w:rsidP="00B9162C">
      <w:pPr>
        <w:autoSpaceDE w:val="0"/>
        <w:autoSpaceDN w:val="0"/>
        <w:adjustRightInd w:val="0"/>
        <w:rPr>
          <w:rFonts w:eastAsiaTheme="minorHAnsi"/>
        </w:rPr>
      </w:pPr>
      <w:r w:rsidRPr="000C4EDB">
        <w:rPr>
          <w:rFonts w:eastAsiaTheme="minorHAnsi"/>
        </w:rPr>
        <w:t xml:space="preserve">Safety and efficacy have not been established in patients suffering </w:t>
      </w:r>
      <w:proofErr w:type="gramStart"/>
      <w:r w:rsidRPr="000C4EDB">
        <w:rPr>
          <w:rFonts w:eastAsiaTheme="minorHAnsi"/>
        </w:rPr>
        <w:t>a particular forms</w:t>
      </w:r>
      <w:proofErr w:type="gramEnd"/>
      <w:r w:rsidRPr="000C4EDB">
        <w:rPr>
          <w:rFonts w:eastAsiaTheme="minorHAnsi"/>
        </w:rPr>
        <w:t xml:space="preserve"> of rosacea (rosacea </w:t>
      </w:r>
      <w:proofErr w:type="spellStart"/>
      <w:r w:rsidRPr="000C4EDB">
        <w:rPr>
          <w:rFonts w:eastAsiaTheme="minorHAnsi"/>
        </w:rPr>
        <w:t>conglobata</w:t>
      </w:r>
      <w:proofErr w:type="spellEnd"/>
      <w:r w:rsidRPr="000C4EDB">
        <w:rPr>
          <w:rFonts w:eastAsiaTheme="minorHAnsi"/>
        </w:rPr>
        <w:t xml:space="preserve">, rosacea </w:t>
      </w:r>
      <w:proofErr w:type="spellStart"/>
      <w:r w:rsidRPr="000C4EDB">
        <w:rPr>
          <w:rFonts w:eastAsiaTheme="minorHAnsi"/>
        </w:rPr>
        <w:t>fulminans</w:t>
      </w:r>
      <w:proofErr w:type="spellEnd"/>
      <w:r w:rsidRPr="000C4EDB">
        <w:rPr>
          <w:rFonts w:eastAsiaTheme="minorHAnsi"/>
        </w:rPr>
        <w:t xml:space="preserve">, isolated </w:t>
      </w:r>
      <w:proofErr w:type="spellStart"/>
      <w:r w:rsidRPr="000C4EDB">
        <w:rPr>
          <w:rFonts w:eastAsiaTheme="minorHAnsi"/>
        </w:rPr>
        <w:t>rhinophyma</w:t>
      </w:r>
      <w:proofErr w:type="spellEnd"/>
      <w:r w:rsidRPr="000C4EDB">
        <w:rPr>
          <w:rFonts w:eastAsiaTheme="minorHAnsi"/>
        </w:rPr>
        <w:t xml:space="preserve">, isolated </w:t>
      </w:r>
      <w:proofErr w:type="spellStart"/>
      <w:r w:rsidRPr="000C4EDB">
        <w:rPr>
          <w:rFonts w:eastAsiaTheme="minorHAnsi"/>
        </w:rPr>
        <w:t>pustulosis</w:t>
      </w:r>
      <w:proofErr w:type="spellEnd"/>
      <w:r w:rsidRPr="000C4EDB">
        <w:rPr>
          <w:rFonts w:eastAsiaTheme="minorHAnsi"/>
        </w:rPr>
        <w:t xml:space="preserve"> of the chin) or other facial dermatoses that may be confounded with papulopustular rosacea, such as </w:t>
      </w:r>
      <w:proofErr w:type="spellStart"/>
      <w:r w:rsidRPr="000C4EDB">
        <w:rPr>
          <w:rFonts w:eastAsiaTheme="minorHAnsi"/>
        </w:rPr>
        <w:t>peri</w:t>
      </w:r>
      <w:proofErr w:type="spellEnd"/>
      <w:r w:rsidRPr="000C4EDB">
        <w:rPr>
          <w:rFonts w:eastAsiaTheme="minorHAnsi"/>
        </w:rPr>
        <w:t>-oral dermatitis, facial keratosis pilaris, seborrheic dermatitis and acne.</w:t>
      </w:r>
    </w:p>
    <w:p w:rsidR="00481CFF" w:rsidRPr="009141BD" w:rsidRDefault="00481CFF" w:rsidP="00B9162C">
      <w:pPr>
        <w:rPr>
          <w:lang w:val="en-AU"/>
        </w:rPr>
      </w:pPr>
    </w:p>
    <w:p w:rsidR="009141BD" w:rsidRPr="009141BD" w:rsidRDefault="009141BD" w:rsidP="009141BD">
      <w:pPr>
        <w:autoSpaceDE w:val="0"/>
        <w:autoSpaceDN w:val="0"/>
        <w:adjustRightInd w:val="0"/>
        <w:jc w:val="left"/>
        <w:rPr>
          <w:lang w:val="en-AU"/>
        </w:rPr>
      </w:pPr>
      <w:r w:rsidRPr="009141BD">
        <w:rPr>
          <w:lang w:val="en-AU"/>
        </w:rPr>
        <w:t xml:space="preserve">High sunscreen protection factor (SPF) sunscreens or other sun-exposure reduction methods should be used when SOOLANTRA is applied to the face or other sun-exposed areas. </w:t>
      </w:r>
    </w:p>
    <w:p w:rsidR="009141BD" w:rsidRDefault="009141BD" w:rsidP="009141BD">
      <w:pPr>
        <w:rPr>
          <w:lang w:val="en-AU"/>
        </w:rPr>
      </w:pPr>
    </w:p>
    <w:p w:rsidR="009141BD" w:rsidRPr="009141BD" w:rsidRDefault="009141BD" w:rsidP="009141BD">
      <w:pPr>
        <w:rPr>
          <w:lang w:val="en-AU"/>
        </w:rPr>
      </w:pPr>
      <w:r w:rsidRPr="009141BD">
        <w:rPr>
          <w:lang w:val="en-AU"/>
        </w:rPr>
        <w:t>Patients should wash their hands immediately after applying SOOLANTRA.</w:t>
      </w:r>
    </w:p>
    <w:p w:rsidR="009141BD" w:rsidRPr="007F633D" w:rsidRDefault="009141BD" w:rsidP="00481CFF">
      <w:pPr>
        <w:rPr>
          <w:highlight w:val="yellow"/>
          <w:lang w:val="en-AU"/>
        </w:rPr>
      </w:pPr>
    </w:p>
    <w:p w:rsidR="00481CFF" w:rsidRPr="007F633D" w:rsidRDefault="00481CFF" w:rsidP="00481CFF">
      <w:pPr>
        <w:rPr>
          <w:highlight w:val="yellow"/>
          <w:lang w:val="en-AU"/>
        </w:rPr>
      </w:pPr>
      <w:r w:rsidRPr="008B502D">
        <w:rPr>
          <w:noProof/>
          <w:szCs w:val="22"/>
        </w:rPr>
        <w:t xml:space="preserve">As </w:t>
      </w:r>
      <w:r w:rsidR="006350CC" w:rsidRPr="008B502D">
        <w:rPr>
          <w:noProof/>
          <w:szCs w:val="22"/>
        </w:rPr>
        <w:t>SOOLANTRA</w:t>
      </w:r>
      <w:r w:rsidRPr="008B502D">
        <w:rPr>
          <w:noProof/>
          <w:szCs w:val="22"/>
        </w:rPr>
        <w:t xml:space="preserve"> has not been studied in patients with renal or hepatic impairment, caution should be used with such patients.</w:t>
      </w:r>
    </w:p>
    <w:p w:rsidR="00481CFF" w:rsidRPr="001F197D" w:rsidRDefault="00481CFF" w:rsidP="00481CFF">
      <w:pPr>
        <w:rPr>
          <w:lang w:val="en-AU"/>
        </w:rPr>
      </w:pPr>
    </w:p>
    <w:p w:rsidR="00481CFF" w:rsidRPr="001F197D" w:rsidRDefault="00481CFF" w:rsidP="00481CFF">
      <w:pPr>
        <w:rPr>
          <w:b/>
          <w:lang w:val="en-AU"/>
        </w:rPr>
      </w:pPr>
      <w:r w:rsidRPr="001F197D">
        <w:rPr>
          <w:b/>
          <w:lang w:val="en-AU"/>
        </w:rPr>
        <w:t>Effects on fertility</w:t>
      </w:r>
    </w:p>
    <w:p w:rsidR="007F633D" w:rsidRPr="005045B0" w:rsidRDefault="007F633D" w:rsidP="007F633D">
      <w:pPr>
        <w:rPr>
          <w:noProof/>
          <w:szCs w:val="22"/>
        </w:rPr>
      </w:pPr>
      <w:r w:rsidRPr="005045B0">
        <w:rPr>
          <w:noProof/>
          <w:szCs w:val="22"/>
        </w:rPr>
        <w:t xml:space="preserve">No human data on the effect of ivermectin on fertility are available. </w:t>
      </w:r>
      <w:r w:rsidR="00396CD7" w:rsidRPr="006359B2">
        <w:t>Ivermectin was found to have no effect on</w:t>
      </w:r>
      <w:r w:rsidR="002300F6">
        <w:t xml:space="preserve"> the</w:t>
      </w:r>
      <w:r w:rsidR="00396CD7" w:rsidRPr="006359B2">
        <w:t xml:space="preserve"> fertility of male and female rats at oral doses up to 9 mg/kg/day</w:t>
      </w:r>
      <w:r w:rsidR="009141BD">
        <w:t xml:space="preserve"> </w:t>
      </w:r>
      <w:r w:rsidR="009141BD" w:rsidRPr="009141BD">
        <w:rPr>
          <w:noProof/>
          <w:szCs w:val="22"/>
        </w:rPr>
        <w:t>(animal:human AUC ratio ≈ 484)</w:t>
      </w:r>
      <w:r w:rsidR="00396CD7" w:rsidRPr="009141BD">
        <w:rPr>
          <w:noProof/>
          <w:szCs w:val="22"/>
        </w:rPr>
        <w:t>.</w:t>
      </w:r>
    </w:p>
    <w:p w:rsidR="00481CFF" w:rsidRPr="001F197D" w:rsidRDefault="00481CFF" w:rsidP="00481CFF">
      <w:pPr>
        <w:tabs>
          <w:tab w:val="left" w:pos="7806"/>
        </w:tabs>
        <w:rPr>
          <w:highlight w:val="yellow"/>
          <w:lang w:val="en-AU"/>
        </w:rPr>
      </w:pPr>
      <w:bookmarkStart w:id="0" w:name="GoBack"/>
      <w:bookmarkEnd w:id="0"/>
    </w:p>
    <w:p w:rsidR="00481CFF" w:rsidRPr="009A5F7A" w:rsidRDefault="007F633D" w:rsidP="00481CFF">
      <w:pPr>
        <w:tabs>
          <w:tab w:val="left" w:pos="7806"/>
        </w:tabs>
        <w:rPr>
          <w:b/>
          <w:lang w:val="en-AU"/>
        </w:rPr>
      </w:pPr>
      <w:r>
        <w:rPr>
          <w:b/>
          <w:lang w:val="en-AU"/>
        </w:rPr>
        <w:t>Use in Pregnancy (Category B3</w:t>
      </w:r>
      <w:r w:rsidR="00481CFF" w:rsidRPr="001F197D">
        <w:rPr>
          <w:b/>
          <w:lang w:val="en-AU"/>
        </w:rPr>
        <w:t>)</w:t>
      </w:r>
    </w:p>
    <w:p w:rsidR="00C1477F" w:rsidRDefault="00C1477F" w:rsidP="00597B4B">
      <w:pPr>
        <w:tabs>
          <w:tab w:val="left" w:pos="0"/>
          <w:tab w:val="left" w:pos="270"/>
        </w:tabs>
        <w:rPr>
          <w:noProof/>
          <w:szCs w:val="22"/>
        </w:rPr>
      </w:pPr>
      <w:r w:rsidRPr="00C1477F">
        <w:rPr>
          <w:noProof/>
          <w:szCs w:val="22"/>
        </w:rPr>
        <w:t>There are no adequate and well-controlled studies in pregnant women. SOOLANTRA</w:t>
      </w:r>
      <w:r w:rsidRPr="00C1477F" w:rsidDel="00A72A34">
        <w:rPr>
          <w:noProof/>
          <w:szCs w:val="22"/>
        </w:rPr>
        <w:t xml:space="preserve"> </w:t>
      </w:r>
      <w:r w:rsidRPr="00C1477F">
        <w:rPr>
          <w:noProof/>
          <w:szCs w:val="22"/>
        </w:rPr>
        <w:t>should be used during pregnancy only if the potential benefit justifies the potential risk to the fetus.</w:t>
      </w:r>
    </w:p>
    <w:p w:rsidR="00F32B80" w:rsidRDefault="00F32B80" w:rsidP="00597B4B">
      <w:pPr>
        <w:tabs>
          <w:tab w:val="left" w:pos="0"/>
          <w:tab w:val="left" w:pos="270"/>
        </w:tabs>
        <w:rPr>
          <w:noProof/>
          <w:szCs w:val="22"/>
        </w:rPr>
      </w:pPr>
    </w:p>
    <w:p w:rsidR="00C1477F" w:rsidRDefault="00C1477F" w:rsidP="00597B4B">
      <w:pPr>
        <w:tabs>
          <w:tab w:val="left" w:pos="0"/>
          <w:tab w:val="left" w:pos="270"/>
        </w:tabs>
        <w:rPr>
          <w:noProof/>
          <w:szCs w:val="22"/>
        </w:rPr>
      </w:pPr>
      <w:r w:rsidRPr="00C1477F">
        <w:rPr>
          <w:noProof/>
          <w:szCs w:val="22"/>
        </w:rPr>
        <w:t>Oral terat</w:t>
      </w:r>
      <w:r>
        <w:rPr>
          <w:noProof/>
          <w:szCs w:val="22"/>
        </w:rPr>
        <w:t>egenotoxicity</w:t>
      </w:r>
      <w:r w:rsidRPr="00C1477F">
        <w:rPr>
          <w:noProof/>
          <w:szCs w:val="22"/>
        </w:rPr>
        <w:t xml:space="preserve"> studies in the rabbit demonstrated maternal toxicity and carpal flexures in the fetus at a dose of 4.5mg/kg/day.  The NOAEL was established at 3.5 mg/kg/day, a dose corresponding to plasma levels 68 times higher than those obtained at the maximum recommended human dose by topical route (1g application of SOOLANTRA</w:t>
      </w:r>
      <w:r w:rsidRPr="00C1477F" w:rsidDel="00A72A34">
        <w:rPr>
          <w:noProof/>
          <w:szCs w:val="22"/>
        </w:rPr>
        <w:t xml:space="preserve"> </w:t>
      </w:r>
      <w:r w:rsidRPr="00C1477F">
        <w:rPr>
          <w:noProof/>
          <w:szCs w:val="22"/>
        </w:rPr>
        <w:t xml:space="preserve">once daily). </w:t>
      </w:r>
    </w:p>
    <w:p w:rsidR="00F32B80" w:rsidRPr="00C1477F" w:rsidRDefault="00F32B80" w:rsidP="00597B4B">
      <w:pPr>
        <w:tabs>
          <w:tab w:val="left" w:pos="0"/>
          <w:tab w:val="left" w:pos="270"/>
        </w:tabs>
        <w:rPr>
          <w:noProof/>
          <w:szCs w:val="22"/>
        </w:rPr>
      </w:pPr>
    </w:p>
    <w:p w:rsidR="00C1477F" w:rsidRPr="00C1477F" w:rsidRDefault="00C1477F" w:rsidP="00597B4B">
      <w:pPr>
        <w:tabs>
          <w:tab w:val="left" w:pos="0"/>
          <w:tab w:val="left" w:pos="270"/>
        </w:tabs>
        <w:rPr>
          <w:noProof/>
          <w:szCs w:val="22"/>
        </w:rPr>
      </w:pPr>
      <w:r w:rsidRPr="00C1477F">
        <w:rPr>
          <w:noProof/>
          <w:szCs w:val="22"/>
        </w:rPr>
        <w:t>In the rat, cleft palates were observed at the oral dose of 12 mg/kg/day. The dose of 4 mg/kg/day was the NOAEL for maternal toxicity and embryofetal development, a dose corresponding to plasma levels 334 times higher than those obtained at the maximum recommended human dose by topical route (1g application of SOOLANTRA</w:t>
      </w:r>
      <w:r w:rsidRPr="00C1477F" w:rsidDel="00A72A34">
        <w:rPr>
          <w:noProof/>
          <w:szCs w:val="22"/>
        </w:rPr>
        <w:t xml:space="preserve"> </w:t>
      </w:r>
      <w:r w:rsidRPr="00C1477F">
        <w:rPr>
          <w:noProof/>
          <w:szCs w:val="22"/>
        </w:rPr>
        <w:t>once daily).</w:t>
      </w:r>
    </w:p>
    <w:p w:rsidR="007F633D" w:rsidRDefault="007F633D"/>
    <w:p w:rsidR="007F633D" w:rsidRPr="00C1477F" w:rsidRDefault="00481CFF" w:rsidP="00C1477F">
      <w:pPr>
        <w:tabs>
          <w:tab w:val="left" w:pos="7806"/>
        </w:tabs>
        <w:rPr>
          <w:b/>
          <w:lang w:val="en-AU"/>
        </w:rPr>
      </w:pPr>
      <w:r w:rsidRPr="001F197D">
        <w:rPr>
          <w:b/>
          <w:lang w:val="en-AU"/>
        </w:rPr>
        <w:t>Use in Lactation</w:t>
      </w:r>
    </w:p>
    <w:p w:rsidR="00334EB7" w:rsidRPr="0083129B" w:rsidRDefault="00334EB7" w:rsidP="003F3F6C">
      <w:pPr>
        <w:tabs>
          <w:tab w:val="left" w:pos="567"/>
        </w:tabs>
        <w:spacing w:line="260" w:lineRule="exact"/>
        <w:rPr>
          <w:noProof/>
          <w:szCs w:val="22"/>
        </w:rPr>
      </w:pPr>
      <w:r w:rsidRPr="0083129B">
        <w:rPr>
          <w:noProof/>
          <w:szCs w:val="22"/>
        </w:rPr>
        <w:t>Following oral administration, ivermectin is excreted in human milk in low concentrations. Excretion in human milk following topical administration has not been evaluated. Available pharmacokinetic/toxicological data in animals have also shown excretion of ivermectin in milk. A risk to a breast-feeding child cannot be excluded. A decision must be made whether to discontinue breast-feeding or to discontinue/abstain from SOOLANTRA therapy taking into account the benefit of breast-feeding for the child and the benefit of therapy for the woman.</w:t>
      </w:r>
    </w:p>
    <w:p w:rsidR="007F633D" w:rsidRPr="003F3F6C" w:rsidRDefault="007F633D" w:rsidP="00481CFF">
      <w:pPr>
        <w:tabs>
          <w:tab w:val="left" w:pos="7806"/>
        </w:tabs>
        <w:rPr>
          <w:noProof/>
          <w:szCs w:val="22"/>
        </w:rPr>
      </w:pPr>
    </w:p>
    <w:p w:rsidR="00481CFF" w:rsidRPr="001F197D" w:rsidRDefault="00481CFF" w:rsidP="00481CFF">
      <w:pPr>
        <w:tabs>
          <w:tab w:val="left" w:pos="7806"/>
        </w:tabs>
        <w:rPr>
          <w:b/>
          <w:spacing w:val="-3"/>
          <w:lang w:val="en-AU"/>
        </w:rPr>
      </w:pPr>
      <w:r w:rsidRPr="001F197D">
        <w:rPr>
          <w:b/>
          <w:spacing w:val="-3"/>
          <w:lang w:val="en-AU"/>
        </w:rPr>
        <w:t>Paediatric Use</w:t>
      </w:r>
    </w:p>
    <w:p w:rsidR="00481CFF" w:rsidRPr="001F197D" w:rsidRDefault="00481CFF" w:rsidP="00481CFF">
      <w:pPr>
        <w:rPr>
          <w:lang w:val="en-AU"/>
        </w:rPr>
      </w:pPr>
      <w:r w:rsidRPr="001F197D">
        <w:rPr>
          <w:lang w:val="en-AU"/>
        </w:rPr>
        <w:t xml:space="preserve">The safety and efficacy of </w:t>
      </w:r>
      <w:r w:rsidR="007F633D">
        <w:rPr>
          <w:lang w:val="en-AU"/>
        </w:rPr>
        <w:t>SOOLANTRA</w:t>
      </w:r>
      <w:r w:rsidRPr="001F197D">
        <w:rPr>
          <w:lang w:val="en-AU"/>
        </w:rPr>
        <w:t xml:space="preserve"> in children aged less than 18 years have not been established. </w:t>
      </w:r>
    </w:p>
    <w:p w:rsidR="00481CFF" w:rsidRPr="001F197D" w:rsidRDefault="00481CFF" w:rsidP="00481CFF">
      <w:pPr>
        <w:rPr>
          <w:lang w:val="en-AU"/>
        </w:rPr>
      </w:pPr>
    </w:p>
    <w:p w:rsidR="00481CFF" w:rsidRPr="009A5F7A" w:rsidRDefault="00481CFF" w:rsidP="00481CFF">
      <w:pPr>
        <w:pStyle w:val="BodyText21"/>
        <w:rPr>
          <w:rFonts w:ascii="Times New Roman" w:hAnsi="Times New Roman"/>
          <w:b/>
          <w:lang w:val="en-AU"/>
        </w:rPr>
      </w:pPr>
      <w:r w:rsidRPr="001F197D">
        <w:rPr>
          <w:rFonts w:ascii="Times New Roman" w:hAnsi="Times New Roman"/>
          <w:b/>
          <w:lang w:val="en-AU"/>
        </w:rPr>
        <w:t>Use in the Elderly</w:t>
      </w:r>
    </w:p>
    <w:p w:rsidR="0035757C" w:rsidRPr="005045B0" w:rsidRDefault="0035757C" w:rsidP="0035757C">
      <w:pPr>
        <w:rPr>
          <w:szCs w:val="22"/>
        </w:rPr>
      </w:pPr>
      <w:r w:rsidRPr="005045B0">
        <w:rPr>
          <w:noProof/>
          <w:szCs w:val="22"/>
        </w:rPr>
        <w:t>Approximately 300 </w:t>
      </w:r>
      <w:r>
        <w:rPr>
          <w:noProof/>
          <w:szCs w:val="22"/>
        </w:rPr>
        <w:t>participants</w:t>
      </w:r>
      <w:r w:rsidRPr="005045B0">
        <w:rPr>
          <w:noProof/>
          <w:szCs w:val="22"/>
        </w:rPr>
        <w:t xml:space="preserve"> aged 65 years and older were treated over all clinical trials with the medicinal product. No meaningful differences in the efficacy and safety profile were observed between e</w:t>
      </w:r>
      <w:r>
        <w:rPr>
          <w:noProof/>
          <w:szCs w:val="22"/>
        </w:rPr>
        <w:t xml:space="preserve">lderly </w:t>
      </w:r>
      <w:r w:rsidR="00182021">
        <w:rPr>
          <w:noProof/>
          <w:szCs w:val="22"/>
        </w:rPr>
        <w:t>participants</w:t>
      </w:r>
      <w:r w:rsidR="00ED2A4A">
        <w:rPr>
          <w:noProof/>
          <w:szCs w:val="22"/>
        </w:rPr>
        <w:t xml:space="preserve"> </w:t>
      </w:r>
      <w:r>
        <w:rPr>
          <w:noProof/>
          <w:szCs w:val="22"/>
        </w:rPr>
        <w:t xml:space="preserve">and </w:t>
      </w:r>
      <w:r w:rsidR="00182021">
        <w:rPr>
          <w:noProof/>
          <w:szCs w:val="22"/>
        </w:rPr>
        <w:t>participants</w:t>
      </w:r>
      <w:r>
        <w:rPr>
          <w:noProof/>
          <w:szCs w:val="22"/>
        </w:rPr>
        <w:t>18 </w:t>
      </w:r>
      <w:r w:rsidRPr="005045B0">
        <w:rPr>
          <w:noProof/>
          <w:szCs w:val="22"/>
        </w:rPr>
        <w:t xml:space="preserve">to 65 years of age. </w:t>
      </w:r>
      <w:r w:rsidR="00C1477F">
        <w:t>In pivotal trials, e</w:t>
      </w:r>
      <w:r w:rsidR="00C1477F" w:rsidRPr="00BA2F15">
        <w:t xml:space="preserve">ffectiveness and safety in </w:t>
      </w:r>
      <w:r w:rsidR="00182021">
        <w:t>participants</w:t>
      </w:r>
      <w:r w:rsidR="00ED2A4A">
        <w:t xml:space="preserve"> </w:t>
      </w:r>
      <w:r w:rsidR="00C1477F">
        <w:sym w:font="Symbol" w:char="F0B3"/>
      </w:r>
      <w:r w:rsidR="00C1477F">
        <w:t xml:space="preserve"> </w:t>
      </w:r>
      <w:r w:rsidR="00C1477F" w:rsidRPr="00546BC5">
        <w:t xml:space="preserve">65 </w:t>
      </w:r>
      <w:r w:rsidR="00C1477F">
        <w:t>were</w:t>
      </w:r>
      <w:r w:rsidR="00C1477F" w:rsidRPr="00BA2F15">
        <w:t xml:space="preserve"> found to be comparable</w:t>
      </w:r>
      <w:r w:rsidR="00C1477F" w:rsidRPr="00546BC5">
        <w:t xml:space="preserve"> </w:t>
      </w:r>
      <w:r w:rsidR="00C1477F">
        <w:t>to</w:t>
      </w:r>
      <w:r w:rsidR="00C1477F" w:rsidRPr="00546BC5">
        <w:t xml:space="preserve"> </w:t>
      </w:r>
      <w:r w:rsidR="00C1477F">
        <w:t>the &lt;</w:t>
      </w:r>
      <w:r w:rsidR="0083129B">
        <w:t xml:space="preserve"> </w:t>
      </w:r>
      <w:r w:rsidR="00C1477F">
        <w:t>65 year old adults.</w:t>
      </w:r>
    </w:p>
    <w:p w:rsidR="00481CFF" w:rsidRDefault="00481CFF" w:rsidP="00481CFF">
      <w:pPr>
        <w:pStyle w:val="BodyText21"/>
        <w:rPr>
          <w:rFonts w:ascii="Times New Roman" w:hAnsi="Times New Roman"/>
          <w:b/>
          <w:lang w:val="en-AU"/>
        </w:rPr>
      </w:pPr>
    </w:p>
    <w:p w:rsidR="006A277B" w:rsidRDefault="006A277B" w:rsidP="00481CFF">
      <w:pPr>
        <w:pStyle w:val="BodyText21"/>
        <w:rPr>
          <w:rFonts w:ascii="Times New Roman" w:hAnsi="Times New Roman"/>
          <w:b/>
          <w:lang w:val="en-AU"/>
        </w:rPr>
      </w:pPr>
    </w:p>
    <w:p w:rsidR="006A277B" w:rsidRDefault="006A277B" w:rsidP="00481CFF">
      <w:pPr>
        <w:pStyle w:val="BodyText21"/>
        <w:rPr>
          <w:rFonts w:ascii="Times New Roman" w:hAnsi="Times New Roman"/>
          <w:b/>
          <w:lang w:val="en-AU"/>
        </w:rPr>
      </w:pPr>
    </w:p>
    <w:p w:rsidR="00481CFF" w:rsidRPr="005F372F" w:rsidRDefault="00481CFF" w:rsidP="00481CFF">
      <w:pPr>
        <w:pStyle w:val="BodyText21"/>
        <w:rPr>
          <w:rFonts w:ascii="Times New Roman" w:hAnsi="Times New Roman"/>
          <w:b/>
          <w:lang w:val="en-AU"/>
        </w:rPr>
      </w:pPr>
      <w:r w:rsidRPr="005F372F">
        <w:rPr>
          <w:rFonts w:ascii="Times New Roman" w:hAnsi="Times New Roman"/>
          <w:b/>
          <w:lang w:val="en-AU"/>
        </w:rPr>
        <w:t>Use in renal or hepatic impairment</w:t>
      </w:r>
    </w:p>
    <w:p w:rsidR="00481CFF" w:rsidRPr="001F197D" w:rsidRDefault="00396CD7" w:rsidP="00481CFF">
      <w:pPr>
        <w:pStyle w:val="BodyText21"/>
        <w:rPr>
          <w:lang w:val="en-AU"/>
        </w:rPr>
      </w:pPr>
      <w:r w:rsidRPr="005F372F">
        <w:rPr>
          <w:rFonts w:ascii="Times New Roman" w:hAnsi="Times New Roman"/>
          <w:lang w:val="en-AU"/>
        </w:rPr>
        <w:t>SOOLANTRA</w:t>
      </w:r>
      <w:r w:rsidR="00481CFF" w:rsidRPr="005F372F">
        <w:rPr>
          <w:rFonts w:ascii="Times New Roman" w:hAnsi="Times New Roman"/>
          <w:lang w:val="en-AU"/>
        </w:rPr>
        <w:t xml:space="preserve"> has not been studied in patients with renal or hepatic impairment. Thus, caution should be used in treating such patients.</w:t>
      </w:r>
    </w:p>
    <w:p w:rsidR="00481CFF" w:rsidRDefault="00481CFF" w:rsidP="00481CFF">
      <w:pPr>
        <w:keepNext/>
        <w:keepLines/>
        <w:rPr>
          <w:b/>
          <w:lang w:val="en-AU"/>
        </w:rPr>
      </w:pPr>
    </w:p>
    <w:p w:rsidR="00481CFF" w:rsidRPr="001F197D" w:rsidRDefault="00481CFF" w:rsidP="00481CFF">
      <w:pPr>
        <w:keepNext/>
        <w:keepLines/>
        <w:rPr>
          <w:b/>
          <w:lang w:val="en-AU"/>
        </w:rPr>
      </w:pPr>
      <w:r w:rsidRPr="001F197D">
        <w:rPr>
          <w:b/>
          <w:lang w:val="en-AU"/>
        </w:rPr>
        <w:t>Genotoxicity</w:t>
      </w:r>
    </w:p>
    <w:p w:rsidR="00481CFF" w:rsidRDefault="00781C63" w:rsidP="00481CFF">
      <w:r w:rsidRPr="006359B2">
        <w:t xml:space="preserve">Ivermectin was not mutagenic </w:t>
      </w:r>
      <w:r w:rsidRPr="003F3F6C">
        <w:rPr>
          <w:i/>
        </w:rPr>
        <w:t>in vitro</w:t>
      </w:r>
      <w:r w:rsidRPr="006359B2">
        <w:t xml:space="preserve"> in bacterial and photo-bacterial reverse mutation assays, in the mouse lymphoma assay, in the </w:t>
      </w:r>
      <w:proofErr w:type="spellStart"/>
      <w:r w:rsidRPr="006359B2">
        <w:t>photochromosomal</w:t>
      </w:r>
      <w:proofErr w:type="spellEnd"/>
      <w:r w:rsidRPr="006359B2">
        <w:t xml:space="preserve"> aberration assay in Chinese Hamster Ovary cells, and </w:t>
      </w:r>
      <w:r w:rsidRPr="003F3F6C">
        <w:rPr>
          <w:i/>
        </w:rPr>
        <w:t>in vivo</w:t>
      </w:r>
      <w:r w:rsidRPr="006359B2">
        <w:t xml:space="preserve"> in the oral micronucleus test in rats</w:t>
      </w:r>
      <w:r>
        <w:t>.</w:t>
      </w:r>
    </w:p>
    <w:p w:rsidR="00781C63" w:rsidRDefault="00781C63" w:rsidP="00481CFF"/>
    <w:p w:rsidR="00481CFF" w:rsidRPr="009A5F7A" w:rsidRDefault="00481CFF" w:rsidP="00481CFF">
      <w:pPr>
        <w:tabs>
          <w:tab w:val="left" w:pos="7806"/>
        </w:tabs>
        <w:rPr>
          <w:b/>
          <w:lang w:val="en-AU"/>
        </w:rPr>
      </w:pPr>
      <w:r w:rsidRPr="001F197D">
        <w:rPr>
          <w:b/>
          <w:lang w:val="en-AU"/>
        </w:rPr>
        <w:t xml:space="preserve">Carcinogenicity </w:t>
      </w:r>
    </w:p>
    <w:p w:rsidR="009141BD" w:rsidRDefault="009141BD" w:rsidP="00597B4B">
      <w:pPr>
        <w:autoSpaceDE w:val="0"/>
        <w:autoSpaceDN w:val="0"/>
        <w:adjustRightInd w:val="0"/>
      </w:pPr>
      <w:r w:rsidRPr="009141BD">
        <w:t>Chronic (1 year) repeated topical application of S</w:t>
      </w:r>
      <w:r>
        <w:t>OOLANTRA</w:t>
      </w:r>
      <w:r w:rsidRPr="009141BD">
        <w:t xml:space="preserve"> enhanced simulated solar ultraviolet radiation-induced non-melanoma skin carcinogenesis in albino </w:t>
      </w:r>
      <w:proofErr w:type="spellStart"/>
      <w:r w:rsidRPr="009141BD">
        <w:t>Skh</w:t>
      </w:r>
      <w:proofErr w:type="spellEnd"/>
      <w:r w:rsidRPr="009141BD">
        <w:t xml:space="preserve"> HR-1 hairless mouse (</w:t>
      </w:r>
      <w:proofErr w:type="spellStart"/>
      <w:r w:rsidRPr="009141BD">
        <w:t>tumour</w:t>
      </w:r>
      <w:proofErr w:type="spellEnd"/>
      <w:r w:rsidRPr="009141BD">
        <w:t xml:space="preserve"> potency factor in both sexes combined was 1.69; and 1.74 in male mice and 1.51 in female mice; compared with an expected no adverse effect </w:t>
      </w:r>
      <w:proofErr w:type="spellStart"/>
      <w:r w:rsidRPr="009141BD">
        <w:t>tumour</w:t>
      </w:r>
      <w:proofErr w:type="spellEnd"/>
      <w:r w:rsidRPr="009141BD">
        <w:t xml:space="preserve"> potency factor of 1.00).</w:t>
      </w:r>
      <w:r w:rsidR="00956D7B">
        <w:t xml:space="preserve"> </w:t>
      </w:r>
      <w:r w:rsidR="00956D7B" w:rsidRPr="00357249">
        <w:rPr>
          <w:iCs/>
        </w:rPr>
        <w:t xml:space="preserve">The albino </w:t>
      </w:r>
      <w:proofErr w:type="spellStart"/>
      <w:r w:rsidR="00956D7B" w:rsidRPr="00357249">
        <w:rPr>
          <w:iCs/>
        </w:rPr>
        <w:t>Skh</w:t>
      </w:r>
      <w:proofErr w:type="spellEnd"/>
      <w:r w:rsidR="00956D7B" w:rsidRPr="00357249">
        <w:rPr>
          <w:iCs/>
        </w:rPr>
        <w:t xml:space="preserve"> HR-1 hairless mouse is more sensitive to ultraviolet radiation-induced carcinogenesis than humans. Accordingly the clinical relevance of these findings is uncertain. However repeated unprotected exposure of Soolantra-treated skin to ultraviolet radiation sources (including sunlight) should be avoided (see Precautions).</w:t>
      </w:r>
      <w:r w:rsidRPr="009141BD">
        <w:t xml:space="preserve"> </w:t>
      </w:r>
    </w:p>
    <w:p w:rsidR="009141BD" w:rsidRPr="009141BD" w:rsidRDefault="009141BD" w:rsidP="00597B4B">
      <w:pPr>
        <w:autoSpaceDE w:val="0"/>
        <w:autoSpaceDN w:val="0"/>
        <w:adjustRightInd w:val="0"/>
      </w:pPr>
    </w:p>
    <w:p w:rsidR="009141BD" w:rsidRDefault="009141BD" w:rsidP="00345AC0">
      <w:pPr>
        <w:tabs>
          <w:tab w:val="left" w:pos="0"/>
          <w:tab w:val="left" w:pos="270"/>
        </w:tabs>
      </w:pPr>
      <w:r w:rsidRPr="009141BD">
        <w:t>In a 2-year topical carcinogenicity study in mice (without simulated solar light exposure), S</w:t>
      </w:r>
      <w:r>
        <w:t>OOLANTRA</w:t>
      </w:r>
      <w:r w:rsidRPr="009141BD">
        <w:t xml:space="preserve"> was not tumorigenic when applied daily at doses corresponding to up to 10 mg/kg/day of ivermectin. At this dose, the plasma AUC in mice was 645.54 (m)/352 (f) times the human plasma AUC associated with the maximum recommended topical use of SOOLANTRA.</w:t>
      </w:r>
    </w:p>
    <w:p w:rsidR="009141BD" w:rsidRPr="009141BD" w:rsidRDefault="009141BD" w:rsidP="009141BD">
      <w:pPr>
        <w:tabs>
          <w:tab w:val="left" w:pos="0"/>
          <w:tab w:val="left" w:pos="270"/>
        </w:tabs>
      </w:pPr>
    </w:p>
    <w:p w:rsidR="00E718FC" w:rsidRDefault="00C1477F" w:rsidP="00C1477F">
      <w:pPr>
        <w:tabs>
          <w:tab w:val="left" w:pos="0"/>
          <w:tab w:val="left" w:pos="270"/>
        </w:tabs>
        <w:rPr>
          <w:lang w:val="en-AU"/>
        </w:rPr>
      </w:pPr>
      <w:r w:rsidRPr="00C1477F">
        <w:rPr>
          <w:lang w:val="en-AU"/>
        </w:rPr>
        <w:t xml:space="preserve">In a 2-year oral carcinogenicity study in rats, ivermectin was considered not tumorigenic when administered daily at doses up to 3 mg/kg/day.  At this dose, the plasma exposure of animals represented at least 282 times </w:t>
      </w:r>
      <w:r w:rsidR="009141BD" w:rsidRPr="009141BD">
        <w:rPr>
          <w:lang w:val="en-AU"/>
        </w:rPr>
        <w:t>the human plasma AUC associated with the maximum recommended topical use of S</w:t>
      </w:r>
      <w:r w:rsidR="009141BD">
        <w:rPr>
          <w:lang w:val="en-AU"/>
        </w:rPr>
        <w:t>OOLANTRA</w:t>
      </w:r>
      <w:r w:rsidR="009141BD" w:rsidRPr="009141BD">
        <w:rPr>
          <w:lang w:val="en-AU"/>
        </w:rPr>
        <w:t>.</w:t>
      </w:r>
      <w:r w:rsidRPr="00C1477F">
        <w:rPr>
          <w:lang w:val="en-AU"/>
        </w:rPr>
        <w:t xml:space="preserve"> </w:t>
      </w:r>
    </w:p>
    <w:p w:rsidR="00E718FC" w:rsidRDefault="00E718FC" w:rsidP="00C1477F">
      <w:pPr>
        <w:tabs>
          <w:tab w:val="left" w:pos="0"/>
          <w:tab w:val="left" w:pos="270"/>
        </w:tabs>
        <w:rPr>
          <w:lang w:val="en-AU"/>
        </w:rPr>
      </w:pPr>
    </w:p>
    <w:p w:rsidR="00C1477F" w:rsidRDefault="00E718FC" w:rsidP="00C1477F">
      <w:pPr>
        <w:tabs>
          <w:tab w:val="left" w:pos="0"/>
          <w:tab w:val="left" w:pos="270"/>
        </w:tabs>
        <w:rPr>
          <w:lang w:val="en-AU"/>
        </w:rPr>
      </w:pPr>
      <w:r>
        <w:rPr>
          <w:lang w:val="en-AU"/>
        </w:rPr>
        <w:t>A</w:t>
      </w:r>
      <w:r w:rsidR="00C1477F" w:rsidRPr="00C1477F">
        <w:rPr>
          <w:lang w:val="en-AU"/>
        </w:rPr>
        <w:t xml:space="preserve">t the </w:t>
      </w:r>
      <w:r w:rsidR="0069288A">
        <w:rPr>
          <w:lang w:val="en-AU"/>
        </w:rPr>
        <w:t xml:space="preserve">oral </w:t>
      </w:r>
      <w:r w:rsidR="00C1477F" w:rsidRPr="00C1477F">
        <w:rPr>
          <w:lang w:val="en-AU"/>
        </w:rPr>
        <w:t xml:space="preserve">dose of 9 mg/kg/day </w:t>
      </w:r>
      <w:r w:rsidR="00313A92">
        <w:rPr>
          <w:lang w:val="en-AU"/>
        </w:rPr>
        <w:t>(</w:t>
      </w:r>
      <w:r w:rsidR="002C5467">
        <w:rPr>
          <w:lang w:val="en-AU"/>
        </w:rPr>
        <w:t xml:space="preserve">corresponding to </w:t>
      </w:r>
      <w:r w:rsidR="009141BD" w:rsidRPr="009141BD">
        <w:rPr>
          <w:lang w:val="en-AU"/>
        </w:rPr>
        <w:t>832(m)/924(f)</w:t>
      </w:r>
      <w:r w:rsidR="00C1477F" w:rsidRPr="00C1477F">
        <w:rPr>
          <w:lang w:val="en-AU"/>
        </w:rPr>
        <w:t xml:space="preserve"> times </w:t>
      </w:r>
      <w:r w:rsidR="009141BD" w:rsidRPr="009141BD">
        <w:rPr>
          <w:lang w:val="en-AU"/>
        </w:rPr>
        <w:t>the human plasma AUC associated with the maximum recommended topical use of SOOLANTRA)</w:t>
      </w:r>
      <w:r w:rsidR="00C1477F" w:rsidRPr="00C1477F">
        <w:rPr>
          <w:lang w:val="en-AU"/>
        </w:rPr>
        <w:t>, an increase in the incidence of benign hepatocellular adenomas and related hepatic pre</w:t>
      </w:r>
      <w:r w:rsidR="008B502D">
        <w:rPr>
          <w:lang w:val="en-AU"/>
        </w:rPr>
        <w:t>-</w:t>
      </w:r>
      <w:r w:rsidR="00C1477F" w:rsidRPr="00C1477F">
        <w:rPr>
          <w:lang w:val="en-AU"/>
        </w:rPr>
        <w:t xml:space="preserve">neoplastic changes were reported in males only. There was also a higher incidence of pancreatic benign </w:t>
      </w:r>
      <w:r w:rsidR="00C1477F" w:rsidRPr="00C1477F">
        <w:rPr>
          <w:lang w:val="en-AU"/>
        </w:rPr>
        <w:lastRenderedPageBreak/>
        <w:t>islet cell adenomas in males, and islet cell carcinoma with no evidence of distant metastasis in females.</w:t>
      </w:r>
      <w:r w:rsidR="0069288A" w:rsidRPr="0069288A">
        <w:rPr>
          <w:noProof/>
          <w:szCs w:val="22"/>
        </w:rPr>
        <w:t xml:space="preserve"> </w:t>
      </w:r>
      <w:r w:rsidR="009141BD" w:rsidRPr="00313A92">
        <w:rPr>
          <w:lang w:val="en-AU"/>
        </w:rPr>
        <w:t>These neoplastic changes in rodents are not currently considered to be relevant to humans</w:t>
      </w:r>
      <w:r w:rsidR="00816CA8" w:rsidRPr="00313A92">
        <w:rPr>
          <w:lang w:val="en-AU"/>
        </w:rPr>
        <w:t>.</w:t>
      </w:r>
    </w:p>
    <w:p w:rsidR="00481CFF" w:rsidRPr="009A5F7A" w:rsidRDefault="00481CFF" w:rsidP="00481CFF">
      <w:pPr>
        <w:rPr>
          <w:highlight w:val="yellow"/>
          <w:lang w:val="en-AU"/>
        </w:rPr>
      </w:pPr>
    </w:p>
    <w:p w:rsidR="00481CFF" w:rsidRPr="001F197D" w:rsidRDefault="00481CFF" w:rsidP="00C804E8">
      <w:pPr>
        <w:pStyle w:val="Heading3"/>
        <w:rPr>
          <w:lang w:val="en-AU"/>
        </w:rPr>
      </w:pPr>
      <w:r w:rsidRPr="001F197D">
        <w:rPr>
          <w:lang w:val="en-AU"/>
        </w:rPr>
        <w:t>Effect on Ability to Drive and Use Machinery</w:t>
      </w:r>
    </w:p>
    <w:p w:rsidR="007F633D" w:rsidRPr="005045B0" w:rsidRDefault="007F633D" w:rsidP="007F633D">
      <w:pPr>
        <w:rPr>
          <w:szCs w:val="22"/>
        </w:rPr>
      </w:pPr>
      <w:r w:rsidRPr="005045B0">
        <w:rPr>
          <w:szCs w:val="22"/>
        </w:rPr>
        <w:t>S</w:t>
      </w:r>
      <w:r w:rsidR="00396CD7">
        <w:rPr>
          <w:szCs w:val="22"/>
        </w:rPr>
        <w:t>OOLANTRA</w:t>
      </w:r>
      <w:r w:rsidRPr="005045B0">
        <w:rPr>
          <w:szCs w:val="22"/>
        </w:rPr>
        <w:t xml:space="preserve"> has no or negligible influence on the ability to drive and use machines.</w:t>
      </w:r>
    </w:p>
    <w:p w:rsidR="007F633D" w:rsidRPr="001F197D" w:rsidRDefault="007F633D" w:rsidP="00481CFF">
      <w:pPr>
        <w:tabs>
          <w:tab w:val="left" w:pos="0"/>
          <w:tab w:val="left" w:pos="0"/>
          <w:tab w:val="left" w:pos="720"/>
        </w:tabs>
        <w:rPr>
          <w:lang w:val="en-AU"/>
        </w:rPr>
      </w:pPr>
    </w:p>
    <w:p w:rsidR="00481CFF" w:rsidRPr="001F197D" w:rsidRDefault="00481CFF" w:rsidP="00481CFF">
      <w:pPr>
        <w:tabs>
          <w:tab w:val="left" w:pos="0"/>
          <w:tab w:val="left" w:pos="0"/>
          <w:tab w:val="left" w:pos="720"/>
        </w:tabs>
        <w:rPr>
          <w:spacing w:val="-3"/>
          <w:lang w:val="en-AU"/>
        </w:rPr>
      </w:pPr>
    </w:p>
    <w:p w:rsidR="00481CFF" w:rsidRPr="001F197D" w:rsidRDefault="00481CFF" w:rsidP="00C804E8">
      <w:pPr>
        <w:pStyle w:val="Heading2"/>
        <w:rPr>
          <w:lang w:val="en-AU"/>
        </w:rPr>
      </w:pPr>
      <w:r w:rsidRPr="001F197D">
        <w:rPr>
          <w:lang w:val="en-AU"/>
        </w:rPr>
        <w:t>INTERACTIONS WITH OTHER MEDICINES</w:t>
      </w:r>
    </w:p>
    <w:p w:rsidR="00CC5053" w:rsidRDefault="00481CFF" w:rsidP="00CC5053">
      <w:pPr>
        <w:rPr>
          <w:szCs w:val="22"/>
        </w:rPr>
      </w:pPr>
      <w:r w:rsidRPr="001F197D">
        <w:rPr>
          <w:lang w:val="en-AU"/>
        </w:rPr>
        <w:t>No interaction studies have been performed.</w:t>
      </w:r>
      <w:r w:rsidR="00CC5053">
        <w:rPr>
          <w:lang w:val="en-AU"/>
        </w:rPr>
        <w:t xml:space="preserve"> </w:t>
      </w:r>
      <w:r w:rsidR="00CC5053">
        <w:rPr>
          <w:szCs w:val="22"/>
        </w:rPr>
        <w:t>Concomitant use of S</w:t>
      </w:r>
      <w:r w:rsidR="00F32B80">
        <w:rPr>
          <w:szCs w:val="22"/>
        </w:rPr>
        <w:t>OOLANTRA</w:t>
      </w:r>
      <w:r w:rsidR="00CC5053">
        <w:rPr>
          <w:szCs w:val="22"/>
        </w:rPr>
        <w:t xml:space="preserve"> with other topical or systemic medicinal products for the treatment of rosacea has not been investigated.</w:t>
      </w:r>
    </w:p>
    <w:p w:rsidR="004F28A7" w:rsidRPr="001F197D" w:rsidRDefault="004F28A7" w:rsidP="00481CFF">
      <w:pPr>
        <w:tabs>
          <w:tab w:val="left" w:pos="0"/>
          <w:tab w:val="left" w:pos="0"/>
          <w:tab w:val="left" w:pos="720"/>
        </w:tabs>
        <w:rPr>
          <w:lang w:val="en-AU"/>
        </w:rPr>
      </w:pPr>
    </w:p>
    <w:p w:rsidR="00481CFF" w:rsidRPr="001F197D" w:rsidRDefault="00481CFF" w:rsidP="00481CFF">
      <w:pPr>
        <w:tabs>
          <w:tab w:val="left" w:pos="0"/>
          <w:tab w:val="left" w:pos="0"/>
          <w:tab w:val="left" w:pos="720"/>
        </w:tabs>
        <w:rPr>
          <w:spacing w:val="-3"/>
          <w:lang w:val="en-AU"/>
        </w:rPr>
      </w:pPr>
    </w:p>
    <w:p w:rsidR="00481CFF" w:rsidRPr="001F197D" w:rsidRDefault="00481CFF" w:rsidP="00C804E8">
      <w:pPr>
        <w:pStyle w:val="Heading2"/>
        <w:rPr>
          <w:lang w:val="en-AU"/>
        </w:rPr>
      </w:pPr>
      <w:r w:rsidRPr="001F197D">
        <w:rPr>
          <w:lang w:val="en-AU"/>
        </w:rPr>
        <w:t>ADVERSE EFFECTS</w:t>
      </w:r>
    </w:p>
    <w:p w:rsidR="000C6E63" w:rsidRPr="005045B0" w:rsidRDefault="00481CFF" w:rsidP="000C6E63">
      <w:pPr>
        <w:rPr>
          <w:szCs w:val="22"/>
        </w:rPr>
      </w:pPr>
      <w:r w:rsidRPr="000C6E63">
        <w:rPr>
          <w:lang w:val="en-AU"/>
        </w:rPr>
        <w:t xml:space="preserve">Overall, </w:t>
      </w:r>
      <w:r w:rsidR="000C6E63" w:rsidRPr="000C6E63">
        <w:rPr>
          <w:lang w:val="en-AU"/>
        </w:rPr>
        <w:t>SOOLANTRA</w:t>
      </w:r>
      <w:r w:rsidRPr="000C6E63">
        <w:rPr>
          <w:lang w:val="en-AU"/>
        </w:rPr>
        <w:t xml:space="preserve"> gel was shown to be well to</w:t>
      </w:r>
      <w:r w:rsidR="00381061">
        <w:rPr>
          <w:lang w:val="en-AU"/>
        </w:rPr>
        <w:t>lerated, with the most commonly</w:t>
      </w:r>
      <w:r w:rsidRPr="000C6E63">
        <w:rPr>
          <w:lang w:val="en-AU"/>
        </w:rPr>
        <w:t xml:space="preserve"> reported adverse drug reactions being </w:t>
      </w:r>
      <w:r w:rsidR="000C6E63" w:rsidRPr="000C6E63">
        <w:rPr>
          <w:lang w:val="en-AU"/>
        </w:rPr>
        <w:t>skin burning sensation, skin irritation, pruritus and dry skin</w:t>
      </w:r>
      <w:r w:rsidRPr="000C6E63">
        <w:rPr>
          <w:lang w:val="en-AU"/>
        </w:rPr>
        <w:t xml:space="preserve">, </w:t>
      </w:r>
      <w:r w:rsidR="00381061" w:rsidRPr="005045B0">
        <w:rPr>
          <w:szCs w:val="22"/>
        </w:rPr>
        <w:t xml:space="preserve">all occurring in 1% or less of patients treated </w:t>
      </w:r>
      <w:r w:rsidR="00381061">
        <w:rPr>
          <w:szCs w:val="22"/>
        </w:rPr>
        <w:t>during</w:t>
      </w:r>
      <w:r w:rsidR="00381061" w:rsidRPr="005045B0">
        <w:rPr>
          <w:szCs w:val="22"/>
        </w:rPr>
        <w:t xml:space="preserve"> clinical trials.</w:t>
      </w:r>
      <w:r w:rsidRPr="000C6E63">
        <w:rPr>
          <w:lang w:val="en-AU"/>
        </w:rPr>
        <w:t xml:space="preserve"> They are usually transient, mild to moderate in severity, and usually do not require discontinuation of treatment.</w:t>
      </w:r>
      <w:r w:rsidR="000C6E63" w:rsidRPr="000C6E63">
        <w:rPr>
          <w:lang w:val="en-AU"/>
        </w:rPr>
        <w:t xml:space="preserve"> </w:t>
      </w:r>
      <w:r w:rsidR="000C6E63" w:rsidRPr="005045B0">
        <w:rPr>
          <w:noProof/>
          <w:szCs w:val="22"/>
        </w:rPr>
        <w:t>No meaningful differences in the safety profile we</w:t>
      </w:r>
      <w:r w:rsidR="000C6E63">
        <w:rPr>
          <w:noProof/>
          <w:szCs w:val="22"/>
        </w:rPr>
        <w:t xml:space="preserve">re observed between </w:t>
      </w:r>
      <w:r w:rsidR="00182021">
        <w:rPr>
          <w:noProof/>
          <w:szCs w:val="22"/>
        </w:rPr>
        <w:t>participants</w:t>
      </w:r>
      <w:r w:rsidR="000C6E63">
        <w:rPr>
          <w:noProof/>
          <w:szCs w:val="22"/>
        </w:rPr>
        <w:t xml:space="preserve"> 18 </w:t>
      </w:r>
      <w:r w:rsidR="000C6E63" w:rsidRPr="005045B0">
        <w:rPr>
          <w:noProof/>
          <w:szCs w:val="22"/>
        </w:rPr>
        <w:t xml:space="preserve">to 65 years and </w:t>
      </w:r>
      <w:r w:rsidR="00182021">
        <w:rPr>
          <w:noProof/>
          <w:szCs w:val="22"/>
        </w:rPr>
        <w:t>participants</w:t>
      </w:r>
      <w:r w:rsidR="00EB6EF5" w:rsidRPr="005045B0">
        <w:rPr>
          <w:noProof/>
          <w:szCs w:val="22"/>
        </w:rPr>
        <w:t xml:space="preserve"> </w:t>
      </w:r>
      <w:r w:rsidR="000C6E63" w:rsidRPr="005045B0">
        <w:rPr>
          <w:noProof/>
          <w:szCs w:val="22"/>
        </w:rPr>
        <w:t>≥</w:t>
      </w:r>
      <w:r w:rsidR="000C6E63">
        <w:rPr>
          <w:noProof/>
          <w:szCs w:val="22"/>
        </w:rPr>
        <w:t xml:space="preserve"> </w:t>
      </w:r>
      <w:r w:rsidR="000C6E63" w:rsidRPr="005045B0">
        <w:rPr>
          <w:noProof/>
          <w:szCs w:val="22"/>
        </w:rPr>
        <w:t>65 years of age.</w:t>
      </w:r>
    </w:p>
    <w:p w:rsidR="00481CFF" w:rsidRDefault="00481CFF" w:rsidP="00481CFF">
      <w:pPr>
        <w:rPr>
          <w:highlight w:val="yellow"/>
          <w:lang w:val="en-AU"/>
        </w:rPr>
      </w:pPr>
    </w:p>
    <w:p w:rsidR="00542478" w:rsidRPr="00542478" w:rsidRDefault="00542478" w:rsidP="00481CFF">
      <w:pPr>
        <w:rPr>
          <w:lang w:val="en-AU"/>
        </w:rPr>
      </w:pPr>
      <w:r w:rsidRPr="00542478">
        <w:rPr>
          <w:lang w:val="en-AU"/>
        </w:rPr>
        <w:t>During clinical trials, 2047 participants with inflammatory lesions of rosacea received SOOLANTRA once daily. A total of 1555 participants were treated once daily for more than 12 weeks, and 519 for approximately one year.</w:t>
      </w:r>
    </w:p>
    <w:p w:rsidR="00225735" w:rsidRPr="005045B0" w:rsidRDefault="00225735" w:rsidP="00225735">
      <w:pPr>
        <w:rPr>
          <w:szCs w:val="22"/>
        </w:rPr>
      </w:pPr>
    </w:p>
    <w:p w:rsidR="00225735" w:rsidRPr="001E28C6" w:rsidRDefault="00F22BBF" w:rsidP="00225735">
      <w:pPr>
        <w:suppressLineNumbers/>
        <w:rPr>
          <w:noProof/>
          <w:szCs w:val="22"/>
        </w:rPr>
      </w:pPr>
      <w:r w:rsidRPr="00F22BBF">
        <w:rPr>
          <w:noProof/>
          <w:szCs w:val="22"/>
          <w:u w:val="single"/>
        </w:rPr>
        <w:t>T</w:t>
      </w:r>
      <w:r w:rsidR="00225735" w:rsidRPr="00F22BBF">
        <w:rPr>
          <w:noProof/>
          <w:szCs w:val="22"/>
          <w:u w:val="single"/>
        </w:rPr>
        <w:t xml:space="preserve">abulated list of adverse </w:t>
      </w:r>
      <w:r w:rsidR="007F5E1C" w:rsidRPr="00F22BBF">
        <w:rPr>
          <w:noProof/>
          <w:szCs w:val="22"/>
          <w:u w:val="single"/>
        </w:rPr>
        <w:t>events</w:t>
      </w:r>
      <w:r w:rsidR="00E758E6" w:rsidRPr="00F22BBF">
        <w:rPr>
          <w:noProof/>
          <w:szCs w:val="22"/>
          <w:u w:val="single"/>
        </w:rPr>
        <w:t xml:space="preserve"> </w:t>
      </w:r>
      <w:r w:rsidR="00AF38BC" w:rsidRPr="00F22BBF">
        <w:rPr>
          <w:noProof/>
          <w:szCs w:val="22"/>
          <w:u w:val="single"/>
        </w:rPr>
        <w:t>reported in ≥1% of patients during treatment with SOOLANTRA in 2 Phase 3 vehicle-controlled studies</w:t>
      </w:r>
      <w:r w:rsidR="00E758E6" w:rsidRPr="00F22BBF">
        <w:rPr>
          <w:noProof/>
          <w:szCs w:val="22"/>
          <w:u w:val="single"/>
        </w:rPr>
        <w:t>, by System Organ Class, Preferred Terms  and frequency (Table 3)</w:t>
      </w:r>
      <w:r w:rsidR="00E758E6" w:rsidRPr="001E28C6">
        <w:rPr>
          <w:noProof/>
          <w:szCs w:val="22"/>
        </w:rPr>
        <w:t>:</w:t>
      </w:r>
    </w:p>
    <w:p w:rsidR="00F47E50" w:rsidRDefault="00F47E50" w:rsidP="00B46FB1">
      <w:pPr>
        <w:spacing w:line="208" w:lineRule="exact"/>
        <w:ind w:right="134"/>
        <w:rPr>
          <w:b/>
        </w:rPr>
      </w:pPr>
    </w:p>
    <w:p w:rsidR="00B46FB1" w:rsidRDefault="00B46FB1" w:rsidP="00B46FB1">
      <w:pPr>
        <w:spacing w:line="208" w:lineRule="exact"/>
        <w:ind w:right="134"/>
        <w:rPr>
          <w:b/>
        </w:rPr>
      </w:pPr>
      <w:r w:rsidRPr="001D1420">
        <w:rPr>
          <w:b/>
        </w:rPr>
        <w:t>Table</w:t>
      </w:r>
      <w:r w:rsidRPr="001D1420">
        <w:rPr>
          <w:b/>
          <w:spacing w:val="-7"/>
        </w:rPr>
        <w:t xml:space="preserve"> </w:t>
      </w:r>
      <w:r w:rsidRPr="001D1420">
        <w:rPr>
          <w:b/>
        </w:rPr>
        <w:t>3:</w:t>
      </w:r>
      <w:r w:rsidRPr="001D1420">
        <w:rPr>
          <w:b/>
          <w:spacing w:val="-7"/>
        </w:rPr>
        <w:t xml:space="preserve"> </w:t>
      </w:r>
      <w:r>
        <w:rPr>
          <w:b/>
        </w:rPr>
        <w:t>Adverse Events</w:t>
      </w:r>
      <w:r w:rsidRPr="001D1420">
        <w:rPr>
          <w:b/>
        </w:rPr>
        <w:t xml:space="preserve"> Reported </w:t>
      </w:r>
      <w:r w:rsidR="009F418F">
        <w:rPr>
          <w:b/>
        </w:rPr>
        <w:t xml:space="preserve">by </w:t>
      </w:r>
      <w:r w:rsidR="00AF38BC">
        <w:rPr>
          <w:b/>
        </w:rPr>
        <w:t>≥</w:t>
      </w:r>
      <w:r w:rsidR="009F418F">
        <w:rPr>
          <w:b/>
        </w:rPr>
        <w:t xml:space="preserve">1% of </w:t>
      </w:r>
      <w:r w:rsidR="00AF38BC">
        <w:rPr>
          <w:b/>
        </w:rPr>
        <w:t xml:space="preserve">patients during treatment with SOOLANTRA in 2 </w:t>
      </w:r>
      <w:r w:rsidR="009F418F">
        <w:rPr>
          <w:b/>
        </w:rPr>
        <w:t xml:space="preserve">Phase 3 </w:t>
      </w:r>
      <w:r w:rsidR="00C06768">
        <w:rPr>
          <w:b/>
        </w:rPr>
        <w:t>vehicle</w:t>
      </w:r>
      <w:r w:rsidR="00AF38BC">
        <w:rPr>
          <w:b/>
        </w:rPr>
        <w:t>-</w:t>
      </w:r>
      <w:r w:rsidR="00C06768">
        <w:rPr>
          <w:b/>
        </w:rPr>
        <w:t>controlled studies</w:t>
      </w:r>
      <w:r w:rsidRPr="001D1420">
        <w:rPr>
          <w:b/>
        </w:rPr>
        <w:t xml:space="preserve"> </w:t>
      </w:r>
    </w:p>
    <w:p w:rsidR="00B46FB1" w:rsidRPr="001D1420" w:rsidRDefault="00B46FB1" w:rsidP="00B46FB1">
      <w:pPr>
        <w:spacing w:line="208" w:lineRule="exact"/>
        <w:ind w:right="134"/>
        <w:rPr>
          <w:b/>
        </w:rPr>
      </w:pPr>
    </w:p>
    <w:tbl>
      <w:tblPr>
        <w:tblStyle w:val="TableGrid"/>
        <w:tblW w:w="0" w:type="auto"/>
        <w:tblInd w:w="108" w:type="dxa"/>
        <w:tblLayout w:type="fixed"/>
        <w:tblLook w:val="04A0" w:firstRow="1" w:lastRow="0" w:firstColumn="1" w:lastColumn="0" w:noHBand="0" w:noVBand="1"/>
      </w:tblPr>
      <w:tblGrid>
        <w:gridCol w:w="3262"/>
        <w:gridCol w:w="1997"/>
        <w:gridCol w:w="2034"/>
      </w:tblGrid>
      <w:tr w:rsidR="00AF38BC" w:rsidRPr="009F418F" w:rsidTr="007C3F22">
        <w:tc>
          <w:tcPr>
            <w:tcW w:w="3262" w:type="dxa"/>
          </w:tcPr>
          <w:p w:rsidR="00AF38BC" w:rsidRPr="00AF38BC" w:rsidRDefault="00AF38BC" w:rsidP="007C3F22">
            <w:pPr>
              <w:spacing w:line="208" w:lineRule="exact"/>
              <w:ind w:right="134"/>
              <w:jc w:val="left"/>
              <w:rPr>
                <w:b/>
                <w:bCs/>
                <w:color w:val="211D1E"/>
              </w:rPr>
            </w:pPr>
            <w:r w:rsidRPr="00AF38BC">
              <w:rPr>
                <w:b/>
                <w:bCs/>
                <w:color w:val="211D1E"/>
              </w:rPr>
              <w:t>System Organ Class</w:t>
            </w:r>
          </w:p>
          <w:p w:rsidR="00AF38BC" w:rsidRDefault="00AF38BC" w:rsidP="007C3F22">
            <w:pPr>
              <w:spacing w:line="208" w:lineRule="exact"/>
              <w:ind w:right="134"/>
              <w:jc w:val="left"/>
              <w:rPr>
                <w:bCs/>
                <w:color w:val="211D1E"/>
              </w:rPr>
            </w:pPr>
          </w:p>
          <w:p w:rsidR="00AF38BC" w:rsidRPr="009F418F" w:rsidRDefault="00AF38BC" w:rsidP="007C3F22">
            <w:pPr>
              <w:spacing w:line="208" w:lineRule="exact"/>
              <w:ind w:right="134"/>
              <w:jc w:val="left"/>
              <w:rPr>
                <w:bCs/>
                <w:color w:val="211D1E"/>
              </w:rPr>
            </w:pPr>
            <w:r>
              <w:rPr>
                <w:bCs/>
                <w:color w:val="211D1E"/>
              </w:rPr>
              <w:t>Preferred Term</w:t>
            </w:r>
          </w:p>
        </w:tc>
        <w:tc>
          <w:tcPr>
            <w:tcW w:w="1997" w:type="dxa"/>
          </w:tcPr>
          <w:p w:rsidR="00AF38BC" w:rsidRPr="007C3F22" w:rsidRDefault="00AF38BC" w:rsidP="007C3F22">
            <w:pPr>
              <w:spacing w:line="208" w:lineRule="exact"/>
              <w:ind w:right="134"/>
              <w:jc w:val="left"/>
              <w:rPr>
                <w:bCs/>
                <w:color w:val="211D1E"/>
              </w:rPr>
            </w:pPr>
            <w:r w:rsidRPr="007C3F22">
              <w:rPr>
                <w:bCs/>
                <w:color w:val="211D1E"/>
              </w:rPr>
              <w:t>Soolantra Cream</w:t>
            </w:r>
            <w:r w:rsidR="00E758E6">
              <w:rPr>
                <w:bCs/>
                <w:color w:val="211D1E"/>
              </w:rPr>
              <w:t xml:space="preserve"> </w:t>
            </w:r>
            <w:r w:rsidRPr="007C3F22">
              <w:rPr>
                <w:bCs/>
                <w:color w:val="211D1E"/>
              </w:rPr>
              <w:t>(N=</w:t>
            </w:r>
            <w:r>
              <w:rPr>
                <w:bCs/>
                <w:color w:val="211D1E"/>
              </w:rPr>
              <w:t>910</w:t>
            </w:r>
            <w:r w:rsidRPr="007C3F22">
              <w:rPr>
                <w:bCs/>
                <w:color w:val="211D1E"/>
              </w:rPr>
              <w:t>)</w:t>
            </w:r>
          </w:p>
          <w:p w:rsidR="00AF38BC" w:rsidRPr="007C3F22" w:rsidRDefault="00AF38BC" w:rsidP="007C3F22">
            <w:pPr>
              <w:spacing w:line="208" w:lineRule="exact"/>
              <w:ind w:right="134"/>
              <w:jc w:val="left"/>
              <w:rPr>
                <w:bCs/>
                <w:color w:val="211D1E"/>
              </w:rPr>
            </w:pPr>
            <w:proofErr w:type="gramStart"/>
            <w:r w:rsidRPr="007C3F22">
              <w:rPr>
                <w:bCs/>
                <w:color w:val="211D1E"/>
              </w:rPr>
              <w:t>n</w:t>
            </w:r>
            <w:proofErr w:type="gramEnd"/>
            <w:r w:rsidRPr="007C3F22">
              <w:rPr>
                <w:bCs/>
                <w:color w:val="211D1E"/>
              </w:rPr>
              <w:t xml:space="preserve"> (%) </w:t>
            </w:r>
          </w:p>
        </w:tc>
        <w:tc>
          <w:tcPr>
            <w:tcW w:w="2034" w:type="dxa"/>
          </w:tcPr>
          <w:p w:rsidR="00AF38BC" w:rsidRPr="007C3F22" w:rsidRDefault="00AF38BC" w:rsidP="007C3F22">
            <w:pPr>
              <w:spacing w:line="208" w:lineRule="exact"/>
              <w:ind w:right="134"/>
              <w:jc w:val="left"/>
              <w:rPr>
                <w:bCs/>
                <w:color w:val="211D1E"/>
                <w:lang w:val="fr-FR"/>
              </w:rPr>
            </w:pPr>
            <w:proofErr w:type="spellStart"/>
            <w:r w:rsidRPr="007C3F22">
              <w:rPr>
                <w:bCs/>
                <w:color w:val="211D1E"/>
                <w:lang w:val="fr-FR"/>
              </w:rPr>
              <w:t>Vehicle</w:t>
            </w:r>
            <w:proofErr w:type="spellEnd"/>
            <w:r w:rsidRPr="007C3F22">
              <w:rPr>
                <w:bCs/>
                <w:color w:val="211D1E"/>
                <w:lang w:val="fr-FR"/>
              </w:rPr>
              <w:t xml:space="preserve"> </w:t>
            </w:r>
            <w:r w:rsidR="00E758E6">
              <w:rPr>
                <w:bCs/>
                <w:color w:val="211D1E"/>
                <w:lang w:val="fr-FR"/>
              </w:rPr>
              <w:t xml:space="preserve">Cream </w:t>
            </w:r>
            <w:r w:rsidRPr="007C3F22">
              <w:rPr>
                <w:bCs/>
                <w:color w:val="211D1E"/>
                <w:lang w:val="fr-FR"/>
              </w:rPr>
              <w:t>(N=461)</w:t>
            </w:r>
          </w:p>
          <w:p w:rsidR="00E758E6" w:rsidRDefault="00E758E6" w:rsidP="007C3F22">
            <w:pPr>
              <w:spacing w:line="208" w:lineRule="exact"/>
              <w:ind w:right="134"/>
              <w:jc w:val="left"/>
              <w:rPr>
                <w:bCs/>
                <w:color w:val="211D1E"/>
                <w:lang w:val="fr-FR"/>
              </w:rPr>
            </w:pPr>
          </w:p>
          <w:p w:rsidR="00AF38BC" w:rsidRPr="007C3F22" w:rsidRDefault="00AF38BC" w:rsidP="007C3F22">
            <w:pPr>
              <w:spacing w:line="208" w:lineRule="exact"/>
              <w:ind w:right="134"/>
              <w:jc w:val="left"/>
              <w:rPr>
                <w:bCs/>
                <w:color w:val="211D1E"/>
                <w:lang w:val="fr-FR"/>
              </w:rPr>
            </w:pPr>
            <w:r w:rsidRPr="007C3F22">
              <w:rPr>
                <w:bCs/>
                <w:color w:val="211D1E"/>
                <w:lang w:val="fr-FR"/>
              </w:rPr>
              <w:t xml:space="preserve">n (%) </w:t>
            </w:r>
          </w:p>
        </w:tc>
      </w:tr>
      <w:tr w:rsidR="00AF38BC" w:rsidRPr="00D41428" w:rsidTr="00AF57AF">
        <w:tc>
          <w:tcPr>
            <w:tcW w:w="7293" w:type="dxa"/>
            <w:gridSpan w:val="3"/>
          </w:tcPr>
          <w:p w:rsidR="00AF38BC" w:rsidRPr="00D41428" w:rsidRDefault="00AF38BC" w:rsidP="009F418F">
            <w:pPr>
              <w:spacing w:line="208" w:lineRule="exact"/>
              <w:ind w:right="134"/>
              <w:jc w:val="left"/>
              <w:rPr>
                <w:rFonts w:eastAsia="Times New Roman"/>
              </w:rPr>
            </w:pPr>
            <w:r w:rsidRPr="00AF38BC">
              <w:rPr>
                <w:rFonts w:eastAsia="Times New Roman"/>
                <w:b/>
              </w:rPr>
              <w:t>Immune system disorders</w:t>
            </w:r>
          </w:p>
        </w:tc>
      </w:tr>
      <w:tr w:rsidR="00AF38BC" w:rsidRPr="00D41428" w:rsidTr="007C3F22">
        <w:tc>
          <w:tcPr>
            <w:tcW w:w="3262" w:type="dxa"/>
          </w:tcPr>
          <w:p w:rsidR="00AF38BC" w:rsidRPr="009F418F" w:rsidRDefault="00AF38BC" w:rsidP="009F418F">
            <w:pPr>
              <w:pStyle w:val="Default"/>
              <w:rPr>
                <w:rFonts w:ascii="Times New Roman" w:eastAsia="Times New Roman" w:hAnsi="Times New Roman" w:cs="Times New Roman"/>
              </w:rPr>
            </w:pPr>
            <w:r w:rsidRPr="009F418F">
              <w:rPr>
                <w:rFonts w:ascii="Times New Roman" w:eastAsia="Times New Roman" w:hAnsi="Times New Roman" w:cs="Times New Roman"/>
              </w:rPr>
              <w:t>Seasonal allergy</w:t>
            </w:r>
          </w:p>
        </w:tc>
        <w:tc>
          <w:tcPr>
            <w:tcW w:w="1997"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12 (1.3)</w:t>
            </w:r>
          </w:p>
        </w:tc>
        <w:tc>
          <w:tcPr>
            <w:tcW w:w="2034"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4 (0.9)</w:t>
            </w:r>
          </w:p>
        </w:tc>
      </w:tr>
      <w:tr w:rsidR="00AF38BC" w:rsidRPr="00D41428" w:rsidTr="00A33A9F">
        <w:tc>
          <w:tcPr>
            <w:tcW w:w="7293" w:type="dxa"/>
            <w:gridSpan w:val="3"/>
          </w:tcPr>
          <w:p w:rsidR="00AF38BC" w:rsidRPr="00AF38BC" w:rsidRDefault="00E758E6" w:rsidP="009F418F">
            <w:pPr>
              <w:pStyle w:val="Default"/>
              <w:rPr>
                <w:rFonts w:ascii="Times New Roman" w:eastAsia="Times New Roman" w:hAnsi="Times New Roman" w:cs="Times New Roman"/>
                <w:b/>
              </w:rPr>
            </w:pPr>
            <w:r>
              <w:rPr>
                <w:rFonts w:ascii="Times New Roman" w:eastAsia="Times New Roman" w:hAnsi="Times New Roman" w:cs="Times New Roman"/>
                <w:b/>
              </w:rPr>
              <w:t>Infections and i</w:t>
            </w:r>
            <w:r w:rsidR="00AF38BC" w:rsidRPr="00AF38BC">
              <w:rPr>
                <w:rFonts w:ascii="Times New Roman" w:eastAsia="Times New Roman" w:hAnsi="Times New Roman" w:cs="Times New Roman"/>
                <w:b/>
              </w:rPr>
              <w:t>nfestations</w:t>
            </w:r>
          </w:p>
        </w:tc>
      </w:tr>
      <w:tr w:rsidR="00AF38BC" w:rsidRPr="00D41428" w:rsidTr="009F418F">
        <w:tc>
          <w:tcPr>
            <w:tcW w:w="3262"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Nasopharyngitis</w:t>
            </w:r>
          </w:p>
        </w:tc>
        <w:tc>
          <w:tcPr>
            <w:tcW w:w="1997"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22 (2.4)</w:t>
            </w:r>
          </w:p>
        </w:tc>
        <w:tc>
          <w:tcPr>
            <w:tcW w:w="2034"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12 (2.6)</w:t>
            </w:r>
          </w:p>
        </w:tc>
      </w:tr>
      <w:tr w:rsidR="00AF38BC" w:rsidRPr="00D41428" w:rsidTr="009F418F">
        <w:tc>
          <w:tcPr>
            <w:tcW w:w="3262"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Upper respiratory tract infection</w:t>
            </w:r>
          </w:p>
        </w:tc>
        <w:tc>
          <w:tcPr>
            <w:tcW w:w="1997"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18 (2.0)</w:t>
            </w:r>
          </w:p>
        </w:tc>
        <w:tc>
          <w:tcPr>
            <w:tcW w:w="2034"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10 (2.2)</w:t>
            </w:r>
          </w:p>
        </w:tc>
      </w:tr>
      <w:tr w:rsidR="00AF38BC" w:rsidRPr="00D41428" w:rsidTr="009F418F">
        <w:tc>
          <w:tcPr>
            <w:tcW w:w="3262" w:type="dxa"/>
          </w:tcPr>
          <w:p w:rsidR="00AF38BC"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Sinusitis</w:t>
            </w:r>
          </w:p>
        </w:tc>
        <w:tc>
          <w:tcPr>
            <w:tcW w:w="1997"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14 (1.5)</w:t>
            </w:r>
          </w:p>
        </w:tc>
        <w:tc>
          <w:tcPr>
            <w:tcW w:w="2034"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7 (1.5)</w:t>
            </w:r>
          </w:p>
        </w:tc>
      </w:tr>
      <w:tr w:rsidR="00AF38BC" w:rsidRPr="00D41428" w:rsidTr="009F418F">
        <w:tc>
          <w:tcPr>
            <w:tcW w:w="3262"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Urinary tract infection</w:t>
            </w:r>
          </w:p>
        </w:tc>
        <w:tc>
          <w:tcPr>
            <w:tcW w:w="1997"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14 (1.5)</w:t>
            </w:r>
          </w:p>
        </w:tc>
        <w:tc>
          <w:tcPr>
            <w:tcW w:w="2034"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3 (0.7)</w:t>
            </w:r>
          </w:p>
        </w:tc>
      </w:tr>
      <w:tr w:rsidR="00AF38BC" w:rsidRPr="00D41428" w:rsidTr="00A13FA5">
        <w:tc>
          <w:tcPr>
            <w:tcW w:w="7293" w:type="dxa"/>
            <w:gridSpan w:val="3"/>
          </w:tcPr>
          <w:p w:rsidR="00AF38BC" w:rsidRDefault="00AF38BC" w:rsidP="009F418F">
            <w:pPr>
              <w:pStyle w:val="Default"/>
              <w:rPr>
                <w:rFonts w:ascii="Times New Roman" w:eastAsia="Times New Roman" w:hAnsi="Times New Roman" w:cs="Times New Roman"/>
              </w:rPr>
            </w:pPr>
            <w:r w:rsidRPr="00AF38BC">
              <w:rPr>
                <w:rFonts w:ascii="Times New Roman" w:eastAsia="Times New Roman" w:hAnsi="Times New Roman" w:cs="Times New Roman"/>
                <w:b/>
              </w:rPr>
              <w:t>Injury, poisoning and procedural complications</w:t>
            </w:r>
          </w:p>
        </w:tc>
      </w:tr>
      <w:tr w:rsidR="00AF38BC" w:rsidRPr="00D41428" w:rsidTr="009F418F">
        <w:tc>
          <w:tcPr>
            <w:tcW w:w="3262"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Muscle strain</w:t>
            </w:r>
          </w:p>
        </w:tc>
        <w:tc>
          <w:tcPr>
            <w:tcW w:w="1997"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10 (1.1)</w:t>
            </w:r>
          </w:p>
        </w:tc>
        <w:tc>
          <w:tcPr>
            <w:tcW w:w="2034" w:type="dxa"/>
          </w:tcPr>
          <w:p w:rsidR="00AF38BC" w:rsidRPr="009F418F" w:rsidRDefault="00AF38BC" w:rsidP="009F418F">
            <w:pPr>
              <w:pStyle w:val="Default"/>
              <w:rPr>
                <w:rFonts w:ascii="Times New Roman" w:eastAsia="Times New Roman" w:hAnsi="Times New Roman" w:cs="Times New Roman"/>
              </w:rPr>
            </w:pPr>
            <w:r>
              <w:rPr>
                <w:rFonts w:ascii="Times New Roman" w:eastAsia="Times New Roman" w:hAnsi="Times New Roman" w:cs="Times New Roman"/>
              </w:rPr>
              <w:t>1 (0.2)</w:t>
            </w:r>
          </w:p>
        </w:tc>
      </w:tr>
      <w:tr w:rsidR="00E758E6" w:rsidRPr="00D41428" w:rsidTr="00120885">
        <w:tc>
          <w:tcPr>
            <w:tcW w:w="7293" w:type="dxa"/>
            <w:gridSpan w:val="3"/>
          </w:tcPr>
          <w:p w:rsidR="00E758E6" w:rsidRPr="00E758E6" w:rsidRDefault="00E758E6" w:rsidP="004E7893">
            <w:pPr>
              <w:pStyle w:val="Default"/>
              <w:rPr>
                <w:rFonts w:ascii="Times New Roman" w:eastAsia="Times New Roman" w:hAnsi="Times New Roman" w:cs="Times New Roman"/>
                <w:b/>
              </w:rPr>
            </w:pPr>
            <w:r w:rsidRPr="00E758E6">
              <w:rPr>
                <w:rFonts w:ascii="Times New Roman" w:eastAsia="Times New Roman" w:hAnsi="Times New Roman" w:cs="Times New Roman"/>
                <w:b/>
              </w:rPr>
              <w:t>Musculoskeletal and connective tissue disorders</w:t>
            </w:r>
          </w:p>
        </w:tc>
      </w:tr>
      <w:tr w:rsidR="00AF38BC" w:rsidRPr="00D41428" w:rsidTr="009F418F">
        <w:tc>
          <w:tcPr>
            <w:tcW w:w="3262"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Back pain</w:t>
            </w:r>
          </w:p>
        </w:tc>
        <w:tc>
          <w:tcPr>
            <w:tcW w:w="1997"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9 (1.0)</w:t>
            </w:r>
          </w:p>
        </w:tc>
        <w:tc>
          <w:tcPr>
            <w:tcW w:w="2034"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1 (0.2)</w:t>
            </w:r>
          </w:p>
        </w:tc>
      </w:tr>
      <w:tr w:rsidR="00AF38BC" w:rsidRPr="00D41428" w:rsidTr="007D42D4">
        <w:tc>
          <w:tcPr>
            <w:tcW w:w="7293" w:type="dxa"/>
            <w:gridSpan w:val="3"/>
          </w:tcPr>
          <w:p w:rsidR="00AF38BC" w:rsidRDefault="00AF38BC" w:rsidP="004E7893">
            <w:pPr>
              <w:pStyle w:val="Default"/>
              <w:rPr>
                <w:rFonts w:ascii="Times New Roman" w:eastAsia="Times New Roman" w:hAnsi="Times New Roman" w:cs="Times New Roman"/>
              </w:rPr>
            </w:pPr>
            <w:r w:rsidRPr="00AF38BC">
              <w:rPr>
                <w:rFonts w:ascii="Times New Roman" w:eastAsia="Times New Roman" w:hAnsi="Times New Roman" w:cs="Times New Roman"/>
                <w:b/>
              </w:rPr>
              <w:t>Nervous system disorders</w:t>
            </w:r>
          </w:p>
        </w:tc>
      </w:tr>
      <w:tr w:rsidR="00AF38BC" w:rsidRPr="00D41428" w:rsidTr="009F418F">
        <w:tc>
          <w:tcPr>
            <w:tcW w:w="3262"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Headache</w:t>
            </w:r>
          </w:p>
        </w:tc>
        <w:tc>
          <w:tcPr>
            <w:tcW w:w="1997"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22 (2.4)</w:t>
            </w:r>
          </w:p>
        </w:tc>
        <w:tc>
          <w:tcPr>
            <w:tcW w:w="2034"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7 (1.5)</w:t>
            </w:r>
          </w:p>
        </w:tc>
      </w:tr>
      <w:tr w:rsidR="00AF38BC" w:rsidRPr="00D41428" w:rsidTr="00441A90">
        <w:tc>
          <w:tcPr>
            <w:tcW w:w="7293" w:type="dxa"/>
            <w:gridSpan w:val="3"/>
          </w:tcPr>
          <w:p w:rsidR="00AF38BC" w:rsidRDefault="00AF38BC" w:rsidP="004E7893">
            <w:pPr>
              <w:pStyle w:val="Default"/>
              <w:rPr>
                <w:rFonts w:ascii="Times New Roman" w:eastAsia="Times New Roman" w:hAnsi="Times New Roman" w:cs="Times New Roman"/>
              </w:rPr>
            </w:pPr>
            <w:r w:rsidRPr="00AF38BC">
              <w:rPr>
                <w:rFonts w:ascii="Times New Roman" w:eastAsia="Times New Roman" w:hAnsi="Times New Roman" w:cs="Times New Roman"/>
                <w:b/>
              </w:rPr>
              <w:lastRenderedPageBreak/>
              <w:t>Skin and subcutaneous tissue disorders</w:t>
            </w:r>
          </w:p>
        </w:tc>
      </w:tr>
      <w:tr w:rsidR="00AF38BC" w:rsidRPr="00D41428" w:rsidTr="009F418F">
        <w:tc>
          <w:tcPr>
            <w:tcW w:w="3262"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Skin burning sensation</w:t>
            </w:r>
          </w:p>
        </w:tc>
        <w:tc>
          <w:tcPr>
            <w:tcW w:w="1997"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9 (1.0)</w:t>
            </w:r>
          </w:p>
        </w:tc>
        <w:tc>
          <w:tcPr>
            <w:tcW w:w="2034" w:type="dxa"/>
          </w:tcPr>
          <w:p w:rsidR="00AF38BC" w:rsidRPr="009F418F" w:rsidRDefault="00AF38BC" w:rsidP="004E7893">
            <w:pPr>
              <w:pStyle w:val="Default"/>
              <w:rPr>
                <w:rFonts w:ascii="Times New Roman" w:eastAsia="Times New Roman" w:hAnsi="Times New Roman" w:cs="Times New Roman"/>
              </w:rPr>
            </w:pPr>
            <w:r>
              <w:rPr>
                <w:rFonts w:ascii="Times New Roman" w:eastAsia="Times New Roman" w:hAnsi="Times New Roman" w:cs="Times New Roman"/>
              </w:rPr>
              <w:t>10 (2.2)</w:t>
            </w:r>
          </w:p>
        </w:tc>
      </w:tr>
    </w:tbl>
    <w:p w:rsidR="006C4A8D" w:rsidRDefault="006C4A8D" w:rsidP="004E7893">
      <w:pPr>
        <w:jc w:val="left"/>
        <w:rPr>
          <w:highlight w:val="yellow"/>
        </w:rPr>
      </w:pPr>
    </w:p>
    <w:p w:rsidR="00F47E50" w:rsidRPr="00F47E50" w:rsidRDefault="00F47E50" w:rsidP="00F47E50">
      <w:pPr>
        <w:suppressLineNumbers/>
        <w:rPr>
          <w:noProof/>
          <w:u w:val="single"/>
          <w:lang w:val="en-GB"/>
        </w:rPr>
      </w:pPr>
      <w:r w:rsidRPr="00F47E50">
        <w:rPr>
          <w:noProof/>
          <w:u w:val="single"/>
          <w:lang w:val="en-GB"/>
        </w:rPr>
        <w:t>Adverse reactions (considered as related)</w:t>
      </w:r>
      <w:r w:rsidR="00A8642E">
        <w:rPr>
          <w:noProof/>
          <w:u w:val="single"/>
          <w:lang w:val="en-GB"/>
        </w:rPr>
        <w:t xml:space="preserve"> </w:t>
      </w:r>
      <w:r w:rsidR="00A8642E" w:rsidRPr="00A8642E">
        <w:rPr>
          <w:noProof/>
          <w:u w:val="single"/>
          <w:lang w:val="en-GB"/>
        </w:rPr>
        <w:t>reported by &lt;1% of patients during treatment with SOOLANTRA in 2 Phase 3 vehicle-controlled studies:</w:t>
      </w:r>
    </w:p>
    <w:p w:rsidR="005811AF" w:rsidRPr="00F47E50" w:rsidRDefault="005811AF" w:rsidP="00D41428">
      <w:pPr>
        <w:keepNext/>
        <w:keepLines/>
        <w:suppressLineNumbers/>
        <w:rPr>
          <w:b/>
          <w:noProof/>
          <w:szCs w:val="22"/>
          <w:lang w:val="en-GB"/>
        </w:rPr>
      </w:pPr>
    </w:p>
    <w:p w:rsidR="005811AF" w:rsidRDefault="00D41428" w:rsidP="00F47E50">
      <w:pPr>
        <w:suppressLineNumbers/>
        <w:rPr>
          <w:noProof/>
          <w:szCs w:val="22"/>
        </w:rPr>
      </w:pPr>
      <w:r>
        <w:rPr>
          <w:noProof/>
          <w:szCs w:val="22"/>
        </w:rPr>
        <w:t xml:space="preserve">Skin and subcutaneous tissue disorders </w:t>
      </w:r>
    </w:p>
    <w:p w:rsidR="00D41428" w:rsidRPr="00F47E50" w:rsidRDefault="005811AF" w:rsidP="00F47E50">
      <w:pPr>
        <w:suppressLineNumbers/>
        <w:rPr>
          <w:i/>
          <w:noProof/>
          <w:szCs w:val="22"/>
        </w:rPr>
      </w:pPr>
      <w:r w:rsidRPr="00F47E50">
        <w:rPr>
          <w:i/>
          <w:noProof/>
          <w:szCs w:val="22"/>
        </w:rPr>
        <w:t>uncommon (≥ 1/1,000 to &lt; 1/100)</w:t>
      </w:r>
    </w:p>
    <w:p w:rsidR="00D41428" w:rsidRPr="00F47E50" w:rsidRDefault="00D41428" w:rsidP="00F47E50">
      <w:pPr>
        <w:pStyle w:val="ListParagraph"/>
        <w:keepNext/>
        <w:keepLines/>
        <w:numPr>
          <w:ilvl w:val="0"/>
          <w:numId w:val="7"/>
        </w:numPr>
        <w:suppressLineNumbers/>
        <w:rPr>
          <w:noProof/>
          <w:szCs w:val="22"/>
        </w:rPr>
      </w:pPr>
      <w:r w:rsidRPr="00F47E50">
        <w:rPr>
          <w:noProof/>
          <w:szCs w:val="22"/>
        </w:rPr>
        <w:t>Skin irritation</w:t>
      </w:r>
    </w:p>
    <w:p w:rsidR="00D41428" w:rsidRPr="00F47E50" w:rsidRDefault="00D41428" w:rsidP="00F47E50">
      <w:pPr>
        <w:pStyle w:val="ListParagraph"/>
        <w:keepNext/>
        <w:keepLines/>
        <w:numPr>
          <w:ilvl w:val="0"/>
          <w:numId w:val="7"/>
        </w:numPr>
        <w:suppressLineNumbers/>
        <w:rPr>
          <w:noProof/>
          <w:szCs w:val="22"/>
        </w:rPr>
      </w:pPr>
      <w:r w:rsidRPr="00F47E50">
        <w:rPr>
          <w:noProof/>
          <w:szCs w:val="22"/>
        </w:rPr>
        <w:t>Pruritus</w:t>
      </w:r>
    </w:p>
    <w:p w:rsidR="002D3A17" w:rsidRDefault="00D41428" w:rsidP="00F47E50">
      <w:pPr>
        <w:pStyle w:val="ListParagraph"/>
        <w:keepNext/>
        <w:keepLines/>
        <w:numPr>
          <w:ilvl w:val="0"/>
          <w:numId w:val="7"/>
        </w:numPr>
        <w:suppressLineNumbers/>
        <w:rPr>
          <w:noProof/>
          <w:szCs w:val="22"/>
        </w:rPr>
      </w:pPr>
      <w:r w:rsidRPr="00F47E50">
        <w:rPr>
          <w:noProof/>
          <w:szCs w:val="22"/>
        </w:rPr>
        <w:t>Dry skin</w:t>
      </w:r>
    </w:p>
    <w:p w:rsidR="00EC5313" w:rsidRDefault="00EC5313" w:rsidP="00F47E50">
      <w:pPr>
        <w:pStyle w:val="ListParagraph"/>
        <w:keepNext/>
        <w:keepLines/>
        <w:suppressLineNumbers/>
        <w:rPr>
          <w:noProof/>
          <w:szCs w:val="22"/>
        </w:rPr>
      </w:pPr>
    </w:p>
    <w:p w:rsidR="001E28C6" w:rsidRDefault="001E28C6" w:rsidP="00F47E50">
      <w:pPr>
        <w:pStyle w:val="ListParagraph"/>
        <w:keepNext/>
        <w:keepLines/>
        <w:suppressLineNumbers/>
        <w:rPr>
          <w:noProof/>
          <w:szCs w:val="22"/>
        </w:rPr>
      </w:pPr>
    </w:p>
    <w:p w:rsidR="001E28C6" w:rsidRDefault="001E28C6" w:rsidP="00F47E50">
      <w:pPr>
        <w:pStyle w:val="ListParagraph"/>
        <w:keepNext/>
        <w:keepLines/>
        <w:suppressLineNumbers/>
        <w:rPr>
          <w:noProof/>
          <w:szCs w:val="22"/>
        </w:rPr>
      </w:pPr>
    </w:p>
    <w:p w:rsidR="001E28C6" w:rsidRDefault="001E28C6" w:rsidP="00F47E50">
      <w:pPr>
        <w:pStyle w:val="ListParagraph"/>
        <w:keepNext/>
        <w:keepLines/>
        <w:suppressLineNumbers/>
        <w:rPr>
          <w:noProof/>
          <w:szCs w:val="22"/>
        </w:rPr>
      </w:pPr>
    </w:p>
    <w:p w:rsidR="001E28C6" w:rsidRDefault="001E28C6" w:rsidP="00F47E50">
      <w:pPr>
        <w:pStyle w:val="ListParagraph"/>
        <w:keepNext/>
        <w:keepLines/>
        <w:suppressLineNumbers/>
        <w:rPr>
          <w:noProof/>
          <w:szCs w:val="22"/>
        </w:rPr>
      </w:pPr>
    </w:p>
    <w:p w:rsidR="007F5E1C" w:rsidRPr="00632086" w:rsidRDefault="007F5E1C" w:rsidP="00481CFF">
      <w:pPr>
        <w:rPr>
          <w:highlight w:val="yellow"/>
        </w:rPr>
      </w:pPr>
    </w:p>
    <w:p w:rsidR="00481CFF" w:rsidRPr="00396CD7" w:rsidRDefault="00396CD7" w:rsidP="00396CD7">
      <w:pPr>
        <w:tabs>
          <w:tab w:val="left" w:pos="7806"/>
        </w:tabs>
        <w:rPr>
          <w:b/>
          <w:lang w:val="en-AU"/>
        </w:rPr>
      </w:pPr>
      <w:r>
        <w:rPr>
          <w:b/>
          <w:lang w:val="en-AU"/>
        </w:rPr>
        <w:t>DOSAGE AND ADMINISTRATION</w:t>
      </w:r>
    </w:p>
    <w:p w:rsidR="009A1096" w:rsidRPr="009A1096" w:rsidRDefault="009A1096" w:rsidP="00392AB5">
      <w:pPr>
        <w:rPr>
          <w:spacing w:val="-3"/>
          <w:lang w:val="en-AU"/>
        </w:rPr>
      </w:pPr>
      <w:proofErr w:type="gramStart"/>
      <w:r w:rsidRPr="009A1096">
        <w:rPr>
          <w:spacing w:val="-3"/>
          <w:lang w:val="en-AU"/>
        </w:rPr>
        <w:t>One application a day for up to 4 months.</w:t>
      </w:r>
      <w:proofErr w:type="gramEnd"/>
      <w:r w:rsidRPr="009A1096">
        <w:rPr>
          <w:spacing w:val="-3"/>
          <w:lang w:val="en-AU"/>
        </w:rPr>
        <w:t xml:space="preserve"> S</w:t>
      </w:r>
      <w:r w:rsidR="00F32B80">
        <w:rPr>
          <w:spacing w:val="-3"/>
          <w:lang w:val="en-AU"/>
        </w:rPr>
        <w:t>OOLANTRA</w:t>
      </w:r>
      <w:r w:rsidRPr="009A1096">
        <w:rPr>
          <w:spacing w:val="-3"/>
          <w:lang w:val="en-AU"/>
        </w:rPr>
        <w:t xml:space="preserve"> should be applied daily over the treatment course. The treatment course may be repeated.</w:t>
      </w:r>
    </w:p>
    <w:p w:rsidR="00481CFF" w:rsidRDefault="009A1096">
      <w:pPr>
        <w:tabs>
          <w:tab w:val="left" w:pos="0"/>
        </w:tabs>
        <w:rPr>
          <w:szCs w:val="22"/>
        </w:rPr>
      </w:pPr>
      <w:r w:rsidRPr="009A1096">
        <w:rPr>
          <w:spacing w:val="-3"/>
          <w:lang w:val="en-AU"/>
        </w:rPr>
        <w:t>In case of no improvement after 3 months, the treatment should be discontinued.</w:t>
      </w:r>
      <w:r w:rsidRPr="009A1096">
        <w:rPr>
          <w:szCs w:val="22"/>
        </w:rPr>
        <w:t xml:space="preserve"> </w:t>
      </w:r>
      <w:r w:rsidR="00481CFF" w:rsidRPr="005B024F">
        <w:rPr>
          <w:lang w:val="en-AU"/>
        </w:rPr>
        <w:t xml:space="preserve">For </w:t>
      </w:r>
      <w:r w:rsidR="00C660F1">
        <w:rPr>
          <w:lang w:val="en-AU"/>
        </w:rPr>
        <w:t xml:space="preserve">optimal </w:t>
      </w:r>
      <w:r w:rsidR="00481CFF" w:rsidRPr="005B024F">
        <w:rPr>
          <w:lang w:val="en-AU"/>
        </w:rPr>
        <w:t xml:space="preserve">facial treatment, it is recommended that </w:t>
      </w:r>
      <w:r w:rsidR="00481CFF" w:rsidRPr="005B024F">
        <w:rPr>
          <w:spacing w:val="-3"/>
          <w:lang w:val="en-AU"/>
        </w:rPr>
        <w:t>five small pea-size amounts, the total estimated to be no more than 1 g, are</w:t>
      </w:r>
      <w:r w:rsidR="00481CFF" w:rsidRPr="005B024F">
        <w:rPr>
          <w:lang w:val="en-AU"/>
        </w:rPr>
        <w:t xml:space="preserve"> applied to the main areas of the face (i.e. forehead, chin, nose, each cheek) daily</w:t>
      </w:r>
      <w:r w:rsidR="005B024F" w:rsidRPr="005B024F">
        <w:rPr>
          <w:lang w:val="en-AU"/>
        </w:rPr>
        <w:t>.</w:t>
      </w:r>
      <w:r w:rsidR="005B024F" w:rsidRPr="005045B0">
        <w:rPr>
          <w:szCs w:val="22"/>
        </w:rPr>
        <w:t xml:space="preserve"> The </w:t>
      </w:r>
      <w:r w:rsidR="005B024F">
        <w:rPr>
          <w:szCs w:val="22"/>
        </w:rPr>
        <w:t>cream</w:t>
      </w:r>
      <w:r w:rsidR="005B024F" w:rsidRPr="005045B0">
        <w:rPr>
          <w:szCs w:val="22"/>
        </w:rPr>
        <w:t xml:space="preserve"> should be spread as a thin layer across the entire face, avoiding the eyes and lips</w:t>
      </w:r>
      <w:r w:rsidR="005B024F">
        <w:rPr>
          <w:szCs w:val="22"/>
        </w:rPr>
        <w:t>.</w:t>
      </w:r>
    </w:p>
    <w:p w:rsidR="00396CD7" w:rsidRDefault="00396CD7" w:rsidP="005B024F">
      <w:pPr>
        <w:suppressLineNumbers/>
        <w:rPr>
          <w:szCs w:val="22"/>
        </w:rPr>
      </w:pPr>
    </w:p>
    <w:p w:rsidR="00816CA8" w:rsidRDefault="00816CA8" w:rsidP="00597B4B">
      <w:pPr>
        <w:rPr>
          <w:szCs w:val="22"/>
        </w:rPr>
      </w:pPr>
      <w:r w:rsidRPr="00816CA8">
        <w:rPr>
          <w:szCs w:val="22"/>
        </w:rPr>
        <w:t>After SOOLANTRA has dried</w:t>
      </w:r>
      <w:r>
        <w:rPr>
          <w:szCs w:val="22"/>
        </w:rPr>
        <w:t>,</w:t>
      </w:r>
      <w:r w:rsidRPr="00816CA8">
        <w:rPr>
          <w:szCs w:val="22"/>
        </w:rPr>
        <w:t xml:space="preserve"> a high sunscreen protection factor (SPF) sunscreen should be applied </w:t>
      </w:r>
      <w:r w:rsidR="00F32B80">
        <w:rPr>
          <w:szCs w:val="22"/>
        </w:rPr>
        <w:t xml:space="preserve">to </w:t>
      </w:r>
      <w:r w:rsidRPr="00816CA8">
        <w:rPr>
          <w:szCs w:val="22"/>
        </w:rPr>
        <w:t>treated areas that are likely to be exposed to the sun, or other sun-exposure reduction methods should be used (e.g. hats, clothing).</w:t>
      </w:r>
      <w:r>
        <w:rPr>
          <w:szCs w:val="22"/>
        </w:rPr>
        <w:t xml:space="preserve"> </w:t>
      </w:r>
      <w:r w:rsidRPr="005045B0">
        <w:rPr>
          <w:szCs w:val="22"/>
        </w:rPr>
        <w:t>Cosmetics</w:t>
      </w:r>
      <w:r>
        <w:rPr>
          <w:szCs w:val="22"/>
        </w:rPr>
        <w:t xml:space="preserve"> </w:t>
      </w:r>
      <w:r w:rsidR="00165797">
        <w:rPr>
          <w:szCs w:val="22"/>
        </w:rPr>
        <w:t xml:space="preserve">and sunscreens </w:t>
      </w:r>
      <w:r w:rsidRPr="005045B0">
        <w:rPr>
          <w:szCs w:val="22"/>
        </w:rPr>
        <w:t>may</w:t>
      </w:r>
      <w:r>
        <w:rPr>
          <w:szCs w:val="22"/>
        </w:rPr>
        <w:t xml:space="preserve"> also</w:t>
      </w:r>
      <w:r w:rsidRPr="005045B0">
        <w:rPr>
          <w:szCs w:val="22"/>
        </w:rPr>
        <w:t xml:space="preserve"> be applied after </w:t>
      </w:r>
      <w:r>
        <w:rPr>
          <w:szCs w:val="22"/>
        </w:rPr>
        <w:t>SOOLANTRA</w:t>
      </w:r>
      <w:r w:rsidRPr="005045B0">
        <w:rPr>
          <w:szCs w:val="22"/>
        </w:rPr>
        <w:t xml:space="preserve"> has dried.</w:t>
      </w:r>
    </w:p>
    <w:p w:rsidR="00816CA8" w:rsidRDefault="00816CA8" w:rsidP="005B024F">
      <w:pPr>
        <w:suppressLineNumbers/>
        <w:rPr>
          <w:szCs w:val="22"/>
        </w:rPr>
      </w:pPr>
    </w:p>
    <w:p w:rsidR="00A82F14" w:rsidRDefault="006C4A8D" w:rsidP="00A82F14">
      <w:pPr>
        <w:suppressLineNumbers/>
        <w:rPr>
          <w:szCs w:val="22"/>
        </w:rPr>
      </w:pPr>
      <w:r>
        <w:rPr>
          <w:szCs w:val="22"/>
        </w:rPr>
        <w:t>SOOLANTRA</w:t>
      </w:r>
      <w:r w:rsidR="005B024F" w:rsidRPr="005045B0">
        <w:rPr>
          <w:szCs w:val="22"/>
        </w:rPr>
        <w:t xml:space="preserve"> shou</w:t>
      </w:r>
      <w:r w:rsidR="00A82F14">
        <w:rPr>
          <w:szCs w:val="22"/>
        </w:rPr>
        <w:t xml:space="preserve">ld be applied only to the face. </w:t>
      </w:r>
    </w:p>
    <w:p w:rsidR="005B024F" w:rsidRPr="005045B0" w:rsidRDefault="005B024F" w:rsidP="00A82F14">
      <w:pPr>
        <w:suppressLineNumbers/>
        <w:rPr>
          <w:szCs w:val="22"/>
        </w:rPr>
      </w:pPr>
      <w:r w:rsidRPr="005045B0">
        <w:rPr>
          <w:szCs w:val="22"/>
        </w:rPr>
        <w:t xml:space="preserve">Hands should be washed after </w:t>
      </w:r>
      <w:r w:rsidR="00A82F14" w:rsidRPr="00C438AE">
        <w:t>applying SOOLANTRA</w:t>
      </w:r>
      <w:r w:rsidRPr="005045B0">
        <w:rPr>
          <w:szCs w:val="22"/>
        </w:rPr>
        <w:t>.</w:t>
      </w:r>
    </w:p>
    <w:p w:rsidR="005B024F" w:rsidRDefault="005B024F" w:rsidP="00A82F14">
      <w:pPr>
        <w:rPr>
          <w:szCs w:val="22"/>
          <w:u w:val="single"/>
        </w:rPr>
      </w:pPr>
    </w:p>
    <w:p w:rsidR="00035FCA" w:rsidRDefault="00A82F14" w:rsidP="00A82F14">
      <w:pPr>
        <w:tabs>
          <w:tab w:val="left" w:pos="270"/>
          <w:tab w:val="left" w:pos="540"/>
        </w:tabs>
      </w:pPr>
      <w:r w:rsidRPr="00BA2F15">
        <w:t>SOOLANTRA</w:t>
      </w:r>
      <w:r w:rsidRPr="00BA2F15" w:rsidDel="00A72A34">
        <w:t xml:space="preserve"> </w:t>
      </w:r>
      <w:r w:rsidRPr="00BA2F15">
        <w:t xml:space="preserve">is not for oral, ophthalmic, or intravaginal use. </w:t>
      </w:r>
    </w:p>
    <w:p w:rsidR="00A82F14" w:rsidRPr="005045B0" w:rsidRDefault="00A82F14" w:rsidP="005B024F">
      <w:pPr>
        <w:rPr>
          <w:szCs w:val="22"/>
          <w:u w:val="single"/>
        </w:rPr>
      </w:pPr>
    </w:p>
    <w:p w:rsidR="005B024F" w:rsidRPr="001B3AAC" w:rsidRDefault="005B024F" w:rsidP="005B024F">
      <w:pPr>
        <w:rPr>
          <w:bCs/>
          <w:iCs/>
          <w:szCs w:val="22"/>
          <w:u w:val="single"/>
        </w:rPr>
      </w:pPr>
      <w:r w:rsidRPr="001B3AAC">
        <w:rPr>
          <w:bCs/>
          <w:iCs/>
          <w:szCs w:val="22"/>
          <w:u w:val="single"/>
        </w:rPr>
        <w:t>Special population</w:t>
      </w:r>
      <w:r w:rsidR="001B3AAC" w:rsidRPr="001B3AAC">
        <w:rPr>
          <w:bCs/>
          <w:iCs/>
          <w:szCs w:val="22"/>
          <w:u w:val="single"/>
        </w:rPr>
        <w:t>s</w:t>
      </w:r>
    </w:p>
    <w:p w:rsidR="005B024F" w:rsidRPr="005045B0" w:rsidRDefault="005B024F" w:rsidP="005B024F">
      <w:pPr>
        <w:rPr>
          <w:bCs/>
          <w:i/>
          <w:iCs/>
          <w:szCs w:val="22"/>
        </w:rPr>
      </w:pPr>
      <w:r w:rsidRPr="005045B0">
        <w:rPr>
          <w:bCs/>
          <w:i/>
          <w:iCs/>
          <w:szCs w:val="22"/>
        </w:rPr>
        <w:t>Elderly patients</w:t>
      </w:r>
    </w:p>
    <w:p w:rsidR="005B024F" w:rsidRPr="005045B0" w:rsidRDefault="005B024F" w:rsidP="005B024F">
      <w:pPr>
        <w:rPr>
          <w:szCs w:val="22"/>
        </w:rPr>
      </w:pPr>
      <w:r w:rsidRPr="005045B0">
        <w:rPr>
          <w:szCs w:val="22"/>
        </w:rPr>
        <w:t xml:space="preserve">No dosage adjustment is necessary in the geriatric population </w:t>
      </w:r>
      <w:r w:rsidRPr="00396CD7">
        <w:rPr>
          <w:szCs w:val="22"/>
        </w:rPr>
        <w:t xml:space="preserve">(see </w:t>
      </w:r>
      <w:r w:rsidR="00396CD7" w:rsidRPr="00396CD7">
        <w:rPr>
          <w:szCs w:val="22"/>
        </w:rPr>
        <w:t>PRECAUTIONS, Use in the elderly</w:t>
      </w:r>
      <w:r w:rsidRPr="00396CD7">
        <w:rPr>
          <w:szCs w:val="22"/>
        </w:rPr>
        <w:t>).</w:t>
      </w:r>
    </w:p>
    <w:p w:rsidR="005B024F" w:rsidRPr="005045B0" w:rsidRDefault="005B024F" w:rsidP="005B024F">
      <w:pPr>
        <w:rPr>
          <w:szCs w:val="22"/>
          <w:u w:val="single"/>
        </w:rPr>
      </w:pPr>
    </w:p>
    <w:p w:rsidR="005B024F" w:rsidRPr="005045B0" w:rsidRDefault="005B024F" w:rsidP="005B024F">
      <w:pPr>
        <w:rPr>
          <w:bCs/>
          <w:i/>
          <w:iCs/>
          <w:szCs w:val="22"/>
        </w:rPr>
      </w:pPr>
      <w:r w:rsidRPr="005045B0">
        <w:rPr>
          <w:bCs/>
          <w:i/>
          <w:iCs/>
          <w:szCs w:val="22"/>
        </w:rPr>
        <w:t>Paediatric population</w:t>
      </w:r>
    </w:p>
    <w:p w:rsidR="005B024F" w:rsidRPr="006D18A0" w:rsidRDefault="005B024F" w:rsidP="006D18A0">
      <w:pPr>
        <w:suppressLineNumbers/>
        <w:rPr>
          <w:szCs w:val="22"/>
        </w:rPr>
      </w:pPr>
      <w:r w:rsidRPr="005045B0">
        <w:rPr>
          <w:szCs w:val="22"/>
        </w:rPr>
        <w:t xml:space="preserve">The safety and efficacy of </w:t>
      </w:r>
      <w:r w:rsidR="006C4A8D">
        <w:rPr>
          <w:szCs w:val="22"/>
        </w:rPr>
        <w:t>SOOLANTRA</w:t>
      </w:r>
      <w:r w:rsidRPr="005045B0">
        <w:rPr>
          <w:szCs w:val="22"/>
        </w:rPr>
        <w:t xml:space="preserve"> in children and adolescents aged less than 18 years have not been esta</w:t>
      </w:r>
      <w:r w:rsidR="006D18A0">
        <w:rPr>
          <w:szCs w:val="22"/>
        </w:rPr>
        <w:t>blished. No data are available.</w:t>
      </w:r>
    </w:p>
    <w:p w:rsidR="00481CFF" w:rsidRDefault="00481CFF" w:rsidP="00481CFF">
      <w:pPr>
        <w:ind w:right="56"/>
        <w:rPr>
          <w:color w:val="auto"/>
          <w:highlight w:val="yellow"/>
          <w:lang w:val="en-AU"/>
        </w:rPr>
      </w:pPr>
    </w:p>
    <w:p w:rsidR="008F67E3" w:rsidRPr="003B2597" w:rsidRDefault="008F67E3" w:rsidP="00481CFF">
      <w:pPr>
        <w:ind w:right="56"/>
        <w:rPr>
          <w:color w:val="auto"/>
          <w:highlight w:val="yellow"/>
          <w:lang w:val="en-AU"/>
        </w:rPr>
      </w:pPr>
    </w:p>
    <w:p w:rsidR="00481CFF" w:rsidRPr="006D18A0" w:rsidRDefault="006D18A0" w:rsidP="006D18A0">
      <w:pPr>
        <w:tabs>
          <w:tab w:val="left" w:pos="7806"/>
        </w:tabs>
        <w:rPr>
          <w:b/>
          <w:color w:val="auto"/>
          <w:lang w:val="en-AU"/>
        </w:rPr>
      </w:pPr>
      <w:r>
        <w:rPr>
          <w:b/>
          <w:color w:val="auto"/>
          <w:lang w:val="en-AU"/>
        </w:rPr>
        <w:t>OVERDOSAGE</w:t>
      </w:r>
    </w:p>
    <w:p w:rsidR="003B2597" w:rsidRPr="005045B0" w:rsidRDefault="003B2597" w:rsidP="003B2597">
      <w:pPr>
        <w:rPr>
          <w:noProof/>
          <w:szCs w:val="22"/>
        </w:rPr>
      </w:pPr>
      <w:r w:rsidRPr="005045B0">
        <w:rPr>
          <w:noProof/>
          <w:szCs w:val="22"/>
        </w:rPr>
        <w:t>There are no reports of overdosage with S</w:t>
      </w:r>
      <w:r>
        <w:rPr>
          <w:noProof/>
          <w:szCs w:val="22"/>
        </w:rPr>
        <w:t>OOLANTRA</w:t>
      </w:r>
      <w:r w:rsidRPr="005045B0">
        <w:rPr>
          <w:noProof/>
          <w:szCs w:val="22"/>
        </w:rPr>
        <w:t>.</w:t>
      </w:r>
    </w:p>
    <w:p w:rsidR="003B2597" w:rsidRPr="005045B0" w:rsidRDefault="003B2597" w:rsidP="003B2597">
      <w:pPr>
        <w:rPr>
          <w:noProof/>
          <w:szCs w:val="22"/>
        </w:rPr>
      </w:pPr>
    </w:p>
    <w:p w:rsidR="003B2597" w:rsidRPr="005045B0" w:rsidRDefault="003B2597" w:rsidP="003B2597">
      <w:pPr>
        <w:rPr>
          <w:noProof/>
          <w:szCs w:val="22"/>
        </w:rPr>
      </w:pPr>
      <w:r w:rsidRPr="005045B0">
        <w:rPr>
          <w:noProof/>
          <w:szCs w:val="22"/>
        </w:rPr>
        <w:t>In accidental or significant exposure to unknown quantities of veterinary formulations of ivermectin in humans, either by ingestion, inhalation, injection, or exposure to body surfaces, the following adverse effects have been reported most frequently: rash, oedema, headache, dizziness, asthenia, nausea, vomiting, and diarrhoea. Other adverse effects t</w:t>
      </w:r>
      <w:r w:rsidR="005C6A76">
        <w:rPr>
          <w:noProof/>
          <w:szCs w:val="22"/>
        </w:rPr>
        <w:t>hat have been reported include:</w:t>
      </w:r>
      <w:r w:rsidRPr="005045B0">
        <w:rPr>
          <w:noProof/>
          <w:szCs w:val="22"/>
        </w:rPr>
        <w:t xml:space="preserve"> seizure, ataxia, dyspnea, abdominal pain, paresthesia, urticaria, and contact dermatitis.</w:t>
      </w:r>
    </w:p>
    <w:p w:rsidR="003B2597" w:rsidRPr="005045B0" w:rsidRDefault="003B2597" w:rsidP="003B2597">
      <w:pPr>
        <w:rPr>
          <w:noProof/>
          <w:szCs w:val="22"/>
        </w:rPr>
      </w:pPr>
    </w:p>
    <w:p w:rsidR="003B2597" w:rsidRPr="005045B0" w:rsidRDefault="003B2597" w:rsidP="003B2597">
      <w:pPr>
        <w:rPr>
          <w:noProof/>
          <w:szCs w:val="22"/>
        </w:rPr>
      </w:pPr>
      <w:r w:rsidRPr="005045B0">
        <w:rPr>
          <w:noProof/>
          <w:szCs w:val="22"/>
        </w:rPr>
        <w:t xml:space="preserve">In case of accidental ingestion, supportive therapy, if indicated, should include parenteral fluids and electrolytes, respiratory support (oxygen and mechanical ventilation if necessary) and pressor agents if clinically significant hypotension is present. </w:t>
      </w:r>
      <w:r w:rsidRPr="003B2597">
        <w:rPr>
          <w:noProof/>
          <w:szCs w:val="22"/>
        </w:rPr>
        <w:t>Induction of emesis and/or gastric lavage as soon as possible, followed by purgatives and other routine anti-poison measures, may be indicated if needed to prevent absorption of ingested material.</w:t>
      </w:r>
    </w:p>
    <w:p w:rsidR="003B2597" w:rsidRDefault="003B2597" w:rsidP="00481CFF">
      <w:pPr>
        <w:rPr>
          <w:lang w:val="en-AU"/>
        </w:rPr>
      </w:pPr>
    </w:p>
    <w:p w:rsidR="00481CFF" w:rsidRDefault="00481CFF" w:rsidP="00481CFF">
      <w:pPr>
        <w:rPr>
          <w:lang w:val="en-AU"/>
        </w:rPr>
      </w:pPr>
      <w:r w:rsidRPr="001F197D">
        <w:rPr>
          <w:lang w:val="en-AU"/>
        </w:rPr>
        <w:t>For information on the management of overdose, contact the Poison Informatio</w:t>
      </w:r>
      <w:r w:rsidR="00686B65">
        <w:rPr>
          <w:lang w:val="en-AU"/>
        </w:rPr>
        <w:t>n Centre on 13 11 26 (Australia</w:t>
      </w:r>
      <w:r w:rsidR="007743B1">
        <w:rPr>
          <w:lang w:val="en-AU"/>
        </w:rPr>
        <w:t>).</w:t>
      </w:r>
    </w:p>
    <w:p w:rsidR="00481CFF" w:rsidRDefault="00481CFF" w:rsidP="00481CFF">
      <w:pPr>
        <w:rPr>
          <w:lang w:val="en-AU"/>
        </w:rPr>
      </w:pPr>
    </w:p>
    <w:p w:rsidR="008F67E3" w:rsidRDefault="008F67E3" w:rsidP="00481CFF">
      <w:pPr>
        <w:rPr>
          <w:lang w:val="en-AU"/>
        </w:rPr>
      </w:pPr>
    </w:p>
    <w:p w:rsidR="001E28C6" w:rsidRDefault="001E28C6" w:rsidP="00481CFF">
      <w:pPr>
        <w:rPr>
          <w:lang w:val="en-AU"/>
        </w:rPr>
      </w:pPr>
    </w:p>
    <w:p w:rsidR="00481CFF" w:rsidRPr="006D18A0" w:rsidRDefault="00481CFF" w:rsidP="006D18A0">
      <w:pPr>
        <w:rPr>
          <w:b/>
          <w:lang w:val="en-AU"/>
        </w:rPr>
      </w:pPr>
      <w:r w:rsidRPr="001F197D">
        <w:rPr>
          <w:b/>
          <w:lang w:val="en-AU"/>
        </w:rPr>
        <w:t>PRES</w:t>
      </w:r>
      <w:r w:rsidR="006D18A0">
        <w:rPr>
          <w:b/>
          <w:lang w:val="en-AU"/>
        </w:rPr>
        <w:t>ENTATION AND STORAGE CONDITIONS</w:t>
      </w:r>
    </w:p>
    <w:p w:rsidR="008D1B88" w:rsidRDefault="008D1B88" w:rsidP="00481CFF">
      <w:pPr>
        <w:rPr>
          <w:lang w:val="en-AU"/>
        </w:rPr>
      </w:pPr>
      <w:r w:rsidRPr="001F197D">
        <w:rPr>
          <w:lang w:val="en-AU"/>
        </w:rPr>
        <w:t xml:space="preserve">One gram of </w:t>
      </w:r>
      <w:r>
        <w:rPr>
          <w:lang w:val="en-AU"/>
        </w:rPr>
        <w:t>SOOLANTRA</w:t>
      </w:r>
      <w:r w:rsidRPr="001F197D">
        <w:rPr>
          <w:lang w:val="en-AU"/>
        </w:rPr>
        <w:t xml:space="preserve"> </w:t>
      </w:r>
      <w:r>
        <w:rPr>
          <w:lang w:val="en-AU"/>
        </w:rPr>
        <w:t>cream</w:t>
      </w:r>
      <w:r w:rsidRPr="001F197D">
        <w:rPr>
          <w:lang w:val="en-AU"/>
        </w:rPr>
        <w:t xml:space="preserve"> c</w:t>
      </w:r>
      <w:r>
        <w:rPr>
          <w:lang w:val="en-AU"/>
        </w:rPr>
        <w:t>ontains 10</w:t>
      </w:r>
      <w:r w:rsidR="006D18A0">
        <w:rPr>
          <w:lang w:val="en-AU"/>
        </w:rPr>
        <w:t xml:space="preserve"> </w:t>
      </w:r>
      <w:r w:rsidRPr="001F197D">
        <w:rPr>
          <w:lang w:val="en-AU"/>
        </w:rPr>
        <w:t xml:space="preserve">mg </w:t>
      </w:r>
      <w:r>
        <w:rPr>
          <w:lang w:val="en-AU"/>
        </w:rPr>
        <w:t>(or 1.0</w:t>
      </w:r>
      <w:r w:rsidRPr="001F197D">
        <w:rPr>
          <w:lang w:val="en-AU"/>
        </w:rPr>
        <w:t xml:space="preserve">%) of </w:t>
      </w:r>
      <w:r>
        <w:rPr>
          <w:lang w:val="en-AU"/>
        </w:rPr>
        <w:t>ivermectin.</w:t>
      </w:r>
    </w:p>
    <w:p w:rsidR="006D18A0" w:rsidRDefault="006D18A0" w:rsidP="008D1B88">
      <w:pPr>
        <w:rPr>
          <w:lang w:val="en-AU"/>
        </w:rPr>
      </w:pPr>
    </w:p>
    <w:p w:rsidR="00481CFF" w:rsidRPr="001F197D" w:rsidRDefault="008D1B88" w:rsidP="002F45DF">
      <w:pPr>
        <w:rPr>
          <w:lang w:val="en-AU"/>
        </w:rPr>
      </w:pPr>
      <w:r>
        <w:rPr>
          <w:lang w:val="en-AU"/>
        </w:rPr>
        <w:t xml:space="preserve">SOOLANTRA is supplied in </w:t>
      </w:r>
      <w:r w:rsidRPr="008D1B88">
        <w:rPr>
          <w:lang w:val="en-AU"/>
        </w:rPr>
        <w:t xml:space="preserve">laminated </w:t>
      </w:r>
      <w:r w:rsidRPr="008D1B88">
        <w:t>(PE/Al/PE)</w:t>
      </w:r>
      <w:r w:rsidRPr="008D1B88">
        <w:rPr>
          <w:lang w:val="en-AU"/>
        </w:rPr>
        <w:t xml:space="preserve"> plastic tubes with a high density polyethylene (HDPE) head and polypropylene (PP) cap for the 2 g, 15 g, 30 g, </w:t>
      </w:r>
      <w:proofErr w:type="gramStart"/>
      <w:r w:rsidRPr="008D1B88">
        <w:rPr>
          <w:lang w:val="en-AU"/>
        </w:rPr>
        <w:t>45</w:t>
      </w:r>
      <w:proofErr w:type="gramEnd"/>
      <w:r w:rsidRPr="008D1B88">
        <w:rPr>
          <w:lang w:val="en-AU"/>
        </w:rPr>
        <w:t xml:space="preserve"> g or 60 g tubes. The PP cap is a child resistant closure for tube sizes 15 g and larger.</w:t>
      </w:r>
      <w:r w:rsidR="008F67E3">
        <w:rPr>
          <w:lang w:val="en-AU"/>
        </w:rPr>
        <w:t xml:space="preserve"> </w:t>
      </w:r>
      <w:r w:rsidR="00481CFF" w:rsidRPr="008D1B88">
        <w:rPr>
          <w:lang w:val="en-AU"/>
        </w:rPr>
        <w:t>Not all pack sizes may be marketed.</w:t>
      </w:r>
    </w:p>
    <w:p w:rsidR="00481CFF" w:rsidRPr="001F197D" w:rsidRDefault="00481CFF" w:rsidP="00481CFF">
      <w:pPr>
        <w:rPr>
          <w:highlight w:val="yellow"/>
          <w:lang w:val="en-AU"/>
        </w:rPr>
      </w:pPr>
    </w:p>
    <w:p w:rsidR="00481CFF" w:rsidRPr="008D1B88" w:rsidRDefault="00481CFF" w:rsidP="00481CFF">
      <w:pPr>
        <w:rPr>
          <w:b/>
          <w:lang w:val="en-AU"/>
        </w:rPr>
      </w:pPr>
      <w:r w:rsidRPr="008D1B88">
        <w:rPr>
          <w:b/>
          <w:lang w:val="en-AU"/>
        </w:rPr>
        <w:t>Storage:</w:t>
      </w:r>
    </w:p>
    <w:p w:rsidR="00481CFF" w:rsidRPr="008D1B88" w:rsidRDefault="00481CFF" w:rsidP="008D1B88">
      <w:pPr>
        <w:tabs>
          <w:tab w:val="left" w:pos="0"/>
          <w:tab w:val="left" w:pos="0"/>
          <w:tab w:val="left" w:pos="720"/>
        </w:tabs>
        <w:rPr>
          <w:spacing w:val="-3"/>
          <w:lang w:val="en-AU"/>
        </w:rPr>
      </w:pPr>
      <w:r w:rsidRPr="008D1B88">
        <w:rPr>
          <w:lang w:val="en-AU"/>
        </w:rPr>
        <w:t>Store below 30°C. Do not freeze.</w:t>
      </w:r>
    </w:p>
    <w:p w:rsidR="00481CFF" w:rsidRDefault="00481CFF" w:rsidP="00481CFF"/>
    <w:p w:rsidR="00C7380F" w:rsidRDefault="00C7380F" w:rsidP="00C7380F"/>
    <w:p w:rsidR="00481CFF" w:rsidRPr="001F197D" w:rsidRDefault="00481CFF" w:rsidP="00481CFF">
      <w:pPr>
        <w:tabs>
          <w:tab w:val="left" w:pos="0"/>
        </w:tabs>
        <w:rPr>
          <w:b/>
          <w:spacing w:val="-3"/>
          <w:lang w:val="en-AU"/>
        </w:rPr>
      </w:pPr>
      <w:r w:rsidRPr="001F197D">
        <w:rPr>
          <w:b/>
          <w:spacing w:val="-3"/>
          <w:lang w:val="en-AU"/>
        </w:rPr>
        <w:t xml:space="preserve">NAME AND ADDRESS OF SPONSOR </w:t>
      </w:r>
    </w:p>
    <w:p w:rsidR="00481CFF" w:rsidRPr="00A13E49" w:rsidRDefault="00481CFF" w:rsidP="00481CFF">
      <w:pPr>
        <w:rPr>
          <w:noProof/>
          <w:szCs w:val="22"/>
        </w:rPr>
      </w:pPr>
      <w:r w:rsidRPr="00A13E49">
        <w:rPr>
          <w:noProof/>
          <w:szCs w:val="22"/>
        </w:rPr>
        <w:t>Galderma Australia Pty Ltd</w:t>
      </w:r>
    </w:p>
    <w:p w:rsidR="00481CFF" w:rsidRPr="00A13E49" w:rsidRDefault="00481CFF" w:rsidP="00481CFF">
      <w:pPr>
        <w:rPr>
          <w:noProof/>
          <w:szCs w:val="22"/>
        </w:rPr>
      </w:pPr>
      <w:r w:rsidRPr="00A13E49">
        <w:rPr>
          <w:noProof/>
          <w:szCs w:val="22"/>
        </w:rPr>
        <w:t>Suite 4, 13B Narabang Way</w:t>
      </w:r>
    </w:p>
    <w:p w:rsidR="00481CFF" w:rsidRPr="00A13E49" w:rsidRDefault="00481CFF" w:rsidP="00481CFF">
      <w:pPr>
        <w:rPr>
          <w:noProof/>
          <w:szCs w:val="22"/>
        </w:rPr>
      </w:pPr>
      <w:r w:rsidRPr="00A13E49">
        <w:rPr>
          <w:noProof/>
          <w:szCs w:val="22"/>
        </w:rPr>
        <w:t>Belrose NSW 2085</w:t>
      </w:r>
    </w:p>
    <w:p w:rsidR="00481CFF" w:rsidRPr="00A13E49" w:rsidRDefault="00481CFF" w:rsidP="00481CFF">
      <w:pPr>
        <w:rPr>
          <w:noProof/>
          <w:szCs w:val="22"/>
        </w:rPr>
      </w:pPr>
      <w:r w:rsidRPr="00A13E49">
        <w:rPr>
          <w:noProof/>
          <w:szCs w:val="22"/>
        </w:rPr>
        <w:t>Ph. 1800 800 765</w:t>
      </w:r>
    </w:p>
    <w:p w:rsidR="00481CFF" w:rsidRDefault="00481CFF" w:rsidP="00481CFF">
      <w:pPr>
        <w:rPr>
          <w:noProof/>
          <w:szCs w:val="22"/>
        </w:rPr>
      </w:pPr>
    </w:p>
    <w:p w:rsidR="00106130" w:rsidRPr="00106130" w:rsidRDefault="00106130" w:rsidP="00106130">
      <w:pPr>
        <w:autoSpaceDE w:val="0"/>
        <w:autoSpaceDN w:val="0"/>
        <w:adjustRightInd w:val="0"/>
        <w:jc w:val="left"/>
        <w:rPr>
          <w:noProof/>
          <w:szCs w:val="22"/>
        </w:rPr>
      </w:pPr>
      <w:r w:rsidRPr="00106130">
        <w:rPr>
          <w:noProof/>
          <w:szCs w:val="22"/>
        </w:rPr>
        <w:t xml:space="preserve">Distributed in New Zealand by: </w:t>
      </w:r>
    </w:p>
    <w:p w:rsidR="00106130" w:rsidRPr="00106130" w:rsidRDefault="00106130" w:rsidP="00106130">
      <w:pPr>
        <w:autoSpaceDE w:val="0"/>
        <w:autoSpaceDN w:val="0"/>
        <w:adjustRightInd w:val="0"/>
        <w:jc w:val="left"/>
        <w:rPr>
          <w:noProof/>
          <w:szCs w:val="22"/>
        </w:rPr>
      </w:pPr>
      <w:r w:rsidRPr="00106130">
        <w:rPr>
          <w:noProof/>
          <w:szCs w:val="22"/>
        </w:rPr>
        <w:t xml:space="preserve">Healthcare Logistics </w:t>
      </w:r>
    </w:p>
    <w:p w:rsidR="00106130" w:rsidRPr="00106130" w:rsidRDefault="00106130" w:rsidP="00106130">
      <w:pPr>
        <w:autoSpaceDE w:val="0"/>
        <w:autoSpaceDN w:val="0"/>
        <w:adjustRightInd w:val="0"/>
        <w:jc w:val="left"/>
        <w:rPr>
          <w:noProof/>
          <w:szCs w:val="22"/>
        </w:rPr>
      </w:pPr>
      <w:r w:rsidRPr="00106130">
        <w:rPr>
          <w:noProof/>
          <w:szCs w:val="22"/>
        </w:rPr>
        <w:t xml:space="preserve">58 Richard Pearse Drive </w:t>
      </w:r>
    </w:p>
    <w:p w:rsidR="00106130" w:rsidRDefault="00106130" w:rsidP="00106130">
      <w:pPr>
        <w:autoSpaceDE w:val="0"/>
        <w:autoSpaceDN w:val="0"/>
        <w:adjustRightInd w:val="0"/>
        <w:jc w:val="left"/>
        <w:rPr>
          <w:noProof/>
          <w:szCs w:val="22"/>
        </w:rPr>
      </w:pPr>
      <w:r w:rsidRPr="00106130">
        <w:rPr>
          <w:noProof/>
          <w:szCs w:val="22"/>
        </w:rPr>
        <w:t xml:space="preserve">Airport Oaks </w:t>
      </w:r>
    </w:p>
    <w:p w:rsidR="00106130" w:rsidRDefault="00106130" w:rsidP="00106130">
      <w:pPr>
        <w:autoSpaceDE w:val="0"/>
        <w:autoSpaceDN w:val="0"/>
        <w:adjustRightInd w:val="0"/>
        <w:jc w:val="left"/>
        <w:rPr>
          <w:noProof/>
          <w:szCs w:val="22"/>
        </w:rPr>
      </w:pPr>
      <w:r>
        <w:rPr>
          <w:noProof/>
          <w:szCs w:val="22"/>
        </w:rPr>
        <w:t xml:space="preserve">Auckland </w:t>
      </w:r>
    </w:p>
    <w:p w:rsidR="00106130" w:rsidRPr="00106130" w:rsidRDefault="00106130" w:rsidP="00106130">
      <w:pPr>
        <w:autoSpaceDE w:val="0"/>
        <w:autoSpaceDN w:val="0"/>
        <w:adjustRightInd w:val="0"/>
        <w:jc w:val="left"/>
        <w:rPr>
          <w:noProof/>
          <w:szCs w:val="22"/>
        </w:rPr>
      </w:pPr>
    </w:p>
    <w:p w:rsidR="00106130" w:rsidRPr="00A13E49" w:rsidRDefault="00106130" w:rsidP="00106130">
      <w:pPr>
        <w:rPr>
          <w:noProof/>
          <w:szCs w:val="22"/>
        </w:rPr>
      </w:pPr>
    </w:p>
    <w:p w:rsidR="00A13E49" w:rsidRDefault="00481CFF" w:rsidP="00481CFF">
      <w:pPr>
        <w:rPr>
          <w:noProof/>
          <w:szCs w:val="22"/>
        </w:rPr>
      </w:pPr>
      <w:r w:rsidRPr="00A13E49">
        <w:rPr>
          <w:b/>
          <w:spacing w:val="-3"/>
          <w:lang w:val="en-AU"/>
        </w:rPr>
        <w:t>POISON SCHEDULE</w:t>
      </w:r>
      <w:r w:rsidR="00A13E49" w:rsidRPr="00A13E49">
        <w:rPr>
          <w:b/>
          <w:spacing w:val="-3"/>
          <w:lang w:val="en-AU"/>
        </w:rPr>
        <w:t xml:space="preserve"> OF THE MEDICINE</w:t>
      </w:r>
    </w:p>
    <w:p w:rsidR="00481CFF" w:rsidRDefault="00481CFF" w:rsidP="00481CFF">
      <w:pPr>
        <w:rPr>
          <w:noProof/>
          <w:szCs w:val="22"/>
        </w:rPr>
      </w:pPr>
      <w:r w:rsidRPr="00A13E49">
        <w:rPr>
          <w:noProof/>
          <w:szCs w:val="22"/>
        </w:rPr>
        <w:t xml:space="preserve">S4 – PRESCRIPTION </w:t>
      </w:r>
      <w:r w:rsidR="006F3968">
        <w:rPr>
          <w:noProof/>
          <w:szCs w:val="22"/>
        </w:rPr>
        <w:t xml:space="preserve">ONLY </w:t>
      </w:r>
      <w:r w:rsidRPr="00A13E49">
        <w:rPr>
          <w:noProof/>
          <w:szCs w:val="22"/>
        </w:rPr>
        <w:t>MEDICINE</w:t>
      </w:r>
    </w:p>
    <w:p w:rsidR="00A76C1A" w:rsidRDefault="00A76C1A" w:rsidP="00481CFF">
      <w:pPr>
        <w:rPr>
          <w:noProof/>
          <w:szCs w:val="22"/>
        </w:rPr>
      </w:pPr>
    </w:p>
    <w:p w:rsidR="00A76C1A" w:rsidRPr="00A13E49" w:rsidRDefault="00A76C1A" w:rsidP="00481CFF">
      <w:pPr>
        <w:rPr>
          <w:noProof/>
          <w:szCs w:val="22"/>
        </w:rPr>
      </w:pPr>
      <w:r>
        <w:rPr>
          <w:noProof/>
          <w:szCs w:val="22"/>
        </w:rPr>
        <w:t xml:space="preserve">AUST R </w:t>
      </w:r>
      <w:r w:rsidR="009F63F2">
        <w:rPr>
          <w:noProof/>
          <w:szCs w:val="22"/>
        </w:rPr>
        <w:t>227125</w:t>
      </w:r>
    </w:p>
    <w:p w:rsidR="00481CFF" w:rsidRPr="00A13E49" w:rsidRDefault="00481CFF" w:rsidP="00481CFF">
      <w:pPr>
        <w:tabs>
          <w:tab w:val="left" w:pos="0"/>
        </w:tabs>
        <w:rPr>
          <w:noProof/>
          <w:szCs w:val="22"/>
        </w:rPr>
      </w:pPr>
    </w:p>
    <w:p w:rsidR="00481CFF" w:rsidRPr="001F197D" w:rsidRDefault="00481CFF" w:rsidP="00481CFF">
      <w:pPr>
        <w:tabs>
          <w:tab w:val="left" w:pos="0"/>
        </w:tabs>
        <w:rPr>
          <w:spacing w:val="-3"/>
          <w:lang w:val="en-AU"/>
        </w:rPr>
      </w:pPr>
      <w:r w:rsidRPr="001F197D">
        <w:rPr>
          <w:spacing w:val="-3"/>
          <w:lang w:val="en-AU"/>
        </w:rPr>
        <w:t>® Registered Trademark</w:t>
      </w:r>
    </w:p>
    <w:p w:rsidR="00481CFF" w:rsidRPr="001F197D" w:rsidRDefault="00481CFF" w:rsidP="00481CFF">
      <w:pPr>
        <w:rPr>
          <w:lang w:val="en-AU"/>
        </w:rPr>
      </w:pPr>
    </w:p>
    <w:p w:rsidR="00A13E49" w:rsidRDefault="00481CFF" w:rsidP="00481CFF">
      <w:pPr>
        <w:rPr>
          <w:b/>
          <w:spacing w:val="-3"/>
          <w:lang w:val="en-AU"/>
        </w:rPr>
      </w:pPr>
      <w:r w:rsidRPr="00A13E49">
        <w:rPr>
          <w:b/>
          <w:spacing w:val="-3"/>
          <w:lang w:val="en-AU"/>
        </w:rPr>
        <w:t xml:space="preserve">DATE OF FIRST INCLUSION IN THE AUSTRALIAN REGISTER </w:t>
      </w:r>
      <w:r w:rsidR="00A13E49">
        <w:rPr>
          <w:b/>
          <w:spacing w:val="-3"/>
          <w:lang w:val="en-AU"/>
        </w:rPr>
        <w:t>OF THERAPEUTIC GOODS (THE ARTG)</w:t>
      </w:r>
    </w:p>
    <w:p w:rsidR="00481CFF" w:rsidRPr="00A13E49" w:rsidRDefault="001C7244" w:rsidP="00481CFF">
      <w:pPr>
        <w:rPr>
          <w:b/>
          <w:spacing w:val="-3"/>
          <w:lang w:val="en-AU"/>
        </w:rPr>
      </w:pPr>
      <w:r>
        <w:rPr>
          <w:lang w:val="en-AU"/>
        </w:rPr>
        <w:t>14-SEP-2015</w:t>
      </w:r>
      <w:r w:rsidR="00481CFF" w:rsidRPr="001F197D">
        <w:rPr>
          <w:lang w:val="en-AU"/>
        </w:rPr>
        <w:t xml:space="preserve">  </w:t>
      </w:r>
    </w:p>
    <w:sectPr w:rsidR="00481CFF" w:rsidRPr="00A13E49" w:rsidSect="00446B38">
      <w:headerReference w:type="even" r:id="rId15"/>
      <w:headerReference w:type="default" r:id="rId16"/>
      <w:footerReference w:type="even" r:id="rId17"/>
      <w:footerReference w:type="default" r:id="rId18"/>
      <w:headerReference w:type="first" r:id="rId19"/>
      <w:footerReference w:type="first" r:id="rId20"/>
      <w:pgSz w:w="11906" w:h="16838"/>
      <w:pgMar w:top="19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B8C" w:rsidRDefault="008B3B8C" w:rsidP="00182021">
      <w:r>
        <w:separator/>
      </w:r>
    </w:p>
  </w:endnote>
  <w:endnote w:type="continuationSeparator" w:id="0">
    <w:p w:rsidR="008B3B8C" w:rsidRDefault="008B3B8C" w:rsidP="0018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Italic">
    <w:panose1 w:val="02020703060505090304"/>
    <w:charset w:val="00"/>
    <w:family w:val="auto"/>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auto"/>
    <w:pitch w:val="variable"/>
    <w:sig w:usb0="00000000"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89" w:rsidRDefault="00DE0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066620"/>
      <w:docPartObj>
        <w:docPartGallery w:val="Page Numbers (Bottom of Page)"/>
        <w:docPartUnique/>
      </w:docPartObj>
    </w:sdtPr>
    <w:sdtEndPr>
      <w:rPr>
        <w:noProof/>
      </w:rPr>
    </w:sdtEndPr>
    <w:sdtContent>
      <w:p w:rsidR="006A277B" w:rsidRDefault="006A277B">
        <w:pPr>
          <w:pStyle w:val="Footer"/>
          <w:jc w:val="right"/>
        </w:pPr>
        <w:r>
          <w:fldChar w:fldCharType="begin"/>
        </w:r>
        <w:r>
          <w:instrText xml:space="preserve"> PAGE   \* MERGEFORMAT </w:instrText>
        </w:r>
        <w:r>
          <w:fldChar w:fldCharType="separate"/>
        </w:r>
        <w:r w:rsidR="00E623F8">
          <w:rPr>
            <w:noProof/>
          </w:rPr>
          <w:t>1</w:t>
        </w:r>
        <w:r>
          <w:rPr>
            <w:noProof/>
          </w:rPr>
          <w:fldChar w:fldCharType="end"/>
        </w:r>
      </w:p>
    </w:sdtContent>
  </w:sdt>
  <w:p w:rsidR="006A277B" w:rsidRDefault="006A27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89" w:rsidRDefault="00DE0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B8C" w:rsidRDefault="008B3B8C" w:rsidP="00182021">
      <w:r>
        <w:separator/>
      </w:r>
    </w:p>
  </w:footnote>
  <w:footnote w:type="continuationSeparator" w:id="0">
    <w:p w:rsidR="008B3B8C" w:rsidRDefault="008B3B8C" w:rsidP="0018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89" w:rsidRDefault="00DE0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000" w:firstRow="0" w:lastRow="0" w:firstColumn="0" w:lastColumn="0" w:noHBand="0" w:noVBand="0"/>
    </w:tblPr>
    <w:tblGrid>
      <w:gridCol w:w="9242"/>
    </w:tblGrid>
    <w:tr w:rsidR="00DE0289" w:rsidTr="00DE0289">
      <w:tc>
        <w:tcPr>
          <w:tcW w:w="9242" w:type="dxa"/>
          <w:shd w:val="clear" w:color="auto" w:fill="E4F2E0"/>
        </w:tcPr>
        <w:p w:rsidR="00DE0289" w:rsidRPr="00DE0289" w:rsidRDefault="00DE0289" w:rsidP="00E623F8">
          <w:pPr>
            <w:spacing w:before="40" w:after="40"/>
            <w:rPr>
              <w:b/>
              <w:sz w:val="20"/>
              <w:szCs w:val="20"/>
            </w:rPr>
          </w:pPr>
          <w:r w:rsidRPr="00D361CA">
            <w:rPr>
              <w:b/>
              <w:sz w:val="20"/>
              <w:szCs w:val="20"/>
            </w:rPr>
            <w:t xml:space="preserve">Attachment 1: Product information for </w:t>
          </w:r>
          <w:proofErr w:type="spellStart"/>
          <w:r w:rsidRPr="00FB66C2">
            <w:rPr>
              <w:b/>
              <w:sz w:val="20"/>
              <w:szCs w:val="20"/>
            </w:rPr>
            <w:t>AusPAR</w:t>
          </w:r>
          <w:proofErr w:type="spellEnd"/>
          <w:r w:rsidR="00E623F8">
            <w:rPr>
              <w:b/>
              <w:sz w:val="20"/>
              <w:szCs w:val="20"/>
            </w:rPr>
            <w:t xml:space="preserve"> - SOOLANTRA</w:t>
          </w:r>
          <w:bookmarkStart w:id="1" w:name="_GoBack"/>
          <w:bookmarkEnd w:id="1"/>
          <w:r w:rsidRPr="00FB66C2">
            <w:rPr>
              <w:b/>
              <w:sz w:val="20"/>
              <w:szCs w:val="20"/>
            </w:rPr>
            <w:t xml:space="preserve"> - </w:t>
          </w:r>
          <w:proofErr w:type="spellStart"/>
          <w:r w:rsidRPr="00FB66C2">
            <w:rPr>
              <w:b/>
              <w:sz w:val="20"/>
              <w:szCs w:val="20"/>
            </w:rPr>
            <w:t>Ivermectin</w:t>
          </w:r>
          <w:proofErr w:type="spellEnd"/>
          <w:r w:rsidRPr="00FB66C2">
            <w:rPr>
              <w:b/>
              <w:sz w:val="20"/>
              <w:szCs w:val="20"/>
            </w:rPr>
            <w:t xml:space="preserve"> - </w:t>
          </w:r>
          <w:proofErr w:type="spellStart"/>
          <w:r w:rsidRPr="00FB66C2">
            <w:rPr>
              <w:b/>
              <w:sz w:val="20"/>
              <w:szCs w:val="20"/>
            </w:rPr>
            <w:t>Galderma</w:t>
          </w:r>
          <w:proofErr w:type="spellEnd"/>
          <w:r w:rsidRPr="00FB66C2">
            <w:rPr>
              <w:b/>
              <w:sz w:val="20"/>
              <w:szCs w:val="20"/>
            </w:rPr>
            <w:t xml:space="preserve"> Australia Pty Lt</w:t>
          </w:r>
          <w:r>
            <w:rPr>
              <w:b/>
              <w:sz w:val="20"/>
              <w:szCs w:val="20"/>
            </w:rPr>
            <w:t>d - PM-2014-01877-1-2</w:t>
          </w:r>
          <w:r w:rsidRPr="00FB66C2">
            <w:rPr>
              <w:b/>
              <w:sz w:val="20"/>
              <w:szCs w:val="20"/>
            </w:rPr>
            <w:t xml:space="preserve"> 9 December 2015</w:t>
          </w:r>
          <w:r>
            <w:rPr>
              <w:b/>
              <w:sz w:val="20"/>
              <w:szCs w:val="20"/>
            </w:rPr>
            <w:t xml:space="preserve">. </w:t>
          </w:r>
          <w:r w:rsidRPr="00D361CA">
            <w:rPr>
              <w:b/>
              <w:sz w:val="20"/>
              <w:szCs w:val="20"/>
            </w:rPr>
            <w:t xml:space="preserve">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DE0289" w:rsidRDefault="00DE0289" w:rsidP="00FB66C2">
    <w:pPr>
      <w:pStyle w:val="Header"/>
      <w:tabs>
        <w:tab w:val="clear" w:pos="4513"/>
        <w:tab w:val="clear" w:pos="9026"/>
        <w:tab w:val="left" w:pos="57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89" w:rsidRDefault="00DE0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487"/>
    <w:multiLevelType w:val="hybridMultilevel"/>
    <w:tmpl w:val="AA480894"/>
    <w:lvl w:ilvl="0" w:tplc="2C481862">
      <w:start w:val="3"/>
      <w:numFmt w:val="bullet"/>
      <w:lvlText w:val=""/>
      <w:lvlJc w:val="left"/>
      <w:pPr>
        <w:ind w:left="720" w:hanging="360"/>
      </w:pPr>
      <w:rPr>
        <w:rFonts w:ascii="Symbol" w:eastAsia="ヒラギノ角ゴ Pro W3"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C44E89"/>
    <w:multiLevelType w:val="hybridMultilevel"/>
    <w:tmpl w:val="171AC7F6"/>
    <w:lvl w:ilvl="0" w:tplc="4EC66A8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2BCF6EF8"/>
    <w:multiLevelType w:val="hybridMultilevel"/>
    <w:tmpl w:val="F8FA1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CE33AC"/>
    <w:multiLevelType w:val="hybridMultilevel"/>
    <w:tmpl w:val="49B8A04C"/>
    <w:lvl w:ilvl="0" w:tplc="BF22298C">
      <w:start w:val="3"/>
      <w:numFmt w:val="bullet"/>
      <w:lvlText w:val=""/>
      <w:lvlJc w:val="left"/>
      <w:pPr>
        <w:ind w:left="720" w:hanging="360"/>
      </w:pPr>
      <w:rPr>
        <w:rFonts w:ascii="Symbol" w:eastAsia="ヒラギノ角ゴ Pro W3"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445CAD"/>
    <w:multiLevelType w:val="hybridMultilevel"/>
    <w:tmpl w:val="B6927D0E"/>
    <w:lvl w:ilvl="0" w:tplc="2902AD38">
      <w:start w:val="2"/>
      <w:numFmt w:val="bullet"/>
      <w:lvlText w:val="-"/>
      <w:lvlJc w:val="left"/>
      <w:pPr>
        <w:ind w:left="1069" w:hanging="360"/>
      </w:pPr>
      <w:rPr>
        <w:rFonts w:ascii="Times New Roman" w:eastAsia="ヒラギノ角ゴ Pro W3"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nsid w:val="51F86FD1"/>
    <w:multiLevelType w:val="hybridMultilevel"/>
    <w:tmpl w:val="F73413C6"/>
    <w:lvl w:ilvl="0" w:tplc="D28E3836">
      <w:start w:val="3"/>
      <w:numFmt w:val="bullet"/>
      <w:lvlText w:val=""/>
      <w:lvlJc w:val="left"/>
      <w:pPr>
        <w:ind w:left="360" w:hanging="360"/>
      </w:pPr>
      <w:rPr>
        <w:rFonts w:ascii="Symbol" w:eastAsia="ヒラギノ角ゴ Pro W3" w:hAnsi="Symbol"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28A6E24"/>
    <w:multiLevelType w:val="hybridMultilevel"/>
    <w:tmpl w:val="CFF0CDA0"/>
    <w:lvl w:ilvl="0" w:tplc="4EC66A8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77C2CC1"/>
    <w:multiLevelType w:val="hybridMultilevel"/>
    <w:tmpl w:val="2BA0F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FF"/>
    <w:rsid w:val="00004205"/>
    <w:rsid w:val="00021EEC"/>
    <w:rsid w:val="00031028"/>
    <w:rsid w:val="00035FCA"/>
    <w:rsid w:val="000459BC"/>
    <w:rsid w:val="00047A2E"/>
    <w:rsid w:val="00047CD5"/>
    <w:rsid w:val="0005113A"/>
    <w:rsid w:val="00052B7D"/>
    <w:rsid w:val="0008425C"/>
    <w:rsid w:val="000851D1"/>
    <w:rsid w:val="000948E0"/>
    <w:rsid w:val="00095EE3"/>
    <w:rsid w:val="000B0653"/>
    <w:rsid w:val="000B5A4F"/>
    <w:rsid w:val="000B5C8A"/>
    <w:rsid w:val="000B77D1"/>
    <w:rsid w:val="000C4EDB"/>
    <w:rsid w:val="000C6E63"/>
    <w:rsid w:val="000D15CB"/>
    <w:rsid w:val="000D348D"/>
    <w:rsid w:val="000D7310"/>
    <w:rsid w:val="000E5911"/>
    <w:rsid w:val="000F4CA3"/>
    <w:rsid w:val="00106130"/>
    <w:rsid w:val="001074AB"/>
    <w:rsid w:val="00150A25"/>
    <w:rsid w:val="00165797"/>
    <w:rsid w:val="00182021"/>
    <w:rsid w:val="00193172"/>
    <w:rsid w:val="001A3430"/>
    <w:rsid w:val="001B0B35"/>
    <w:rsid w:val="001B3AAC"/>
    <w:rsid w:val="001C0A00"/>
    <w:rsid w:val="001C7244"/>
    <w:rsid w:val="001E28C6"/>
    <w:rsid w:val="00213BEA"/>
    <w:rsid w:val="00213D8C"/>
    <w:rsid w:val="0022560C"/>
    <w:rsid w:val="00225735"/>
    <w:rsid w:val="002300F6"/>
    <w:rsid w:val="0023162B"/>
    <w:rsid w:val="002502E9"/>
    <w:rsid w:val="00256D7F"/>
    <w:rsid w:val="00265C3B"/>
    <w:rsid w:val="00274C61"/>
    <w:rsid w:val="00295D7A"/>
    <w:rsid w:val="002964A2"/>
    <w:rsid w:val="002975D8"/>
    <w:rsid w:val="002A0AD5"/>
    <w:rsid w:val="002A3900"/>
    <w:rsid w:val="002C5467"/>
    <w:rsid w:val="002C720C"/>
    <w:rsid w:val="002D3A17"/>
    <w:rsid w:val="002F45DF"/>
    <w:rsid w:val="00313A92"/>
    <w:rsid w:val="00317056"/>
    <w:rsid w:val="00334EB7"/>
    <w:rsid w:val="003437A6"/>
    <w:rsid w:val="00345AC0"/>
    <w:rsid w:val="003543D4"/>
    <w:rsid w:val="00354C80"/>
    <w:rsid w:val="0035757C"/>
    <w:rsid w:val="00381061"/>
    <w:rsid w:val="00392AB5"/>
    <w:rsid w:val="00396CD7"/>
    <w:rsid w:val="003A3292"/>
    <w:rsid w:val="003A512D"/>
    <w:rsid w:val="003B2597"/>
    <w:rsid w:val="003B2E28"/>
    <w:rsid w:val="003C14A1"/>
    <w:rsid w:val="003F3F6C"/>
    <w:rsid w:val="00405513"/>
    <w:rsid w:val="004107DB"/>
    <w:rsid w:val="00411148"/>
    <w:rsid w:val="00421740"/>
    <w:rsid w:val="00423D1C"/>
    <w:rsid w:val="00432DE4"/>
    <w:rsid w:val="00441CEC"/>
    <w:rsid w:val="00446B38"/>
    <w:rsid w:val="004647E5"/>
    <w:rsid w:val="00465841"/>
    <w:rsid w:val="00474636"/>
    <w:rsid w:val="0047712C"/>
    <w:rsid w:val="00481CFF"/>
    <w:rsid w:val="0049514F"/>
    <w:rsid w:val="004A2E4E"/>
    <w:rsid w:val="004A553B"/>
    <w:rsid w:val="004D4D51"/>
    <w:rsid w:val="004E43A1"/>
    <w:rsid w:val="004E7893"/>
    <w:rsid w:val="004F28A7"/>
    <w:rsid w:val="004F3DC6"/>
    <w:rsid w:val="004F4EC8"/>
    <w:rsid w:val="005112E3"/>
    <w:rsid w:val="00515F41"/>
    <w:rsid w:val="00524824"/>
    <w:rsid w:val="0053630C"/>
    <w:rsid w:val="00542478"/>
    <w:rsid w:val="005609C5"/>
    <w:rsid w:val="005811AF"/>
    <w:rsid w:val="005818F2"/>
    <w:rsid w:val="005916B7"/>
    <w:rsid w:val="00594B50"/>
    <w:rsid w:val="00597B4B"/>
    <w:rsid w:val="005B024F"/>
    <w:rsid w:val="005C3ADA"/>
    <w:rsid w:val="005C6A76"/>
    <w:rsid w:val="005D6FB8"/>
    <w:rsid w:val="005E187A"/>
    <w:rsid w:val="005E335D"/>
    <w:rsid w:val="005F248B"/>
    <w:rsid w:val="005F372F"/>
    <w:rsid w:val="00623090"/>
    <w:rsid w:val="00630AC1"/>
    <w:rsid w:val="00632086"/>
    <w:rsid w:val="006350CC"/>
    <w:rsid w:val="00636BED"/>
    <w:rsid w:val="006439EC"/>
    <w:rsid w:val="00645F50"/>
    <w:rsid w:val="006465E1"/>
    <w:rsid w:val="006475F0"/>
    <w:rsid w:val="00671137"/>
    <w:rsid w:val="00686B65"/>
    <w:rsid w:val="0069288A"/>
    <w:rsid w:val="006A277B"/>
    <w:rsid w:val="006B5BD8"/>
    <w:rsid w:val="006B7055"/>
    <w:rsid w:val="006C4A8D"/>
    <w:rsid w:val="006D0F1B"/>
    <w:rsid w:val="006D18A0"/>
    <w:rsid w:val="006E2F31"/>
    <w:rsid w:val="006F3968"/>
    <w:rsid w:val="00712E56"/>
    <w:rsid w:val="00722634"/>
    <w:rsid w:val="00725C4C"/>
    <w:rsid w:val="00730B55"/>
    <w:rsid w:val="007313C0"/>
    <w:rsid w:val="00772B2F"/>
    <w:rsid w:val="00772DCC"/>
    <w:rsid w:val="007743B1"/>
    <w:rsid w:val="00781C63"/>
    <w:rsid w:val="00786B51"/>
    <w:rsid w:val="007A36EF"/>
    <w:rsid w:val="007A7BF9"/>
    <w:rsid w:val="007C071C"/>
    <w:rsid w:val="007C3F22"/>
    <w:rsid w:val="007E4DEB"/>
    <w:rsid w:val="007F1DA6"/>
    <w:rsid w:val="007F5E1C"/>
    <w:rsid w:val="007F633D"/>
    <w:rsid w:val="007F6850"/>
    <w:rsid w:val="0081109E"/>
    <w:rsid w:val="00816CA8"/>
    <w:rsid w:val="00817F22"/>
    <w:rsid w:val="0082049D"/>
    <w:rsid w:val="008205B4"/>
    <w:rsid w:val="0082124F"/>
    <w:rsid w:val="00830BE5"/>
    <w:rsid w:val="0083129B"/>
    <w:rsid w:val="00834ADB"/>
    <w:rsid w:val="00835FB0"/>
    <w:rsid w:val="008408E5"/>
    <w:rsid w:val="0085167B"/>
    <w:rsid w:val="008516E2"/>
    <w:rsid w:val="00854F1D"/>
    <w:rsid w:val="0086569C"/>
    <w:rsid w:val="00874D8F"/>
    <w:rsid w:val="00886D1C"/>
    <w:rsid w:val="008B3B8C"/>
    <w:rsid w:val="008B502D"/>
    <w:rsid w:val="008B6365"/>
    <w:rsid w:val="008D1B88"/>
    <w:rsid w:val="008E0A1E"/>
    <w:rsid w:val="008F3A9A"/>
    <w:rsid w:val="008F4855"/>
    <w:rsid w:val="008F67E3"/>
    <w:rsid w:val="00906995"/>
    <w:rsid w:val="009141BD"/>
    <w:rsid w:val="00951F11"/>
    <w:rsid w:val="00956D7B"/>
    <w:rsid w:val="0096458C"/>
    <w:rsid w:val="00965578"/>
    <w:rsid w:val="0097775A"/>
    <w:rsid w:val="00997F9B"/>
    <w:rsid w:val="009A1096"/>
    <w:rsid w:val="009B07AF"/>
    <w:rsid w:val="009B1361"/>
    <w:rsid w:val="009C605F"/>
    <w:rsid w:val="009D0569"/>
    <w:rsid w:val="009F2352"/>
    <w:rsid w:val="009F418F"/>
    <w:rsid w:val="009F63F2"/>
    <w:rsid w:val="00A021A8"/>
    <w:rsid w:val="00A116A5"/>
    <w:rsid w:val="00A13E49"/>
    <w:rsid w:val="00A33937"/>
    <w:rsid w:val="00A37977"/>
    <w:rsid w:val="00A43E67"/>
    <w:rsid w:val="00A76C1A"/>
    <w:rsid w:val="00A82F14"/>
    <w:rsid w:val="00A8642E"/>
    <w:rsid w:val="00A95BD8"/>
    <w:rsid w:val="00A9610A"/>
    <w:rsid w:val="00AA020E"/>
    <w:rsid w:val="00AB2006"/>
    <w:rsid w:val="00AD18E8"/>
    <w:rsid w:val="00AE5C61"/>
    <w:rsid w:val="00AF38BC"/>
    <w:rsid w:val="00B30318"/>
    <w:rsid w:val="00B41591"/>
    <w:rsid w:val="00B46FB1"/>
    <w:rsid w:val="00B518F1"/>
    <w:rsid w:val="00B706B9"/>
    <w:rsid w:val="00B9162C"/>
    <w:rsid w:val="00BA1A2F"/>
    <w:rsid w:val="00BB2DA1"/>
    <w:rsid w:val="00BF0BF1"/>
    <w:rsid w:val="00C03076"/>
    <w:rsid w:val="00C06768"/>
    <w:rsid w:val="00C10D4C"/>
    <w:rsid w:val="00C1380D"/>
    <w:rsid w:val="00C1477F"/>
    <w:rsid w:val="00C255B7"/>
    <w:rsid w:val="00C301EA"/>
    <w:rsid w:val="00C30EF5"/>
    <w:rsid w:val="00C31228"/>
    <w:rsid w:val="00C647DA"/>
    <w:rsid w:val="00C660F1"/>
    <w:rsid w:val="00C670A9"/>
    <w:rsid w:val="00C72774"/>
    <w:rsid w:val="00C72D9F"/>
    <w:rsid w:val="00C7380F"/>
    <w:rsid w:val="00C804E8"/>
    <w:rsid w:val="00C85919"/>
    <w:rsid w:val="00C90CCE"/>
    <w:rsid w:val="00C96340"/>
    <w:rsid w:val="00CA0BF5"/>
    <w:rsid w:val="00CB6098"/>
    <w:rsid w:val="00CC355E"/>
    <w:rsid w:val="00CC5053"/>
    <w:rsid w:val="00CE6967"/>
    <w:rsid w:val="00CF22C0"/>
    <w:rsid w:val="00D2004D"/>
    <w:rsid w:val="00D20794"/>
    <w:rsid w:val="00D41428"/>
    <w:rsid w:val="00D43FFB"/>
    <w:rsid w:val="00D56F0F"/>
    <w:rsid w:val="00D70886"/>
    <w:rsid w:val="00D85F5A"/>
    <w:rsid w:val="00D921AA"/>
    <w:rsid w:val="00DA587E"/>
    <w:rsid w:val="00DC2E0A"/>
    <w:rsid w:val="00DC5FF3"/>
    <w:rsid w:val="00DD5185"/>
    <w:rsid w:val="00DE0289"/>
    <w:rsid w:val="00DE2420"/>
    <w:rsid w:val="00DF2AEA"/>
    <w:rsid w:val="00DF6865"/>
    <w:rsid w:val="00E00BEA"/>
    <w:rsid w:val="00E036A1"/>
    <w:rsid w:val="00E06181"/>
    <w:rsid w:val="00E1122E"/>
    <w:rsid w:val="00E16C60"/>
    <w:rsid w:val="00E226BC"/>
    <w:rsid w:val="00E31F06"/>
    <w:rsid w:val="00E43C93"/>
    <w:rsid w:val="00E623F8"/>
    <w:rsid w:val="00E718FC"/>
    <w:rsid w:val="00E758E6"/>
    <w:rsid w:val="00E972DE"/>
    <w:rsid w:val="00EA6636"/>
    <w:rsid w:val="00EA7FC5"/>
    <w:rsid w:val="00EB6EF5"/>
    <w:rsid w:val="00EC5313"/>
    <w:rsid w:val="00ED2A4A"/>
    <w:rsid w:val="00EF629A"/>
    <w:rsid w:val="00EF6C5B"/>
    <w:rsid w:val="00F00546"/>
    <w:rsid w:val="00F133F2"/>
    <w:rsid w:val="00F161BE"/>
    <w:rsid w:val="00F22BBF"/>
    <w:rsid w:val="00F32B80"/>
    <w:rsid w:val="00F41CD4"/>
    <w:rsid w:val="00F47E50"/>
    <w:rsid w:val="00F52665"/>
    <w:rsid w:val="00F77DC0"/>
    <w:rsid w:val="00F92D72"/>
    <w:rsid w:val="00FA1305"/>
    <w:rsid w:val="00FA24F8"/>
    <w:rsid w:val="00FA428F"/>
    <w:rsid w:val="00FA590D"/>
    <w:rsid w:val="00FB66C2"/>
    <w:rsid w:val="00FE43EB"/>
    <w:rsid w:val="00FE59FB"/>
    <w:rsid w:val="00FF7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4E"/>
    <w:pPr>
      <w:spacing w:after="0" w:line="240" w:lineRule="auto"/>
      <w:jc w:val="both"/>
    </w:pPr>
    <w:rPr>
      <w:rFonts w:ascii="Times New Roman" w:eastAsia="ヒラギノ角ゴ Pro W3" w:hAnsi="Times New Roman" w:cs="Times New Roman"/>
      <w:color w:val="000000"/>
      <w:sz w:val="24"/>
      <w:szCs w:val="24"/>
      <w:lang w:val="en-US"/>
    </w:rPr>
  </w:style>
  <w:style w:type="paragraph" w:styleId="Heading1">
    <w:name w:val="heading 1"/>
    <w:basedOn w:val="Normal"/>
    <w:next w:val="Normal"/>
    <w:link w:val="Heading1Char"/>
    <w:uiPriority w:val="9"/>
    <w:qFormat/>
    <w:rsid w:val="000B5C8A"/>
    <w:pPr>
      <w:keepNext/>
      <w:keepLines/>
      <w:spacing w:before="120" w:after="120"/>
      <w:jc w:val="center"/>
      <w:outlineLvl w:val="0"/>
    </w:pPr>
    <w:rPr>
      <w:rFonts w:eastAsiaTheme="majorEastAsia" w:cstheme="majorBidi"/>
      <w:b/>
      <w:bCs/>
      <w:caps/>
      <w:color w:val="auto"/>
      <w:sz w:val="28"/>
      <w:szCs w:val="28"/>
    </w:rPr>
  </w:style>
  <w:style w:type="paragraph" w:styleId="Heading2">
    <w:name w:val="heading 2"/>
    <w:basedOn w:val="Normal"/>
    <w:next w:val="Normal"/>
    <w:link w:val="Heading2Char"/>
    <w:uiPriority w:val="9"/>
    <w:unhideWhenUsed/>
    <w:qFormat/>
    <w:rsid w:val="004A2E4E"/>
    <w:pPr>
      <w:keepNext/>
      <w:keepLines/>
      <w:outlineLvl w:val="1"/>
    </w:pPr>
    <w:rPr>
      <w:rFonts w:eastAsiaTheme="majorEastAsia" w:cstheme="majorBidi"/>
      <w:b/>
      <w:bCs/>
      <w:caps/>
      <w:color w:val="auto"/>
      <w:sz w:val="28"/>
      <w:szCs w:val="26"/>
    </w:rPr>
  </w:style>
  <w:style w:type="paragraph" w:styleId="Heading3">
    <w:name w:val="heading 3"/>
    <w:basedOn w:val="Normal"/>
    <w:next w:val="Normal"/>
    <w:link w:val="Heading3Char"/>
    <w:uiPriority w:val="9"/>
    <w:unhideWhenUsed/>
    <w:qFormat/>
    <w:rsid w:val="004A2E4E"/>
    <w:pPr>
      <w:keepNext/>
      <w:keepLines/>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4A2E4E"/>
    <w:pPr>
      <w:keepNext/>
      <w:keepLines/>
      <w:outlineLvl w:val="3"/>
    </w:pPr>
    <w:rPr>
      <w:rFonts w:eastAsiaTheme="majorEastAsia" w:cstheme="majorBidi"/>
      <w:bCs/>
      <w:iCs/>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1">
    <w:name w:val="Titre 31"/>
    <w:next w:val="Normal"/>
    <w:rsid w:val="00481CFF"/>
    <w:pPr>
      <w:keepNext/>
      <w:tabs>
        <w:tab w:val="left" w:pos="936"/>
      </w:tabs>
      <w:spacing w:before="120" w:after="60" w:line="240" w:lineRule="auto"/>
      <w:jc w:val="both"/>
      <w:outlineLvl w:val="2"/>
    </w:pPr>
    <w:rPr>
      <w:rFonts w:ascii="Times New Roman Bold Italic" w:eastAsia="ヒラギノ角ゴ Pro W3" w:hAnsi="Times New Roman Bold Italic" w:cs="Times New Roman"/>
      <w:color w:val="000000"/>
      <w:sz w:val="24"/>
      <w:szCs w:val="20"/>
      <w:lang w:val="en-GB" w:eastAsia="en-AU"/>
    </w:rPr>
  </w:style>
  <w:style w:type="paragraph" w:styleId="BalloonText">
    <w:name w:val="Balloon Text"/>
    <w:basedOn w:val="Normal"/>
    <w:link w:val="BalloonTextChar"/>
    <w:uiPriority w:val="99"/>
    <w:semiHidden/>
    <w:unhideWhenUsed/>
    <w:rsid w:val="00481CFF"/>
    <w:rPr>
      <w:rFonts w:ascii="Tahoma" w:hAnsi="Tahoma" w:cs="Tahoma"/>
      <w:sz w:val="16"/>
      <w:szCs w:val="16"/>
    </w:rPr>
  </w:style>
  <w:style w:type="character" w:customStyle="1" w:styleId="BalloonTextChar">
    <w:name w:val="Balloon Text Char"/>
    <w:basedOn w:val="DefaultParagraphFont"/>
    <w:link w:val="BalloonText"/>
    <w:uiPriority w:val="99"/>
    <w:semiHidden/>
    <w:rsid w:val="00481CFF"/>
    <w:rPr>
      <w:rFonts w:ascii="Tahoma" w:eastAsia="ヒラギノ角ゴ Pro W3" w:hAnsi="Tahoma" w:cs="Tahoma"/>
      <w:color w:val="000000"/>
      <w:sz w:val="16"/>
      <w:szCs w:val="16"/>
      <w:lang w:val="en-US"/>
    </w:rPr>
  </w:style>
  <w:style w:type="paragraph" w:customStyle="1" w:styleId="Text">
    <w:name w:val="Text"/>
    <w:rsid w:val="00481CFF"/>
    <w:pPr>
      <w:suppressAutoHyphens/>
      <w:spacing w:before="60" w:after="60" w:line="240" w:lineRule="auto"/>
      <w:ind w:left="936"/>
      <w:jc w:val="both"/>
    </w:pPr>
    <w:rPr>
      <w:rFonts w:ascii="Times New Roman" w:eastAsia="ヒラギノ角ゴ Pro W3" w:hAnsi="Times New Roman" w:cs="Times New Roman"/>
      <w:color w:val="000000"/>
      <w:sz w:val="24"/>
      <w:szCs w:val="20"/>
      <w:lang w:val="en-GB" w:eastAsia="en-AU"/>
    </w:rPr>
  </w:style>
  <w:style w:type="paragraph" w:customStyle="1" w:styleId="Heading51">
    <w:name w:val="Heading 51"/>
    <w:next w:val="Text"/>
    <w:rsid w:val="00481CFF"/>
    <w:pPr>
      <w:keepNext/>
      <w:tabs>
        <w:tab w:val="left" w:pos="1296"/>
      </w:tabs>
      <w:spacing w:before="120" w:after="60" w:line="240" w:lineRule="auto"/>
      <w:jc w:val="both"/>
      <w:outlineLvl w:val="4"/>
    </w:pPr>
    <w:rPr>
      <w:rFonts w:ascii="Times New Roman" w:eastAsia="ヒラギノ角ゴ Pro W3" w:hAnsi="Times New Roman" w:cs="Times New Roman"/>
      <w:color w:val="000000"/>
      <w:sz w:val="24"/>
      <w:szCs w:val="20"/>
      <w:lang w:val="en-GB" w:eastAsia="en-AU"/>
    </w:rPr>
  </w:style>
  <w:style w:type="paragraph" w:styleId="ListParagraph">
    <w:name w:val="List Paragraph"/>
    <w:uiPriority w:val="34"/>
    <w:qFormat/>
    <w:rsid w:val="00481CFF"/>
    <w:pPr>
      <w:spacing w:after="0" w:line="240" w:lineRule="auto"/>
      <w:ind w:left="720"/>
    </w:pPr>
    <w:rPr>
      <w:rFonts w:ascii="Times New Roman" w:eastAsia="ヒラギノ角ゴ Pro W3" w:hAnsi="Times New Roman" w:cs="Times New Roman"/>
      <w:color w:val="000000"/>
      <w:sz w:val="24"/>
      <w:szCs w:val="20"/>
      <w:lang w:val="en-US" w:eastAsia="en-AU"/>
    </w:rPr>
  </w:style>
  <w:style w:type="character" w:styleId="CommentReference">
    <w:name w:val="annotation reference"/>
    <w:rsid w:val="00481CFF"/>
    <w:rPr>
      <w:sz w:val="16"/>
      <w:szCs w:val="16"/>
    </w:rPr>
  </w:style>
  <w:style w:type="paragraph" w:styleId="CommentText">
    <w:name w:val="annotation text"/>
    <w:basedOn w:val="Normal"/>
    <w:link w:val="CommentTextChar"/>
    <w:rsid w:val="00481CFF"/>
    <w:rPr>
      <w:sz w:val="20"/>
      <w:szCs w:val="20"/>
    </w:rPr>
  </w:style>
  <w:style w:type="character" w:customStyle="1" w:styleId="CommentTextChar">
    <w:name w:val="Comment Text Char"/>
    <w:basedOn w:val="DefaultParagraphFont"/>
    <w:link w:val="CommentText"/>
    <w:rsid w:val="00481CFF"/>
    <w:rPr>
      <w:rFonts w:ascii="Times New Roman" w:eastAsia="ヒラギノ角ゴ Pro W3" w:hAnsi="Times New Roman" w:cs="Times New Roman"/>
      <w:color w:val="000000"/>
      <w:sz w:val="20"/>
      <w:szCs w:val="20"/>
      <w:lang w:val="en-US"/>
    </w:rPr>
  </w:style>
  <w:style w:type="paragraph" w:customStyle="1" w:styleId="BodyText21">
    <w:name w:val="Body Text 21"/>
    <w:rsid w:val="00481CFF"/>
    <w:pPr>
      <w:tabs>
        <w:tab w:val="left" w:pos="0"/>
        <w:tab w:val="left" w:pos="204"/>
        <w:tab w:val="left" w:pos="769"/>
        <w:tab w:val="left" w:pos="2073"/>
        <w:tab w:val="left" w:pos="2358"/>
        <w:tab w:val="left" w:pos="3600"/>
      </w:tabs>
      <w:suppressAutoHyphens/>
      <w:spacing w:after="0" w:line="240" w:lineRule="auto"/>
      <w:jc w:val="both"/>
    </w:pPr>
    <w:rPr>
      <w:rFonts w:ascii="Times New Roman Italic" w:eastAsia="ヒラギノ角ゴ Pro W3" w:hAnsi="Times New Roman Italic" w:cs="Times New Roman"/>
      <w:color w:val="000000"/>
      <w:sz w:val="24"/>
      <w:szCs w:val="20"/>
      <w:lang w:val="fr-FR" w:eastAsia="en-AU"/>
    </w:rPr>
  </w:style>
  <w:style w:type="paragraph" w:customStyle="1" w:styleId="BodyA">
    <w:name w:val="Body A"/>
    <w:next w:val="Normal"/>
    <w:rsid w:val="00481CFF"/>
    <w:pPr>
      <w:spacing w:after="0" w:line="240" w:lineRule="auto"/>
    </w:pPr>
    <w:rPr>
      <w:rFonts w:ascii="Arial" w:eastAsia="ヒラギノ角ゴ Pro W3" w:hAnsi="Arial" w:cs="Times New Roman"/>
      <w:color w:val="000000"/>
      <w:sz w:val="24"/>
      <w:szCs w:val="20"/>
      <w:lang w:val="en-US" w:eastAsia="en-AU"/>
    </w:rPr>
  </w:style>
  <w:style w:type="character" w:customStyle="1" w:styleId="streetline">
    <w:name w:val="street_line"/>
    <w:rsid w:val="00481CFF"/>
    <w:rPr>
      <w:color w:val="000000"/>
      <w:sz w:val="20"/>
    </w:rPr>
  </w:style>
  <w:style w:type="character" w:customStyle="1" w:styleId="locality">
    <w:name w:val="locality"/>
    <w:rsid w:val="00481CFF"/>
    <w:rPr>
      <w:color w:val="000000"/>
      <w:sz w:val="20"/>
    </w:rPr>
  </w:style>
  <w:style w:type="character" w:customStyle="1" w:styleId="state">
    <w:name w:val="state"/>
    <w:rsid w:val="00481CFF"/>
    <w:rPr>
      <w:color w:val="000000"/>
      <w:sz w:val="20"/>
    </w:rPr>
  </w:style>
  <w:style w:type="character" w:customStyle="1" w:styleId="postcode">
    <w:name w:val="postcode"/>
    <w:rsid w:val="00481CFF"/>
    <w:rPr>
      <w:color w:val="000000"/>
      <w:sz w:val="20"/>
    </w:rPr>
  </w:style>
  <w:style w:type="paragraph" w:styleId="CommentSubject">
    <w:name w:val="annotation subject"/>
    <w:basedOn w:val="CommentText"/>
    <w:next w:val="CommentText"/>
    <w:link w:val="CommentSubjectChar"/>
    <w:uiPriority w:val="99"/>
    <w:semiHidden/>
    <w:unhideWhenUsed/>
    <w:rsid w:val="00D70886"/>
    <w:rPr>
      <w:b/>
      <w:bCs/>
    </w:rPr>
  </w:style>
  <w:style w:type="character" w:customStyle="1" w:styleId="CommentSubjectChar">
    <w:name w:val="Comment Subject Char"/>
    <w:basedOn w:val="CommentTextChar"/>
    <w:link w:val="CommentSubject"/>
    <w:uiPriority w:val="99"/>
    <w:semiHidden/>
    <w:rsid w:val="00D70886"/>
    <w:rPr>
      <w:rFonts w:ascii="Times New Roman" w:eastAsia="ヒラギノ角ゴ Pro W3" w:hAnsi="Times New Roman" w:cs="Times New Roman"/>
      <w:b/>
      <w:bCs/>
      <w:color w:val="000000"/>
      <w:sz w:val="20"/>
      <w:szCs w:val="20"/>
      <w:lang w:val="en-US"/>
    </w:rPr>
  </w:style>
  <w:style w:type="paragraph" w:customStyle="1" w:styleId="Default">
    <w:name w:val="Default"/>
    <w:rsid w:val="004F3DC6"/>
    <w:pPr>
      <w:autoSpaceDE w:val="0"/>
      <w:autoSpaceDN w:val="0"/>
      <w:adjustRightInd w:val="0"/>
      <w:spacing w:after="0" w:line="240" w:lineRule="auto"/>
    </w:pPr>
    <w:rPr>
      <w:rFonts w:ascii="Arial" w:hAnsi="Arial" w:cs="Arial"/>
      <w:color w:val="000000"/>
      <w:sz w:val="24"/>
      <w:szCs w:val="24"/>
    </w:rPr>
  </w:style>
  <w:style w:type="character" w:customStyle="1" w:styleId="s">
    <w:name w:val="s"/>
    <w:basedOn w:val="DefaultParagraphFont"/>
    <w:rsid w:val="00CC355E"/>
  </w:style>
  <w:style w:type="character" w:customStyle="1" w:styleId="Heading1Char">
    <w:name w:val="Heading 1 Char"/>
    <w:basedOn w:val="DefaultParagraphFont"/>
    <w:link w:val="Heading1"/>
    <w:uiPriority w:val="9"/>
    <w:rsid w:val="000B5C8A"/>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4A2E4E"/>
    <w:rPr>
      <w:rFonts w:ascii="Times New Roman" w:eastAsiaTheme="majorEastAsia" w:hAnsi="Times New Roman" w:cstheme="majorBidi"/>
      <w:b/>
      <w:bCs/>
      <w:caps/>
      <w:sz w:val="28"/>
      <w:szCs w:val="26"/>
      <w:lang w:val="en-US"/>
    </w:rPr>
  </w:style>
  <w:style w:type="paragraph" w:customStyle="1" w:styleId="Bodytext0-12">
    <w:name w:val="Body text 0-12"/>
    <w:basedOn w:val="Normal"/>
    <w:link w:val="Bodytext0-12Char"/>
    <w:qFormat/>
    <w:rsid w:val="00F77DC0"/>
    <w:pPr>
      <w:suppressAutoHyphens/>
      <w:spacing w:after="240"/>
    </w:pPr>
    <w:rPr>
      <w:rFonts w:eastAsiaTheme="minorEastAsia"/>
      <w:color w:val="auto"/>
      <w:szCs w:val="20"/>
    </w:rPr>
  </w:style>
  <w:style w:type="character" w:customStyle="1" w:styleId="Bodytext0-12Char">
    <w:name w:val="Body text 0-12 Char"/>
    <w:basedOn w:val="DefaultParagraphFont"/>
    <w:link w:val="Bodytext0-12"/>
    <w:rsid w:val="00F77DC0"/>
    <w:rPr>
      <w:rFonts w:ascii="Times New Roman" w:eastAsiaTheme="minorEastAsia" w:hAnsi="Times New Roman" w:cs="Times New Roman"/>
      <w:sz w:val="24"/>
      <w:szCs w:val="20"/>
      <w:lang w:val="en-US"/>
    </w:rPr>
  </w:style>
  <w:style w:type="character" w:customStyle="1" w:styleId="Heading3Char">
    <w:name w:val="Heading 3 Char"/>
    <w:basedOn w:val="DefaultParagraphFont"/>
    <w:link w:val="Heading3"/>
    <w:uiPriority w:val="9"/>
    <w:rsid w:val="004A2E4E"/>
    <w:rPr>
      <w:rFonts w:ascii="Times New Roman" w:eastAsiaTheme="majorEastAsia" w:hAnsi="Times New Roman" w:cstheme="majorBidi"/>
      <w:b/>
      <w:bCs/>
      <w:sz w:val="24"/>
      <w:szCs w:val="24"/>
      <w:lang w:val="en-US"/>
    </w:rPr>
  </w:style>
  <w:style w:type="character" w:customStyle="1" w:styleId="Heading4Char">
    <w:name w:val="Heading 4 Char"/>
    <w:basedOn w:val="DefaultParagraphFont"/>
    <w:link w:val="Heading4"/>
    <w:uiPriority w:val="9"/>
    <w:rsid w:val="004A2E4E"/>
    <w:rPr>
      <w:rFonts w:ascii="Times New Roman" w:eastAsiaTheme="majorEastAsia" w:hAnsi="Times New Roman" w:cstheme="majorBidi"/>
      <w:bCs/>
      <w:iCs/>
      <w:sz w:val="24"/>
      <w:szCs w:val="24"/>
      <w:u w:val="single"/>
      <w:lang w:val="en-US"/>
    </w:rPr>
  </w:style>
  <w:style w:type="paragraph" w:styleId="Revision">
    <w:name w:val="Revision"/>
    <w:hidden/>
    <w:uiPriority w:val="99"/>
    <w:semiHidden/>
    <w:rsid w:val="00ED2A4A"/>
    <w:pPr>
      <w:spacing w:after="0" w:line="240" w:lineRule="auto"/>
    </w:pPr>
    <w:rPr>
      <w:rFonts w:ascii="Times New Roman" w:eastAsia="ヒラギノ角ゴ Pro W3" w:hAnsi="Times New Roman" w:cs="Times New Roman"/>
      <w:color w:val="000000"/>
      <w:sz w:val="24"/>
      <w:szCs w:val="24"/>
      <w:lang w:val="en-US"/>
    </w:rPr>
  </w:style>
  <w:style w:type="paragraph" w:styleId="Header">
    <w:name w:val="header"/>
    <w:basedOn w:val="Normal"/>
    <w:link w:val="HeaderChar"/>
    <w:uiPriority w:val="99"/>
    <w:unhideWhenUsed/>
    <w:rsid w:val="00182021"/>
    <w:pPr>
      <w:tabs>
        <w:tab w:val="center" w:pos="4513"/>
        <w:tab w:val="right" w:pos="9026"/>
      </w:tabs>
    </w:pPr>
  </w:style>
  <w:style w:type="character" w:customStyle="1" w:styleId="HeaderChar">
    <w:name w:val="Header Char"/>
    <w:basedOn w:val="DefaultParagraphFont"/>
    <w:link w:val="Header"/>
    <w:uiPriority w:val="99"/>
    <w:rsid w:val="00182021"/>
    <w:rPr>
      <w:rFonts w:ascii="Times New Roman" w:eastAsia="ヒラギノ角ゴ Pro W3" w:hAnsi="Times New Roman" w:cs="Times New Roman"/>
      <w:color w:val="000000"/>
      <w:sz w:val="24"/>
      <w:szCs w:val="24"/>
      <w:lang w:val="en-US"/>
    </w:rPr>
  </w:style>
  <w:style w:type="paragraph" w:styleId="Footer">
    <w:name w:val="footer"/>
    <w:basedOn w:val="Normal"/>
    <w:link w:val="FooterChar"/>
    <w:uiPriority w:val="99"/>
    <w:unhideWhenUsed/>
    <w:rsid w:val="00182021"/>
    <w:pPr>
      <w:tabs>
        <w:tab w:val="center" w:pos="4513"/>
        <w:tab w:val="right" w:pos="9026"/>
      </w:tabs>
    </w:pPr>
  </w:style>
  <w:style w:type="character" w:customStyle="1" w:styleId="FooterChar">
    <w:name w:val="Footer Char"/>
    <w:basedOn w:val="DefaultParagraphFont"/>
    <w:link w:val="Footer"/>
    <w:uiPriority w:val="99"/>
    <w:rsid w:val="00182021"/>
    <w:rPr>
      <w:rFonts w:ascii="Times New Roman" w:eastAsia="ヒラギノ角ゴ Pro W3" w:hAnsi="Times New Roman" w:cs="Times New Roman"/>
      <w:color w:val="000000"/>
      <w:sz w:val="24"/>
      <w:szCs w:val="24"/>
      <w:lang w:val="en-US"/>
    </w:rPr>
  </w:style>
  <w:style w:type="table" w:styleId="TableGrid">
    <w:name w:val="Table Grid"/>
    <w:basedOn w:val="TableNormal"/>
    <w:uiPriority w:val="59"/>
    <w:rsid w:val="00B46FB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4E"/>
    <w:pPr>
      <w:spacing w:after="0" w:line="240" w:lineRule="auto"/>
      <w:jc w:val="both"/>
    </w:pPr>
    <w:rPr>
      <w:rFonts w:ascii="Times New Roman" w:eastAsia="ヒラギノ角ゴ Pro W3" w:hAnsi="Times New Roman" w:cs="Times New Roman"/>
      <w:color w:val="000000"/>
      <w:sz w:val="24"/>
      <w:szCs w:val="24"/>
      <w:lang w:val="en-US"/>
    </w:rPr>
  </w:style>
  <w:style w:type="paragraph" w:styleId="Heading1">
    <w:name w:val="heading 1"/>
    <w:basedOn w:val="Normal"/>
    <w:next w:val="Normal"/>
    <w:link w:val="Heading1Char"/>
    <w:uiPriority w:val="9"/>
    <w:qFormat/>
    <w:rsid w:val="000B5C8A"/>
    <w:pPr>
      <w:keepNext/>
      <w:keepLines/>
      <w:spacing w:before="120" w:after="120"/>
      <w:jc w:val="center"/>
      <w:outlineLvl w:val="0"/>
    </w:pPr>
    <w:rPr>
      <w:rFonts w:eastAsiaTheme="majorEastAsia" w:cstheme="majorBidi"/>
      <w:b/>
      <w:bCs/>
      <w:caps/>
      <w:color w:val="auto"/>
      <w:sz w:val="28"/>
      <w:szCs w:val="28"/>
    </w:rPr>
  </w:style>
  <w:style w:type="paragraph" w:styleId="Heading2">
    <w:name w:val="heading 2"/>
    <w:basedOn w:val="Normal"/>
    <w:next w:val="Normal"/>
    <w:link w:val="Heading2Char"/>
    <w:uiPriority w:val="9"/>
    <w:unhideWhenUsed/>
    <w:qFormat/>
    <w:rsid w:val="004A2E4E"/>
    <w:pPr>
      <w:keepNext/>
      <w:keepLines/>
      <w:outlineLvl w:val="1"/>
    </w:pPr>
    <w:rPr>
      <w:rFonts w:eastAsiaTheme="majorEastAsia" w:cstheme="majorBidi"/>
      <w:b/>
      <w:bCs/>
      <w:caps/>
      <w:color w:val="auto"/>
      <w:sz w:val="28"/>
      <w:szCs w:val="26"/>
    </w:rPr>
  </w:style>
  <w:style w:type="paragraph" w:styleId="Heading3">
    <w:name w:val="heading 3"/>
    <w:basedOn w:val="Normal"/>
    <w:next w:val="Normal"/>
    <w:link w:val="Heading3Char"/>
    <w:uiPriority w:val="9"/>
    <w:unhideWhenUsed/>
    <w:qFormat/>
    <w:rsid w:val="004A2E4E"/>
    <w:pPr>
      <w:keepNext/>
      <w:keepLines/>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rsid w:val="004A2E4E"/>
    <w:pPr>
      <w:keepNext/>
      <w:keepLines/>
      <w:outlineLvl w:val="3"/>
    </w:pPr>
    <w:rPr>
      <w:rFonts w:eastAsiaTheme="majorEastAsia" w:cstheme="majorBidi"/>
      <w:bCs/>
      <w:iCs/>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31">
    <w:name w:val="Titre 31"/>
    <w:next w:val="Normal"/>
    <w:rsid w:val="00481CFF"/>
    <w:pPr>
      <w:keepNext/>
      <w:tabs>
        <w:tab w:val="left" w:pos="936"/>
      </w:tabs>
      <w:spacing w:before="120" w:after="60" w:line="240" w:lineRule="auto"/>
      <w:jc w:val="both"/>
      <w:outlineLvl w:val="2"/>
    </w:pPr>
    <w:rPr>
      <w:rFonts w:ascii="Times New Roman Bold Italic" w:eastAsia="ヒラギノ角ゴ Pro W3" w:hAnsi="Times New Roman Bold Italic" w:cs="Times New Roman"/>
      <w:color w:val="000000"/>
      <w:sz w:val="24"/>
      <w:szCs w:val="20"/>
      <w:lang w:val="en-GB" w:eastAsia="en-AU"/>
    </w:rPr>
  </w:style>
  <w:style w:type="paragraph" w:styleId="BalloonText">
    <w:name w:val="Balloon Text"/>
    <w:basedOn w:val="Normal"/>
    <w:link w:val="BalloonTextChar"/>
    <w:uiPriority w:val="99"/>
    <w:semiHidden/>
    <w:unhideWhenUsed/>
    <w:rsid w:val="00481CFF"/>
    <w:rPr>
      <w:rFonts w:ascii="Tahoma" w:hAnsi="Tahoma" w:cs="Tahoma"/>
      <w:sz w:val="16"/>
      <w:szCs w:val="16"/>
    </w:rPr>
  </w:style>
  <w:style w:type="character" w:customStyle="1" w:styleId="BalloonTextChar">
    <w:name w:val="Balloon Text Char"/>
    <w:basedOn w:val="DefaultParagraphFont"/>
    <w:link w:val="BalloonText"/>
    <w:uiPriority w:val="99"/>
    <w:semiHidden/>
    <w:rsid w:val="00481CFF"/>
    <w:rPr>
      <w:rFonts w:ascii="Tahoma" w:eastAsia="ヒラギノ角ゴ Pro W3" w:hAnsi="Tahoma" w:cs="Tahoma"/>
      <w:color w:val="000000"/>
      <w:sz w:val="16"/>
      <w:szCs w:val="16"/>
      <w:lang w:val="en-US"/>
    </w:rPr>
  </w:style>
  <w:style w:type="paragraph" w:customStyle="1" w:styleId="Text">
    <w:name w:val="Text"/>
    <w:rsid w:val="00481CFF"/>
    <w:pPr>
      <w:suppressAutoHyphens/>
      <w:spacing w:before="60" w:after="60" w:line="240" w:lineRule="auto"/>
      <w:ind w:left="936"/>
      <w:jc w:val="both"/>
    </w:pPr>
    <w:rPr>
      <w:rFonts w:ascii="Times New Roman" w:eastAsia="ヒラギノ角ゴ Pro W3" w:hAnsi="Times New Roman" w:cs="Times New Roman"/>
      <w:color w:val="000000"/>
      <w:sz w:val="24"/>
      <w:szCs w:val="20"/>
      <w:lang w:val="en-GB" w:eastAsia="en-AU"/>
    </w:rPr>
  </w:style>
  <w:style w:type="paragraph" w:customStyle="1" w:styleId="Heading51">
    <w:name w:val="Heading 51"/>
    <w:next w:val="Text"/>
    <w:rsid w:val="00481CFF"/>
    <w:pPr>
      <w:keepNext/>
      <w:tabs>
        <w:tab w:val="left" w:pos="1296"/>
      </w:tabs>
      <w:spacing w:before="120" w:after="60" w:line="240" w:lineRule="auto"/>
      <w:jc w:val="both"/>
      <w:outlineLvl w:val="4"/>
    </w:pPr>
    <w:rPr>
      <w:rFonts w:ascii="Times New Roman" w:eastAsia="ヒラギノ角ゴ Pro W3" w:hAnsi="Times New Roman" w:cs="Times New Roman"/>
      <w:color w:val="000000"/>
      <w:sz w:val="24"/>
      <w:szCs w:val="20"/>
      <w:lang w:val="en-GB" w:eastAsia="en-AU"/>
    </w:rPr>
  </w:style>
  <w:style w:type="paragraph" w:styleId="ListParagraph">
    <w:name w:val="List Paragraph"/>
    <w:uiPriority w:val="34"/>
    <w:qFormat/>
    <w:rsid w:val="00481CFF"/>
    <w:pPr>
      <w:spacing w:after="0" w:line="240" w:lineRule="auto"/>
      <w:ind w:left="720"/>
    </w:pPr>
    <w:rPr>
      <w:rFonts w:ascii="Times New Roman" w:eastAsia="ヒラギノ角ゴ Pro W3" w:hAnsi="Times New Roman" w:cs="Times New Roman"/>
      <w:color w:val="000000"/>
      <w:sz w:val="24"/>
      <w:szCs w:val="20"/>
      <w:lang w:val="en-US" w:eastAsia="en-AU"/>
    </w:rPr>
  </w:style>
  <w:style w:type="character" w:styleId="CommentReference">
    <w:name w:val="annotation reference"/>
    <w:rsid w:val="00481CFF"/>
    <w:rPr>
      <w:sz w:val="16"/>
      <w:szCs w:val="16"/>
    </w:rPr>
  </w:style>
  <w:style w:type="paragraph" w:styleId="CommentText">
    <w:name w:val="annotation text"/>
    <w:basedOn w:val="Normal"/>
    <w:link w:val="CommentTextChar"/>
    <w:rsid w:val="00481CFF"/>
    <w:rPr>
      <w:sz w:val="20"/>
      <w:szCs w:val="20"/>
    </w:rPr>
  </w:style>
  <w:style w:type="character" w:customStyle="1" w:styleId="CommentTextChar">
    <w:name w:val="Comment Text Char"/>
    <w:basedOn w:val="DefaultParagraphFont"/>
    <w:link w:val="CommentText"/>
    <w:rsid w:val="00481CFF"/>
    <w:rPr>
      <w:rFonts w:ascii="Times New Roman" w:eastAsia="ヒラギノ角ゴ Pro W3" w:hAnsi="Times New Roman" w:cs="Times New Roman"/>
      <w:color w:val="000000"/>
      <w:sz w:val="20"/>
      <w:szCs w:val="20"/>
      <w:lang w:val="en-US"/>
    </w:rPr>
  </w:style>
  <w:style w:type="paragraph" w:customStyle="1" w:styleId="BodyText21">
    <w:name w:val="Body Text 21"/>
    <w:rsid w:val="00481CFF"/>
    <w:pPr>
      <w:tabs>
        <w:tab w:val="left" w:pos="0"/>
        <w:tab w:val="left" w:pos="204"/>
        <w:tab w:val="left" w:pos="769"/>
        <w:tab w:val="left" w:pos="2073"/>
        <w:tab w:val="left" w:pos="2358"/>
        <w:tab w:val="left" w:pos="3600"/>
      </w:tabs>
      <w:suppressAutoHyphens/>
      <w:spacing w:after="0" w:line="240" w:lineRule="auto"/>
      <w:jc w:val="both"/>
    </w:pPr>
    <w:rPr>
      <w:rFonts w:ascii="Times New Roman Italic" w:eastAsia="ヒラギノ角ゴ Pro W3" w:hAnsi="Times New Roman Italic" w:cs="Times New Roman"/>
      <w:color w:val="000000"/>
      <w:sz w:val="24"/>
      <w:szCs w:val="20"/>
      <w:lang w:val="fr-FR" w:eastAsia="en-AU"/>
    </w:rPr>
  </w:style>
  <w:style w:type="paragraph" w:customStyle="1" w:styleId="BodyA">
    <w:name w:val="Body A"/>
    <w:next w:val="Normal"/>
    <w:rsid w:val="00481CFF"/>
    <w:pPr>
      <w:spacing w:after="0" w:line="240" w:lineRule="auto"/>
    </w:pPr>
    <w:rPr>
      <w:rFonts w:ascii="Arial" w:eastAsia="ヒラギノ角ゴ Pro W3" w:hAnsi="Arial" w:cs="Times New Roman"/>
      <w:color w:val="000000"/>
      <w:sz w:val="24"/>
      <w:szCs w:val="20"/>
      <w:lang w:val="en-US" w:eastAsia="en-AU"/>
    </w:rPr>
  </w:style>
  <w:style w:type="character" w:customStyle="1" w:styleId="streetline">
    <w:name w:val="street_line"/>
    <w:rsid w:val="00481CFF"/>
    <w:rPr>
      <w:color w:val="000000"/>
      <w:sz w:val="20"/>
    </w:rPr>
  </w:style>
  <w:style w:type="character" w:customStyle="1" w:styleId="locality">
    <w:name w:val="locality"/>
    <w:rsid w:val="00481CFF"/>
    <w:rPr>
      <w:color w:val="000000"/>
      <w:sz w:val="20"/>
    </w:rPr>
  </w:style>
  <w:style w:type="character" w:customStyle="1" w:styleId="state">
    <w:name w:val="state"/>
    <w:rsid w:val="00481CFF"/>
    <w:rPr>
      <w:color w:val="000000"/>
      <w:sz w:val="20"/>
    </w:rPr>
  </w:style>
  <w:style w:type="character" w:customStyle="1" w:styleId="postcode">
    <w:name w:val="postcode"/>
    <w:rsid w:val="00481CFF"/>
    <w:rPr>
      <w:color w:val="000000"/>
      <w:sz w:val="20"/>
    </w:rPr>
  </w:style>
  <w:style w:type="paragraph" w:styleId="CommentSubject">
    <w:name w:val="annotation subject"/>
    <w:basedOn w:val="CommentText"/>
    <w:next w:val="CommentText"/>
    <w:link w:val="CommentSubjectChar"/>
    <w:uiPriority w:val="99"/>
    <w:semiHidden/>
    <w:unhideWhenUsed/>
    <w:rsid w:val="00D70886"/>
    <w:rPr>
      <w:b/>
      <w:bCs/>
    </w:rPr>
  </w:style>
  <w:style w:type="character" w:customStyle="1" w:styleId="CommentSubjectChar">
    <w:name w:val="Comment Subject Char"/>
    <w:basedOn w:val="CommentTextChar"/>
    <w:link w:val="CommentSubject"/>
    <w:uiPriority w:val="99"/>
    <w:semiHidden/>
    <w:rsid w:val="00D70886"/>
    <w:rPr>
      <w:rFonts w:ascii="Times New Roman" w:eastAsia="ヒラギノ角ゴ Pro W3" w:hAnsi="Times New Roman" w:cs="Times New Roman"/>
      <w:b/>
      <w:bCs/>
      <w:color w:val="000000"/>
      <w:sz w:val="20"/>
      <w:szCs w:val="20"/>
      <w:lang w:val="en-US"/>
    </w:rPr>
  </w:style>
  <w:style w:type="paragraph" w:customStyle="1" w:styleId="Default">
    <w:name w:val="Default"/>
    <w:rsid w:val="004F3DC6"/>
    <w:pPr>
      <w:autoSpaceDE w:val="0"/>
      <w:autoSpaceDN w:val="0"/>
      <w:adjustRightInd w:val="0"/>
      <w:spacing w:after="0" w:line="240" w:lineRule="auto"/>
    </w:pPr>
    <w:rPr>
      <w:rFonts w:ascii="Arial" w:hAnsi="Arial" w:cs="Arial"/>
      <w:color w:val="000000"/>
      <w:sz w:val="24"/>
      <w:szCs w:val="24"/>
    </w:rPr>
  </w:style>
  <w:style w:type="character" w:customStyle="1" w:styleId="s">
    <w:name w:val="s"/>
    <w:basedOn w:val="DefaultParagraphFont"/>
    <w:rsid w:val="00CC355E"/>
  </w:style>
  <w:style w:type="character" w:customStyle="1" w:styleId="Heading1Char">
    <w:name w:val="Heading 1 Char"/>
    <w:basedOn w:val="DefaultParagraphFont"/>
    <w:link w:val="Heading1"/>
    <w:uiPriority w:val="9"/>
    <w:rsid w:val="000B5C8A"/>
    <w:rPr>
      <w:rFonts w:ascii="Times New Roman" w:eastAsiaTheme="majorEastAsia" w:hAnsi="Times New Roman" w:cstheme="majorBidi"/>
      <w:b/>
      <w:bCs/>
      <w:caps/>
      <w:sz w:val="28"/>
      <w:szCs w:val="28"/>
      <w:lang w:val="en-US"/>
    </w:rPr>
  </w:style>
  <w:style w:type="character" w:customStyle="1" w:styleId="Heading2Char">
    <w:name w:val="Heading 2 Char"/>
    <w:basedOn w:val="DefaultParagraphFont"/>
    <w:link w:val="Heading2"/>
    <w:uiPriority w:val="9"/>
    <w:rsid w:val="004A2E4E"/>
    <w:rPr>
      <w:rFonts w:ascii="Times New Roman" w:eastAsiaTheme="majorEastAsia" w:hAnsi="Times New Roman" w:cstheme="majorBidi"/>
      <w:b/>
      <w:bCs/>
      <w:caps/>
      <w:sz w:val="28"/>
      <w:szCs w:val="26"/>
      <w:lang w:val="en-US"/>
    </w:rPr>
  </w:style>
  <w:style w:type="paragraph" w:customStyle="1" w:styleId="Bodytext0-12">
    <w:name w:val="Body text 0-12"/>
    <w:basedOn w:val="Normal"/>
    <w:link w:val="Bodytext0-12Char"/>
    <w:qFormat/>
    <w:rsid w:val="00F77DC0"/>
    <w:pPr>
      <w:suppressAutoHyphens/>
      <w:spacing w:after="240"/>
    </w:pPr>
    <w:rPr>
      <w:rFonts w:eastAsiaTheme="minorEastAsia"/>
      <w:color w:val="auto"/>
      <w:szCs w:val="20"/>
    </w:rPr>
  </w:style>
  <w:style w:type="character" w:customStyle="1" w:styleId="Bodytext0-12Char">
    <w:name w:val="Body text 0-12 Char"/>
    <w:basedOn w:val="DefaultParagraphFont"/>
    <w:link w:val="Bodytext0-12"/>
    <w:rsid w:val="00F77DC0"/>
    <w:rPr>
      <w:rFonts w:ascii="Times New Roman" w:eastAsiaTheme="minorEastAsia" w:hAnsi="Times New Roman" w:cs="Times New Roman"/>
      <w:sz w:val="24"/>
      <w:szCs w:val="20"/>
      <w:lang w:val="en-US"/>
    </w:rPr>
  </w:style>
  <w:style w:type="character" w:customStyle="1" w:styleId="Heading3Char">
    <w:name w:val="Heading 3 Char"/>
    <w:basedOn w:val="DefaultParagraphFont"/>
    <w:link w:val="Heading3"/>
    <w:uiPriority w:val="9"/>
    <w:rsid w:val="004A2E4E"/>
    <w:rPr>
      <w:rFonts w:ascii="Times New Roman" w:eastAsiaTheme="majorEastAsia" w:hAnsi="Times New Roman" w:cstheme="majorBidi"/>
      <w:b/>
      <w:bCs/>
      <w:sz w:val="24"/>
      <w:szCs w:val="24"/>
      <w:lang w:val="en-US"/>
    </w:rPr>
  </w:style>
  <w:style w:type="character" w:customStyle="1" w:styleId="Heading4Char">
    <w:name w:val="Heading 4 Char"/>
    <w:basedOn w:val="DefaultParagraphFont"/>
    <w:link w:val="Heading4"/>
    <w:uiPriority w:val="9"/>
    <w:rsid w:val="004A2E4E"/>
    <w:rPr>
      <w:rFonts w:ascii="Times New Roman" w:eastAsiaTheme="majorEastAsia" w:hAnsi="Times New Roman" w:cstheme="majorBidi"/>
      <w:bCs/>
      <w:iCs/>
      <w:sz w:val="24"/>
      <w:szCs w:val="24"/>
      <w:u w:val="single"/>
      <w:lang w:val="en-US"/>
    </w:rPr>
  </w:style>
  <w:style w:type="paragraph" w:styleId="Revision">
    <w:name w:val="Revision"/>
    <w:hidden/>
    <w:uiPriority w:val="99"/>
    <w:semiHidden/>
    <w:rsid w:val="00ED2A4A"/>
    <w:pPr>
      <w:spacing w:after="0" w:line="240" w:lineRule="auto"/>
    </w:pPr>
    <w:rPr>
      <w:rFonts w:ascii="Times New Roman" w:eastAsia="ヒラギノ角ゴ Pro W3" w:hAnsi="Times New Roman" w:cs="Times New Roman"/>
      <w:color w:val="000000"/>
      <w:sz w:val="24"/>
      <w:szCs w:val="24"/>
      <w:lang w:val="en-US"/>
    </w:rPr>
  </w:style>
  <w:style w:type="paragraph" w:styleId="Header">
    <w:name w:val="header"/>
    <w:basedOn w:val="Normal"/>
    <w:link w:val="HeaderChar"/>
    <w:uiPriority w:val="99"/>
    <w:unhideWhenUsed/>
    <w:rsid w:val="00182021"/>
    <w:pPr>
      <w:tabs>
        <w:tab w:val="center" w:pos="4513"/>
        <w:tab w:val="right" w:pos="9026"/>
      </w:tabs>
    </w:pPr>
  </w:style>
  <w:style w:type="character" w:customStyle="1" w:styleId="HeaderChar">
    <w:name w:val="Header Char"/>
    <w:basedOn w:val="DefaultParagraphFont"/>
    <w:link w:val="Header"/>
    <w:uiPriority w:val="99"/>
    <w:rsid w:val="00182021"/>
    <w:rPr>
      <w:rFonts w:ascii="Times New Roman" w:eastAsia="ヒラギノ角ゴ Pro W3" w:hAnsi="Times New Roman" w:cs="Times New Roman"/>
      <w:color w:val="000000"/>
      <w:sz w:val="24"/>
      <w:szCs w:val="24"/>
      <w:lang w:val="en-US"/>
    </w:rPr>
  </w:style>
  <w:style w:type="paragraph" w:styleId="Footer">
    <w:name w:val="footer"/>
    <w:basedOn w:val="Normal"/>
    <w:link w:val="FooterChar"/>
    <w:uiPriority w:val="99"/>
    <w:unhideWhenUsed/>
    <w:rsid w:val="00182021"/>
    <w:pPr>
      <w:tabs>
        <w:tab w:val="center" w:pos="4513"/>
        <w:tab w:val="right" w:pos="9026"/>
      </w:tabs>
    </w:pPr>
  </w:style>
  <w:style w:type="character" w:customStyle="1" w:styleId="FooterChar">
    <w:name w:val="Footer Char"/>
    <w:basedOn w:val="DefaultParagraphFont"/>
    <w:link w:val="Footer"/>
    <w:uiPriority w:val="99"/>
    <w:rsid w:val="00182021"/>
    <w:rPr>
      <w:rFonts w:ascii="Times New Roman" w:eastAsia="ヒラギノ角ゴ Pro W3" w:hAnsi="Times New Roman" w:cs="Times New Roman"/>
      <w:color w:val="000000"/>
      <w:sz w:val="24"/>
      <w:szCs w:val="24"/>
      <w:lang w:val="en-US"/>
    </w:rPr>
  </w:style>
  <w:style w:type="table" w:styleId="TableGrid">
    <w:name w:val="Table Grid"/>
    <w:basedOn w:val="TableNormal"/>
    <w:uiPriority w:val="59"/>
    <w:rsid w:val="00B46FB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8864">
      <w:bodyDiv w:val="1"/>
      <w:marLeft w:val="0"/>
      <w:marRight w:val="0"/>
      <w:marTop w:val="0"/>
      <w:marBottom w:val="0"/>
      <w:divBdr>
        <w:top w:val="none" w:sz="0" w:space="0" w:color="auto"/>
        <w:left w:val="none" w:sz="0" w:space="0" w:color="auto"/>
        <w:bottom w:val="none" w:sz="0" w:space="0" w:color="auto"/>
        <w:right w:val="none" w:sz="0" w:space="0" w:color="auto"/>
      </w:divBdr>
    </w:div>
    <w:div w:id="189101719">
      <w:bodyDiv w:val="1"/>
      <w:marLeft w:val="0"/>
      <w:marRight w:val="0"/>
      <w:marTop w:val="0"/>
      <w:marBottom w:val="0"/>
      <w:divBdr>
        <w:top w:val="none" w:sz="0" w:space="0" w:color="auto"/>
        <w:left w:val="none" w:sz="0" w:space="0" w:color="auto"/>
        <w:bottom w:val="none" w:sz="0" w:space="0" w:color="auto"/>
        <w:right w:val="none" w:sz="0" w:space="0" w:color="auto"/>
      </w:divBdr>
    </w:div>
    <w:div w:id="848105485">
      <w:bodyDiv w:val="1"/>
      <w:marLeft w:val="0"/>
      <w:marRight w:val="0"/>
      <w:marTop w:val="0"/>
      <w:marBottom w:val="0"/>
      <w:divBdr>
        <w:top w:val="none" w:sz="0" w:space="0" w:color="auto"/>
        <w:left w:val="none" w:sz="0" w:space="0" w:color="auto"/>
        <w:bottom w:val="none" w:sz="0" w:space="0" w:color="auto"/>
        <w:right w:val="none" w:sz="0" w:space="0" w:color="auto"/>
      </w:divBdr>
    </w:div>
    <w:div w:id="849638955">
      <w:bodyDiv w:val="1"/>
      <w:marLeft w:val="0"/>
      <w:marRight w:val="0"/>
      <w:marTop w:val="0"/>
      <w:marBottom w:val="0"/>
      <w:divBdr>
        <w:top w:val="none" w:sz="0" w:space="0" w:color="auto"/>
        <w:left w:val="none" w:sz="0" w:space="0" w:color="auto"/>
        <w:bottom w:val="none" w:sz="0" w:space="0" w:color="auto"/>
        <w:right w:val="none" w:sz="0" w:space="0" w:color="auto"/>
      </w:divBdr>
      <w:divsChild>
        <w:div w:id="1144470517">
          <w:marLeft w:val="0"/>
          <w:marRight w:val="0"/>
          <w:marTop w:val="0"/>
          <w:marBottom w:val="0"/>
          <w:divBdr>
            <w:top w:val="none" w:sz="0" w:space="0" w:color="auto"/>
            <w:left w:val="none" w:sz="0" w:space="0" w:color="auto"/>
            <w:bottom w:val="none" w:sz="0" w:space="0" w:color="auto"/>
            <w:right w:val="none" w:sz="0" w:space="0" w:color="auto"/>
          </w:divBdr>
          <w:divsChild>
            <w:div w:id="1903882">
              <w:marLeft w:val="0"/>
              <w:marRight w:val="0"/>
              <w:marTop w:val="0"/>
              <w:marBottom w:val="0"/>
              <w:divBdr>
                <w:top w:val="none" w:sz="0" w:space="0" w:color="auto"/>
                <w:left w:val="none" w:sz="0" w:space="0" w:color="auto"/>
                <w:bottom w:val="none" w:sz="0" w:space="0" w:color="auto"/>
                <w:right w:val="none" w:sz="0" w:space="0" w:color="auto"/>
              </w:divBdr>
              <w:divsChild>
                <w:div w:id="2853090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22079888">
      <w:bodyDiv w:val="1"/>
      <w:marLeft w:val="0"/>
      <w:marRight w:val="0"/>
      <w:marTop w:val="0"/>
      <w:marBottom w:val="0"/>
      <w:divBdr>
        <w:top w:val="none" w:sz="0" w:space="0" w:color="auto"/>
        <w:left w:val="none" w:sz="0" w:space="0" w:color="auto"/>
        <w:bottom w:val="none" w:sz="0" w:space="0" w:color="auto"/>
        <w:right w:val="none" w:sz="0" w:space="0" w:color="auto"/>
      </w:divBdr>
    </w:div>
    <w:div w:id="1903246589">
      <w:bodyDiv w:val="1"/>
      <w:marLeft w:val="0"/>
      <w:marRight w:val="0"/>
      <w:marTop w:val="0"/>
      <w:marBottom w:val="0"/>
      <w:divBdr>
        <w:top w:val="none" w:sz="0" w:space="0" w:color="auto"/>
        <w:left w:val="none" w:sz="0" w:space="0" w:color="auto"/>
        <w:bottom w:val="none" w:sz="0" w:space="0" w:color="auto"/>
        <w:right w:val="none" w:sz="0" w:space="0" w:color="auto"/>
      </w:divBdr>
    </w:div>
    <w:div w:id="1979651276">
      <w:bodyDiv w:val="1"/>
      <w:marLeft w:val="0"/>
      <w:marRight w:val="0"/>
      <w:marTop w:val="0"/>
      <w:marBottom w:val="0"/>
      <w:divBdr>
        <w:top w:val="none" w:sz="0" w:space="0" w:color="auto"/>
        <w:left w:val="none" w:sz="0" w:space="0" w:color="auto"/>
        <w:bottom w:val="none" w:sz="0" w:space="0" w:color="auto"/>
        <w:right w:val="none" w:sz="0" w:space="0" w:color="auto"/>
      </w:divBdr>
    </w:div>
    <w:div w:id="20590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20C2-A4D5-4661-B1CB-146151FC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3119</Words>
  <Characters>17816</Characters>
  <Application>Microsoft Office Word</Application>
  <DocSecurity>0</DocSecurity>
  <Lines>574</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Soolantra</dc:title>
  <dc:subject>Prescription medicines</dc:subject>
  <dc:creator>BOEHRINGER Nadia</dc:creator>
  <cp:keywords>AusPARs</cp:keywords>
  <cp:lastModifiedBy>Schilg, Cassie</cp:lastModifiedBy>
  <cp:revision>7</cp:revision>
  <cp:lastPrinted>2015-03-20T10:46:00Z</cp:lastPrinted>
  <dcterms:created xsi:type="dcterms:W3CDTF">2015-12-09T02:22:00Z</dcterms:created>
  <dcterms:modified xsi:type="dcterms:W3CDTF">2016-01-04T05:18:00Z</dcterms:modified>
</cp:coreProperties>
</file>