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4807AA17" w14:textId="77777777" w:rsidTr="00BF1190">
        <w:trPr>
          <w:trHeight w:val="1863"/>
        </w:trPr>
        <w:tc>
          <w:tcPr>
            <w:tcW w:w="3652" w:type="dxa"/>
            <w:tcBorders>
              <w:top w:val="nil"/>
              <w:left w:val="nil"/>
              <w:bottom w:val="nil"/>
              <w:right w:val="nil"/>
            </w:tcBorders>
          </w:tcPr>
          <w:p w14:paraId="51912365" w14:textId="1CD45745" w:rsidR="008E7846" w:rsidRPr="00096AA7" w:rsidRDefault="00D973CD" w:rsidP="00096AA7">
            <w:pPr>
              <w:rPr>
                <w:rFonts w:ascii="Arial" w:hAnsi="Arial" w:cs="Arial"/>
                <w:b/>
                <w:color w:val="002C47"/>
                <w:sz w:val="36"/>
                <w:szCs w:val="36"/>
              </w:rPr>
            </w:pPr>
            <w:r>
              <w:rPr>
                <w:rFonts w:ascii="Arial" w:hAnsi="Arial" w:cs="Arial"/>
                <w:b/>
                <w:color w:val="002C47"/>
                <w:sz w:val="36"/>
                <w:szCs w:val="36"/>
              </w:rPr>
              <w:t>December</w:t>
            </w:r>
            <w:r w:rsidR="00FA6C78">
              <w:rPr>
                <w:rFonts w:ascii="Arial" w:hAnsi="Arial" w:cs="Arial"/>
                <w:b/>
                <w:color w:val="002C47"/>
                <w:sz w:val="36"/>
                <w:szCs w:val="36"/>
              </w:rPr>
              <w:t xml:space="preserve"> </w:t>
            </w:r>
            <w:r w:rsidR="00D15906">
              <w:rPr>
                <w:rFonts w:ascii="Arial" w:hAnsi="Arial" w:cs="Arial"/>
                <w:b/>
                <w:color w:val="002C47"/>
                <w:sz w:val="36"/>
                <w:szCs w:val="36"/>
              </w:rPr>
              <w:t>2019</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673BCC6E" w14:textId="77777777" w:rsidTr="0032583B">
        <w:trPr>
          <w:trHeight w:val="868"/>
        </w:trPr>
        <w:tc>
          <w:tcPr>
            <w:tcW w:w="9079" w:type="dxa"/>
          </w:tcPr>
          <w:p w14:paraId="69150A5F" w14:textId="77777777" w:rsidR="0032583B" w:rsidRPr="00A964D1" w:rsidRDefault="0032583B" w:rsidP="00D15906">
            <w:pPr>
              <w:pStyle w:val="Title"/>
              <w:rPr>
                <w:color w:val="FFFFFF" w:themeColor="background1"/>
              </w:rPr>
            </w:pPr>
            <w:r w:rsidRPr="00A964D1">
              <w:rPr>
                <w:color w:val="FFFFFF" w:themeColor="background1"/>
              </w:rPr>
              <w:t xml:space="preserve">Australian Public Assessment Report for </w:t>
            </w:r>
            <w:proofErr w:type="spellStart"/>
            <w:r w:rsidR="00D15906">
              <w:rPr>
                <w:color w:val="FFFFFF" w:themeColor="background1"/>
              </w:rPr>
              <w:t>Isavuconazole</w:t>
            </w:r>
            <w:proofErr w:type="spellEnd"/>
            <w:r w:rsidR="00335D75">
              <w:rPr>
                <w:color w:val="FFFFFF" w:themeColor="background1"/>
              </w:rPr>
              <w:t xml:space="preserve"> (as sulphate)</w:t>
            </w:r>
          </w:p>
        </w:tc>
      </w:tr>
      <w:tr w:rsidR="0032583B" w:rsidRPr="00B64760" w14:paraId="39AF983D" w14:textId="77777777" w:rsidTr="0032583B">
        <w:tc>
          <w:tcPr>
            <w:tcW w:w="9079" w:type="dxa"/>
          </w:tcPr>
          <w:p w14:paraId="7C1E83B4" w14:textId="26414A96" w:rsidR="0032583B" w:rsidRPr="008E7846" w:rsidRDefault="00D15906" w:rsidP="0032583B">
            <w:pPr>
              <w:pStyle w:val="Subtitle"/>
              <w:rPr>
                <w:color w:val="FFFFFF" w:themeColor="background1"/>
              </w:rPr>
            </w:pPr>
            <w:r>
              <w:rPr>
                <w:color w:val="FFFFFF" w:themeColor="background1"/>
              </w:rPr>
              <w:t xml:space="preserve">Proprietary Product Name: </w:t>
            </w:r>
            <w:proofErr w:type="spellStart"/>
            <w:r>
              <w:rPr>
                <w:color w:val="FFFFFF" w:themeColor="background1"/>
              </w:rPr>
              <w:t>Cresemba</w:t>
            </w:r>
            <w:proofErr w:type="spellEnd"/>
          </w:p>
        </w:tc>
      </w:tr>
      <w:tr w:rsidR="0032583B" w:rsidRPr="00B64760" w14:paraId="07E65CF1" w14:textId="77777777" w:rsidTr="0032583B">
        <w:trPr>
          <w:trHeight w:val="486"/>
        </w:trPr>
        <w:tc>
          <w:tcPr>
            <w:tcW w:w="9079" w:type="dxa"/>
          </w:tcPr>
          <w:p w14:paraId="20701BC7" w14:textId="412FB819" w:rsidR="0032583B" w:rsidRPr="008E7846" w:rsidRDefault="00D15906" w:rsidP="00EC4B26">
            <w:pPr>
              <w:pStyle w:val="Subtitle"/>
              <w:rPr>
                <w:color w:val="FFFFFF" w:themeColor="background1"/>
              </w:rPr>
            </w:pPr>
            <w:r>
              <w:rPr>
                <w:color w:val="FFFFFF" w:themeColor="background1"/>
              </w:rPr>
              <w:t xml:space="preserve">Sponsor: </w:t>
            </w:r>
            <w:r w:rsidR="00EC4B26">
              <w:rPr>
                <w:color w:val="FFFFFF" w:themeColor="background1"/>
              </w:rPr>
              <w:t>Pfizer Australia</w:t>
            </w:r>
            <w:r>
              <w:rPr>
                <w:color w:val="FFFFFF" w:themeColor="background1"/>
              </w:rPr>
              <w:t xml:space="preserve"> Pty. Ltd.</w:t>
            </w:r>
          </w:p>
        </w:tc>
      </w:tr>
    </w:tbl>
    <w:p w14:paraId="2B882D25" w14:textId="77777777" w:rsidR="008E7846" w:rsidRPr="0085156D" w:rsidRDefault="008E7846" w:rsidP="0085156D">
      <w:r w:rsidRPr="0085156D">
        <w:br w:type="page"/>
      </w:r>
    </w:p>
    <w:p w14:paraId="2238A2A2" w14:textId="77777777" w:rsidR="008E7846" w:rsidRPr="001F6CBA" w:rsidRDefault="008E7846" w:rsidP="008E7846">
      <w:pPr>
        <w:pStyle w:val="NonTOCHeading2"/>
      </w:pPr>
      <w:r w:rsidRPr="001F6CBA">
        <w:lastRenderedPageBreak/>
        <w:t>About the Therapeutic Goods Administration (TGA)</w:t>
      </w:r>
    </w:p>
    <w:p w14:paraId="71C3F18C"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051679C1"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4A49982F"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04603053"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792A8D2E" w14:textId="77777777"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70772448" w14:textId="77777777" w:rsidR="008E7846" w:rsidRDefault="008E7846" w:rsidP="00875A6B">
      <w:pPr>
        <w:pStyle w:val="NonTOCHeading2"/>
      </w:pPr>
      <w:r>
        <w:t>About AusPARs</w:t>
      </w:r>
    </w:p>
    <w:p w14:paraId="25B7C0B0"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1567F462" w14:textId="77777777" w:rsidR="008E7846" w:rsidRDefault="008E7846" w:rsidP="008E7846">
      <w:pPr>
        <w:pStyle w:val="ListBullet"/>
        <w:numPr>
          <w:ilvl w:val="0"/>
          <w:numId w:val="3"/>
        </w:numPr>
        <w:ind w:left="357" w:hanging="357"/>
      </w:pPr>
      <w:r>
        <w:t>AusPARs are prepared and published by the TGA.</w:t>
      </w:r>
    </w:p>
    <w:p w14:paraId="50172247"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228ACCFF"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41E705E3"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56D9B898" w14:textId="77777777" w:rsidR="00924482" w:rsidRPr="00DF1D7F" w:rsidRDefault="00924482" w:rsidP="00F54B65">
      <w:pPr>
        <w:pStyle w:val="LegalSubheading"/>
        <w:spacing w:before="3120"/>
      </w:pPr>
      <w:r w:rsidRPr="00DF1D7F">
        <w:t>Copyright</w:t>
      </w:r>
    </w:p>
    <w:p w14:paraId="798B84F8" w14:textId="77777777" w:rsidR="00924482" w:rsidRDefault="00924482" w:rsidP="00924482">
      <w:pPr>
        <w:pStyle w:val="LegalCopy"/>
      </w:pPr>
      <w:r w:rsidRPr="00191B3B">
        <w:rPr>
          <w:rFonts w:cs="Arial"/>
          <w:lang w:val="en-GB"/>
        </w:rPr>
        <w:t>© Comm</w:t>
      </w:r>
      <w:r>
        <w:rPr>
          <w:rFonts w:cs="Arial"/>
          <w:lang w:val="en-GB"/>
        </w:rPr>
        <w:t>onwealth of Australia 201</w:t>
      </w:r>
      <w:r w:rsidR="00C52E24">
        <w:rPr>
          <w:rFonts w:cs="Arial"/>
          <w:lang w:val="en-GB"/>
        </w:rPr>
        <w:t>9</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14:paraId="7879118E" w14:textId="77777777"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57A37157" w14:textId="77777777" w:rsidR="0089635C" w:rsidRPr="0089635C" w:rsidRDefault="0089635C" w:rsidP="0010788A">
          <w:pPr>
            <w:pStyle w:val="Contents"/>
          </w:pPr>
          <w:r w:rsidRPr="0010788A">
            <w:t>Conten</w:t>
          </w:r>
          <w:bookmarkStart w:id="2" w:name="_GoBack"/>
          <w:bookmarkEnd w:id="2"/>
          <w:r w:rsidRPr="0010788A">
            <w:t>ts</w:t>
          </w:r>
        </w:p>
        <w:p w14:paraId="568AE2E3" w14:textId="041C6746" w:rsidR="000F30E4"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0577083" w:history="1">
            <w:r w:rsidR="000F30E4" w:rsidRPr="001C4FB1">
              <w:rPr>
                <w:rStyle w:val="Hyperlink"/>
                <w:noProof/>
              </w:rPr>
              <w:t>Common abbreviations</w:t>
            </w:r>
            <w:r w:rsidR="000F30E4">
              <w:rPr>
                <w:noProof/>
                <w:webHidden/>
              </w:rPr>
              <w:tab/>
            </w:r>
            <w:r w:rsidR="000F30E4">
              <w:rPr>
                <w:noProof/>
                <w:webHidden/>
              </w:rPr>
              <w:fldChar w:fldCharType="begin"/>
            </w:r>
            <w:r w:rsidR="000F30E4">
              <w:rPr>
                <w:noProof/>
                <w:webHidden/>
              </w:rPr>
              <w:instrText xml:space="preserve"> PAGEREF _Toc30577083 \h </w:instrText>
            </w:r>
            <w:r w:rsidR="000F30E4">
              <w:rPr>
                <w:noProof/>
                <w:webHidden/>
              </w:rPr>
            </w:r>
            <w:r w:rsidR="000F30E4">
              <w:rPr>
                <w:noProof/>
                <w:webHidden/>
              </w:rPr>
              <w:fldChar w:fldCharType="separate"/>
            </w:r>
            <w:r w:rsidR="000F30E4">
              <w:rPr>
                <w:noProof/>
                <w:webHidden/>
              </w:rPr>
              <w:t>4</w:t>
            </w:r>
            <w:r w:rsidR="000F30E4">
              <w:rPr>
                <w:noProof/>
                <w:webHidden/>
              </w:rPr>
              <w:fldChar w:fldCharType="end"/>
            </w:r>
          </w:hyperlink>
        </w:p>
        <w:p w14:paraId="292EF29C" w14:textId="6B5C3402" w:rsidR="000F30E4" w:rsidRDefault="000F30E4">
          <w:pPr>
            <w:pStyle w:val="TOC2"/>
            <w:rPr>
              <w:rFonts w:asciiTheme="minorHAnsi" w:eastAsiaTheme="minorEastAsia" w:hAnsiTheme="minorHAnsi" w:cstheme="minorBidi"/>
              <w:b w:val="0"/>
              <w:noProof/>
              <w:sz w:val="22"/>
              <w:lang w:eastAsia="en-AU"/>
            </w:rPr>
          </w:pPr>
          <w:hyperlink w:anchor="_Toc30577084" w:history="1">
            <w:r w:rsidRPr="001C4FB1">
              <w:rPr>
                <w:rStyle w:val="Hyperlink"/>
                <w:noProof/>
              </w:rPr>
              <w:t>I. Introduction to product submission</w:t>
            </w:r>
            <w:r>
              <w:rPr>
                <w:noProof/>
                <w:webHidden/>
              </w:rPr>
              <w:tab/>
            </w:r>
            <w:r>
              <w:rPr>
                <w:noProof/>
                <w:webHidden/>
              </w:rPr>
              <w:fldChar w:fldCharType="begin"/>
            </w:r>
            <w:r>
              <w:rPr>
                <w:noProof/>
                <w:webHidden/>
              </w:rPr>
              <w:instrText xml:space="preserve"> PAGEREF _Toc30577084 \h </w:instrText>
            </w:r>
            <w:r>
              <w:rPr>
                <w:noProof/>
                <w:webHidden/>
              </w:rPr>
            </w:r>
            <w:r>
              <w:rPr>
                <w:noProof/>
                <w:webHidden/>
              </w:rPr>
              <w:fldChar w:fldCharType="separate"/>
            </w:r>
            <w:r>
              <w:rPr>
                <w:noProof/>
                <w:webHidden/>
              </w:rPr>
              <w:t>6</w:t>
            </w:r>
            <w:r>
              <w:rPr>
                <w:noProof/>
                <w:webHidden/>
              </w:rPr>
              <w:fldChar w:fldCharType="end"/>
            </w:r>
          </w:hyperlink>
        </w:p>
        <w:p w14:paraId="091E23D7" w14:textId="44F96BF4" w:rsidR="000F30E4" w:rsidRDefault="000F30E4">
          <w:pPr>
            <w:pStyle w:val="TOC3"/>
            <w:rPr>
              <w:rFonts w:asciiTheme="minorHAnsi" w:eastAsiaTheme="minorEastAsia" w:hAnsiTheme="minorHAnsi" w:cstheme="minorBidi"/>
              <w:noProof/>
              <w:lang w:eastAsia="en-AU"/>
            </w:rPr>
          </w:pPr>
          <w:hyperlink w:anchor="_Toc30577085" w:history="1">
            <w:r w:rsidRPr="001C4FB1">
              <w:rPr>
                <w:rStyle w:val="Hyperlink"/>
                <w:noProof/>
                <w:lang w:eastAsia="en-AU"/>
              </w:rPr>
              <w:t>Submission details</w:t>
            </w:r>
            <w:r>
              <w:rPr>
                <w:noProof/>
                <w:webHidden/>
              </w:rPr>
              <w:tab/>
            </w:r>
            <w:r>
              <w:rPr>
                <w:noProof/>
                <w:webHidden/>
              </w:rPr>
              <w:fldChar w:fldCharType="begin"/>
            </w:r>
            <w:r>
              <w:rPr>
                <w:noProof/>
                <w:webHidden/>
              </w:rPr>
              <w:instrText xml:space="preserve"> PAGEREF _Toc30577085 \h </w:instrText>
            </w:r>
            <w:r>
              <w:rPr>
                <w:noProof/>
                <w:webHidden/>
              </w:rPr>
            </w:r>
            <w:r>
              <w:rPr>
                <w:noProof/>
                <w:webHidden/>
              </w:rPr>
              <w:fldChar w:fldCharType="separate"/>
            </w:r>
            <w:r>
              <w:rPr>
                <w:noProof/>
                <w:webHidden/>
              </w:rPr>
              <w:t>6</w:t>
            </w:r>
            <w:r>
              <w:rPr>
                <w:noProof/>
                <w:webHidden/>
              </w:rPr>
              <w:fldChar w:fldCharType="end"/>
            </w:r>
          </w:hyperlink>
        </w:p>
        <w:p w14:paraId="6451A86C" w14:textId="23846FA9" w:rsidR="000F30E4" w:rsidRDefault="000F30E4">
          <w:pPr>
            <w:pStyle w:val="TOC3"/>
            <w:rPr>
              <w:rFonts w:asciiTheme="minorHAnsi" w:eastAsiaTheme="minorEastAsia" w:hAnsiTheme="minorHAnsi" w:cstheme="minorBidi"/>
              <w:noProof/>
              <w:lang w:eastAsia="en-AU"/>
            </w:rPr>
          </w:pPr>
          <w:hyperlink w:anchor="_Toc30577086" w:history="1">
            <w:r w:rsidRPr="001C4FB1">
              <w:rPr>
                <w:rStyle w:val="Hyperlink"/>
                <w:noProof/>
              </w:rPr>
              <w:t>Product background</w:t>
            </w:r>
            <w:r>
              <w:rPr>
                <w:noProof/>
                <w:webHidden/>
              </w:rPr>
              <w:tab/>
            </w:r>
            <w:r>
              <w:rPr>
                <w:noProof/>
                <w:webHidden/>
              </w:rPr>
              <w:fldChar w:fldCharType="begin"/>
            </w:r>
            <w:r>
              <w:rPr>
                <w:noProof/>
                <w:webHidden/>
              </w:rPr>
              <w:instrText xml:space="preserve"> PAGEREF _Toc30577086 \h </w:instrText>
            </w:r>
            <w:r>
              <w:rPr>
                <w:noProof/>
                <w:webHidden/>
              </w:rPr>
            </w:r>
            <w:r>
              <w:rPr>
                <w:noProof/>
                <w:webHidden/>
              </w:rPr>
              <w:fldChar w:fldCharType="separate"/>
            </w:r>
            <w:r>
              <w:rPr>
                <w:noProof/>
                <w:webHidden/>
              </w:rPr>
              <w:t>8</w:t>
            </w:r>
            <w:r>
              <w:rPr>
                <w:noProof/>
                <w:webHidden/>
              </w:rPr>
              <w:fldChar w:fldCharType="end"/>
            </w:r>
          </w:hyperlink>
        </w:p>
        <w:p w14:paraId="2BB735B7" w14:textId="7CCA88A4" w:rsidR="000F30E4" w:rsidRDefault="000F30E4">
          <w:pPr>
            <w:pStyle w:val="TOC3"/>
            <w:rPr>
              <w:rFonts w:asciiTheme="minorHAnsi" w:eastAsiaTheme="minorEastAsia" w:hAnsiTheme="minorHAnsi" w:cstheme="minorBidi"/>
              <w:noProof/>
              <w:lang w:eastAsia="en-AU"/>
            </w:rPr>
          </w:pPr>
          <w:hyperlink w:anchor="_Toc30577087" w:history="1">
            <w:r w:rsidRPr="001C4FB1">
              <w:rPr>
                <w:rStyle w:val="Hyperlink"/>
                <w:noProof/>
              </w:rPr>
              <w:t>Regulatory status</w:t>
            </w:r>
            <w:r>
              <w:rPr>
                <w:noProof/>
                <w:webHidden/>
              </w:rPr>
              <w:tab/>
            </w:r>
            <w:r>
              <w:rPr>
                <w:noProof/>
                <w:webHidden/>
              </w:rPr>
              <w:fldChar w:fldCharType="begin"/>
            </w:r>
            <w:r>
              <w:rPr>
                <w:noProof/>
                <w:webHidden/>
              </w:rPr>
              <w:instrText xml:space="preserve"> PAGEREF _Toc30577087 \h </w:instrText>
            </w:r>
            <w:r>
              <w:rPr>
                <w:noProof/>
                <w:webHidden/>
              </w:rPr>
            </w:r>
            <w:r>
              <w:rPr>
                <w:noProof/>
                <w:webHidden/>
              </w:rPr>
              <w:fldChar w:fldCharType="separate"/>
            </w:r>
            <w:r>
              <w:rPr>
                <w:noProof/>
                <w:webHidden/>
              </w:rPr>
              <w:t>9</w:t>
            </w:r>
            <w:r>
              <w:rPr>
                <w:noProof/>
                <w:webHidden/>
              </w:rPr>
              <w:fldChar w:fldCharType="end"/>
            </w:r>
          </w:hyperlink>
        </w:p>
        <w:p w14:paraId="2E947856" w14:textId="22D28B7F" w:rsidR="000F30E4" w:rsidRDefault="000F30E4">
          <w:pPr>
            <w:pStyle w:val="TOC3"/>
            <w:rPr>
              <w:rFonts w:asciiTheme="minorHAnsi" w:eastAsiaTheme="minorEastAsia" w:hAnsiTheme="minorHAnsi" w:cstheme="minorBidi"/>
              <w:noProof/>
              <w:lang w:eastAsia="en-AU"/>
            </w:rPr>
          </w:pPr>
          <w:hyperlink w:anchor="_Toc30577088" w:history="1">
            <w:r w:rsidRPr="001C4FB1">
              <w:rPr>
                <w:rStyle w:val="Hyperlink"/>
                <w:noProof/>
              </w:rPr>
              <w:t>Product Information</w:t>
            </w:r>
            <w:r>
              <w:rPr>
                <w:noProof/>
                <w:webHidden/>
              </w:rPr>
              <w:tab/>
            </w:r>
            <w:r>
              <w:rPr>
                <w:noProof/>
                <w:webHidden/>
              </w:rPr>
              <w:fldChar w:fldCharType="begin"/>
            </w:r>
            <w:r>
              <w:rPr>
                <w:noProof/>
                <w:webHidden/>
              </w:rPr>
              <w:instrText xml:space="preserve"> PAGEREF _Toc30577088 \h </w:instrText>
            </w:r>
            <w:r>
              <w:rPr>
                <w:noProof/>
                <w:webHidden/>
              </w:rPr>
            </w:r>
            <w:r>
              <w:rPr>
                <w:noProof/>
                <w:webHidden/>
              </w:rPr>
              <w:fldChar w:fldCharType="separate"/>
            </w:r>
            <w:r>
              <w:rPr>
                <w:noProof/>
                <w:webHidden/>
              </w:rPr>
              <w:t>10</w:t>
            </w:r>
            <w:r>
              <w:rPr>
                <w:noProof/>
                <w:webHidden/>
              </w:rPr>
              <w:fldChar w:fldCharType="end"/>
            </w:r>
          </w:hyperlink>
        </w:p>
        <w:p w14:paraId="10D94054" w14:textId="125612F3" w:rsidR="000F30E4" w:rsidRDefault="000F30E4">
          <w:pPr>
            <w:pStyle w:val="TOC2"/>
            <w:rPr>
              <w:rFonts w:asciiTheme="minorHAnsi" w:eastAsiaTheme="minorEastAsia" w:hAnsiTheme="minorHAnsi" w:cstheme="minorBidi"/>
              <w:b w:val="0"/>
              <w:noProof/>
              <w:sz w:val="22"/>
              <w:lang w:eastAsia="en-AU"/>
            </w:rPr>
          </w:pPr>
          <w:hyperlink w:anchor="_Toc30577089" w:history="1">
            <w:r w:rsidRPr="001C4FB1">
              <w:rPr>
                <w:rStyle w:val="Hyperlink"/>
                <w:noProof/>
              </w:rPr>
              <w:t>II. Registration timeline</w:t>
            </w:r>
            <w:r>
              <w:rPr>
                <w:noProof/>
                <w:webHidden/>
              </w:rPr>
              <w:tab/>
            </w:r>
            <w:r>
              <w:rPr>
                <w:noProof/>
                <w:webHidden/>
              </w:rPr>
              <w:fldChar w:fldCharType="begin"/>
            </w:r>
            <w:r>
              <w:rPr>
                <w:noProof/>
                <w:webHidden/>
              </w:rPr>
              <w:instrText xml:space="preserve"> PAGEREF _Toc30577089 \h </w:instrText>
            </w:r>
            <w:r>
              <w:rPr>
                <w:noProof/>
                <w:webHidden/>
              </w:rPr>
            </w:r>
            <w:r>
              <w:rPr>
                <w:noProof/>
                <w:webHidden/>
              </w:rPr>
              <w:fldChar w:fldCharType="separate"/>
            </w:r>
            <w:r>
              <w:rPr>
                <w:noProof/>
                <w:webHidden/>
              </w:rPr>
              <w:t>10</w:t>
            </w:r>
            <w:r>
              <w:rPr>
                <w:noProof/>
                <w:webHidden/>
              </w:rPr>
              <w:fldChar w:fldCharType="end"/>
            </w:r>
          </w:hyperlink>
        </w:p>
        <w:p w14:paraId="79859C1F" w14:textId="6974749B" w:rsidR="000F30E4" w:rsidRDefault="000F30E4">
          <w:pPr>
            <w:pStyle w:val="TOC2"/>
            <w:rPr>
              <w:rFonts w:asciiTheme="minorHAnsi" w:eastAsiaTheme="minorEastAsia" w:hAnsiTheme="minorHAnsi" w:cstheme="minorBidi"/>
              <w:b w:val="0"/>
              <w:noProof/>
              <w:sz w:val="22"/>
              <w:lang w:eastAsia="en-AU"/>
            </w:rPr>
          </w:pPr>
          <w:hyperlink w:anchor="_Toc30577090" w:history="1">
            <w:r w:rsidRPr="001C4FB1">
              <w:rPr>
                <w:rStyle w:val="Hyperlink"/>
                <w:noProof/>
              </w:rPr>
              <w:t>III. Submission overview and risk/benefit assessment</w:t>
            </w:r>
            <w:r>
              <w:rPr>
                <w:noProof/>
                <w:webHidden/>
              </w:rPr>
              <w:tab/>
            </w:r>
            <w:r>
              <w:rPr>
                <w:noProof/>
                <w:webHidden/>
              </w:rPr>
              <w:fldChar w:fldCharType="begin"/>
            </w:r>
            <w:r>
              <w:rPr>
                <w:noProof/>
                <w:webHidden/>
              </w:rPr>
              <w:instrText xml:space="preserve"> PAGEREF _Toc30577090 \h </w:instrText>
            </w:r>
            <w:r>
              <w:rPr>
                <w:noProof/>
                <w:webHidden/>
              </w:rPr>
            </w:r>
            <w:r>
              <w:rPr>
                <w:noProof/>
                <w:webHidden/>
              </w:rPr>
              <w:fldChar w:fldCharType="separate"/>
            </w:r>
            <w:r>
              <w:rPr>
                <w:noProof/>
                <w:webHidden/>
              </w:rPr>
              <w:t>11</w:t>
            </w:r>
            <w:r>
              <w:rPr>
                <w:noProof/>
                <w:webHidden/>
              </w:rPr>
              <w:fldChar w:fldCharType="end"/>
            </w:r>
          </w:hyperlink>
        </w:p>
        <w:p w14:paraId="15C347A7" w14:textId="2D8D6043" w:rsidR="000F30E4" w:rsidRDefault="000F30E4">
          <w:pPr>
            <w:pStyle w:val="TOC3"/>
            <w:rPr>
              <w:rFonts w:asciiTheme="minorHAnsi" w:eastAsiaTheme="minorEastAsia" w:hAnsiTheme="minorHAnsi" w:cstheme="minorBidi"/>
              <w:noProof/>
              <w:lang w:eastAsia="en-AU"/>
            </w:rPr>
          </w:pPr>
          <w:hyperlink w:anchor="_Toc30577091" w:history="1">
            <w:r w:rsidRPr="001C4FB1">
              <w:rPr>
                <w:rStyle w:val="Hyperlink"/>
                <w:noProof/>
              </w:rPr>
              <w:t>Quality</w:t>
            </w:r>
            <w:r>
              <w:rPr>
                <w:noProof/>
                <w:webHidden/>
              </w:rPr>
              <w:tab/>
            </w:r>
            <w:r>
              <w:rPr>
                <w:noProof/>
                <w:webHidden/>
              </w:rPr>
              <w:fldChar w:fldCharType="begin"/>
            </w:r>
            <w:r>
              <w:rPr>
                <w:noProof/>
                <w:webHidden/>
              </w:rPr>
              <w:instrText xml:space="preserve"> PAGEREF _Toc30577091 \h </w:instrText>
            </w:r>
            <w:r>
              <w:rPr>
                <w:noProof/>
                <w:webHidden/>
              </w:rPr>
            </w:r>
            <w:r>
              <w:rPr>
                <w:noProof/>
                <w:webHidden/>
              </w:rPr>
              <w:fldChar w:fldCharType="separate"/>
            </w:r>
            <w:r>
              <w:rPr>
                <w:noProof/>
                <w:webHidden/>
              </w:rPr>
              <w:t>11</w:t>
            </w:r>
            <w:r>
              <w:rPr>
                <w:noProof/>
                <w:webHidden/>
              </w:rPr>
              <w:fldChar w:fldCharType="end"/>
            </w:r>
          </w:hyperlink>
        </w:p>
        <w:p w14:paraId="7FA084D7" w14:textId="47C47EC8" w:rsidR="000F30E4" w:rsidRDefault="000F30E4">
          <w:pPr>
            <w:pStyle w:val="TOC3"/>
            <w:rPr>
              <w:rFonts w:asciiTheme="minorHAnsi" w:eastAsiaTheme="minorEastAsia" w:hAnsiTheme="minorHAnsi" w:cstheme="minorBidi"/>
              <w:noProof/>
              <w:lang w:eastAsia="en-AU"/>
            </w:rPr>
          </w:pPr>
          <w:hyperlink w:anchor="_Toc30577092" w:history="1">
            <w:r w:rsidRPr="001C4FB1">
              <w:rPr>
                <w:rStyle w:val="Hyperlink"/>
                <w:noProof/>
              </w:rPr>
              <w:t>Nonclinical</w:t>
            </w:r>
            <w:r>
              <w:rPr>
                <w:noProof/>
                <w:webHidden/>
              </w:rPr>
              <w:tab/>
            </w:r>
            <w:r>
              <w:rPr>
                <w:noProof/>
                <w:webHidden/>
              </w:rPr>
              <w:fldChar w:fldCharType="begin"/>
            </w:r>
            <w:r>
              <w:rPr>
                <w:noProof/>
                <w:webHidden/>
              </w:rPr>
              <w:instrText xml:space="preserve"> PAGEREF _Toc30577092 \h </w:instrText>
            </w:r>
            <w:r>
              <w:rPr>
                <w:noProof/>
                <w:webHidden/>
              </w:rPr>
            </w:r>
            <w:r>
              <w:rPr>
                <w:noProof/>
                <w:webHidden/>
              </w:rPr>
              <w:fldChar w:fldCharType="separate"/>
            </w:r>
            <w:r>
              <w:rPr>
                <w:noProof/>
                <w:webHidden/>
              </w:rPr>
              <w:t>11</w:t>
            </w:r>
            <w:r>
              <w:rPr>
                <w:noProof/>
                <w:webHidden/>
              </w:rPr>
              <w:fldChar w:fldCharType="end"/>
            </w:r>
          </w:hyperlink>
        </w:p>
        <w:p w14:paraId="4C152EA1" w14:textId="461A1CB9" w:rsidR="000F30E4" w:rsidRDefault="000F30E4">
          <w:pPr>
            <w:pStyle w:val="TOC3"/>
            <w:rPr>
              <w:rFonts w:asciiTheme="minorHAnsi" w:eastAsiaTheme="minorEastAsia" w:hAnsiTheme="minorHAnsi" w:cstheme="minorBidi"/>
              <w:noProof/>
              <w:lang w:eastAsia="en-AU"/>
            </w:rPr>
          </w:pPr>
          <w:hyperlink w:anchor="_Toc30577093" w:history="1">
            <w:r w:rsidRPr="001C4FB1">
              <w:rPr>
                <w:rStyle w:val="Hyperlink"/>
                <w:noProof/>
              </w:rPr>
              <w:t>Clinical</w:t>
            </w:r>
            <w:r>
              <w:rPr>
                <w:noProof/>
                <w:webHidden/>
              </w:rPr>
              <w:tab/>
            </w:r>
            <w:r>
              <w:rPr>
                <w:noProof/>
                <w:webHidden/>
              </w:rPr>
              <w:fldChar w:fldCharType="begin"/>
            </w:r>
            <w:r>
              <w:rPr>
                <w:noProof/>
                <w:webHidden/>
              </w:rPr>
              <w:instrText xml:space="preserve"> PAGEREF _Toc30577093 \h </w:instrText>
            </w:r>
            <w:r>
              <w:rPr>
                <w:noProof/>
                <w:webHidden/>
              </w:rPr>
            </w:r>
            <w:r>
              <w:rPr>
                <w:noProof/>
                <w:webHidden/>
              </w:rPr>
              <w:fldChar w:fldCharType="separate"/>
            </w:r>
            <w:r>
              <w:rPr>
                <w:noProof/>
                <w:webHidden/>
              </w:rPr>
              <w:t>12</w:t>
            </w:r>
            <w:r>
              <w:rPr>
                <w:noProof/>
                <w:webHidden/>
              </w:rPr>
              <w:fldChar w:fldCharType="end"/>
            </w:r>
          </w:hyperlink>
        </w:p>
        <w:p w14:paraId="63AAC083" w14:textId="11C9F651" w:rsidR="000F30E4" w:rsidRDefault="000F30E4">
          <w:pPr>
            <w:pStyle w:val="TOC3"/>
            <w:rPr>
              <w:rFonts w:asciiTheme="minorHAnsi" w:eastAsiaTheme="minorEastAsia" w:hAnsiTheme="minorHAnsi" w:cstheme="minorBidi"/>
              <w:noProof/>
              <w:lang w:eastAsia="en-AU"/>
            </w:rPr>
          </w:pPr>
          <w:hyperlink w:anchor="_Toc30577094" w:history="1">
            <w:r w:rsidRPr="001C4FB1">
              <w:rPr>
                <w:rStyle w:val="Hyperlink"/>
                <w:noProof/>
                <w:lang w:eastAsia="en-AU"/>
              </w:rPr>
              <w:t>Risk management plan</w:t>
            </w:r>
            <w:r>
              <w:rPr>
                <w:noProof/>
                <w:webHidden/>
              </w:rPr>
              <w:tab/>
            </w:r>
            <w:r>
              <w:rPr>
                <w:noProof/>
                <w:webHidden/>
              </w:rPr>
              <w:fldChar w:fldCharType="begin"/>
            </w:r>
            <w:r>
              <w:rPr>
                <w:noProof/>
                <w:webHidden/>
              </w:rPr>
              <w:instrText xml:space="preserve"> PAGEREF _Toc30577094 \h </w:instrText>
            </w:r>
            <w:r>
              <w:rPr>
                <w:noProof/>
                <w:webHidden/>
              </w:rPr>
            </w:r>
            <w:r>
              <w:rPr>
                <w:noProof/>
                <w:webHidden/>
              </w:rPr>
              <w:fldChar w:fldCharType="separate"/>
            </w:r>
            <w:r>
              <w:rPr>
                <w:noProof/>
                <w:webHidden/>
              </w:rPr>
              <w:t>21</w:t>
            </w:r>
            <w:r>
              <w:rPr>
                <w:noProof/>
                <w:webHidden/>
              </w:rPr>
              <w:fldChar w:fldCharType="end"/>
            </w:r>
          </w:hyperlink>
        </w:p>
        <w:p w14:paraId="28A83C41" w14:textId="5DCA174B" w:rsidR="000F30E4" w:rsidRDefault="000F30E4">
          <w:pPr>
            <w:pStyle w:val="TOC3"/>
            <w:rPr>
              <w:rFonts w:asciiTheme="minorHAnsi" w:eastAsiaTheme="minorEastAsia" w:hAnsiTheme="minorHAnsi" w:cstheme="minorBidi"/>
              <w:noProof/>
              <w:lang w:eastAsia="en-AU"/>
            </w:rPr>
          </w:pPr>
          <w:hyperlink w:anchor="_Toc30577095" w:history="1">
            <w:r w:rsidRPr="001C4FB1">
              <w:rPr>
                <w:rStyle w:val="Hyperlink"/>
                <w:noProof/>
              </w:rPr>
              <w:t>Conclusions</w:t>
            </w:r>
            <w:r>
              <w:rPr>
                <w:noProof/>
                <w:webHidden/>
              </w:rPr>
              <w:tab/>
            </w:r>
            <w:r>
              <w:rPr>
                <w:noProof/>
                <w:webHidden/>
              </w:rPr>
              <w:fldChar w:fldCharType="begin"/>
            </w:r>
            <w:r>
              <w:rPr>
                <w:noProof/>
                <w:webHidden/>
              </w:rPr>
              <w:instrText xml:space="preserve"> PAGEREF _Toc30577095 \h </w:instrText>
            </w:r>
            <w:r>
              <w:rPr>
                <w:noProof/>
                <w:webHidden/>
              </w:rPr>
            </w:r>
            <w:r>
              <w:rPr>
                <w:noProof/>
                <w:webHidden/>
              </w:rPr>
              <w:fldChar w:fldCharType="separate"/>
            </w:r>
            <w:r>
              <w:rPr>
                <w:noProof/>
                <w:webHidden/>
              </w:rPr>
              <w:t>23</w:t>
            </w:r>
            <w:r>
              <w:rPr>
                <w:noProof/>
                <w:webHidden/>
              </w:rPr>
              <w:fldChar w:fldCharType="end"/>
            </w:r>
          </w:hyperlink>
        </w:p>
        <w:p w14:paraId="591C5B36" w14:textId="7ECC966F" w:rsidR="000F30E4" w:rsidRDefault="000F30E4">
          <w:pPr>
            <w:pStyle w:val="TOC3"/>
            <w:rPr>
              <w:rFonts w:asciiTheme="minorHAnsi" w:eastAsiaTheme="minorEastAsia" w:hAnsiTheme="minorHAnsi" w:cstheme="minorBidi"/>
              <w:noProof/>
              <w:lang w:eastAsia="en-AU"/>
            </w:rPr>
          </w:pPr>
          <w:hyperlink w:anchor="_Toc30577096" w:history="1">
            <w:r w:rsidRPr="001C4FB1">
              <w:rPr>
                <w:rStyle w:val="Hyperlink"/>
                <w:noProof/>
              </w:rPr>
              <w:t>Outcome</w:t>
            </w:r>
            <w:r>
              <w:rPr>
                <w:noProof/>
                <w:webHidden/>
              </w:rPr>
              <w:tab/>
            </w:r>
            <w:r>
              <w:rPr>
                <w:noProof/>
                <w:webHidden/>
              </w:rPr>
              <w:fldChar w:fldCharType="begin"/>
            </w:r>
            <w:r>
              <w:rPr>
                <w:noProof/>
                <w:webHidden/>
              </w:rPr>
              <w:instrText xml:space="preserve"> PAGEREF _Toc30577096 \h </w:instrText>
            </w:r>
            <w:r>
              <w:rPr>
                <w:noProof/>
                <w:webHidden/>
              </w:rPr>
            </w:r>
            <w:r>
              <w:rPr>
                <w:noProof/>
                <w:webHidden/>
              </w:rPr>
              <w:fldChar w:fldCharType="separate"/>
            </w:r>
            <w:r>
              <w:rPr>
                <w:noProof/>
                <w:webHidden/>
              </w:rPr>
              <w:t>25</w:t>
            </w:r>
            <w:r>
              <w:rPr>
                <w:noProof/>
                <w:webHidden/>
              </w:rPr>
              <w:fldChar w:fldCharType="end"/>
            </w:r>
          </w:hyperlink>
        </w:p>
        <w:p w14:paraId="2FE3F90A" w14:textId="4AEFC9AD" w:rsidR="000F30E4" w:rsidRDefault="000F30E4">
          <w:pPr>
            <w:pStyle w:val="TOC2"/>
            <w:rPr>
              <w:rFonts w:asciiTheme="minorHAnsi" w:eastAsiaTheme="minorEastAsia" w:hAnsiTheme="minorHAnsi" w:cstheme="minorBidi"/>
              <w:b w:val="0"/>
              <w:noProof/>
              <w:sz w:val="22"/>
              <w:lang w:eastAsia="en-AU"/>
            </w:rPr>
          </w:pPr>
          <w:hyperlink w:anchor="_Toc30577097" w:history="1">
            <w:r w:rsidRPr="001C4FB1">
              <w:rPr>
                <w:rStyle w:val="Hyperlink"/>
                <w:noProof/>
              </w:rPr>
              <w:t>Attachment 1. Product Information</w:t>
            </w:r>
            <w:r>
              <w:rPr>
                <w:noProof/>
                <w:webHidden/>
              </w:rPr>
              <w:tab/>
            </w:r>
            <w:r>
              <w:rPr>
                <w:noProof/>
                <w:webHidden/>
              </w:rPr>
              <w:fldChar w:fldCharType="begin"/>
            </w:r>
            <w:r>
              <w:rPr>
                <w:noProof/>
                <w:webHidden/>
              </w:rPr>
              <w:instrText xml:space="preserve"> PAGEREF _Toc30577097 \h </w:instrText>
            </w:r>
            <w:r>
              <w:rPr>
                <w:noProof/>
                <w:webHidden/>
              </w:rPr>
            </w:r>
            <w:r>
              <w:rPr>
                <w:noProof/>
                <w:webHidden/>
              </w:rPr>
              <w:fldChar w:fldCharType="separate"/>
            </w:r>
            <w:r>
              <w:rPr>
                <w:noProof/>
                <w:webHidden/>
              </w:rPr>
              <w:t>26</w:t>
            </w:r>
            <w:r>
              <w:rPr>
                <w:noProof/>
                <w:webHidden/>
              </w:rPr>
              <w:fldChar w:fldCharType="end"/>
            </w:r>
          </w:hyperlink>
        </w:p>
        <w:p w14:paraId="2F40D7B6" w14:textId="1D62134B" w:rsidR="003A7F6C" w:rsidRPr="00B811C6" w:rsidRDefault="00DB6124" w:rsidP="00B811C6">
          <w:pPr>
            <w:pStyle w:val="TOC2"/>
          </w:pPr>
          <w:r>
            <w:fldChar w:fldCharType="end"/>
          </w:r>
        </w:p>
      </w:sdtContent>
    </w:sdt>
    <w:bookmarkStart w:id="3" w:name="_Toc314842482" w:displacedByCustomXml="prev"/>
    <w:p w14:paraId="65A0285F" w14:textId="77777777" w:rsidR="00FD119B" w:rsidRDefault="00FD119B">
      <w:pPr>
        <w:spacing w:before="0" w:after="200" w:line="0" w:lineRule="auto"/>
      </w:pPr>
      <w:r>
        <w:br w:type="page"/>
      </w:r>
    </w:p>
    <w:p w14:paraId="4C39BAC0" w14:textId="77777777" w:rsidR="00FD119B" w:rsidRDefault="00441C3F" w:rsidP="004F0C4A">
      <w:pPr>
        <w:pStyle w:val="Heading2"/>
      </w:pPr>
      <w:bookmarkStart w:id="4" w:name="_Toc351716269"/>
      <w:bookmarkStart w:id="5" w:name="_Toc351718881"/>
      <w:bookmarkStart w:id="6" w:name="_Toc355338616"/>
      <w:bookmarkStart w:id="7" w:name="_Toc356306144"/>
      <w:bookmarkStart w:id="8" w:name="_Toc30577083"/>
      <w:r>
        <w:lastRenderedPageBreak/>
        <w:t>Common</w:t>
      </w:r>
      <w:r w:rsidR="00FD119B" w:rsidRPr="00FD119B">
        <w:t xml:space="preserve"> abbreviations</w:t>
      </w:r>
      <w:bookmarkEnd w:id="4"/>
      <w:bookmarkEnd w:id="5"/>
      <w:bookmarkEnd w:id="6"/>
      <w:bookmarkEnd w:id="7"/>
      <w:bookmarkEnd w:id="8"/>
    </w:p>
    <w:tbl>
      <w:tblPr>
        <w:tblStyle w:val="TableTGAblue"/>
        <w:tblW w:w="8801" w:type="dxa"/>
        <w:tblLook w:val="04A0" w:firstRow="1" w:lastRow="0" w:firstColumn="1" w:lastColumn="0" w:noHBand="0" w:noVBand="1"/>
      </w:tblPr>
      <w:tblGrid>
        <w:gridCol w:w="1890"/>
        <w:gridCol w:w="6830"/>
        <w:gridCol w:w="81"/>
      </w:tblGrid>
      <w:tr w:rsidR="00C326B3" w:rsidRPr="00FD119B" w14:paraId="752C6034" w14:textId="77777777" w:rsidTr="00CF375D">
        <w:trPr>
          <w:gridAfter w:val="1"/>
          <w:cnfStyle w:val="100000000000" w:firstRow="1" w:lastRow="0" w:firstColumn="0" w:lastColumn="0" w:oddVBand="0" w:evenVBand="0" w:oddHBand="0" w:evenHBand="0" w:firstRowFirstColumn="0" w:firstRowLastColumn="0" w:lastRowFirstColumn="0" w:lastRowLastColumn="0"/>
          <w:wAfter w:w="81" w:type="dxa"/>
        </w:trPr>
        <w:tc>
          <w:tcPr>
            <w:tcW w:w="1890" w:type="dxa"/>
          </w:tcPr>
          <w:p w14:paraId="5DBE235A" w14:textId="77777777" w:rsidR="00C326B3" w:rsidRPr="00BD4926" w:rsidRDefault="00C326B3" w:rsidP="00A511B9">
            <w:r w:rsidRPr="00BD4926">
              <w:t>Abbreviation</w:t>
            </w:r>
          </w:p>
        </w:tc>
        <w:tc>
          <w:tcPr>
            <w:tcW w:w="6830" w:type="dxa"/>
          </w:tcPr>
          <w:p w14:paraId="625F1819" w14:textId="77777777" w:rsidR="00C326B3" w:rsidRPr="00BD4926" w:rsidRDefault="00C326B3" w:rsidP="00A511B9">
            <w:r w:rsidRPr="00BD4926">
              <w:t>Meaning</w:t>
            </w:r>
          </w:p>
        </w:tc>
      </w:tr>
      <w:tr w:rsidR="006627F1" w14:paraId="101D76D5" w14:textId="77777777" w:rsidTr="00CF375D">
        <w:tc>
          <w:tcPr>
            <w:tcW w:w="1890" w:type="dxa"/>
          </w:tcPr>
          <w:p w14:paraId="72238E6B" w14:textId="556486AB" w:rsidR="006627F1" w:rsidRPr="00BD4926" w:rsidRDefault="006627F1" w:rsidP="00A511B9">
            <w:r>
              <w:t>ACM</w:t>
            </w:r>
          </w:p>
        </w:tc>
        <w:tc>
          <w:tcPr>
            <w:tcW w:w="6911" w:type="dxa"/>
            <w:gridSpan w:val="2"/>
          </w:tcPr>
          <w:p w14:paraId="591B872C" w14:textId="0C8F3E4B" w:rsidR="006627F1" w:rsidRPr="00BD4926" w:rsidRDefault="006627F1" w:rsidP="00A511B9">
            <w:r>
              <w:t>Advisory Committee on Medicines</w:t>
            </w:r>
          </w:p>
        </w:tc>
      </w:tr>
      <w:tr w:rsidR="00CF375D" w14:paraId="229CD951" w14:textId="77777777" w:rsidTr="00CF375D">
        <w:tc>
          <w:tcPr>
            <w:tcW w:w="1890" w:type="dxa"/>
          </w:tcPr>
          <w:p w14:paraId="4273A506" w14:textId="77777777" w:rsidR="00CF375D" w:rsidRPr="00BD4926" w:rsidRDefault="00CF375D" w:rsidP="00A511B9">
            <w:r w:rsidRPr="00BD4926">
              <w:t>AE</w:t>
            </w:r>
          </w:p>
        </w:tc>
        <w:tc>
          <w:tcPr>
            <w:tcW w:w="6911" w:type="dxa"/>
            <w:gridSpan w:val="2"/>
          </w:tcPr>
          <w:p w14:paraId="698EB403" w14:textId="77777777" w:rsidR="00CF375D" w:rsidRPr="00BD4926" w:rsidRDefault="00CF375D" w:rsidP="00A511B9">
            <w:r w:rsidRPr="00BD4926">
              <w:t>Adverse event</w:t>
            </w:r>
          </w:p>
        </w:tc>
      </w:tr>
      <w:tr w:rsidR="006627F1" w14:paraId="4C2CAB7E" w14:textId="77777777" w:rsidTr="00CF375D">
        <w:tc>
          <w:tcPr>
            <w:tcW w:w="1890" w:type="dxa"/>
          </w:tcPr>
          <w:p w14:paraId="1B6B90F9" w14:textId="68BBDD28" w:rsidR="006627F1" w:rsidRPr="00BD4926" w:rsidRDefault="006627F1" w:rsidP="00A511B9">
            <w:r>
              <w:t>ARTG</w:t>
            </w:r>
          </w:p>
        </w:tc>
        <w:tc>
          <w:tcPr>
            <w:tcW w:w="6911" w:type="dxa"/>
            <w:gridSpan w:val="2"/>
          </w:tcPr>
          <w:p w14:paraId="08A56552" w14:textId="0A204650" w:rsidR="006627F1" w:rsidRPr="00BD4926" w:rsidRDefault="006627F1" w:rsidP="00A511B9">
            <w:r>
              <w:t>Australian Register of Therapeutic Goods</w:t>
            </w:r>
          </w:p>
        </w:tc>
      </w:tr>
      <w:tr w:rsidR="00D70EC8" w14:paraId="5971A0EB" w14:textId="77777777" w:rsidTr="00CF375D">
        <w:tc>
          <w:tcPr>
            <w:tcW w:w="1890" w:type="dxa"/>
          </w:tcPr>
          <w:p w14:paraId="5FC74EC7" w14:textId="773740F1" w:rsidR="00D70EC8" w:rsidRDefault="00D70EC8" w:rsidP="00A511B9">
            <w:r>
              <w:t>ASA</w:t>
            </w:r>
          </w:p>
        </w:tc>
        <w:tc>
          <w:tcPr>
            <w:tcW w:w="6911" w:type="dxa"/>
            <w:gridSpan w:val="2"/>
          </w:tcPr>
          <w:p w14:paraId="7C2603ED" w14:textId="1DC35B22" w:rsidR="00D70EC8" w:rsidRDefault="00D70EC8" w:rsidP="00A511B9">
            <w:r>
              <w:t>Australian Specific Annex</w:t>
            </w:r>
          </w:p>
        </w:tc>
      </w:tr>
      <w:tr w:rsidR="00CF375D" w14:paraId="5B4D7D8A" w14:textId="77777777" w:rsidTr="00CF375D">
        <w:tc>
          <w:tcPr>
            <w:tcW w:w="1890" w:type="dxa"/>
          </w:tcPr>
          <w:p w14:paraId="7649C66C" w14:textId="77777777" w:rsidR="00CF375D" w:rsidRPr="00BD4926" w:rsidRDefault="00CF375D" w:rsidP="00A511B9">
            <w:r>
              <w:t>AUC</w:t>
            </w:r>
          </w:p>
        </w:tc>
        <w:tc>
          <w:tcPr>
            <w:tcW w:w="6911" w:type="dxa"/>
            <w:gridSpan w:val="2"/>
          </w:tcPr>
          <w:p w14:paraId="074E20D0" w14:textId="77777777" w:rsidR="00CF375D" w:rsidRPr="00BD4926" w:rsidRDefault="00CF375D" w:rsidP="00A511B9">
            <w:r>
              <w:t>Area under the plasma concentration time curve</w:t>
            </w:r>
          </w:p>
        </w:tc>
      </w:tr>
      <w:tr w:rsidR="00CF375D" w14:paraId="153842BE" w14:textId="77777777" w:rsidTr="00CF375D">
        <w:tc>
          <w:tcPr>
            <w:tcW w:w="1890" w:type="dxa"/>
          </w:tcPr>
          <w:p w14:paraId="46D5F6E4" w14:textId="77777777" w:rsidR="00CF375D" w:rsidRPr="00BD4926" w:rsidRDefault="00CF375D" w:rsidP="00A511B9">
            <w:r>
              <w:t>BCRP</w:t>
            </w:r>
          </w:p>
        </w:tc>
        <w:tc>
          <w:tcPr>
            <w:tcW w:w="6911" w:type="dxa"/>
            <w:gridSpan w:val="2"/>
          </w:tcPr>
          <w:p w14:paraId="196D67EA" w14:textId="77777777" w:rsidR="00CF375D" w:rsidRPr="00BD4926" w:rsidRDefault="00CF375D" w:rsidP="00A511B9">
            <w:r>
              <w:t>Breast cancer resistance protein</w:t>
            </w:r>
          </w:p>
        </w:tc>
      </w:tr>
      <w:tr w:rsidR="006627F1" w14:paraId="3AEA42B0" w14:textId="77777777" w:rsidTr="00CF375D">
        <w:tc>
          <w:tcPr>
            <w:tcW w:w="1890" w:type="dxa"/>
          </w:tcPr>
          <w:p w14:paraId="03545FE4" w14:textId="480D362D" w:rsidR="006627F1" w:rsidRDefault="006627F1" w:rsidP="00A511B9">
            <w:r>
              <w:t>CAS</w:t>
            </w:r>
          </w:p>
        </w:tc>
        <w:tc>
          <w:tcPr>
            <w:tcW w:w="6911" w:type="dxa"/>
            <w:gridSpan w:val="2"/>
          </w:tcPr>
          <w:p w14:paraId="56EF71B6" w14:textId="3DE426D4" w:rsidR="006627F1" w:rsidRDefault="006627F1" w:rsidP="00A511B9">
            <w:r>
              <w:t>Chemical Abstract Service</w:t>
            </w:r>
          </w:p>
        </w:tc>
      </w:tr>
      <w:tr w:rsidR="008E156A" w14:paraId="3185A904" w14:textId="77777777" w:rsidTr="00CF375D">
        <w:tc>
          <w:tcPr>
            <w:tcW w:w="1890" w:type="dxa"/>
          </w:tcPr>
          <w:p w14:paraId="5CC0F50C" w14:textId="6FB1D48B" w:rsidR="008E156A" w:rsidRDefault="008E156A" w:rsidP="00A511B9">
            <w:r>
              <w:t>CHMP</w:t>
            </w:r>
          </w:p>
        </w:tc>
        <w:tc>
          <w:tcPr>
            <w:tcW w:w="6911" w:type="dxa"/>
            <w:gridSpan w:val="2"/>
          </w:tcPr>
          <w:p w14:paraId="7185B535" w14:textId="05EC8988" w:rsidR="008E156A" w:rsidRDefault="008E156A" w:rsidP="00A511B9">
            <w:r w:rsidRPr="008E156A">
              <w:t>Committee for Medicinal Products for Human Use</w:t>
            </w:r>
            <w:r>
              <w:t xml:space="preserve"> (EMA)</w:t>
            </w:r>
          </w:p>
        </w:tc>
      </w:tr>
      <w:tr w:rsidR="00CF375D" w14:paraId="682F8D21" w14:textId="77777777" w:rsidTr="00CF375D">
        <w:tc>
          <w:tcPr>
            <w:tcW w:w="1890" w:type="dxa"/>
          </w:tcPr>
          <w:p w14:paraId="2A65387C" w14:textId="77777777" w:rsidR="00CF375D" w:rsidRPr="00BD4926" w:rsidRDefault="00CF375D" w:rsidP="00A511B9">
            <w:r>
              <w:t>COR</w:t>
            </w:r>
          </w:p>
        </w:tc>
        <w:tc>
          <w:tcPr>
            <w:tcW w:w="6911" w:type="dxa"/>
            <w:gridSpan w:val="2"/>
          </w:tcPr>
          <w:p w14:paraId="0834AF23" w14:textId="76CE00F6" w:rsidR="00CF375D" w:rsidRPr="00BD4926" w:rsidRDefault="00CF375D" w:rsidP="00A511B9">
            <w:r>
              <w:t>Comparable overseas regulators</w:t>
            </w:r>
          </w:p>
        </w:tc>
      </w:tr>
      <w:tr w:rsidR="00CF375D" w14:paraId="7025530D" w14:textId="77777777" w:rsidTr="00CF375D">
        <w:tc>
          <w:tcPr>
            <w:tcW w:w="1890" w:type="dxa"/>
          </w:tcPr>
          <w:p w14:paraId="03462CC5" w14:textId="77777777" w:rsidR="00CF375D" w:rsidRPr="00BD4926" w:rsidRDefault="00CF375D" w:rsidP="00A511B9">
            <w:r>
              <w:t>CYP</w:t>
            </w:r>
          </w:p>
        </w:tc>
        <w:tc>
          <w:tcPr>
            <w:tcW w:w="6911" w:type="dxa"/>
            <w:gridSpan w:val="2"/>
          </w:tcPr>
          <w:p w14:paraId="363025C2" w14:textId="77777777" w:rsidR="00CF375D" w:rsidRPr="00BD4926" w:rsidRDefault="00CF375D" w:rsidP="00A511B9">
            <w:r>
              <w:t>Cytochrome P450</w:t>
            </w:r>
          </w:p>
        </w:tc>
      </w:tr>
      <w:tr w:rsidR="008E156A" w14:paraId="51286EF9" w14:textId="77777777" w:rsidTr="00CF375D">
        <w:tc>
          <w:tcPr>
            <w:tcW w:w="1890" w:type="dxa"/>
          </w:tcPr>
          <w:p w14:paraId="3E488751" w14:textId="17362F49" w:rsidR="008E156A" w:rsidRDefault="008E156A" w:rsidP="00A511B9">
            <w:r>
              <w:t>EMA</w:t>
            </w:r>
          </w:p>
        </w:tc>
        <w:tc>
          <w:tcPr>
            <w:tcW w:w="6911" w:type="dxa"/>
            <w:gridSpan w:val="2"/>
          </w:tcPr>
          <w:p w14:paraId="7F7BF30E" w14:textId="63BF171B" w:rsidR="008E156A" w:rsidRDefault="008E156A" w:rsidP="00A511B9">
            <w:r>
              <w:t>European Medicines Agency (EMA)</w:t>
            </w:r>
          </w:p>
        </w:tc>
      </w:tr>
      <w:tr w:rsidR="008E156A" w14:paraId="6B976042" w14:textId="77777777" w:rsidTr="00CF375D">
        <w:tc>
          <w:tcPr>
            <w:tcW w:w="1890" w:type="dxa"/>
          </w:tcPr>
          <w:p w14:paraId="69BBF0A6" w14:textId="2954BBCA" w:rsidR="008E156A" w:rsidRDefault="008E156A" w:rsidP="00A511B9">
            <w:r>
              <w:t>EU</w:t>
            </w:r>
          </w:p>
        </w:tc>
        <w:tc>
          <w:tcPr>
            <w:tcW w:w="6911" w:type="dxa"/>
            <w:gridSpan w:val="2"/>
          </w:tcPr>
          <w:p w14:paraId="6A0C0E8E" w14:textId="32B4F8F1" w:rsidR="008E156A" w:rsidRDefault="008E156A" w:rsidP="00A511B9">
            <w:r>
              <w:t>European Union</w:t>
            </w:r>
          </w:p>
        </w:tc>
      </w:tr>
      <w:tr w:rsidR="00CF375D" w14:paraId="682C66D6" w14:textId="77777777" w:rsidTr="00CF375D">
        <w:tc>
          <w:tcPr>
            <w:tcW w:w="1890" w:type="dxa"/>
          </w:tcPr>
          <w:p w14:paraId="62F006D1" w14:textId="77777777" w:rsidR="00CF375D" w:rsidRPr="00BD4926" w:rsidRDefault="00CF375D" w:rsidP="00A511B9">
            <w:r w:rsidRPr="00BD4926">
              <w:t>FDA</w:t>
            </w:r>
          </w:p>
        </w:tc>
        <w:tc>
          <w:tcPr>
            <w:tcW w:w="6911" w:type="dxa"/>
            <w:gridSpan w:val="2"/>
          </w:tcPr>
          <w:p w14:paraId="2D426BC0" w14:textId="77777777" w:rsidR="00CF375D" w:rsidRPr="00BD4926" w:rsidRDefault="00CF375D" w:rsidP="00A511B9">
            <w:r w:rsidRPr="00BD4926">
              <w:t>Food and Drug Administration (USA)</w:t>
            </w:r>
          </w:p>
        </w:tc>
      </w:tr>
      <w:tr w:rsidR="00CF375D" w14:paraId="76E75C45" w14:textId="77777777" w:rsidTr="00CF375D">
        <w:tc>
          <w:tcPr>
            <w:tcW w:w="1890" w:type="dxa"/>
          </w:tcPr>
          <w:p w14:paraId="0A720187" w14:textId="77777777" w:rsidR="00CF375D" w:rsidRPr="00BD4926" w:rsidRDefault="00CF375D" w:rsidP="00A511B9">
            <w:r w:rsidRPr="00BD4926">
              <w:t>GCP</w:t>
            </w:r>
          </w:p>
        </w:tc>
        <w:tc>
          <w:tcPr>
            <w:tcW w:w="6911" w:type="dxa"/>
            <w:gridSpan w:val="2"/>
          </w:tcPr>
          <w:p w14:paraId="52B14D17" w14:textId="77777777" w:rsidR="00CF375D" w:rsidRPr="00BD4926" w:rsidRDefault="00CF375D" w:rsidP="00A511B9">
            <w:r w:rsidRPr="00BD4926">
              <w:t>Good Clinical Practice</w:t>
            </w:r>
          </w:p>
        </w:tc>
      </w:tr>
      <w:tr w:rsidR="00CF375D" w14:paraId="2ECCE3C5" w14:textId="77777777" w:rsidTr="00CF375D">
        <w:tc>
          <w:tcPr>
            <w:tcW w:w="1890" w:type="dxa"/>
          </w:tcPr>
          <w:p w14:paraId="24CBB901" w14:textId="77777777" w:rsidR="00CF375D" w:rsidRPr="00BD4926" w:rsidRDefault="00CF375D" w:rsidP="00A511B9">
            <w:proofErr w:type="spellStart"/>
            <w:r w:rsidRPr="00BD4926">
              <w:t>hERG</w:t>
            </w:r>
            <w:proofErr w:type="spellEnd"/>
          </w:p>
        </w:tc>
        <w:tc>
          <w:tcPr>
            <w:tcW w:w="6911" w:type="dxa"/>
            <w:gridSpan w:val="2"/>
          </w:tcPr>
          <w:p w14:paraId="3685319B" w14:textId="77777777" w:rsidR="00CF375D" w:rsidRPr="00BD4926" w:rsidRDefault="00CF375D" w:rsidP="00A511B9">
            <w:r w:rsidRPr="00BD4926">
              <w:t>Human ether-à-go-go related gene</w:t>
            </w:r>
          </w:p>
        </w:tc>
      </w:tr>
      <w:tr w:rsidR="00C80C93" w14:paraId="58E1FB68" w14:textId="77777777" w:rsidTr="00CF375D">
        <w:tc>
          <w:tcPr>
            <w:tcW w:w="1890" w:type="dxa"/>
          </w:tcPr>
          <w:p w14:paraId="4154D761" w14:textId="7076A968" w:rsidR="00C80C93" w:rsidRPr="00BD4926" w:rsidRDefault="00C80C93" w:rsidP="00A511B9">
            <w:r>
              <w:t>HSCT</w:t>
            </w:r>
          </w:p>
        </w:tc>
        <w:tc>
          <w:tcPr>
            <w:tcW w:w="6911" w:type="dxa"/>
            <w:gridSpan w:val="2"/>
          </w:tcPr>
          <w:p w14:paraId="6ED768F2" w14:textId="7EE781F2" w:rsidR="00C80C93" w:rsidRPr="00BD4926" w:rsidRDefault="00C80C93" w:rsidP="00A511B9">
            <w:r>
              <w:t>Haematopoietic stem cell transplant</w:t>
            </w:r>
          </w:p>
        </w:tc>
      </w:tr>
      <w:tr w:rsidR="00CF375D" w14:paraId="1DD44871" w14:textId="77777777" w:rsidTr="00CF375D">
        <w:tc>
          <w:tcPr>
            <w:tcW w:w="1890" w:type="dxa"/>
          </w:tcPr>
          <w:p w14:paraId="054ADBF4" w14:textId="77777777" w:rsidR="00CF375D" w:rsidRPr="00BD4926" w:rsidRDefault="00CF375D" w:rsidP="00A511B9">
            <w:r>
              <w:t>IFD</w:t>
            </w:r>
          </w:p>
        </w:tc>
        <w:tc>
          <w:tcPr>
            <w:tcW w:w="6911" w:type="dxa"/>
            <w:gridSpan w:val="2"/>
          </w:tcPr>
          <w:p w14:paraId="23E4DBE3" w14:textId="77777777" w:rsidR="00CF375D" w:rsidRPr="00BD4926" w:rsidRDefault="009C2083" w:rsidP="00A511B9">
            <w:r>
              <w:t>Invasive fungal disease</w:t>
            </w:r>
          </w:p>
        </w:tc>
      </w:tr>
      <w:tr w:rsidR="00CF375D" w14:paraId="49582A70" w14:textId="77777777" w:rsidTr="00CF375D">
        <w:tc>
          <w:tcPr>
            <w:tcW w:w="1890" w:type="dxa"/>
          </w:tcPr>
          <w:p w14:paraId="73EBDAA2" w14:textId="77777777" w:rsidR="00CF375D" w:rsidRPr="00BD4926" w:rsidRDefault="00CF375D" w:rsidP="00A511B9">
            <w:proofErr w:type="spellStart"/>
            <w:r w:rsidRPr="00BD4926">
              <w:t>MedDRA</w:t>
            </w:r>
            <w:proofErr w:type="spellEnd"/>
          </w:p>
        </w:tc>
        <w:tc>
          <w:tcPr>
            <w:tcW w:w="6911" w:type="dxa"/>
            <w:gridSpan w:val="2"/>
          </w:tcPr>
          <w:p w14:paraId="3A2F72E9" w14:textId="77777777" w:rsidR="00CF375D" w:rsidRPr="00BD4926" w:rsidRDefault="00CF375D" w:rsidP="00A511B9">
            <w:r w:rsidRPr="00BD4926">
              <w:t>Medical Dictionary for Regulatory Activities</w:t>
            </w:r>
          </w:p>
        </w:tc>
      </w:tr>
      <w:tr w:rsidR="00CF375D" w14:paraId="17521913" w14:textId="77777777" w:rsidTr="00CF375D">
        <w:tc>
          <w:tcPr>
            <w:tcW w:w="1890" w:type="dxa"/>
          </w:tcPr>
          <w:p w14:paraId="5660E3B4" w14:textId="77777777" w:rsidR="00CF375D" w:rsidRPr="00BD4926" w:rsidRDefault="00CF375D" w:rsidP="00A511B9">
            <w:r>
              <w:t>MIC</w:t>
            </w:r>
          </w:p>
        </w:tc>
        <w:tc>
          <w:tcPr>
            <w:tcW w:w="6911" w:type="dxa"/>
            <w:gridSpan w:val="2"/>
          </w:tcPr>
          <w:p w14:paraId="5E0C4223" w14:textId="77777777" w:rsidR="00CF375D" w:rsidRPr="00BD4926" w:rsidRDefault="00CF375D" w:rsidP="00A511B9">
            <w:r>
              <w:t>Minimum inhibitory concentration</w:t>
            </w:r>
          </w:p>
        </w:tc>
      </w:tr>
      <w:tr w:rsidR="00CF375D" w14:paraId="7B3FCA03" w14:textId="77777777" w:rsidTr="00CF375D">
        <w:tc>
          <w:tcPr>
            <w:tcW w:w="1890" w:type="dxa"/>
          </w:tcPr>
          <w:p w14:paraId="4398B802" w14:textId="77777777" w:rsidR="00CF375D" w:rsidRPr="00BD4926" w:rsidRDefault="00CF375D" w:rsidP="00A511B9">
            <w:proofErr w:type="spellStart"/>
            <w:r>
              <w:t>mITT</w:t>
            </w:r>
            <w:proofErr w:type="spellEnd"/>
          </w:p>
        </w:tc>
        <w:tc>
          <w:tcPr>
            <w:tcW w:w="6911" w:type="dxa"/>
            <w:gridSpan w:val="2"/>
          </w:tcPr>
          <w:p w14:paraId="54D7F0DA" w14:textId="2D841F49" w:rsidR="00CF375D" w:rsidRPr="00BD4926" w:rsidRDefault="00CF375D" w:rsidP="00A511B9">
            <w:r>
              <w:t xml:space="preserve">Modified intention to treat </w:t>
            </w:r>
            <w:r w:rsidR="006627F1">
              <w:t>((</w:t>
            </w:r>
            <w:r>
              <w:t>population</w:t>
            </w:r>
            <w:r w:rsidR="006627F1">
              <w:t>);</w:t>
            </w:r>
            <w:r>
              <w:t xml:space="preserve"> based upon the Data</w:t>
            </w:r>
            <w:r w:rsidR="006627F1">
              <w:t> </w:t>
            </w:r>
            <w:r>
              <w:t>Review Committee classification of infection</w:t>
            </w:r>
            <w:r w:rsidR="006627F1">
              <w:t>)</w:t>
            </w:r>
          </w:p>
        </w:tc>
      </w:tr>
      <w:tr w:rsidR="00CF375D" w14:paraId="41C3454B" w14:textId="77777777" w:rsidTr="00CF375D">
        <w:tc>
          <w:tcPr>
            <w:tcW w:w="1890" w:type="dxa"/>
          </w:tcPr>
          <w:p w14:paraId="5935C7BB" w14:textId="77777777" w:rsidR="00CF375D" w:rsidRPr="00BD4926" w:rsidRDefault="00CF375D" w:rsidP="00A511B9">
            <w:r>
              <w:t>NRI</w:t>
            </w:r>
          </w:p>
        </w:tc>
        <w:tc>
          <w:tcPr>
            <w:tcW w:w="6911" w:type="dxa"/>
            <w:gridSpan w:val="2"/>
          </w:tcPr>
          <w:p w14:paraId="7F3C2779" w14:textId="77777777" w:rsidR="00CF375D" w:rsidRPr="00BD4926" w:rsidRDefault="00CF375D" w:rsidP="00A511B9">
            <w:r>
              <w:t>Not renal impaired (patient)</w:t>
            </w:r>
          </w:p>
        </w:tc>
      </w:tr>
      <w:tr w:rsidR="00CF375D" w14:paraId="3A50B40B" w14:textId="77777777" w:rsidTr="00CF375D">
        <w:tc>
          <w:tcPr>
            <w:tcW w:w="1890" w:type="dxa"/>
          </w:tcPr>
          <w:p w14:paraId="7B461D4B" w14:textId="77777777" w:rsidR="00CF375D" w:rsidRPr="00BD4926" w:rsidRDefault="00CF375D" w:rsidP="00A511B9">
            <w:r>
              <w:t>OCT2</w:t>
            </w:r>
          </w:p>
        </w:tc>
        <w:tc>
          <w:tcPr>
            <w:tcW w:w="6911" w:type="dxa"/>
            <w:gridSpan w:val="2"/>
          </w:tcPr>
          <w:p w14:paraId="4BDEB849" w14:textId="77777777" w:rsidR="00CF375D" w:rsidRPr="00BD4926" w:rsidRDefault="00CF375D" w:rsidP="00A511B9">
            <w:r>
              <w:t>Organic cation transporter 2</w:t>
            </w:r>
          </w:p>
        </w:tc>
      </w:tr>
      <w:tr w:rsidR="00CF375D" w14:paraId="24C63740" w14:textId="77777777" w:rsidTr="00CF375D">
        <w:tc>
          <w:tcPr>
            <w:tcW w:w="1890" w:type="dxa"/>
          </w:tcPr>
          <w:p w14:paraId="4517D693" w14:textId="77777777" w:rsidR="00CF375D" w:rsidRPr="00BD4926" w:rsidRDefault="00CF375D" w:rsidP="00A511B9">
            <w:r>
              <w:t>PSUR</w:t>
            </w:r>
          </w:p>
        </w:tc>
        <w:tc>
          <w:tcPr>
            <w:tcW w:w="6911" w:type="dxa"/>
            <w:gridSpan w:val="2"/>
          </w:tcPr>
          <w:p w14:paraId="3E8F914E" w14:textId="70493166" w:rsidR="00CF375D" w:rsidRPr="00BD4926" w:rsidRDefault="00CF375D" w:rsidP="00A511B9">
            <w:r>
              <w:t xml:space="preserve">Periodic </w:t>
            </w:r>
            <w:r w:rsidR="006627F1">
              <w:t>s</w:t>
            </w:r>
            <w:r>
              <w:t xml:space="preserve">afety update </w:t>
            </w:r>
            <w:r w:rsidR="006627F1">
              <w:t>r</w:t>
            </w:r>
            <w:r>
              <w:t>eport</w:t>
            </w:r>
          </w:p>
        </w:tc>
      </w:tr>
      <w:tr w:rsidR="00CF375D" w14:paraId="028AC7B0" w14:textId="77777777" w:rsidTr="00CF375D">
        <w:tc>
          <w:tcPr>
            <w:tcW w:w="1890" w:type="dxa"/>
          </w:tcPr>
          <w:p w14:paraId="63426AE3" w14:textId="77777777" w:rsidR="00CF375D" w:rsidRPr="00BD4926" w:rsidRDefault="00CF375D" w:rsidP="00A511B9">
            <w:r w:rsidRPr="00BD4926">
              <w:t>PT</w:t>
            </w:r>
          </w:p>
        </w:tc>
        <w:tc>
          <w:tcPr>
            <w:tcW w:w="6911" w:type="dxa"/>
            <w:gridSpan w:val="2"/>
          </w:tcPr>
          <w:p w14:paraId="060B821A" w14:textId="387DA58F" w:rsidR="00CF375D" w:rsidRPr="00BD4926" w:rsidRDefault="00CF375D" w:rsidP="00A511B9">
            <w:r w:rsidRPr="00BD4926">
              <w:t xml:space="preserve">Preferred </w:t>
            </w:r>
            <w:r w:rsidR="006627F1">
              <w:t>T</w:t>
            </w:r>
            <w:r w:rsidRPr="00BD4926">
              <w:t>erm</w:t>
            </w:r>
          </w:p>
        </w:tc>
      </w:tr>
      <w:tr w:rsidR="00CF375D" w14:paraId="5178D2CC" w14:textId="77777777" w:rsidTr="00CF375D">
        <w:tc>
          <w:tcPr>
            <w:tcW w:w="1890" w:type="dxa"/>
          </w:tcPr>
          <w:p w14:paraId="211B4CCF" w14:textId="77777777" w:rsidR="00CF375D" w:rsidRPr="00BD4926" w:rsidRDefault="00CF375D" w:rsidP="00A511B9">
            <w:r>
              <w:lastRenderedPageBreak/>
              <w:t>RI</w:t>
            </w:r>
          </w:p>
        </w:tc>
        <w:tc>
          <w:tcPr>
            <w:tcW w:w="6911" w:type="dxa"/>
            <w:gridSpan w:val="2"/>
          </w:tcPr>
          <w:p w14:paraId="2F5E5893" w14:textId="77777777" w:rsidR="00CF375D" w:rsidRPr="00BD4926" w:rsidRDefault="00CF375D" w:rsidP="00A511B9">
            <w:r>
              <w:t>Renal impaired (patient)</w:t>
            </w:r>
          </w:p>
        </w:tc>
      </w:tr>
      <w:tr w:rsidR="00CF375D" w14:paraId="31B8F860" w14:textId="77777777" w:rsidTr="00CF375D">
        <w:tc>
          <w:tcPr>
            <w:tcW w:w="1890" w:type="dxa"/>
          </w:tcPr>
          <w:p w14:paraId="233BBC52" w14:textId="77777777" w:rsidR="00CF375D" w:rsidRPr="00BD4926" w:rsidRDefault="00CF375D" w:rsidP="00A511B9">
            <w:r w:rsidRPr="00BD4926">
              <w:t>RMP</w:t>
            </w:r>
          </w:p>
        </w:tc>
        <w:tc>
          <w:tcPr>
            <w:tcW w:w="6911" w:type="dxa"/>
            <w:gridSpan w:val="2"/>
          </w:tcPr>
          <w:p w14:paraId="45B451F5" w14:textId="4A6251E6" w:rsidR="00CF375D" w:rsidRPr="00BD4926" w:rsidRDefault="00CF375D" w:rsidP="006627F1">
            <w:r w:rsidRPr="00BD4926">
              <w:t xml:space="preserve">Risk </w:t>
            </w:r>
            <w:r w:rsidR="006627F1">
              <w:t>m</w:t>
            </w:r>
            <w:r w:rsidR="006627F1" w:rsidRPr="00BD4926">
              <w:t xml:space="preserve">anagement </w:t>
            </w:r>
            <w:r w:rsidR="006627F1">
              <w:t>p</w:t>
            </w:r>
            <w:r w:rsidR="006627F1" w:rsidRPr="00BD4926">
              <w:t>lan</w:t>
            </w:r>
          </w:p>
        </w:tc>
      </w:tr>
      <w:tr w:rsidR="00CF375D" w14:paraId="3D601204" w14:textId="77777777" w:rsidTr="00CF375D">
        <w:tc>
          <w:tcPr>
            <w:tcW w:w="1890" w:type="dxa"/>
          </w:tcPr>
          <w:p w14:paraId="201D4295" w14:textId="77777777" w:rsidR="00CF375D" w:rsidRPr="00BD4926" w:rsidRDefault="00CF375D" w:rsidP="00A511B9">
            <w:r w:rsidRPr="00BD4926">
              <w:t>SAE</w:t>
            </w:r>
          </w:p>
        </w:tc>
        <w:tc>
          <w:tcPr>
            <w:tcW w:w="6911" w:type="dxa"/>
            <w:gridSpan w:val="2"/>
          </w:tcPr>
          <w:p w14:paraId="1D902174" w14:textId="77777777" w:rsidR="00CF375D" w:rsidRPr="00BD4926" w:rsidRDefault="00CF375D" w:rsidP="00A511B9">
            <w:r w:rsidRPr="00BD4926">
              <w:t>Serious adverse event</w:t>
            </w:r>
          </w:p>
        </w:tc>
      </w:tr>
      <w:tr w:rsidR="00CF375D" w14:paraId="3D708710" w14:textId="77777777" w:rsidTr="00CF375D">
        <w:tc>
          <w:tcPr>
            <w:tcW w:w="1890" w:type="dxa"/>
          </w:tcPr>
          <w:p w14:paraId="29A00A1B" w14:textId="77777777" w:rsidR="00CF375D" w:rsidRPr="00BD4926" w:rsidRDefault="00CF375D" w:rsidP="00A511B9">
            <w:proofErr w:type="spellStart"/>
            <w:r>
              <w:t>SmPC</w:t>
            </w:r>
            <w:proofErr w:type="spellEnd"/>
          </w:p>
        </w:tc>
        <w:tc>
          <w:tcPr>
            <w:tcW w:w="6911" w:type="dxa"/>
            <w:gridSpan w:val="2"/>
          </w:tcPr>
          <w:p w14:paraId="7BB081CD" w14:textId="30524B5F" w:rsidR="00CF375D" w:rsidRPr="00BD4926" w:rsidRDefault="00CF375D" w:rsidP="00A511B9">
            <w:r>
              <w:t>Summary of product characteristics</w:t>
            </w:r>
            <w:r w:rsidR="00974904">
              <w:t xml:space="preserve"> (EU)</w:t>
            </w:r>
          </w:p>
        </w:tc>
      </w:tr>
      <w:tr w:rsidR="00CF375D" w14:paraId="74C53870" w14:textId="77777777" w:rsidTr="00CF375D">
        <w:tc>
          <w:tcPr>
            <w:tcW w:w="1890" w:type="dxa"/>
          </w:tcPr>
          <w:p w14:paraId="20FA58BE" w14:textId="77777777" w:rsidR="00CF375D" w:rsidRPr="00BD4926" w:rsidRDefault="00CF375D" w:rsidP="00A511B9">
            <w:r>
              <w:t>SOC</w:t>
            </w:r>
          </w:p>
        </w:tc>
        <w:tc>
          <w:tcPr>
            <w:tcW w:w="6911" w:type="dxa"/>
            <w:gridSpan w:val="2"/>
          </w:tcPr>
          <w:p w14:paraId="3F2B2207" w14:textId="56AB2BE5" w:rsidR="00CF375D" w:rsidRPr="00BD4926" w:rsidRDefault="00CF375D" w:rsidP="006627F1">
            <w:r>
              <w:t xml:space="preserve">System </w:t>
            </w:r>
            <w:r w:rsidR="006627F1">
              <w:t>Organ Class</w:t>
            </w:r>
          </w:p>
        </w:tc>
      </w:tr>
      <w:tr w:rsidR="00CF375D" w14:paraId="0380D806" w14:textId="77777777" w:rsidTr="00CF375D">
        <w:tc>
          <w:tcPr>
            <w:tcW w:w="1890" w:type="dxa"/>
          </w:tcPr>
          <w:p w14:paraId="4D130EFB" w14:textId="77777777" w:rsidR="00CF375D" w:rsidRPr="00BD4926" w:rsidRDefault="00CF375D" w:rsidP="00A511B9">
            <w:r>
              <w:t>UGT</w:t>
            </w:r>
          </w:p>
        </w:tc>
        <w:tc>
          <w:tcPr>
            <w:tcW w:w="6911" w:type="dxa"/>
            <w:gridSpan w:val="2"/>
          </w:tcPr>
          <w:p w14:paraId="6F329B68" w14:textId="77777777" w:rsidR="00CF375D" w:rsidRPr="00BD4926" w:rsidRDefault="00CF375D" w:rsidP="00A511B9">
            <w:r w:rsidRPr="00C354BA">
              <w:t>Uridine 5'-diphospho-glucuronosyltransferase</w:t>
            </w:r>
          </w:p>
        </w:tc>
      </w:tr>
      <w:tr w:rsidR="00974904" w14:paraId="6CB191FE" w14:textId="77777777" w:rsidTr="00CF375D">
        <w:tc>
          <w:tcPr>
            <w:tcW w:w="1890" w:type="dxa"/>
          </w:tcPr>
          <w:p w14:paraId="74EDF77C" w14:textId="733AA92B" w:rsidR="00974904" w:rsidRDefault="00974904" w:rsidP="00A511B9">
            <w:r>
              <w:t>USA</w:t>
            </w:r>
          </w:p>
        </w:tc>
        <w:tc>
          <w:tcPr>
            <w:tcW w:w="6911" w:type="dxa"/>
            <w:gridSpan w:val="2"/>
          </w:tcPr>
          <w:p w14:paraId="683C4F0D" w14:textId="2C78C60A" w:rsidR="00974904" w:rsidRPr="00C354BA" w:rsidRDefault="00974904" w:rsidP="00A511B9">
            <w:r>
              <w:t>United States of America</w:t>
            </w:r>
          </w:p>
        </w:tc>
      </w:tr>
    </w:tbl>
    <w:p w14:paraId="00EC1FBF" w14:textId="77777777" w:rsidR="00FD119B" w:rsidRDefault="00FD119B" w:rsidP="00FD119B"/>
    <w:p w14:paraId="7D8A9363" w14:textId="77777777" w:rsidR="00FD119B" w:rsidRPr="00FD119B" w:rsidRDefault="00FD119B" w:rsidP="00FD119B">
      <w:pPr>
        <w:spacing w:before="0" w:after="200" w:line="0" w:lineRule="auto"/>
        <w:rPr>
          <w:b/>
          <w:i/>
          <w:sz w:val="24"/>
          <w:szCs w:val="24"/>
        </w:rPr>
      </w:pPr>
      <w:r w:rsidRPr="00FD119B">
        <w:rPr>
          <w:b/>
          <w:i/>
          <w:sz w:val="24"/>
          <w:szCs w:val="24"/>
        </w:rPr>
        <w:br w:type="page"/>
      </w:r>
    </w:p>
    <w:p w14:paraId="4845353A" w14:textId="77777777" w:rsidR="008E7846" w:rsidRDefault="00F53C07" w:rsidP="008E7846">
      <w:pPr>
        <w:pStyle w:val="Heading2"/>
      </w:pPr>
      <w:bookmarkStart w:id="9" w:name="_Toc30577084"/>
      <w:r>
        <w:lastRenderedPageBreak/>
        <w:t>I.</w:t>
      </w:r>
      <w:r w:rsidR="008E7846">
        <w:t xml:space="preserve"> Introduction to product submission</w:t>
      </w:r>
      <w:bookmarkEnd w:id="3"/>
      <w:bookmarkEnd w:id="0"/>
      <w:bookmarkEnd w:id="9"/>
    </w:p>
    <w:p w14:paraId="2217C59E" w14:textId="77777777" w:rsidR="008E7846" w:rsidRDefault="008E7846" w:rsidP="008E7846">
      <w:pPr>
        <w:pStyle w:val="Heading3"/>
        <w:rPr>
          <w:lang w:eastAsia="en-AU"/>
        </w:rPr>
      </w:pPr>
      <w:bookmarkStart w:id="10" w:name="_Toc247691502"/>
      <w:bookmarkStart w:id="11" w:name="_Toc314842483"/>
      <w:bookmarkStart w:id="12" w:name="_Toc30577085"/>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7FF2EE1D" w14:textId="77777777" w:rsidTr="003735BC">
        <w:tc>
          <w:tcPr>
            <w:tcW w:w="2907" w:type="dxa"/>
          </w:tcPr>
          <w:p w14:paraId="0505062F"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2CCAED00" w14:textId="77777777" w:rsidR="008E7846" w:rsidRPr="003D1E62" w:rsidRDefault="008E7846" w:rsidP="00D15906">
            <w:r w:rsidRPr="003D1E62">
              <w:t xml:space="preserve">New </w:t>
            </w:r>
            <w:r w:rsidR="001B5C90">
              <w:t>c</w:t>
            </w:r>
            <w:r w:rsidRPr="003D1E62">
              <w:t xml:space="preserve">hemical </w:t>
            </w:r>
            <w:r w:rsidR="001B5C90">
              <w:t>e</w:t>
            </w:r>
            <w:r w:rsidR="00D15906">
              <w:t>ntity</w:t>
            </w:r>
          </w:p>
        </w:tc>
      </w:tr>
      <w:tr w:rsidR="008E7846" w:rsidRPr="003D1E62" w14:paraId="0F1414E6" w14:textId="77777777" w:rsidTr="003735BC">
        <w:tc>
          <w:tcPr>
            <w:tcW w:w="2907" w:type="dxa"/>
          </w:tcPr>
          <w:p w14:paraId="25A5DBED" w14:textId="77777777" w:rsidR="008E7846" w:rsidRPr="003D1E62" w:rsidRDefault="008E7846" w:rsidP="003D1E62">
            <w:r w:rsidRPr="003D1E62">
              <w:rPr>
                <w:i/>
              </w:rPr>
              <w:t>Decision</w:t>
            </w:r>
            <w:r w:rsidRPr="003D1E62">
              <w:t>:</w:t>
            </w:r>
          </w:p>
        </w:tc>
        <w:tc>
          <w:tcPr>
            <w:tcW w:w="6307" w:type="dxa"/>
          </w:tcPr>
          <w:p w14:paraId="66F2E3A5" w14:textId="1F56C7BE" w:rsidR="008E7846" w:rsidRPr="003D1E62" w:rsidRDefault="00335D75" w:rsidP="00F17F21">
            <w:pPr>
              <w:tabs>
                <w:tab w:val="right" w:pos="6091"/>
              </w:tabs>
            </w:pPr>
            <w:r>
              <w:t>Approved</w:t>
            </w:r>
          </w:p>
        </w:tc>
      </w:tr>
      <w:tr w:rsidR="008E7846" w:rsidRPr="003D1E62" w14:paraId="4A13FCE1" w14:textId="77777777" w:rsidTr="003735BC">
        <w:tc>
          <w:tcPr>
            <w:tcW w:w="2907" w:type="dxa"/>
          </w:tcPr>
          <w:p w14:paraId="10727ADF"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12E08326" w14:textId="77777777" w:rsidR="008E7846" w:rsidRPr="003D1E62" w:rsidRDefault="00335D75" w:rsidP="001B5C90">
            <w:r>
              <w:t>15 May 2019</w:t>
            </w:r>
          </w:p>
        </w:tc>
      </w:tr>
      <w:tr w:rsidR="00ED2922" w:rsidRPr="003D1E62" w14:paraId="4F63EAB4" w14:textId="77777777" w:rsidTr="003735BC">
        <w:tc>
          <w:tcPr>
            <w:tcW w:w="2907" w:type="dxa"/>
          </w:tcPr>
          <w:p w14:paraId="7BD926CA" w14:textId="77777777" w:rsidR="00ED2922" w:rsidRPr="00441C3F" w:rsidRDefault="00ED2922" w:rsidP="001B5C90">
            <w:pPr>
              <w:rPr>
                <w:i/>
              </w:rPr>
            </w:pPr>
            <w:r w:rsidRPr="00441C3F">
              <w:rPr>
                <w:i/>
              </w:rPr>
              <w:t>Date of entry onto ARTG</w:t>
            </w:r>
            <w:r w:rsidR="00500337">
              <w:rPr>
                <w:i/>
              </w:rPr>
              <w:t>:</w:t>
            </w:r>
          </w:p>
        </w:tc>
        <w:tc>
          <w:tcPr>
            <w:tcW w:w="6307" w:type="dxa"/>
          </w:tcPr>
          <w:p w14:paraId="54B21888" w14:textId="77777777" w:rsidR="00ED2922" w:rsidRPr="00441C3F" w:rsidRDefault="001623CA" w:rsidP="00D153D8">
            <w:pPr>
              <w:rPr>
                <w:i/>
              </w:rPr>
            </w:pPr>
            <w:r>
              <w:t>17 May 2019</w:t>
            </w:r>
          </w:p>
        </w:tc>
      </w:tr>
      <w:tr w:rsidR="00500337" w:rsidRPr="003D1E62" w14:paraId="721B7CB6" w14:textId="77777777" w:rsidTr="003735BC">
        <w:tc>
          <w:tcPr>
            <w:tcW w:w="2907" w:type="dxa"/>
          </w:tcPr>
          <w:p w14:paraId="472FD84D" w14:textId="2961E959" w:rsidR="00500337" w:rsidRPr="00441C3F" w:rsidRDefault="007109AC" w:rsidP="001B5C90">
            <w:pPr>
              <w:rPr>
                <w:i/>
              </w:rPr>
            </w:pPr>
            <w:r>
              <w:rPr>
                <w:i/>
              </w:rPr>
              <w:t>ARTG numbers</w:t>
            </w:r>
            <w:r w:rsidR="00500337">
              <w:rPr>
                <w:i/>
              </w:rPr>
              <w:t>:</w:t>
            </w:r>
          </w:p>
        </w:tc>
        <w:tc>
          <w:tcPr>
            <w:tcW w:w="6307" w:type="dxa"/>
          </w:tcPr>
          <w:p w14:paraId="1189E4CE" w14:textId="77777777" w:rsidR="00500337" w:rsidRPr="00441C3F" w:rsidRDefault="001623CA" w:rsidP="00EC463D">
            <w:r>
              <w:t>305480 (injection), 305452 (capsules)</w:t>
            </w:r>
          </w:p>
        </w:tc>
      </w:tr>
      <w:tr w:rsidR="003735BC" w:rsidRPr="003D1E62" w14:paraId="66B947A9" w14:textId="77777777" w:rsidTr="003735BC">
        <w:tc>
          <w:tcPr>
            <w:tcW w:w="2907" w:type="dxa"/>
          </w:tcPr>
          <w:p w14:paraId="238C5611"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p>
        </w:tc>
        <w:tc>
          <w:tcPr>
            <w:tcW w:w="6307" w:type="dxa"/>
          </w:tcPr>
          <w:p w14:paraId="59CE9F11" w14:textId="79FB4CC3" w:rsidR="003735BC" w:rsidRPr="00F17F21" w:rsidRDefault="001623CA" w:rsidP="00F17F21">
            <w:r w:rsidRPr="00F17F21">
              <w:t>Yes</w:t>
            </w:r>
            <w:r w:rsidR="00F17F21" w:rsidRPr="00F17F21">
              <w:t xml:space="preserve"> This product will remain in the scheme for 5 years, starting on the date the product is first supplied in Australia</w:t>
            </w:r>
          </w:p>
        </w:tc>
      </w:tr>
      <w:tr w:rsidR="008E7846" w:rsidRPr="00487162" w14:paraId="167D3CA0" w14:textId="77777777" w:rsidTr="00BF1190">
        <w:tc>
          <w:tcPr>
            <w:tcW w:w="2907" w:type="dxa"/>
          </w:tcPr>
          <w:p w14:paraId="0CF8E24D" w14:textId="13C878F7" w:rsidR="008E7846" w:rsidRPr="00487162" w:rsidRDefault="007109AC" w:rsidP="00E45619">
            <w:pPr>
              <w:rPr>
                <w:i/>
              </w:rPr>
            </w:pPr>
            <w:r>
              <w:rPr>
                <w:i/>
              </w:rPr>
              <w:t>Active ingredient</w:t>
            </w:r>
            <w:r w:rsidR="001B5C90">
              <w:rPr>
                <w:i/>
              </w:rPr>
              <w:t>:</w:t>
            </w:r>
          </w:p>
        </w:tc>
        <w:tc>
          <w:tcPr>
            <w:tcW w:w="6307" w:type="dxa"/>
          </w:tcPr>
          <w:p w14:paraId="430E4BC2" w14:textId="77777777" w:rsidR="008E7846" w:rsidRPr="00487162" w:rsidRDefault="00D15906" w:rsidP="001623CA">
            <w:proofErr w:type="spellStart"/>
            <w:r>
              <w:t>Isavuconazole</w:t>
            </w:r>
            <w:proofErr w:type="spellEnd"/>
            <w:r>
              <w:t xml:space="preserve"> (as </w:t>
            </w:r>
            <w:proofErr w:type="spellStart"/>
            <w:r>
              <w:t>sul</w:t>
            </w:r>
            <w:r w:rsidR="001623CA">
              <w:t>f</w:t>
            </w:r>
            <w:r>
              <w:t>ate</w:t>
            </w:r>
            <w:proofErr w:type="spellEnd"/>
            <w:r>
              <w:t>)</w:t>
            </w:r>
          </w:p>
        </w:tc>
      </w:tr>
      <w:tr w:rsidR="008E7846" w:rsidRPr="00487162" w14:paraId="0A15BB06" w14:textId="77777777" w:rsidTr="00BF1190">
        <w:tc>
          <w:tcPr>
            <w:tcW w:w="2907" w:type="dxa"/>
          </w:tcPr>
          <w:p w14:paraId="5D8B9639" w14:textId="2885E5F2" w:rsidR="008E7846" w:rsidRPr="00487162" w:rsidRDefault="008E7846" w:rsidP="001B5C90">
            <w:pPr>
              <w:rPr>
                <w:i/>
              </w:rPr>
            </w:pPr>
            <w:r w:rsidRPr="00487162">
              <w:rPr>
                <w:i/>
              </w:rPr>
              <w:t>Product</w:t>
            </w:r>
            <w:r w:rsidR="007109AC">
              <w:rPr>
                <w:i/>
              </w:rPr>
              <w:t xml:space="preserve"> name</w:t>
            </w:r>
            <w:r w:rsidR="001B5C90">
              <w:rPr>
                <w:i/>
              </w:rPr>
              <w:t>:</w:t>
            </w:r>
          </w:p>
        </w:tc>
        <w:tc>
          <w:tcPr>
            <w:tcW w:w="6307" w:type="dxa"/>
          </w:tcPr>
          <w:p w14:paraId="4F0EE937" w14:textId="77777777" w:rsidR="008E7846" w:rsidRPr="00487162" w:rsidRDefault="00D15906" w:rsidP="00E45619">
            <w:proofErr w:type="spellStart"/>
            <w:r>
              <w:t>Cresemba</w:t>
            </w:r>
            <w:proofErr w:type="spellEnd"/>
          </w:p>
        </w:tc>
      </w:tr>
      <w:tr w:rsidR="008E7846" w:rsidRPr="00487162" w14:paraId="2F3AA33C" w14:textId="77777777" w:rsidTr="00BF1190">
        <w:tc>
          <w:tcPr>
            <w:tcW w:w="2907" w:type="dxa"/>
          </w:tcPr>
          <w:p w14:paraId="7EB49910"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6D8F4C5F" w14:textId="3064A112" w:rsidR="007109AC" w:rsidRDefault="00EC4B26" w:rsidP="00EC4B26">
            <w:r>
              <w:t>Pfizer Australia</w:t>
            </w:r>
            <w:r w:rsidR="007109AC">
              <w:t xml:space="preserve"> Pty. Ltd.</w:t>
            </w:r>
          </w:p>
          <w:p w14:paraId="7160EA61" w14:textId="5319879B" w:rsidR="00EC4B26" w:rsidRDefault="00EC4B26" w:rsidP="00EC4B26">
            <w:r>
              <w:t>Level 17, 151 Clarence Street</w:t>
            </w:r>
          </w:p>
          <w:p w14:paraId="2E0C76E9" w14:textId="77777777" w:rsidR="008E7846" w:rsidRPr="00487162" w:rsidRDefault="00EC4B26" w:rsidP="00EC4B26">
            <w:r>
              <w:t>Sydney NSW 2000</w:t>
            </w:r>
          </w:p>
        </w:tc>
      </w:tr>
      <w:tr w:rsidR="008E7846" w:rsidRPr="00487162" w14:paraId="6E726A1F" w14:textId="77777777" w:rsidTr="00BF1190">
        <w:tc>
          <w:tcPr>
            <w:tcW w:w="2907" w:type="dxa"/>
          </w:tcPr>
          <w:p w14:paraId="7794FF6C" w14:textId="266D08CB" w:rsidR="008E7846" w:rsidRPr="00487162" w:rsidRDefault="001B5C90" w:rsidP="00E45619">
            <w:pPr>
              <w:rPr>
                <w:i/>
              </w:rPr>
            </w:pPr>
            <w:r>
              <w:rPr>
                <w:i/>
              </w:rPr>
              <w:t xml:space="preserve">Dose </w:t>
            </w:r>
            <w:r w:rsidR="007109AC">
              <w:rPr>
                <w:i/>
              </w:rPr>
              <w:t>forms</w:t>
            </w:r>
            <w:r>
              <w:rPr>
                <w:i/>
              </w:rPr>
              <w:t>:</w:t>
            </w:r>
          </w:p>
        </w:tc>
        <w:tc>
          <w:tcPr>
            <w:tcW w:w="6307" w:type="dxa"/>
          </w:tcPr>
          <w:p w14:paraId="2A17CF24" w14:textId="77777777" w:rsidR="008E7846" w:rsidRPr="00487162" w:rsidRDefault="00D15906" w:rsidP="00D15906">
            <w:r>
              <w:t>Capsules, Powder for injection</w:t>
            </w:r>
          </w:p>
        </w:tc>
      </w:tr>
      <w:tr w:rsidR="008E7846" w:rsidRPr="00487162" w14:paraId="791F37D7" w14:textId="77777777" w:rsidTr="00BF1190">
        <w:tc>
          <w:tcPr>
            <w:tcW w:w="2907" w:type="dxa"/>
          </w:tcPr>
          <w:p w14:paraId="365E237E" w14:textId="607B7BCE" w:rsidR="008E7846" w:rsidRPr="00487162" w:rsidRDefault="007109AC" w:rsidP="00E45619">
            <w:pPr>
              <w:rPr>
                <w:i/>
              </w:rPr>
            </w:pPr>
            <w:r>
              <w:rPr>
                <w:i/>
              </w:rPr>
              <w:t>Strengths:</w:t>
            </w:r>
          </w:p>
        </w:tc>
        <w:tc>
          <w:tcPr>
            <w:tcW w:w="6307" w:type="dxa"/>
          </w:tcPr>
          <w:p w14:paraId="548478E8" w14:textId="77777777" w:rsidR="008E7846" w:rsidRPr="00487162" w:rsidRDefault="00D15906" w:rsidP="00D15906">
            <w:r>
              <w:t>100 mg capsules, 200 mg powder for injection</w:t>
            </w:r>
          </w:p>
        </w:tc>
      </w:tr>
      <w:tr w:rsidR="008E7846" w:rsidRPr="00487162" w14:paraId="53AFBA62" w14:textId="77777777" w:rsidTr="00BF1190">
        <w:tc>
          <w:tcPr>
            <w:tcW w:w="2907" w:type="dxa"/>
          </w:tcPr>
          <w:p w14:paraId="3DAE31F6" w14:textId="3FEE3CC1" w:rsidR="008E7846" w:rsidRPr="00487162" w:rsidRDefault="007109AC" w:rsidP="00E45619">
            <w:pPr>
              <w:rPr>
                <w:i/>
              </w:rPr>
            </w:pPr>
            <w:r>
              <w:rPr>
                <w:i/>
              </w:rPr>
              <w:t>Containers</w:t>
            </w:r>
            <w:r w:rsidR="008E7846" w:rsidRPr="00487162">
              <w:rPr>
                <w:i/>
              </w:rPr>
              <w:t>:</w:t>
            </w:r>
          </w:p>
        </w:tc>
        <w:tc>
          <w:tcPr>
            <w:tcW w:w="6307" w:type="dxa"/>
          </w:tcPr>
          <w:p w14:paraId="5EBF71C6" w14:textId="77777777" w:rsidR="008E7846" w:rsidRDefault="008E1FFD" w:rsidP="00E45619">
            <w:r>
              <w:t>Powder for injection: 10 mL type I glass vial</w:t>
            </w:r>
          </w:p>
          <w:p w14:paraId="717C96BD" w14:textId="5D14F345" w:rsidR="008E1FFD" w:rsidRPr="00487162" w:rsidRDefault="007109AC" w:rsidP="00E45619">
            <w:r>
              <w:t xml:space="preserve">Capsules: </w:t>
            </w:r>
            <w:r w:rsidR="008E1FFD">
              <w:t>aluminium/aluminium blister pack</w:t>
            </w:r>
          </w:p>
        </w:tc>
      </w:tr>
      <w:tr w:rsidR="008E7846" w:rsidRPr="00487162" w14:paraId="30D6ABA1" w14:textId="77777777" w:rsidTr="00BF1190">
        <w:tc>
          <w:tcPr>
            <w:tcW w:w="2907" w:type="dxa"/>
          </w:tcPr>
          <w:p w14:paraId="178E26D5" w14:textId="1475BDAE" w:rsidR="008E7846" w:rsidRPr="00487162" w:rsidRDefault="007109AC" w:rsidP="00E45619">
            <w:pPr>
              <w:rPr>
                <w:i/>
              </w:rPr>
            </w:pPr>
            <w:r>
              <w:rPr>
                <w:i/>
              </w:rPr>
              <w:t>Pack sizes</w:t>
            </w:r>
            <w:r w:rsidR="008E7846" w:rsidRPr="00487162">
              <w:rPr>
                <w:i/>
              </w:rPr>
              <w:t>:</w:t>
            </w:r>
          </w:p>
        </w:tc>
        <w:tc>
          <w:tcPr>
            <w:tcW w:w="6307" w:type="dxa"/>
          </w:tcPr>
          <w:p w14:paraId="66C864FA" w14:textId="716B062B" w:rsidR="008E1FFD" w:rsidRPr="00487162" w:rsidRDefault="00F17F21" w:rsidP="00E45619">
            <w:r>
              <w:t xml:space="preserve">Single vial; </w:t>
            </w:r>
            <w:r w:rsidR="008E1FFD">
              <w:t>14 capsule blister pack</w:t>
            </w:r>
          </w:p>
        </w:tc>
      </w:tr>
      <w:tr w:rsidR="008E7846" w:rsidRPr="00487162" w14:paraId="44E93B1D" w14:textId="77777777" w:rsidTr="00BF1190">
        <w:tc>
          <w:tcPr>
            <w:tcW w:w="2907" w:type="dxa"/>
          </w:tcPr>
          <w:p w14:paraId="36830D0A"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5C981265" w14:textId="77777777" w:rsidR="001A0D58" w:rsidRPr="009C2083" w:rsidRDefault="001A0D58" w:rsidP="001A0D58">
            <w:pPr>
              <w:rPr>
                <w:i/>
              </w:rPr>
            </w:pPr>
            <w:proofErr w:type="spellStart"/>
            <w:r w:rsidRPr="009C2083">
              <w:rPr>
                <w:i/>
              </w:rPr>
              <w:t>Cresemba</w:t>
            </w:r>
            <w:proofErr w:type="spellEnd"/>
            <w:r w:rsidRPr="009C2083">
              <w:rPr>
                <w:i/>
              </w:rPr>
              <w:t xml:space="preserve"> is indicated in adults for the treatment of</w:t>
            </w:r>
          </w:p>
          <w:p w14:paraId="51069DC2" w14:textId="77777777" w:rsidR="001A0D58" w:rsidRPr="009C2083" w:rsidRDefault="001A0D58" w:rsidP="00AE3AF6">
            <w:pPr>
              <w:pStyle w:val="ListBullet"/>
              <w:spacing w:line="240" w:lineRule="auto"/>
              <w:ind w:left="357" w:hanging="357"/>
              <w:rPr>
                <w:i/>
              </w:rPr>
            </w:pPr>
            <w:r w:rsidRPr="009C2083">
              <w:rPr>
                <w:i/>
              </w:rPr>
              <w:t xml:space="preserve">invasive </w:t>
            </w:r>
            <w:proofErr w:type="spellStart"/>
            <w:r w:rsidRPr="009C2083">
              <w:rPr>
                <w:i/>
              </w:rPr>
              <w:t>aspergillosis</w:t>
            </w:r>
            <w:proofErr w:type="spellEnd"/>
          </w:p>
          <w:p w14:paraId="05DEF8FE" w14:textId="77777777" w:rsidR="001A0D58" w:rsidRPr="009C2083" w:rsidRDefault="001A0D58" w:rsidP="00AE3AF6">
            <w:pPr>
              <w:pStyle w:val="ListBullet"/>
              <w:spacing w:line="240" w:lineRule="auto"/>
              <w:ind w:left="357" w:hanging="357"/>
              <w:rPr>
                <w:i/>
              </w:rPr>
            </w:pPr>
            <w:proofErr w:type="spellStart"/>
            <w:r w:rsidRPr="009C2083">
              <w:rPr>
                <w:i/>
              </w:rPr>
              <w:t>mucormycosis</w:t>
            </w:r>
            <w:proofErr w:type="spellEnd"/>
            <w:r w:rsidRPr="009C2083">
              <w:rPr>
                <w:i/>
              </w:rPr>
              <w:t xml:space="preserve"> in patients for whom amphotericin B is inappropriate (see Section 4.4 Special warnings and precautions for use and Section 5.1 </w:t>
            </w:r>
            <w:proofErr w:type="spellStart"/>
            <w:r w:rsidRPr="009C2083">
              <w:rPr>
                <w:i/>
              </w:rPr>
              <w:t>Pharmacodynamic</w:t>
            </w:r>
            <w:proofErr w:type="spellEnd"/>
            <w:r w:rsidRPr="009C2083">
              <w:rPr>
                <w:i/>
              </w:rPr>
              <w:t xml:space="preserve"> properties)</w:t>
            </w:r>
          </w:p>
          <w:p w14:paraId="5602CFC2" w14:textId="77777777" w:rsidR="008E7846" w:rsidRPr="00487162" w:rsidRDefault="001A0D58" w:rsidP="00DD5DF5">
            <w:pPr>
              <w:pStyle w:val="ListBullet"/>
              <w:numPr>
                <w:ilvl w:val="0"/>
                <w:numId w:val="0"/>
              </w:numPr>
              <w:rPr>
                <w:rFonts w:eastAsia="MS Mincho"/>
                <w:lang w:eastAsia="ja-JP"/>
              </w:rPr>
            </w:pPr>
            <w:r w:rsidRPr="009C2083">
              <w:rPr>
                <w:i/>
              </w:rPr>
              <w:t>Consideration should be given to official guidance on the appropriate use of antifungal agents.</w:t>
            </w:r>
          </w:p>
        </w:tc>
      </w:tr>
      <w:tr w:rsidR="008E7846" w:rsidRPr="00487162" w14:paraId="73F894B9" w14:textId="77777777" w:rsidTr="00BF1190">
        <w:tc>
          <w:tcPr>
            <w:tcW w:w="2907" w:type="dxa"/>
          </w:tcPr>
          <w:p w14:paraId="428DA81E" w14:textId="269123BB" w:rsidR="008E7846" w:rsidRPr="00487162" w:rsidRDefault="007109AC" w:rsidP="00E45619">
            <w:pPr>
              <w:rPr>
                <w:i/>
              </w:rPr>
            </w:pPr>
            <w:r>
              <w:rPr>
                <w:i/>
              </w:rPr>
              <w:t>Routes</w:t>
            </w:r>
            <w:r w:rsidR="008E7846" w:rsidRPr="00487162">
              <w:rPr>
                <w:i/>
              </w:rPr>
              <w:t xml:space="preserve"> of administration:</w:t>
            </w:r>
          </w:p>
        </w:tc>
        <w:tc>
          <w:tcPr>
            <w:tcW w:w="6307" w:type="dxa"/>
          </w:tcPr>
          <w:p w14:paraId="4F7765E8" w14:textId="77777777" w:rsidR="008E7846" w:rsidRDefault="003C2478" w:rsidP="00E45619">
            <w:r>
              <w:t>Capsules taken orally</w:t>
            </w:r>
          </w:p>
          <w:p w14:paraId="328D5B69" w14:textId="1644DA77" w:rsidR="003C2478" w:rsidRPr="00487162" w:rsidRDefault="003C2478" w:rsidP="00DD5DF5">
            <w:r>
              <w:t xml:space="preserve">Powder for injection reconstituted as a concentrate for dilution and </w:t>
            </w:r>
            <w:r w:rsidR="00E63208">
              <w:t xml:space="preserve">intravenous </w:t>
            </w:r>
            <w:r>
              <w:t>infusion</w:t>
            </w:r>
          </w:p>
        </w:tc>
      </w:tr>
      <w:tr w:rsidR="008E7846" w:rsidRPr="00487162" w14:paraId="66243F40" w14:textId="77777777" w:rsidTr="00BF1190">
        <w:tc>
          <w:tcPr>
            <w:tcW w:w="2907" w:type="dxa"/>
          </w:tcPr>
          <w:p w14:paraId="226E6549" w14:textId="77777777" w:rsidR="008E7846" w:rsidRPr="00487162" w:rsidRDefault="008E7846" w:rsidP="007109AC">
            <w:pPr>
              <w:pageBreakBefore/>
              <w:rPr>
                <w:i/>
              </w:rPr>
            </w:pPr>
            <w:r w:rsidRPr="00487162">
              <w:rPr>
                <w:i/>
              </w:rPr>
              <w:lastRenderedPageBreak/>
              <w:t>Dosage:</w:t>
            </w:r>
          </w:p>
        </w:tc>
        <w:tc>
          <w:tcPr>
            <w:tcW w:w="6307" w:type="dxa"/>
          </w:tcPr>
          <w:p w14:paraId="0030608A" w14:textId="77777777" w:rsidR="003C2478" w:rsidRDefault="003C2478" w:rsidP="00FA6C78">
            <w:r w:rsidRPr="00FA6C78">
              <w:rPr>
                <w:i/>
              </w:rPr>
              <w:t>Loading dose</w:t>
            </w:r>
            <w:r>
              <w:t>: 200</w:t>
            </w:r>
            <w:r w:rsidR="00DD5DF5">
              <w:t xml:space="preserve"> </w:t>
            </w:r>
            <w:r>
              <w:t xml:space="preserve">mg </w:t>
            </w:r>
            <w:proofErr w:type="spellStart"/>
            <w:r>
              <w:t>isavuconazole</w:t>
            </w:r>
            <w:proofErr w:type="spellEnd"/>
            <w:r>
              <w:t xml:space="preserve"> every 8 hours for the first 48 hours</w:t>
            </w:r>
          </w:p>
          <w:p w14:paraId="4F706AD5" w14:textId="77777777" w:rsidR="008E7846" w:rsidRDefault="003C2478" w:rsidP="00FA6C78">
            <w:r w:rsidRPr="00FA6C78">
              <w:rPr>
                <w:i/>
              </w:rPr>
              <w:t>Maintenance dose</w:t>
            </w:r>
            <w:r>
              <w:t>: 200</w:t>
            </w:r>
            <w:r w:rsidR="00DD5DF5">
              <w:t xml:space="preserve"> </w:t>
            </w:r>
            <w:r>
              <w:t xml:space="preserve">mg </w:t>
            </w:r>
            <w:proofErr w:type="spellStart"/>
            <w:r w:rsidR="006627F1">
              <w:t>isavuconazole</w:t>
            </w:r>
            <w:proofErr w:type="spellEnd"/>
            <w:r w:rsidR="006627F1">
              <w:t xml:space="preserve"> </w:t>
            </w:r>
            <w:r>
              <w:t>daily</w:t>
            </w:r>
            <w:r w:rsidR="006627F1">
              <w:t>.</w:t>
            </w:r>
          </w:p>
          <w:p w14:paraId="5AF43864" w14:textId="16D01841" w:rsidR="006627F1" w:rsidRPr="006627F1" w:rsidRDefault="006627F1" w:rsidP="00FA6C78">
            <w:r>
              <w:t>For further dosage instructions, refer to the Product Information.</w:t>
            </w:r>
          </w:p>
        </w:tc>
      </w:tr>
    </w:tbl>
    <w:p w14:paraId="179B6A32" w14:textId="26BF4619" w:rsidR="008E7846" w:rsidRDefault="008E7846" w:rsidP="00FA6C78">
      <w:pPr>
        <w:pStyle w:val="Heading3"/>
        <w:pageBreakBefore/>
      </w:pPr>
      <w:bookmarkStart w:id="13" w:name="_Toc247691503"/>
      <w:bookmarkStart w:id="14" w:name="_Toc314842484"/>
      <w:bookmarkStart w:id="15" w:name="_Toc30577086"/>
      <w:r>
        <w:lastRenderedPageBreak/>
        <w:t>Product background</w:t>
      </w:r>
      <w:bookmarkEnd w:id="13"/>
      <w:bookmarkEnd w:id="14"/>
      <w:bookmarkEnd w:id="15"/>
    </w:p>
    <w:p w14:paraId="4045C1E0" w14:textId="6A328DDD" w:rsidR="008E7846" w:rsidRDefault="00940A89" w:rsidP="00940A89">
      <w:r w:rsidRPr="00940A89">
        <w:t xml:space="preserve">This AusPAR describes the application by </w:t>
      </w:r>
      <w:r w:rsidR="007109AC">
        <w:t>Pfizer Australia Pty. Ltd. (</w:t>
      </w:r>
      <w:r w:rsidRPr="00940A89">
        <w:t>the sponsor</w:t>
      </w:r>
      <w:r w:rsidR="007109AC">
        <w:t>)</w:t>
      </w:r>
      <w:r w:rsidRPr="00940A89">
        <w:t xml:space="preserve"> to register </w:t>
      </w:r>
      <w:proofErr w:type="spellStart"/>
      <w:r w:rsidR="00EC4B26">
        <w:t>Cresemba</w:t>
      </w:r>
      <w:proofErr w:type="spellEnd"/>
      <w:r w:rsidR="007109AC">
        <w:t>,</w:t>
      </w:r>
      <w:r w:rsidR="00EC4B26">
        <w:t xml:space="preserve"> </w:t>
      </w:r>
      <w:proofErr w:type="spellStart"/>
      <w:r w:rsidR="007109AC">
        <w:t>isavuconazole</w:t>
      </w:r>
      <w:proofErr w:type="spellEnd"/>
      <w:r w:rsidR="007109AC">
        <w:t xml:space="preserve"> (as </w:t>
      </w:r>
      <w:proofErr w:type="spellStart"/>
      <w:r w:rsidR="007109AC">
        <w:t>sulfate</w:t>
      </w:r>
      <w:proofErr w:type="spellEnd"/>
      <w:r w:rsidR="007109AC">
        <w:t xml:space="preserve">) 100 mg capsules and 200 mg powder for injection </w:t>
      </w:r>
      <w:r w:rsidR="00E63208">
        <w:t xml:space="preserve">for intravenous infusion; </w:t>
      </w:r>
      <w:r w:rsidR="00EC4B26">
        <w:t>for the following indication:</w:t>
      </w:r>
    </w:p>
    <w:p w14:paraId="4F2B93AD" w14:textId="77777777" w:rsidR="00762456" w:rsidRDefault="00EC4B26" w:rsidP="009312DE">
      <w:pPr>
        <w:ind w:left="360"/>
        <w:rPr>
          <w:i/>
        </w:rPr>
      </w:pPr>
      <w:r w:rsidRPr="009312DE">
        <w:rPr>
          <w:i/>
        </w:rPr>
        <w:t>For the treatment of</w:t>
      </w:r>
    </w:p>
    <w:p w14:paraId="55CD43DD" w14:textId="77777777" w:rsidR="00EC4B26" w:rsidRPr="009312DE" w:rsidRDefault="00EC4B26" w:rsidP="009312DE">
      <w:pPr>
        <w:pStyle w:val="ListBullet2"/>
        <w:ind w:left="1080"/>
        <w:rPr>
          <w:i/>
        </w:rPr>
      </w:pPr>
      <w:bookmarkStart w:id="16" w:name="_Toc314842485"/>
      <w:bookmarkStart w:id="17" w:name="_Toc247691504"/>
      <w:r w:rsidRPr="009312DE">
        <w:rPr>
          <w:i/>
        </w:rPr>
        <w:t xml:space="preserve">invasive </w:t>
      </w:r>
      <w:proofErr w:type="spellStart"/>
      <w:r w:rsidRPr="009312DE">
        <w:rPr>
          <w:i/>
        </w:rPr>
        <w:t>aspergillosis</w:t>
      </w:r>
      <w:proofErr w:type="spellEnd"/>
    </w:p>
    <w:p w14:paraId="3EB16454" w14:textId="77777777" w:rsidR="00EC4B26" w:rsidRDefault="00EC4B26" w:rsidP="009312DE">
      <w:pPr>
        <w:pStyle w:val="ListBullet2"/>
        <w:ind w:left="1080"/>
        <w:rPr>
          <w:i/>
        </w:rPr>
      </w:pPr>
      <w:proofErr w:type="spellStart"/>
      <w:r w:rsidRPr="009312DE">
        <w:rPr>
          <w:i/>
        </w:rPr>
        <w:t>mucormycosis</w:t>
      </w:r>
      <w:proofErr w:type="spellEnd"/>
      <w:r w:rsidRPr="009312DE">
        <w:rPr>
          <w:i/>
        </w:rPr>
        <w:t xml:space="preserve"> in patients for whom amphotericin B is inappropriate</w:t>
      </w:r>
    </w:p>
    <w:p w14:paraId="3662CBB3" w14:textId="1B6C4326" w:rsidR="00EC4B26" w:rsidRDefault="00915DA0" w:rsidP="00915DA0">
      <w:pPr>
        <w:pStyle w:val="FigureTitle"/>
      </w:pPr>
      <w:r>
        <w:t xml:space="preserve">Figure 1: Molecular structure of </w:t>
      </w:r>
      <w:proofErr w:type="spellStart"/>
      <w:r w:rsidR="006627F1">
        <w:t>i</w:t>
      </w:r>
      <w:r>
        <w:t>savuconazole</w:t>
      </w:r>
      <w:proofErr w:type="spellEnd"/>
      <w:r>
        <w:t xml:space="preserve"> </w:t>
      </w:r>
      <w:proofErr w:type="spellStart"/>
      <w:r>
        <w:t>sulfate</w:t>
      </w:r>
      <w:proofErr w:type="spellEnd"/>
    </w:p>
    <w:p w14:paraId="072D5C0F" w14:textId="1309EEE2" w:rsidR="00EC4B26" w:rsidRDefault="00EC4B26" w:rsidP="009F1064">
      <w:r w:rsidRPr="009F1064">
        <w:rPr>
          <w:noProof/>
          <w:lang w:eastAsia="en-AU"/>
        </w:rPr>
        <w:drawing>
          <wp:inline distT="0" distB="0" distL="0" distR="0" wp14:anchorId="29F8D8F2" wp14:editId="2988DCB2">
            <wp:extent cx="2743200" cy="1560848"/>
            <wp:effectExtent l="0" t="0" r="0" b="1270"/>
            <wp:docPr id="3" name="Picture 3" descr="Molecular structure of Isavuconazole sulf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1559" cy="1559914"/>
                    </a:xfrm>
                    <a:prstGeom prst="rect">
                      <a:avLst/>
                    </a:prstGeom>
                    <a:noFill/>
                    <a:ln>
                      <a:noFill/>
                    </a:ln>
                  </pic:spPr>
                </pic:pic>
              </a:graphicData>
            </a:graphic>
          </wp:inline>
        </w:drawing>
      </w:r>
    </w:p>
    <w:p w14:paraId="7F1E143D" w14:textId="3C282C80" w:rsidR="009F1064" w:rsidRDefault="009F1064" w:rsidP="009F1064">
      <w:pPr>
        <w:pStyle w:val="TableDescription"/>
      </w:pPr>
      <w:r>
        <w:t xml:space="preserve">CAS no. </w:t>
      </w:r>
      <w:r w:rsidRPr="008E1FFD">
        <w:t>946075-13-4</w:t>
      </w:r>
    </w:p>
    <w:p w14:paraId="7231709B" w14:textId="01489C23" w:rsidR="00762456" w:rsidRDefault="00EC4B26" w:rsidP="00EC4B26">
      <w:proofErr w:type="spellStart"/>
      <w:r>
        <w:t>I</w:t>
      </w:r>
      <w:r w:rsidR="00340716" w:rsidRPr="00340716">
        <w:t>savuconazonium</w:t>
      </w:r>
      <w:proofErr w:type="spellEnd"/>
      <w:r w:rsidR="00340716" w:rsidRPr="00340716">
        <w:t xml:space="preserve"> </w:t>
      </w:r>
      <w:r>
        <w:t xml:space="preserve">sulphate </w:t>
      </w:r>
      <w:r w:rsidR="00DD5DF5">
        <w:t>is</w:t>
      </w:r>
      <w:r w:rsidR="00340716" w:rsidRPr="00340716">
        <w:t xml:space="preserve"> a </w:t>
      </w:r>
      <w:proofErr w:type="spellStart"/>
      <w:r w:rsidR="00340716" w:rsidRPr="00340716">
        <w:t>triazole</w:t>
      </w:r>
      <w:proofErr w:type="spellEnd"/>
      <w:r w:rsidR="00340716" w:rsidRPr="00340716">
        <w:t xml:space="preserve"> antifungal </w:t>
      </w:r>
      <w:r>
        <w:t>agent.</w:t>
      </w:r>
      <w:r w:rsidR="00340716" w:rsidRPr="00340716">
        <w:t xml:space="preserve"> The application previously received an </w:t>
      </w:r>
      <w:r w:rsidR="006627F1">
        <w:t>O</w:t>
      </w:r>
      <w:r w:rsidR="006627F1" w:rsidRPr="00340716">
        <w:t xml:space="preserve">rphan </w:t>
      </w:r>
      <w:r w:rsidR="006627F1">
        <w:t>d</w:t>
      </w:r>
      <w:r w:rsidR="00340716" w:rsidRPr="00340716">
        <w:t>rug designation by the TGA in October 2015.</w:t>
      </w:r>
    </w:p>
    <w:p w14:paraId="6DB9DD3F" w14:textId="77777777" w:rsidR="00762456" w:rsidRDefault="00340716" w:rsidP="00340716">
      <w:proofErr w:type="spellStart"/>
      <w:r w:rsidRPr="00340716">
        <w:t>Isavuconazonium</w:t>
      </w:r>
      <w:proofErr w:type="spellEnd"/>
      <w:r w:rsidRPr="00340716">
        <w:t xml:space="preserve"> </w:t>
      </w:r>
      <w:proofErr w:type="spellStart"/>
      <w:r w:rsidRPr="00340716">
        <w:t>sulfate</w:t>
      </w:r>
      <w:proofErr w:type="spellEnd"/>
      <w:r w:rsidRPr="00340716">
        <w:t xml:space="preserve"> is a water-soluble prodrug that may be administered as an intravenous infusion or orally as hard capsules. Following administration, </w:t>
      </w:r>
      <w:proofErr w:type="spellStart"/>
      <w:r w:rsidRPr="00340716">
        <w:t>isavuconaz</w:t>
      </w:r>
      <w:r w:rsidR="00C0793F">
        <w:t>ole</w:t>
      </w:r>
      <w:proofErr w:type="spellEnd"/>
      <w:r w:rsidRPr="00340716">
        <w:t xml:space="preserve"> </w:t>
      </w:r>
      <w:proofErr w:type="spellStart"/>
      <w:r w:rsidRPr="00340716">
        <w:t>sulfate</w:t>
      </w:r>
      <w:proofErr w:type="spellEnd"/>
      <w:r w:rsidRPr="00340716">
        <w:t xml:space="preserve"> is rapidly hydrolysed by plasma </w:t>
      </w:r>
      <w:proofErr w:type="spellStart"/>
      <w:r w:rsidRPr="00340716">
        <w:t>esterases</w:t>
      </w:r>
      <w:proofErr w:type="spellEnd"/>
      <w:r w:rsidRPr="00340716">
        <w:t xml:space="preserve"> to the active moiety </w:t>
      </w:r>
      <w:proofErr w:type="spellStart"/>
      <w:r w:rsidRPr="00340716">
        <w:t>isavuconazole</w:t>
      </w:r>
      <w:proofErr w:type="spellEnd"/>
      <w:r w:rsidRPr="00340716">
        <w:t>.</w:t>
      </w:r>
    </w:p>
    <w:p w14:paraId="0E69AC4E" w14:textId="2AF3BB6E" w:rsidR="00340716" w:rsidRDefault="00340716" w:rsidP="00340716">
      <w:pPr>
        <w:rPr>
          <w:bCs/>
        </w:rPr>
      </w:pPr>
      <w:proofErr w:type="spellStart"/>
      <w:r w:rsidRPr="00340716">
        <w:t>Isavuconazole</w:t>
      </w:r>
      <w:proofErr w:type="spellEnd"/>
      <w:r w:rsidRPr="00340716">
        <w:t xml:space="preserve"> exhibits a fungicidal effect by blocking the synthesis of </w:t>
      </w:r>
      <w:proofErr w:type="spellStart"/>
      <w:r w:rsidRPr="00340716">
        <w:t>ergosterol</w:t>
      </w:r>
      <w:proofErr w:type="spellEnd"/>
      <w:r w:rsidRPr="00340716">
        <w:t>, a key</w:t>
      </w:r>
      <w:r>
        <w:t xml:space="preserve"> </w:t>
      </w:r>
      <w:r w:rsidRPr="00340716">
        <w:t>component of the fungal cell membrane, through the inhibition of cytochrome P450</w:t>
      </w:r>
      <w:r w:rsidR="006627F1">
        <w:t xml:space="preserve"> (CYP)</w:t>
      </w:r>
      <w:r w:rsidR="00C0793F">
        <w:t xml:space="preserve"> </w:t>
      </w:r>
      <w:r w:rsidRPr="00340716">
        <w:t xml:space="preserve">dependent enzyme </w:t>
      </w:r>
      <w:proofErr w:type="spellStart"/>
      <w:r w:rsidRPr="00340716">
        <w:t>lanosterol</w:t>
      </w:r>
      <w:proofErr w:type="spellEnd"/>
      <w:r w:rsidRPr="00340716">
        <w:t xml:space="preserve"> 14-alpha-demethylase, responsible for the conversion of</w:t>
      </w:r>
      <w:r>
        <w:t xml:space="preserve"> </w:t>
      </w:r>
      <w:proofErr w:type="spellStart"/>
      <w:r w:rsidRPr="00340716">
        <w:t>lanosterol</w:t>
      </w:r>
      <w:proofErr w:type="spellEnd"/>
      <w:r w:rsidRPr="00340716">
        <w:t xml:space="preserve"> to </w:t>
      </w:r>
      <w:proofErr w:type="spellStart"/>
      <w:r w:rsidRPr="00340716">
        <w:t>ergosterol</w:t>
      </w:r>
      <w:proofErr w:type="spellEnd"/>
      <w:r w:rsidRPr="00340716">
        <w:t>. This leads to accumulation of methylated sterol precursors and a</w:t>
      </w:r>
      <w:r>
        <w:t xml:space="preserve"> </w:t>
      </w:r>
      <w:r w:rsidRPr="00340716">
        <w:t xml:space="preserve">depletion of </w:t>
      </w:r>
      <w:proofErr w:type="spellStart"/>
      <w:r w:rsidRPr="00340716">
        <w:t>ergosterol</w:t>
      </w:r>
      <w:proofErr w:type="spellEnd"/>
      <w:r w:rsidRPr="00340716">
        <w:t xml:space="preserve"> within the cell membrane, weakening the structure and function</w:t>
      </w:r>
      <w:r>
        <w:t xml:space="preserve"> </w:t>
      </w:r>
      <w:r w:rsidRPr="00340716">
        <w:rPr>
          <w:bCs/>
        </w:rPr>
        <w:t>of the fungal cell membrane</w:t>
      </w:r>
      <w:r w:rsidR="00D91BC0">
        <w:rPr>
          <w:bCs/>
        </w:rPr>
        <w:t>.</w:t>
      </w:r>
    </w:p>
    <w:p w14:paraId="0703EDE7" w14:textId="77777777" w:rsidR="00D91BC0" w:rsidRPr="00D91BC0" w:rsidRDefault="00D91BC0" w:rsidP="001623CA">
      <w:pPr>
        <w:pStyle w:val="Heading4"/>
      </w:pPr>
      <w:r w:rsidRPr="00D91BC0">
        <w:t xml:space="preserve">Invasive </w:t>
      </w:r>
      <w:proofErr w:type="spellStart"/>
      <w:r w:rsidRPr="00D91BC0">
        <w:t>aspergillosis</w:t>
      </w:r>
      <w:proofErr w:type="spellEnd"/>
    </w:p>
    <w:p w14:paraId="3CCA67EC" w14:textId="76130738" w:rsidR="00762456" w:rsidRDefault="00D91BC0" w:rsidP="00D91BC0">
      <w:r w:rsidRPr="00D91BC0">
        <w:t xml:space="preserve">Invasive </w:t>
      </w:r>
      <w:proofErr w:type="spellStart"/>
      <w:r w:rsidRPr="00D91BC0">
        <w:t>aspergillosis</w:t>
      </w:r>
      <w:proofErr w:type="spellEnd"/>
      <w:r w:rsidRPr="00D91BC0">
        <w:t xml:space="preserve"> is the most frequent invasive mould disease in </w:t>
      </w:r>
      <w:r w:rsidR="008E0812">
        <w:t xml:space="preserve">immune </w:t>
      </w:r>
      <w:r w:rsidRPr="00D91BC0">
        <w:t xml:space="preserve">compromised patients, particularly those with haematological malignancy and solid organ transplants or </w:t>
      </w:r>
      <w:proofErr w:type="spellStart"/>
      <w:r w:rsidRPr="00D91BC0">
        <w:t>haemopoietic</w:t>
      </w:r>
      <w:proofErr w:type="spellEnd"/>
      <w:r w:rsidRPr="00D91BC0">
        <w:t xml:space="preserve"> stem cell </w:t>
      </w:r>
      <w:proofErr w:type="spellStart"/>
      <w:r w:rsidRPr="00D91BC0">
        <w:t>transplantion</w:t>
      </w:r>
      <w:bookmarkStart w:id="18" w:name="_Ref17883749"/>
      <w:proofErr w:type="spellEnd"/>
      <w:r w:rsidR="00C80C93">
        <w:t xml:space="preserve"> (HSCT)</w:t>
      </w:r>
      <w:r w:rsidR="00E63208">
        <w:t>.</w:t>
      </w:r>
      <w:r w:rsidR="00032895">
        <w:rPr>
          <w:rStyle w:val="FootnoteReference"/>
        </w:rPr>
        <w:footnoteReference w:id="1"/>
      </w:r>
      <w:bookmarkEnd w:id="18"/>
      <w:r w:rsidRPr="00D91BC0">
        <w:t xml:space="preserve"> Risk factors include prolonged </w:t>
      </w:r>
      <w:proofErr w:type="spellStart"/>
      <w:r w:rsidRPr="00D91BC0">
        <w:t>neutrop</w:t>
      </w:r>
      <w:r w:rsidR="00C80C93">
        <w:t>a</w:t>
      </w:r>
      <w:r w:rsidRPr="00D91BC0">
        <w:t>enia</w:t>
      </w:r>
      <w:proofErr w:type="spellEnd"/>
      <w:r w:rsidRPr="00D91BC0">
        <w:t>, solid organ transplantation, HSCT (especially when complicated by graft</w:t>
      </w:r>
      <w:r w:rsidR="008E0812">
        <w:t xml:space="preserve"> </w:t>
      </w:r>
      <w:r w:rsidRPr="00D91BC0">
        <w:t>versus</w:t>
      </w:r>
      <w:r w:rsidR="008E0812">
        <w:t xml:space="preserve"> </w:t>
      </w:r>
      <w:r w:rsidRPr="00D91BC0">
        <w:t xml:space="preserve">host disease), high-dose corticosteroids, iron overload and infection with </w:t>
      </w:r>
      <w:proofErr w:type="spellStart"/>
      <w:r w:rsidRPr="00D91BC0">
        <w:t>immunomodulating</w:t>
      </w:r>
      <w:proofErr w:type="spellEnd"/>
      <w:r w:rsidRPr="00D91BC0">
        <w:t xml:space="preserve"> viruses, such as cytomegalovirus.</w:t>
      </w:r>
      <w:r w:rsidR="00032895" w:rsidRPr="00032895">
        <w:rPr>
          <w:vertAlign w:val="superscript"/>
        </w:rPr>
        <w:fldChar w:fldCharType="begin"/>
      </w:r>
      <w:r w:rsidR="00032895" w:rsidRPr="00032895">
        <w:rPr>
          <w:vertAlign w:val="superscript"/>
        </w:rPr>
        <w:instrText xml:space="preserve"> NOTEREF _Ref17883749 \h </w:instrText>
      </w:r>
      <w:r w:rsidR="00032895">
        <w:rPr>
          <w:vertAlign w:val="superscript"/>
        </w:rPr>
        <w:instrText xml:space="preserve"> \* MERGEFORMAT </w:instrText>
      </w:r>
      <w:r w:rsidR="00032895" w:rsidRPr="00032895">
        <w:rPr>
          <w:vertAlign w:val="superscript"/>
        </w:rPr>
      </w:r>
      <w:r w:rsidR="00032895" w:rsidRPr="00032895">
        <w:rPr>
          <w:vertAlign w:val="superscript"/>
        </w:rPr>
        <w:fldChar w:fldCharType="separate"/>
      </w:r>
      <w:r w:rsidR="00032895" w:rsidRPr="00032895">
        <w:rPr>
          <w:vertAlign w:val="superscript"/>
        </w:rPr>
        <w:t>1</w:t>
      </w:r>
      <w:r w:rsidR="00032895" w:rsidRPr="00032895">
        <w:rPr>
          <w:vertAlign w:val="superscript"/>
        </w:rPr>
        <w:fldChar w:fldCharType="end"/>
      </w:r>
    </w:p>
    <w:p w14:paraId="3C019AA2" w14:textId="6551FC32" w:rsidR="00D91BC0" w:rsidRPr="00D91BC0" w:rsidRDefault="00D91BC0" w:rsidP="00D91BC0">
      <w:r w:rsidRPr="00D91BC0">
        <w:t xml:space="preserve">Currently approved therapies for invasive </w:t>
      </w:r>
      <w:proofErr w:type="spellStart"/>
      <w:r w:rsidRPr="00D91BC0">
        <w:t>aspergillosis</w:t>
      </w:r>
      <w:proofErr w:type="spellEnd"/>
      <w:r w:rsidRPr="00D91BC0">
        <w:t xml:space="preserve"> in immunocompromised patients include </w:t>
      </w:r>
      <w:proofErr w:type="spellStart"/>
      <w:r w:rsidRPr="00D91BC0">
        <w:t>voriconazole</w:t>
      </w:r>
      <w:proofErr w:type="spellEnd"/>
      <w:r w:rsidRPr="00D91BC0">
        <w:t xml:space="preserve"> and liposomal amphotericin B, depending on previous antifungal prophylaxis and presence of renal or hepatic dysfunction</w:t>
      </w:r>
      <w:bookmarkStart w:id="19" w:name="_Ref17903672"/>
      <w:r w:rsidR="00C80C93">
        <w:t>.</w:t>
      </w:r>
      <w:r w:rsidR="00B5738C">
        <w:rPr>
          <w:rStyle w:val="FootnoteReference"/>
        </w:rPr>
        <w:footnoteReference w:id="2"/>
      </w:r>
      <w:bookmarkEnd w:id="19"/>
      <w:r w:rsidR="00E63208">
        <w:t xml:space="preserve"> </w:t>
      </w:r>
      <w:r w:rsidRPr="00D91BC0">
        <w:t xml:space="preserve">Therapeutic drug monitoring of </w:t>
      </w:r>
      <w:proofErr w:type="spellStart"/>
      <w:r w:rsidRPr="00D91BC0">
        <w:t>voriconazole</w:t>
      </w:r>
      <w:proofErr w:type="spellEnd"/>
      <w:r w:rsidRPr="00D91BC0">
        <w:t xml:space="preserve"> is recommended in certain situations and it displays saturable metabolism. </w:t>
      </w:r>
      <w:r w:rsidRPr="00D91BC0">
        <w:lastRenderedPageBreak/>
        <w:t xml:space="preserve">Adverse effects of </w:t>
      </w:r>
      <w:proofErr w:type="spellStart"/>
      <w:r w:rsidRPr="00D91BC0">
        <w:t>voriconazole</w:t>
      </w:r>
      <w:proofErr w:type="spellEnd"/>
      <w:r w:rsidRPr="00D91BC0">
        <w:t xml:space="preserve"> include hepatotoxicity, neurotoxicity (including visual disturbance) and potential for drug-drug interactions</w:t>
      </w:r>
      <w:r w:rsidR="00C80C93">
        <w:t>;</w:t>
      </w:r>
      <w:r w:rsidR="00B5738C" w:rsidRPr="00B5738C">
        <w:rPr>
          <w:vertAlign w:val="superscript"/>
        </w:rPr>
        <w:fldChar w:fldCharType="begin"/>
      </w:r>
      <w:r w:rsidR="00B5738C" w:rsidRPr="00B5738C">
        <w:rPr>
          <w:vertAlign w:val="superscript"/>
        </w:rPr>
        <w:instrText xml:space="preserve"> NOTEREF _Ref17903672 \h </w:instrText>
      </w:r>
      <w:r w:rsidR="00B5738C">
        <w:rPr>
          <w:vertAlign w:val="superscript"/>
        </w:rPr>
        <w:instrText xml:space="preserve"> \* MERGEFORMAT </w:instrText>
      </w:r>
      <w:r w:rsidR="00B5738C" w:rsidRPr="00B5738C">
        <w:rPr>
          <w:vertAlign w:val="superscript"/>
        </w:rPr>
      </w:r>
      <w:r w:rsidR="00B5738C" w:rsidRPr="00B5738C">
        <w:rPr>
          <w:vertAlign w:val="superscript"/>
        </w:rPr>
        <w:fldChar w:fldCharType="separate"/>
      </w:r>
      <w:r w:rsidR="00B5738C" w:rsidRPr="00B5738C">
        <w:rPr>
          <w:vertAlign w:val="superscript"/>
        </w:rPr>
        <w:t>2</w:t>
      </w:r>
      <w:r w:rsidR="00B5738C" w:rsidRPr="00B5738C">
        <w:rPr>
          <w:vertAlign w:val="superscript"/>
        </w:rPr>
        <w:fldChar w:fldCharType="end"/>
      </w:r>
      <w:r w:rsidRPr="00D91BC0">
        <w:t xml:space="preserve"> limiting its use in a number of patient populations.</w:t>
      </w:r>
    </w:p>
    <w:p w14:paraId="249600C9" w14:textId="77777777" w:rsidR="00762456" w:rsidRDefault="00D91BC0" w:rsidP="001623CA">
      <w:pPr>
        <w:pStyle w:val="Heading4"/>
      </w:pPr>
      <w:proofErr w:type="spellStart"/>
      <w:r w:rsidRPr="00D91BC0">
        <w:t>Mucormycosis</w:t>
      </w:r>
      <w:proofErr w:type="spellEnd"/>
    </w:p>
    <w:p w14:paraId="29A8E0E2" w14:textId="054C270F" w:rsidR="00762456" w:rsidRDefault="00D91BC0" w:rsidP="00D91BC0">
      <w:proofErr w:type="spellStart"/>
      <w:r w:rsidRPr="00D91BC0">
        <w:t>Mucormycosis</w:t>
      </w:r>
      <w:proofErr w:type="spellEnd"/>
      <w:r w:rsidRPr="00D91BC0">
        <w:t xml:space="preserve"> is a rare and serious infection caused by saprophytic fungi of the class </w:t>
      </w:r>
      <w:proofErr w:type="spellStart"/>
      <w:r w:rsidRPr="00E63208">
        <w:rPr>
          <w:i/>
        </w:rPr>
        <w:t>Mucormycetes</w:t>
      </w:r>
      <w:proofErr w:type="spellEnd"/>
      <w:r w:rsidRPr="00D91BC0">
        <w:t xml:space="preserve">, which are saprophytes of soil and decaying plant and vegetable matter. </w:t>
      </w:r>
      <w:proofErr w:type="spellStart"/>
      <w:r w:rsidRPr="00E63208">
        <w:rPr>
          <w:i/>
        </w:rPr>
        <w:t>Mucormycetes</w:t>
      </w:r>
      <w:proofErr w:type="spellEnd"/>
      <w:r w:rsidRPr="00E63208">
        <w:rPr>
          <w:i/>
        </w:rPr>
        <w:t xml:space="preserve"> </w:t>
      </w:r>
      <w:r w:rsidRPr="00D91BC0">
        <w:t xml:space="preserve">are further classified into two orders: </w:t>
      </w:r>
      <w:proofErr w:type="spellStart"/>
      <w:r w:rsidRPr="00E63208">
        <w:rPr>
          <w:i/>
        </w:rPr>
        <w:t>M</w:t>
      </w:r>
      <w:r w:rsidR="00E63208" w:rsidRPr="00E63208">
        <w:rPr>
          <w:i/>
        </w:rPr>
        <w:t>ucorales</w:t>
      </w:r>
      <w:proofErr w:type="spellEnd"/>
      <w:r w:rsidR="00E63208">
        <w:t xml:space="preserve"> and </w:t>
      </w:r>
      <w:proofErr w:type="spellStart"/>
      <w:r w:rsidR="00E63208" w:rsidRPr="00E63208">
        <w:rPr>
          <w:i/>
        </w:rPr>
        <w:t>Entomophthorales</w:t>
      </w:r>
      <w:proofErr w:type="spellEnd"/>
      <w:r w:rsidR="00E63208">
        <w:t xml:space="preserve">. </w:t>
      </w:r>
      <w:r w:rsidRPr="00D91BC0">
        <w:t xml:space="preserve">Risk factors for </w:t>
      </w:r>
      <w:proofErr w:type="spellStart"/>
      <w:r w:rsidRPr="00D91BC0">
        <w:t>mucormycosis</w:t>
      </w:r>
      <w:proofErr w:type="spellEnd"/>
      <w:r w:rsidRPr="00D91BC0">
        <w:t xml:space="preserve"> include poorly controlled diabetes mellitus, injecting drug use, iron</w:t>
      </w:r>
      <w:r>
        <w:t xml:space="preserve"> overload, prolonged neutropenia or corticosteroid use, major trauma, </w:t>
      </w:r>
      <w:r w:rsidR="00E63208">
        <w:t>prematurity and malnourishment.</w:t>
      </w:r>
    </w:p>
    <w:p w14:paraId="4EC80AFA" w14:textId="7EABF227" w:rsidR="00762456" w:rsidRDefault="00D91BC0" w:rsidP="00D91BC0">
      <w:r>
        <w:t xml:space="preserve">The hallmark of invasive </w:t>
      </w:r>
      <w:proofErr w:type="spellStart"/>
      <w:r>
        <w:t>mucormycosis</w:t>
      </w:r>
      <w:proofErr w:type="spellEnd"/>
      <w:r>
        <w:t xml:space="preserve"> is tissue necrosis due to </w:t>
      </w:r>
      <w:proofErr w:type="spellStart"/>
      <w:r>
        <w:t>angioinvasion</w:t>
      </w:r>
      <w:proofErr w:type="spellEnd"/>
      <w:r>
        <w:t xml:space="preserve"> and subsequent thrombosis</w:t>
      </w:r>
      <w:bookmarkStart w:id="20" w:name="_Ref17883961"/>
      <w:r w:rsidR="00E63208">
        <w:t>.</w:t>
      </w:r>
      <w:r w:rsidR="00032895">
        <w:rPr>
          <w:rStyle w:val="FootnoteReference"/>
        </w:rPr>
        <w:footnoteReference w:id="3"/>
      </w:r>
      <w:bookmarkEnd w:id="20"/>
      <w:r>
        <w:t xml:space="preserve"> In most cases, the infection is rapidly progressive and results in death unless underlying risk factors are addressed, in addition to urgent surgical debrid</w:t>
      </w:r>
      <w:r w:rsidR="008E0812">
        <w:t>ement and antifungal therapy</w:t>
      </w:r>
      <w:r w:rsidR="00E63208">
        <w:t>.</w:t>
      </w:r>
      <w:r w:rsidR="00032895" w:rsidRPr="00032895">
        <w:rPr>
          <w:vertAlign w:val="superscript"/>
        </w:rPr>
        <w:fldChar w:fldCharType="begin"/>
      </w:r>
      <w:r w:rsidR="00032895" w:rsidRPr="00032895">
        <w:rPr>
          <w:vertAlign w:val="superscript"/>
        </w:rPr>
        <w:instrText xml:space="preserve"> NOTEREF _Ref17883961 \h </w:instrText>
      </w:r>
      <w:r w:rsidR="00032895">
        <w:rPr>
          <w:vertAlign w:val="superscript"/>
        </w:rPr>
        <w:instrText xml:space="preserve"> \* MERGEFORMAT </w:instrText>
      </w:r>
      <w:r w:rsidR="00032895" w:rsidRPr="00032895">
        <w:rPr>
          <w:vertAlign w:val="superscript"/>
        </w:rPr>
      </w:r>
      <w:r w:rsidR="00032895" w:rsidRPr="00032895">
        <w:rPr>
          <w:vertAlign w:val="superscript"/>
        </w:rPr>
        <w:fldChar w:fldCharType="separate"/>
      </w:r>
      <w:r w:rsidR="00032895" w:rsidRPr="00032895">
        <w:rPr>
          <w:vertAlign w:val="superscript"/>
        </w:rPr>
        <w:t>2</w:t>
      </w:r>
      <w:r w:rsidR="00032895" w:rsidRPr="00032895">
        <w:rPr>
          <w:vertAlign w:val="superscript"/>
        </w:rPr>
        <w:fldChar w:fldCharType="end"/>
      </w:r>
    </w:p>
    <w:p w14:paraId="6B5A0098" w14:textId="77777777" w:rsidR="00D91BC0" w:rsidRDefault="00D91BC0" w:rsidP="00D91BC0">
      <w:r>
        <w:t xml:space="preserve">Appropriate therapy for </w:t>
      </w:r>
      <w:proofErr w:type="spellStart"/>
      <w:r>
        <w:t>mucormycosis</w:t>
      </w:r>
      <w:proofErr w:type="spellEnd"/>
      <w:r>
        <w:t xml:space="preserve"> has not been defined, due to a lack of prospective clinical trial data. Lipid formulations of amphotericin B are currently preferred as first-line therapy.</w:t>
      </w:r>
      <w:r w:rsidR="00032895" w:rsidRPr="00032895">
        <w:rPr>
          <w:vertAlign w:val="superscript"/>
        </w:rPr>
        <w:fldChar w:fldCharType="begin"/>
      </w:r>
      <w:r w:rsidR="00032895" w:rsidRPr="00032895">
        <w:rPr>
          <w:vertAlign w:val="superscript"/>
        </w:rPr>
        <w:instrText xml:space="preserve"> NOTEREF _Ref17883749 \h </w:instrText>
      </w:r>
      <w:r w:rsidR="00032895">
        <w:rPr>
          <w:vertAlign w:val="superscript"/>
        </w:rPr>
        <w:instrText xml:space="preserve"> \* MERGEFORMAT </w:instrText>
      </w:r>
      <w:r w:rsidR="00032895" w:rsidRPr="00032895">
        <w:rPr>
          <w:vertAlign w:val="superscript"/>
        </w:rPr>
      </w:r>
      <w:r w:rsidR="00032895" w:rsidRPr="00032895">
        <w:rPr>
          <w:vertAlign w:val="superscript"/>
        </w:rPr>
        <w:fldChar w:fldCharType="separate"/>
      </w:r>
      <w:r w:rsidR="00032895" w:rsidRPr="00032895">
        <w:rPr>
          <w:vertAlign w:val="superscript"/>
        </w:rPr>
        <w:t>1</w:t>
      </w:r>
      <w:r w:rsidR="00032895" w:rsidRPr="00032895">
        <w:rPr>
          <w:vertAlign w:val="superscript"/>
        </w:rPr>
        <w:fldChar w:fldCharType="end"/>
      </w:r>
    </w:p>
    <w:p w14:paraId="76D5B702" w14:textId="77777777" w:rsidR="008E7846" w:rsidRPr="003F31A2" w:rsidRDefault="00386150" w:rsidP="00340716">
      <w:pPr>
        <w:pStyle w:val="Heading3"/>
      </w:pPr>
      <w:bookmarkStart w:id="21" w:name="_Toc30577087"/>
      <w:r>
        <w:t>Regulatory s</w:t>
      </w:r>
      <w:r w:rsidR="008E7846">
        <w:t>tatus</w:t>
      </w:r>
      <w:bookmarkEnd w:id="16"/>
      <w:bookmarkEnd w:id="17"/>
      <w:bookmarkEnd w:id="21"/>
    </w:p>
    <w:p w14:paraId="7FDAC83A" w14:textId="62CA9FDA" w:rsidR="00762456" w:rsidRDefault="008E1FFD" w:rsidP="008E1FFD">
      <w:bookmarkStart w:id="22" w:name="_Toc247691505"/>
      <w:bookmarkStart w:id="23" w:name="_Toc314842486"/>
      <w:r w:rsidRPr="00DD7D61">
        <w:t xml:space="preserve">This is a </w:t>
      </w:r>
      <w:r w:rsidR="00C80C93" w:rsidRPr="00DD7D61">
        <w:t>comparable overseas regulator</w:t>
      </w:r>
      <w:r w:rsidR="00C80C93">
        <w:t>s (COR)</w:t>
      </w:r>
      <w:r w:rsidRPr="00DD7D61">
        <w:t xml:space="preserve"> Type B (COR-B) submission</w:t>
      </w:r>
      <w:r w:rsidR="00C80C93">
        <w:t>;</w:t>
      </w:r>
      <w:r w:rsidR="00C80C93">
        <w:rPr>
          <w:rStyle w:val="FootnoteReference"/>
        </w:rPr>
        <w:footnoteReference w:id="4"/>
      </w:r>
      <w:r w:rsidRPr="00DD7D61">
        <w:t xml:space="preserve"> which is a recent pathway for registration of prescription medicine making use of the available comparable overseas evaluation reports, although the full dossier was also submitted to the TGA.</w:t>
      </w:r>
    </w:p>
    <w:p w14:paraId="074046B2" w14:textId="44215665" w:rsidR="008E1FFD" w:rsidRPr="00340716" w:rsidRDefault="008E1FFD" w:rsidP="008E1FFD">
      <w:r w:rsidRPr="00340716">
        <w:t xml:space="preserve">The current TGA submission was </w:t>
      </w:r>
      <w:r w:rsidRPr="00DD7D61">
        <w:t xml:space="preserve">based on the </w:t>
      </w:r>
      <w:r w:rsidR="00DD7D61" w:rsidRPr="00DD7D61">
        <w:t>comparable overseas</w:t>
      </w:r>
      <w:r w:rsidRPr="00DD7D61">
        <w:t xml:space="preserve"> evaluation reports only and not a primary evaluation of clinical</w:t>
      </w:r>
      <w:r w:rsidR="00DD7D61">
        <w:t xml:space="preserve"> data provided by the </w:t>
      </w:r>
      <w:r w:rsidR="00DD7D61" w:rsidRPr="00DD7D61">
        <w:t>s</w:t>
      </w:r>
      <w:r w:rsidR="00E63208" w:rsidRPr="00DD7D61">
        <w:t xml:space="preserve">ponsor. </w:t>
      </w:r>
      <w:r w:rsidRPr="00DD7D61">
        <w:t xml:space="preserve">New data which have not been evaluated by </w:t>
      </w:r>
      <w:r w:rsidR="00DD7D61" w:rsidRPr="00DD7D61">
        <w:t>the overseas regulator</w:t>
      </w:r>
      <w:r w:rsidRPr="00DD7D61">
        <w:t xml:space="preserve"> or data specific to the Australian context for </w:t>
      </w:r>
      <w:proofErr w:type="spellStart"/>
      <w:r w:rsidRPr="00DD7D61">
        <w:t>Cresemba</w:t>
      </w:r>
      <w:proofErr w:type="spellEnd"/>
      <w:r w:rsidRPr="00DD7D61">
        <w:t xml:space="preserve"> included the </w:t>
      </w:r>
      <w:r w:rsidR="00D70EC8">
        <w:t>Risk management plan (</w:t>
      </w:r>
      <w:r w:rsidRPr="00DD7D61">
        <w:t>RMP</w:t>
      </w:r>
      <w:r w:rsidR="00D70EC8">
        <w:t>)</w:t>
      </w:r>
      <w:r w:rsidRPr="00DD7D61">
        <w:t xml:space="preserve"> Australian Specific Annex (ASA) and the latest Periodic </w:t>
      </w:r>
      <w:r w:rsidR="00D70EC8" w:rsidRPr="00DD7D61">
        <w:t>safety update report</w:t>
      </w:r>
      <w:r w:rsidR="00D70EC8">
        <w:t xml:space="preserve"> (PSUR), PSUR</w:t>
      </w:r>
      <w:r w:rsidR="00D70EC8" w:rsidRPr="00DD7D61">
        <w:t xml:space="preserve"> </w:t>
      </w:r>
      <w:r w:rsidRPr="00DD7D61">
        <w:t>5, dated 8 May 2018.</w:t>
      </w:r>
    </w:p>
    <w:p w14:paraId="47E4C440" w14:textId="72B263A0" w:rsidR="00940A89" w:rsidRDefault="00940A89" w:rsidP="00940A89">
      <w:r w:rsidRPr="00940A89">
        <w:t>At the time the TGA considered this application, a similar application</w:t>
      </w:r>
      <w:r w:rsidR="001A0D58">
        <w:t xml:space="preserve"> had been approved /rejected or </w:t>
      </w:r>
      <w:r w:rsidRPr="00940A89">
        <w:t>was under co</w:t>
      </w:r>
      <w:r>
        <w:t>nsideration</w:t>
      </w:r>
      <w:r w:rsidR="00D70EC8">
        <w:t xml:space="preserve"> in the countries or territories as listed in Table 1, shown below</w:t>
      </w:r>
      <w:r>
        <w:t>.</w:t>
      </w:r>
    </w:p>
    <w:p w14:paraId="2E499DD3" w14:textId="77777777" w:rsidR="001623CA" w:rsidRDefault="001623CA" w:rsidP="001623CA">
      <w:pPr>
        <w:pStyle w:val="TableTitle"/>
      </w:pPr>
      <w:r>
        <w:t>Table 1: Regulatory Status</w:t>
      </w:r>
    </w:p>
    <w:tbl>
      <w:tblPr>
        <w:tblStyle w:val="TableTGAblue"/>
        <w:tblW w:w="8364" w:type="dxa"/>
        <w:tblLook w:val="04A0" w:firstRow="1" w:lastRow="0" w:firstColumn="1" w:lastColumn="0" w:noHBand="0" w:noVBand="1"/>
      </w:tblPr>
      <w:tblGrid>
        <w:gridCol w:w="1617"/>
        <w:gridCol w:w="1651"/>
        <w:gridCol w:w="5096"/>
      </w:tblGrid>
      <w:tr w:rsidR="008E1FFD" w:rsidRPr="00E63208" w14:paraId="5F4EBCAE" w14:textId="77777777" w:rsidTr="00B474D0">
        <w:trPr>
          <w:cnfStyle w:val="100000000000" w:firstRow="1" w:lastRow="0" w:firstColumn="0" w:lastColumn="0" w:oddVBand="0" w:evenVBand="0" w:oddHBand="0" w:evenHBand="0" w:firstRowFirstColumn="0" w:firstRowLastColumn="0" w:lastRowFirstColumn="0" w:lastRowLastColumn="0"/>
        </w:trPr>
        <w:tc>
          <w:tcPr>
            <w:tcW w:w="1294" w:type="dxa"/>
          </w:tcPr>
          <w:p w14:paraId="59386192" w14:textId="70A73151" w:rsidR="008E1FFD" w:rsidRPr="00E63208" w:rsidRDefault="008E1FFD" w:rsidP="00B474D0">
            <w:pPr>
              <w:rPr>
                <w:b w:val="0"/>
              </w:rPr>
            </w:pPr>
            <w:r w:rsidRPr="00E63208">
              <w:t>Country</w:t>
            </w:r>
            <w:r w:rsidR="00D70EC8">
              <w:t xml:space="preserve"> or region</w:t>
            </w:r>
          </w:p>
        </w:tc>
        <w:tc>
          <w:tcPr>
            <w:tcW w:w="1684" w:type="dxa"/>
          </w:tcPr>
          <w:p w14:paraId="63040789" w14:textId="77777777" w:rsidR="008E1FFD" w:rsidRPr="00E63208" w:rsidRDefault="001A0D58" w:rsidP="00B474D0">
            <w:pPr>
              <w:rPr>
                <w:b w:val="0"/>
              </w:rPr>
            </w:pPr>
            <w:r w:rsidRPr="00E63208">
              <w:t>Date</w:t>
            </w:r>
          </w:p>
        </w:tc>
        <w:tc>
          <w:tcPr>
            <w:tcW w:w="5386" w:type="dxa"/>
          </w:tcPr>
          <w:p w14:paraId="2CA20962" w14:textId="77777777" w:rsidR="008E1FFD" w:rsidRPr="00E63208" w:rsidRDefault="008E1FFD" w:rsidP="00B474D0">
            <w:pPr>
              <w:rPr>
                <w:b w:val="0"/>
              </w:rPr>
            </w:pPr>
            <w:r w:rsidRPr="00E63208">
              <w:t>Indication</w:t>
            </w:r>
          </w:p>
        </w:tc>
      </w:tr>
      <w:tr w:rsidR="008E1FFD" w:rsidRPr="00E63208" w14:paraId="5465352D" w14:textId="77777777" w:rsidTr="00B474D0">
        <w:tc>
          <w:tcPr>
            <w:tcW w:w="1294" w:type="dxa"/>
          </w:tcPr>
          <w:p w14:paraId="6AA9555F" w14:textId="37BD3501" w:rsidR="008E1FFD" w:rsidRPr="00E63208" w:rsidRDefault="008E1FFD" w:rsidP="00B474D0">
            <w:r w:rsidRPr="00E63208">
              <w:t>Europea</w:t>
            </w:r>
            <w:r w:rsidR="00E63208" w:rsidRPr="00E63208">
              <w:t xml:space="preserve">n Union </w:t>
            </w:r>
            <w:r w:rsidR="00D70EC8">
              <w:t xml:space="preserve">(EU) </w:t>
            </w:r>
            <w:r w:rsidR="00E63208" w:rsidRPr="00E63208">
              <w:t>(</w:t>
            </w:r>
            <w:r w:rsidR="00D70EC8">
              <w:t xml:space="preserve">via </w:t>
            </w:r>
            <w:r w:rsidR="00E63208" w:rsidRPr="00E63208">
              <w:t>centralised procedure)</w:t>
            </w:r>
          </w:p>
        </w:tc>
        <w:tc>
          <w:tcPr>
            <w:tcW w:w="1684" w:type="dxa"/>
          </w:tcPr>
          <w:p w14:paraId="7D3D0882" w14:textId="77777777" w:rsidR="008E1FFD" w:rsidRPr="00E63208" w:rsidRDefault="00762456" w:rsidP="00B474D0">
            <w:r w:rsidRPr="00E63208">
              <w:t>October 2015</w:t>
            </w:r>
          </w:p>
        </w:tc>
        <w:tc>
          <w:tcPr>
            <w:tcW w:w="5386" w:type="dxa"/>
          </w:tcPr>
          <w:p w14:paraId="02335760" w14:textId="77777777" w:rsidR="00B474D0" w:rsidRPr="00FA6C78" w:rsidRDefault="008E1FFD" w:rsidP="00B474D0">
            <w:pPr>
              <w:rPr>
                <w:i/>
              </w:rPr>
            </w:pPr>
            <w:proofErr w:type="spellStart"/>
            <w:r w:rsidRPr="00FA6C78">
              <w:rPr>
                <w:i/>
              </w:rPr>
              <w:t>C</w:t>
            </w:r>
            <w:r w:rsidR="00032895" w:rsidRPr="00FA6C78">
              <w:rPr>
                <w:i/>
              </w:rPr>
              <w:t>resemba</w:t>
            </w:r>
            <w:proofErr w:type="spellEnd"/>
            <w:r w:rsidRPr="00FA6C78">
              <w:rPr>
                <w:i/>
              </w:rPr>
              <w:t xml:space="preserve"> is indicated in adults for the treatment of</w:t>
            </w:r>
          </w:p>
          <w:p w14:paraId="2072ED94" w14:textId="7F1921D1" w:rsidR="008E1FFD" w:rsidRPr="00FA6C78" w:rsidRDefault="008E1FFD" w:rsidP="00B474D0">
            <w:pPr>
              <w:pStyle w:val="ListBullet"/>
              <w:rPr>
                <w:i/>
              </w:rPr>
            </w:pPr>
            <w:r w:rsidRPr="00FA6C78">
              <w:rPr>
                <w:i/>
              </w:rPr>
              <w:t xml:space="preserve">invasive </w:t>
            </w:r>
            <w:proofErr w:type="spellStart"/>
            <w:r w:rsidRPr="00FA6C78">
              <w:rPr>
                <w:i/>
              </w:rPr>
              <w:t>aspergillosis</w:t>
            </w:r>
            <w:proofErr w:type="spellEnd"/>
          </w:p>
          <w:p w14:paraId="7410FEA9" w14:textId="77777777" w:rsidR="008E1FFD" w:rsidRPr="00FA6C78" w:rsidRDefault="008E1FFD" w:rsidP="00B474D0">
            <w:pPr>
              <w:pStyle w:val="ListBullet"/>
              <w:rPr>
                <w:i/>
              </w:rPr>
            </w:pPr>
            <w:proofErr w:type="spellStart"/>
            <w:r w:rsidRPr="00FA6C78">
              <w:rPr>
                <w:i/>
              </w:rPr>
              <w:t>mucormycosis</w:t>
            </w:r>
            <w:proofErr w:type="spellEnd"/>
            <w:r w:rsidRPr="00FA6C78">
              <w:rPr>
                <w:i/>
              </w:rPr>
              <w:t xml:space="preserve"> in patients for whom amphotericin B is inappropriate (see sections </w:t>
            </w:r>
            <w:r w:rsidRPr="00FA6C78">
              <w:rPr>
                <w:i/>
              </w:rPr>
              <w:lastRenderedPageBreak/>
              <w:t>4.4 and 5.1)</w:t>
            </w:r>
          </w:p>
          <w:p w14:paraId="4B068691" w14:textId="77777777" w:rsidR="008E1FFD" w:rsidRPr="00E63208" w:rsidRDefault="008E1FFD" w:rsidP="00B474D0">
            <w:r w:rsidRPr="00FA6C78">
              <w:rPr>
                <w:i/>
              </w:rPr>
              <w:t>Consideration should be given to official guidance on the appropriate use of antifungal agents.</w:t>
            </w:r>
          </w:p>
        </w:tc>
      </w:tr>
      <w:tr w:rsidR="008E1FFD" w:rsidRPr="00E63208" w14:paraId="3ADF21EC" w14:textId="77777777" w:rsidTr="00B474D0">
        <w:tc>
          <w:tcPr>
            <w:tcW w:w="1294" w:type="dxa"/>
          </w:tcPr>
          <w:p w14:paraId="49B5EAA5" w14:textId="2B48BA28" w:rsidR="008E1FFD" w:rsidRPr="00E63208" w:rsidRDefault="00E63208" w:rsidP="00B474D0">
            <w:r>
              <w:lastRenderedPageBreak/>
              <w:t>USA</w:t>
            </w:r>
          </w:p>
        </w:tc>
        <w:tc>
          <w:tcPr>
            <w:tcW w:w="1684" w:type="dxa"/>
          </w:tcPr>
          <w:p w14:paraId="62F799F9" w14:textId="77777777" w:rsidR="008E1FFD" w:rsidRPr="00E63208" w:rsidRDefault="00762456" w:rsidP="00B474D0">
            <w:r w:rsidRPr="00E63208">
              <w:t>March 2015</w:t>
            </w:r>
          </w:p>
        </w:tc>
        <w:tc>
          <w:tcPr>
            <w:tcW w:w="5386" w:type="dxa"/>
          </w:tcPr>
          <w:p w14:paraId="1B6CF8C9" w14:textId="79504B69" w:rsidR="008E1FFD" w:rsidRPr="00FA6C78" w:rsidRDefault="008E1FFD" w:rsidP="00D70EC8">
            <w:pPr>
              <w:rPr>
                <w:i/>
              </w:rPr>
            </w:pPr>
            <w:proofErr w:type="spellStart"/>
            <w:r w:rsidRPr="00FA6C78">
              <w:rPr>
                <w:i/>
              </w:rPr>
              <w:t>C</w:t>
            </w:r>
            <w:r w:rsidR="00032895" w:rsidRPr="00FA6C78">
              <w:rPr>
                <w:i/>
              </w:rPr>
              <w:t>resemba</w:t>
            </w:r>
            <w:proofErr w:type="spellEnd"/>
            <w:r w:rsidRPr="00FA6C78">
              <w:rPr>
                <w:i/>
              </w:rPr>
              <w:t xml:space="preserve"> is an azole antifungal indicated for</w:t>
            </w:r>
            <w:r w:rsidR="00D70EC8">
              <w:rPr>
                <w:i/>
              </w:rPr>
              <w:t xml:space="preserve"> </w:t>
            </w:r>
            <w:r w:rsidRPr="00FA6C78">
              <w:rPr>
                <w:i/>
              </w:rPr>
              <w:t>patients 18 years of age and older for the treatment of</w:t>
            </w:r>
          </w:p>
          <w:p w14:paraId="3E90F3DD" w14:textId="058919C9" w:rsidR="00032895" w:rsidRPr="00FA6C78" w:rsidRDefault="008E1FFD" w:rsidP="00B474D0">
            <w:pPr>
              <w:pStyle w:val="ListBullet"/>
              <w:rPr>
                <w:i/>
              </w:rPr>
            </w:pPr>
            <w:r w:rsidRPr="00FA6C78">
              <w:rPr>
                <w:i/>
              </w:rPr>
              <w:t xml:space="preserve">invasive </w:t>
            </w:r>
            <w:proofErr w:type="spellStart"/>
            <w:r w:rsidRPr="00FA6C78">
              <w:rPr>
                <w:i/>
              </w:rPr>
              <w:t>aspergillosis</w:t>
            </w:r>
            <w:proofErr w:type="spellEnd"/>
            <w:r w:rsidRPr="00FA6C78">
              <w:rPr>
                <w:i/>
              </w:rPr>
              <w:t>.</w:t>
            </w:r>
          </w:p>
          <w:p w14:paraId="59E82BA4" w14:textId="69DCA02E" w:rsidR="008E1FFD" w:rsidRPr="00E63208" w:rsidRDefault="008E1FFD" w:rsidP="00B474D0">
            <w:pPr>
              <w:pStyle w:val="ListBullet"/>
            </w:pPr>
            <w:r w:rsidRPr="00FA6C78">
              <w:rPr>
                <w:i/>
              </w:rPr>
              <w:t xml:space="preserve">invasive </w:t>
            </w:r>
            <w:proofErr w:type="spellStart"/>
            <w:r w:rsidRPr="00FA6C78">
              <w:rPr>
                <w:i/>
              </w:rPr>
              <w:t>mucormycosis</w:t>
            </w:r>
            <w:proofErr w:type="spellEnd"/>
            <w:r w:rsidRPr="00FA6C78">
              <w:rPr>
                <w:i/>
              </w:rPr>
              <w:t>.</w:t>
            </w:r>
          </w:p>
        </w:tc>
      </w:tr>
    </w:tbl>
    <w:p w14:paraId="1D25316E" w14:textId="77777777" w:rsidR="008E7846" w:rsidRDefault="008E7846" w:rsidP="00940A89">
      <w:pPr>
        <w:pStyle w:val="Heading3"/>
      </w:pPr>
      <w:bookmarkStart w:id="24" w:name="_Toc30577088"/>
      <w:r>
        <w:t>Product Information</w:t>
      </w:r>
      <w:bookmarkEnd w:id="22"/>
      <w:bookmarkEnd w:id="23"/>
      <w:bookmarkEnd w:id="24"/>
    </w:p>
    <w:p w14:paraId="36E60282" w14:textId="77777777" w:rsidR="00940A89" w:rsidRDefault="006136D7" w:rsidP="00940A89">
      <w:bookmarkStart w:id="25" w:name="_Toc247691506"/>
      <w:bookmarkStart w:id="26"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7" w:history="1">
        <w:r w:rsidR="00441C3F" w:rsidRPr="00441C3F">
          <w:rPr>
            <w:rStyle w:val="Hyperlink"/>
          </w:rPr>
          <w:t>https://www.tga.gov.au/product-information-pi</w:t>
        </w:r>
      </w:hyperlink>
      <w:r w:rsidR="00441C3F">
        <w:t>&gt;</w:t>
      </w:r>
      <w:r w:rsidR="00940A89" w:rsidRPr="00940A89">
        <w:t>.</w:t>
      </w:r>
    </w:p>
    <w:p w14:paraId="30FAFBE3" w14:textId="2F121E6C" w:rsidR="00500337" w:rsidRDefault="004637BB" w:rsidP="00500337">
      <w:pPr>
        <w:pStyle w:val="Heading2"/>
      </w:pPr>
      <w:bookmarkStart w:id="27" w:name="_Toc504480011"/>
      <w:bookmarkStart w:id="28" w:name="_Toc30577089"/>
      <w:r>
        <w:t>II. Registration time</w:t>
      </w:r>
      <w:r w:rsidR="00500337">
        <w:t>line</w:t>
      </w:r>
      <w:bookmarkEnd w:id="27"/>
      <w:bookmarkEnd w:id="28"/>
    </w:p>
    <w:p w14:paraId="279DF1F5" w14:textId="77777777" w:rsidR="00500337" w:rsidRDefault="00500337" w:rsidP="00500337">
      <w:r>
        <w:t>The following table captures the key steps and dates for this application and which are detail</w:t>
      </w:r>
      <w:r w:rsidR="00F670D5">
        <w:t>ed and discussed in this AusPAR</w:t>
      </w:r>
      <w:r>
        <w:t>.</w:t>
      </w:r>
    </w:p>
    <w:p w14:paraId="71580A36" w14:textId="4491A4E7" w:rsidR="00500337" w:rsidRDefault="006A58A8" w:rsidP="00B5738C">
      <w:pPr>
        <w:pStyle w:val="TableTitle"/>
      </w:pPr>
      <w:r w:rsidRPr="006A58A8">
        <w:t xml:space="preserve">Table </w:t>
      </w:r>
      <w:r w:rsidR="008C254C">
        <w:t>2</w:t>
      </w:r>
      <w:r w:rsidR="00DD5DF5">
        <w:t xml:space="preserve">: </w:t>
      </w:r>
      <w:r w:rsidRPr="006A58A8">
        <w:t>Timeline for Submission PM-</w:t>
      </w:r>
      <w:r w:rsidR="006C5F9B">
        <w:t>2018-</w:t>
      </w:r>
      <w:r w:rsidR="00DD5DF5">
        <w:t>02483-1-2</w:t>
      </w:r>
    </w:p>
    <w:tbl>
      <w:tblPr>
        <w:tblStyle w:val="TableTGAblue"/>
        <w:tblW w:w="0" w:type="auto"/>
        <w:tblLook w:val="04A0" w:firstRow="1" w:lastRow="0" w:firstColumn="1" w:lastColumn="0" w:noHBand="0" w:noVBand="1"/>
      </w:tblPr>
      <w:tblGrid>
        <w:gridCol w:w="6204"/>
        <w:gridCol w:w="2516"/>
      </w:tblGrid>
      <w:tr w:rsidR="00500337" w14:paraId="3D247BB2" w14:textId="77777777" w:rsidTr="00DD7D61">
        <w:trPr>
          <w:cnfStyle w:val="100000000000" w:firstRow="1" w:lastRow="0" w:firstColumn="0" w:lastColumn="0" w:oddVBand="0" w:evenVBand="0" w:oddHBand="0" w:evenHBand="0" w:firstRowFirstColumn="0" w:firstRowLastColumn="0" w:lastRowFirstColumn="0" w:lastRowLastColumn="0"/>
          <w:cantSplit/>
        </w:trPr>
        <w:tc>
          <w:tcPr>
            <w:tcW w:w="6204" w:type="dxa"/>
          </w:tcPr>
          <w:p w14:paraId="598C9B06" w14:textId="77777777" w:rsidR="00500337" w:rsidRDefault="00500337" w:rsidP="00500337">
            <w:pPr>
              <w:ind w:left="0" w:right="0"/>
            </w:pPr>
            <w:r>
              <w:t>Description</w:t>
            </w:r>
          </w:p>
        </w:tc>
        <w:tc>
          <w:tcPr>
            <w:tcW w:w="2516" w:type="dxa"/>
          </w:tcPr>
          <w:p w14:paraId="0224141E" w14:textId="77777777" w:rsidR="00500337" w:rsidRDefault="00500337" w:rsidP="00500337">
            <w:pPr>
              <w:ind w:left="0" w:right="0"/>
            </w:pPr>
            <w:r>
              <w:t>Date</w:t>
            </w:r>
          </w:p>
        </w:tc>
      </w:tr>
      <w:tr w:rsidR="00500337" w14:paraId="031B422C" w14:textId="77777777" w:rsidTr="00DD7D61">
        <w:tc>
          <w:tcPr>
            <w:tcW w:w="6204" w:type="dxa"/>
          </w:tcPr>
          <w:p w14:paraId="3BAA295E" w14:textId="77777777" w:rsidR="00500337" w:rsidRDefault="00500337" w:rsidP="00500337">
            <w:pPr>
              <w:ind w:left="0" w:right="0"/>
            </w:pPr>
            <w:r>
              <w:t>Designation (Orphan or Provisional if applicable)</w:t>
            </w:r>
          </w:p>
        </w:tc>
        <w:tc>
          <w:tcPr>
            <w:tcW w:w="2516" w:type="dxa"/>
          </w:tcPr>
          <w:p w14:paraId="0A01D37E" w14:textId="77777777" w:rsidR="00500337" w:rsidRDefault="006C5F9B" w:rsidP="00500337">
            <w:pPr>
              <w:ind w:left="0" w:right="0"/>
            </w:pPr>
            <w:r>
              <w:t>October 2015</w:t>
            </w:r>
          </w:p>
        </w:tc>
      </w:tr>
      <w:tr w:rsidR="00500337" w14:paraId="5A143FDF" w14:textId="77777777" w:rsidTr="00DD7D61">
        <w:tc>
          <w:tcPr>
            <w:tcW w:w="6204" w:type="dxa"/>
          </w:tcPr>
          <w:p w14:paraId="47C64AB4" w14:textId="77777777" w:rsidR="00500337" w:rsidRDefault="00500337" w:rsidP="00500337">
            <w:pPr>
              <w:ind w:left="0" w:right="0"/>
            </w:pPr>
            <w:r>
              <w:t>Submission dossier accepted and first round evaluation commenced</w:t>
            </w:r>
          </w:p>
        </w:tc>
        <w:tc>
          <w:tcPr>
            <w:tcW w:w="2516" w:type="dxa"/>
          </w:tcPr>
          <w:p w14:paraId="1D2CC87E" w14:textId="77777777" w:rsidR="00500337" w:rsidRDefault="00A511B9" w:rsidP="00500337">
            <w:pPr>
              <w:ind w:left="0" w:right="0"/>
            </w:pPr>
            <w:r>
              <w:t>29 June 2018</w:t>
            </w:r>
          </w:p>
        </w:tc>
      </w:tr>
      <w:tr w:rsidR="00500337" w14:paraId="579B64F2" w14:textId="77777777" w:rsidTr="00DD7D61">
        <w:tc>
          <w:tcPr>
            <w:tcW w:w="6204" w:type="dxa"/>
          </w:tcPr>
          <w:p w14:paraId="55E32D65" w14:textId="77777777" w:rsidR="00500337" w:rsidRDefault="00500337" w:rsidP="00500337">
            <w:pPr>
              <w:ind w:left="0" w:right="0"/>
            </w:pPr>
            <w:r>
              <w:t>First round evaluation completed</w:t>
            </w:r>
          </w:p>
        </w:tc>
        <w:tc>
          <w:tcPr>
            <w:tcW w:w="2516" w:type="dxa"/>
          </w:tcPr>
          <w:p w14:paraId="07515E4D" w14:textId="77777777" w:rsidR="00500337" w:rsidRDefault="00A511B9" w:rsidP="00500337">
            <w:pPr>
              <w:ind w:left="0" w:right="0"/>
            </w:pPr>
            <w:r>
              <w:t>1 November 2018</w:t>
            </w:r>
          </w:p>
        </w:tc>
      </w:tr>
      <w:tr w:rsidR="00500337" w14:paraId="0FA748FB" w14:textId="77777777" w:rsidTr="00DD7D61">
        <w:tc>
          <w:tcPr>
            <w:tcW w:w="6204" w:type="dxa"/>
          </w:tcPr>
          <w:p w14:paraId="7F7C81DC" w14:textId="77777777" w:rsidR="00500337" w:rsidRDefault="00500337" w:rsidP="00500337">
            <w:pPr>
              <w:ind w:left="0" w:right="0"/>
            </w:pPr>
            <w:r>
              <w:t>Sponsor provides responses on questions raised in first round evaluation</w:t>
            </w:r>
          </w:p>
        </w:tc>
        <w:tc>
          <w:tcPr>
            <w:tcW w:w="2516" w:type="dxa"/>
          </w:tcPr>
          <w:p w14:paraId="668ECEFA" w14:textId="77777777" w:rsidR="00500337" w:rsidRDefault="00A511B9" w:rsidP="00500337">
            <w:pPr>
              <w:ind w:left="0" w:right="0"/>
            </w:pPr>
            <w:r>
              <w:t>2 January 2019</w:t>
            </w:r>
          </w:p>
        </w:tc>
      </w:tr>
      <w:tr w:rsidR="00500337" w14:paraId="6A7781C4" w14:textId="77777777" w:rsidTr="00DD7D61">
        <w:tc>
          <w:tcPr>
            <w:tcW w:w="6204" w:type="dxa"/>
          </w:tcPr>
          <w:p w14:paraId="1FA777D6" w14:textId="77777777" w:rsidR="00500337" w:rsidRDefault="00500337" w:rsidP="00500337">
            <w:pPr>
              <w:ind w:left="0" w:right="0"/>
            </w:pPr>
            <w:r>
              <w:t>Second round evaluation completed</w:t>
            </w:r>
          </w:p>
        </w:tc>
        <w:tc>
          <w:tcPr>
            <w:tcW w:w="2516" w:type="dxa"/>
          </w:tcPr>
          <w:p w14:paraId="76AD1E7C" w14:textId="77777777" w:rsidR="00500337" w:rsidRDefault="00A511B9" w:rsidP="00500337">
            <w:pPr>
              <w:ind w:left="0" w:right="0"/>
            </w:pPr>
            <w:r>
              <w:t>8 February 2019</w:t>
            </w:r>
          </w:p>
        </w:tc>
      </w:tr>
      <w:tr w:rsidR="00500337" w14:paraId="5408B945" w14:textId="77777777" w:rsidTr="00DD7D61">
        <w:tc>
          <w:tcPr>
            <w:tcW w:w="6204" w:type="dxa"/>
          </w:tcPr>
          <w:p w14:paraId="05BA2CD3" w14:textId="77777777" w:rsidR="00500337" w:rsidRDefault="00500337" w:rsidP="00500337">
            <w:pPr>
              <w:ind w:left="0" w:right="0"/>
            </w:pPr>
            <w:r>
              <w:t>Delegate’s Overall benefit-risk assessment and request for Advisory Committee advice</w:t>
            </w:r>
          </w:p>
        </w:tc>
        <w:tc>
          <w:tcPr>
            <w:tcW w:w="2516" w:type="dxa"/>
          </w:tcPr>
          <w:p w14:paraId="52564E5A" w14:textId="77777777" w:rsidR="00500337" w:rsidRDefault="00DD5DF5" w:rsidP="00500337">
            <w:pPr>
              <w:ind w:left="0" w:right="0"/>
            </w:pPr>
            <w:r>
              <w:t>6 March 2019</w:t>
            </w:r>
          </w:p>
        </w:tc>
      </w:tr>
      <w:tr w:rsidR="00500337" w14:paraId="12BBE4D3" w14:textId="77777777" w:rsidTr="00DD7D61">
        <w:tc>
          <w:tcPr>
            <w:tcW w:w="6204" w:type="dxa"/>
          </w:tcPr>
          <w:p w14:paraId="6DB87F74" w14:textId="77777777" w:rsidR="00500337" w:rsidRDefault="00500337" w:rsidP="00500337">
            <w:pPr>
              <w:ind w:left="0" w:right="0"/>
            </w:pPr>
            <w:r>
              <w:t>Sponsor’s pre-Advisory Committee response</w:t>
            </w:r>
          </w:p>
        </w:tc>
        <w:tc>
          <w:tcPr>
            <w:tcW w:w="2516" w:type="dxa"/>
          </w:tcPr>
          <w:p w14:paraId="59FE7ADA" w14:textId="77777777" w:rsidR="00500337" w:rsidRDefault="00F670D5" w:rsidP="00500337">
            <w:pPr>
              <w:ind w:left="0" w:right="0"/>
            </w:pPr>
            <w:r>
              <w:t>20 March 2019</w:t>
            </w:r>
          </w:p>
        </w:tc>
      </w:tr>
      <w:tr w:rsidR="00500337" w14:paraId="7B1C1C15" w14:textId="77777777" w:rsidTr="00DD7D61">
        <w:tc>
          <w:tcPr>
            <w:tcW w:w="6204" w:type="dxa"/>
          </w:tcPr>
          <w:p w14:paraId="4D462E25" w14:textId="77777777" w:rsidR="00500337" w:rsidRDefault="00500337" w:rsidP="00500337">
            <w:pPr>
              <w:ind w:left="0" w:right="0"/>
            </w:pPr>
            <w:r>
              <w:t>Advisory Committee meeting</w:t>
            </w:r>
          </w:p>
        </w:tc>
        <w:tc>
          <w:tcPr>
            <w:tcW w:w="2516" w:type="dxa"/>
          </w:tcPr>
          <w:p w14:paraId="186523D3" w14:textId="77777777" w:rsidR="00500337" w:rsidRDefault="00DD5DF5" w:rsidP="00500337">
            <w:pPr>
              <w:ind w:left="0" w:right="0"/>
            </w:pPr>
            <w:r>
              <w:t>4 April 2019</w:t>
            </w:r>
          </w:p>
        </w:tc>
      </w:tr>
      <w:tr w:rsidR="00500337" w14:paraId="797C546A" w14:textId="77777777" w:rsidTr="00DD7D61">
        <w:tc>
          <w:tcPr>
            <w:tcW w:w="6204" w:type="dxa"/>
          </w:tcPr>
          <w:p w14:paraId="006E47F2" w14:textId="77777777" w:rsidR="00500337" w:rsidRDefault="00500337" w:rsidP="00500337">
            <w:pPr>
              <w:ind w:left="0" w:right="0"/>
            </w:pPr>
            <w:r>
              <w:t>Registration decision (Outcome)</w:t>
            </w:r>
          </w:p>
        </w:tc>
        <w:tc>
          <w:tcPr>
            <w:tcW w:w="2516" w:type="dxa"/>
          </w:tcPr>
          <w:p w14:paraId="21CABB33" w14:textId="77777777" w:rsidR="00500337" w:rsidRDefault="00DD5DF5" w:rsidP="00500337">
            <w:pPr>
              <w:ind w:left="0" w:right="0"/>
            </w:pPr>
            <w:r>
              <w:t>5 April 2019</w:t>
            </w:r>
          </w:p>
        </w:tc>
      </w:tr>
      <w:tr w:rsidR="00500337" w14:paraId="4C7F48F0" w14:textId="77777777" w:rsidTr="00DD7D61">
        <w:tc>
          <w:tcPr>
            <w:tcW w:w="6204" w:type="dxa"/>
          </w:tcPr>
          <w:p w14:paraId="31BF5763" w14:textId="77777777" w:rsidR="00500337" w:rsidRDefault="00500337" w:rsidP="00500337">
            <w:pPr>
              <w:ind w:left="0" w:right="0"/>
            </w:pPr>
            <w:r>
              <w:t>Completion of administrative activities and registration on ARTG</w:t>
            </w:r>
          </w:p>
        </w:tc>
        <w:tc>
          <w:tcPr>
            <w:tcW w:w="2516" w:type="dxa"/>
          </w:tcPr>
          <w:p w14:paraId="1488505A" w14:textId="77777777" w:rsidR="00500337" w:rsidRDefault="00032895" w:rsidP="00500337">
            <w:pPr>
              <w:ind w:left="0" w:right="0"/>
            </w:pPr>
            <w:r>
              <w:t>17 May 2019</w:t>
            </w:r>
          </w:p>
        </w:tc>
      </w:tr>
      <w:tr w:rsidR="00500337" w14:paraId="34F0842F" w14:textId="77777777" w:rsidTr="00DD7D61">
        <w:tc>
          <w:tcPr>
            <w:tcW w:w="6204" w:type="dxa"/>
          </w:tcPr>
          <w:p w14:paraId="4A1DFA86" w14:textId="77777777" w:rsidR="00500337" w:rsidRDefault="00500337" w:rsidP="00500337">
            <w:pPr>
              <w:ind w:left="0" w:right="0"/>
            </w:pPr>
            <w:r>
              <w:lastRenderedPageBreak/>
              <w:t>Number of working days from submission dossier acceptance to registration decision*</w:t>
            </w:r>
          </w:p>
        </w:tc>
        <w:tc>
          <w:tcPr>
            <w:tcW w:w="2516" w:type="dxa"/>
          </w:tcPr>
          <w:p w14:paraId="7B20D0A0" w14:textId="77777777" w:rsidR="00500337" w:rsidRDefault="00A511B9" w:rsidP="00500337">
            <w:pPr>
              <w:ind w:left="0" w:right="0"/>
            </w:pPr>
            <w:r>
              <w:t>172</w:t>
            </w:r>
          </w:p>
        </w:tc>
      </w:tr>
    </w:tbl>
    <w:p w14:paraId="0A0BD4DF" w14:textId="77777777" w:rsidR="00500337" w:rsidRDefault="00500337" w:rsidP="00500337">
      <w:pPr>
        <w:pStyle w:val="TableDescription"/>
      </w:pPr>
      <w:r>
        <w:t>*</w:t>
      </w:r>
      <w:r w:rsidR="006603BC" w:rsidRPr="006603BC">
        <w:t>Statutory timeframe for standard applications is 255 working days</w:t>
      </w:r>
    </w:p>
    <w:p w14:paraId="1E024882" w14:textId="77777777" w:rsidR="00500337" w:rsidRDefault="00500337" w:rsidP="00500337">
      <w:r w:rsidRPr="00DD5DF5">
        <w:t>This section is a TGA summary of wording used in TGA’s evaluation report, which discussed numerous aspects of overseas evaluation reports and included some information that was commercial-in-confidence.</w:t>
      </w:r>
    </w:p>
    <w:p w14:paraId="58A45D39" w14:textId="5121E3DA" w:rsidR="008E7846" w:rsidRPr="00792A32" w:rsidRDefault="00456765" w:rsidP="008E7846">
      <w:pPr>
        <w:pStyle w:val="Heading2"/>
      </w:pPr>
      <w:bookmarkStart w:id="29" w:name="_Toc196046504"/>
      <w:bookmarkStart w:id="30" w:name="_Toc247691527"/>
      <w:bookmarkStart w:id="31" w:name="_Toc314842510"/>
      <w:bookmarkStart w:id="32" w:name="_Toc163441390"/>
      <w:bookmarkStart w:id="33" w:name="_Toc30577090"/>
      <w:bookmarkEnd w:id="25"/>
      <w:bookmarkEnd w:id="26"/>
      <w:bookmarkEnd w:id="1"/>
      <w:r>
        <w:t>I</w:t>
      </w:r>
      <w:r w:rsidR="00DA64CB">
        <w:t>I</w:t>
      </w:r>
      <w:r w:rsidR="008E7846">
        <w:t xml:space="preserve">I. </w:t>
      </w:r>
      <w:r w:rsidR="004637BB">
        <w:t>Submission overview</w:t>
      </w:r>
      <w:r w:rsidR="008E7846" w:rsidRPr="00792A32">
        <w:t xml:space="preserve"> and </w:t>
      </w:r>
      <w:r w:rsidR="008E7846">
        <w:t>r</w:t>
      </w:r>
      <w:r w:rsidR="008E7846" w:rsidRPr="00792A32">
        <w:t>isk/</w:t>
      </w:r>
      <w:r w:rsidR="008E7846">
        <w:t>b</w:t>
      </w:r>
      <w:r w:rsidR="008E7846" w:rsidRPr="00792A32">
        <w:t xml:space="preserve">enefit </w:t>
      </w:r>
      <w:r w:rsidR="008E7846">
        <w:t>a</w:t>
      </w:r>
      <w:r w:rsidR="008E7846" w:rsidRPr="00792A32">
        <w:t>ssessment</w:t>
      </w:r>
      <w:bookmarkEnd w:id="29"/>
      <w:bookmarkEnd w:id="30"/>
      <w:bookmarkEnd w:id="31"/>
      <w:bookmarkEnd w:id="33"/>
    </w:p>
    <w:p w14:paraId="349934D1" w14:textId="77777777" w:rsidR="008E7846" w:rsidRDefault="008E7846" w:rsidP="008E7846">
      <w:bookmarkStart w:id="34" w:name="_Toc247691528"/>
      <w:r>
        <w:t xml:space="preserve">The submission was summarised in the following </w:t>
      </w:r>
      <w:r w:rsidRPr="00EF5C48">
        <w:t xml:space="preserve">Delegate’s </w:t>
      </w:r>
      <w:r>
        <w:t>overview</w:t>
      </w:r>
      <w:r w:rsidRPr="00EF5C48">
        <w:t xml:space="preserve"> and recommendation</w:t>
      </w:r>
      <w:r>
        <w:t>s:</w:t>
      </w:r>
    </w:p>
    <w:p w14:paraId="748BF8FC" w14:textId="77777777" w:rsidR="008E7846" w:rsidRPr="00A960AE" w:rsidRDefault="008E7846" w:rsidP="00A960AE">
      <w:pPr>
        <w:pStyle w:val="Heading3"/>
      </w:pPr>
      <w:bookmarkStart w:id="35" w:name="_Toc314842511"/>
      <w:bookmarkStart w:id="36" w:name="_Toc30577091"/>
      <w:r w:rsidRPr="00A960AE">
        <w:t>Quality</w:t>
      </w:r>
      <w:bookmarkEnd w:id="34"/>
      <w:bookmarkEnd w:id="35"/>
      <w:bookmarkEnd w:id="36"/>
    </w:p>
    <w:p w14:paraId="38DBCB31" w14:textId="77777777" w:rsidR="00762456" w:rsidRDefault="00D91BC0" w:rsidP="00A960AE">
      <w:bookmarkStart w:id="37" w:name="_Toc314842512"/>
      <w:r w:rsidRPr="00D91BC0">
        <w:t>Approval was recommended fo</w:t>
      </w:r>
      <w:r w:rsidR="00DD5DF5">
        <w:t xml:space="preserve">r registration of the proposed </w:t>
      </w:r>
      <w:proofErr w:type="spellStart"/>
      <w:r w:rsidR="00DD5DF5">
        <w:t>Cresemba</w:t>
      </w:r>
      <w:proofErr w:type="spellEnd"/>
      <w:r w:rsidRPr="00D91BC0">
        <w:t xml:space="preserve"> </w:t>
      </w:r>
      <w:proofErr w:type="spellStart"/>
      <w:r w:rsidRPr="00D91BC0">
        <w:t>isavuconazole</w:t>
      </w:r>
      <w:proofErr w:type="spellEnd"/>
      <w:r w:rsidRPr="00D91BC0">
        <w:t xml:space="preserve"> (as </w:t>
      </w:r>
      <w:proofErr w:type="spellStart"/>
      <w:r w:rsidRPr="00D91BC0">
        <w:t>isavuconazo</w:t>
      </w:r>
      <w:r w:rsidR="00B5738C">
        <w:t>le</w:t>
      </w:r>
      <w:proofErr w:type="spellEnd"/>
      <w:r w:rsidRPr="00D91BC0">
        <w:t xml:space="preserve"> </w:t>
      </w:r>
      <w:proofErr w:type="spellStart"/>
      <w:r w:rsidRPr="00D91BC0">
        <w:t>sulfate</w:t>
      </w:r>
      <w:proofErr w:type="spellEnd"/>
      <w:r w:rsidRPr="00D91BC0">
        <w:t>) 100</w:t>
      </w:r>
      <w:r w:rsidR="00DD5DF5">
        <w:t xml:space="preserve"> </w:t>
      </w:r>
      <w:r w:rsidRPr="00D91BC0">
        <w:t xml:space="preserve">mg capsules in blister packs </w:t>
      </w:r>
      <w:r w:rsidR="00DD5DF5">
        <w:t>and</w:t>
      </w:r>
      <w:r w:rsidRPr="00D91BC0">
        <w:t xml:space="preserve"> 200</w:t>
      </w:r>
      <w:r w:rsidR="00DD5DF5">
        <w:t xml:space="preserve"> </w:t>
      </w:r>
      <w:r w:rsidRPr="00D91BC0">
        <w:t>mg powder for injection in vials with respect to pharmaceutical chemistry aspects.</w:t>
      </w:r>
    </w:p>
    <w:p w14:paraId="630EE327" w14:textId="77777777" w:rsidR="00D91BC0" w:rsidRPr="00D91BC0" w:rsidRDefault="00D91BC0" w:rsidP="00A960AE">
      <w:r w:rsidRPr="00D91BC0">
        <w:t xml:space="preserve">Sterility aspects of the powder for injection dosage form were evaluated separately and no deficiencies were outstanding. Bacterial </w:t>
      </w:r>
      <w:r w:rsidR="009312DE">
        <w:t>e</w:t>
      </w:r>
      <w:r w:rsidRPr="00D91BC0">
        <w:t>ndotoxin aspects of the powder for injection dosage form were also evaluated separately and no objections to registration were raised.</w:t>
      </w:r>
    </w:p>
    <w:p w14:paraId="4D2D2C87" w14:textId="7CDE7F68" w:rsidR="00D91BC0" w:rsidRDefault="00D91BC0" w:rsidP="00A960AE">
      <w:pPr>
        <w:rPr>
          <w:b/>
          <w:bCs/>
        </w:rPr>
      </w:pPr>
      <w:r w:rsidRPr="00D91BC0">
        <w:t xml:space="preserve">All </w:t>
      </w:r>
      <w:r w:rsidR="008E0812">
        <w:t>chemistry and quality control</w:t>
      </w:r>
      <w:r w:rsidRPr="00D91BC0">
        <w:t xml:space="preserve"> issues have been resolved</w:t>
      </w:r>
      <w:r w:rsidR="00E63208">
        <w:t>.</w:t>
      </w:r>
    </w:p>
    <w:p w14:paraId="59121D52" w14:textId="77777777" w:rsidR="008E7846" w:rsidRPr="00A960AE" w:rsidRDefault="008E7846" w:rsidP="00A960AE">
      <w:pPr>
        <w:pStyle w:val="Heading3"/>
      </w:pPr>
      <w:bookmarkStart w:id="38" w:name="_Toc30577092"/>
      <w:r w:rsidRPr="00A960AE">
        <w:t>Nonclinical</w:t>
      </w:r>
      <w:bookmarkEnd w:id="37"/>
      <w:bookmarkEnd w:id="38"/>
    </w:p>
    <w:p w14:paraId="26FBAA4F" w14:textId="77777777" w:rsidR="00762456" w:rsidRDefault="00D91BC0" w:rsidP="00A960AE">
      <w:bookmarkStart w:id="39" w:name="_Toc247691530"/>
      <w:bookmarkStart w:id="40" w:name="_Toc314842513"/>
      <w:r w:rsidRPr="00D91BC0">
        <w:t xml:space="preserve">There were no nonclinical objections to registration. The pharmacology data supported the use of </w:t>
      </w:r>
      <w:proofErr w:type="spellStart"/>
      <w:r w:rsidRPr="00D91BC0">
        <w:t>isavuconazole</w:t>
      </w:r>
      <w:proofErr w:type="spellEnd"/>
      <w:r w:rsidRPr="00D91BC0">
        <w:t xml:space="preserve"> against </w:t>
      </w:r>
      <w:r w:rsidRPr="00F670D5">
        <w:rPr>
          <w:i/>
        </w:rPr>
        <w:t>Aspergillus</w:t>
      </w:r>
      <w:r w:rsidRPr="00D91BC0">
        <w:t xml:space="preserve"> and </w:t>
      </w:r>
      <w:proofErr w:type="spellStart"/>
      <w:r w:rsidRPr="00F670D5">
        <w:rPr>
          <w:i/>
        </w:rPr>
        <w:t>Mucor</w:t>
      </w:r>
      <w:proofErr w:type="spellEnd"/>
      <w:r w:rsidRPr="00D91BC0">
        <w:t xml:space="preserve"> species.</w:t>
      </w:r>
    </w:p>
    <w:p w14:paraId="1FC1522C" w14:textId="02F772CD" w:rsidR="00D91BC0" w:rsidRDefault="00D91BC0" w:rsidP="00A960AE">
      <w:r w:rsidRPr="00D91BC0">
        <w:t>The evaluator commented</w:t>
      </w:r>
      <w:r w:rsidR="00E63208">
        <w:t xml:space="preserve"> that </w:t>
      </w:r>
      <w:proofErr w:type="spellStart"/>
      <w:r w:rsidR="00E63208">
        <w:t>i</w:t>
      </w:r>
      <w:r w:rsidRPr="00D91BC0">
        <w:t>savuconazonium</w:t>
      </w:r>
      <w:proofErr w:type="spellEnd"/>
      <w:r w:rsidRPr="00D91BC0">
        <w:t xml:space="preserve"> blocked </w:t>
      </w:r>
      <w:proofErr w:type="spellStart"/>
      <w:r w:rsidRPr="00D91BC0">
        <w:t>hERG</w:t>
      </w:r>
      <w:proofErr w:type="spellEnd"/>
      <w:r w:rsidRPr="00D91BC0">
        <w:t xml:space="preserve"> </w:t>
      </w:r>
      <w:r w:rsidR="00D70EC8">
        <w:t>potassium ion (</w:t>
      </w:r>
      <w:r w:rsidRPr="00D91BC0">
        <w:t>K</w:t>
      </w:r>
      <w:r w:rsidRPr="00762456">
        <w:rPr>
          <w:vertAlign w:val="superscript"/>
        </w:rPr>
        <w:t>+</w:t>
      </w:r>
      <w:r w:rsidR="00D70EC8">
        <w:t xml:space="preserve">) </w:t>
      </w:r>
      <w:r w:rsidRPr="00D91BC0">
        <w:t xml:space="preserve">channels and L-type </w:t>
      </w:r>
      <w:r w:rsidR="00D70EC8">
        <w:t>calcium ion (</w:t>
      </w:r>
      <w:r w:rsidRPr="00D91BC0">
        <w:t>Ca</w:t>
      </w:r>
      <w:r w:rsidRPr="00762456">
        <w:rPr>
          <w:vertAlign w:val="superscript"/>
        </w:rPr>
        <w:t>2+</w:t>
      </w:r>
      <w:r w:rsidR="00D70EC8">
        <w:t xml:space="preserve">) </w:t>
      </w:r>
      <w:r w:rsidRPr="00D91BC0">
        <w:t xml:space="preserve">channels, which likely explains the dose-related </w:t>
      </w:r>
      <w:proofErr w:type="spellStart"/>
      <w:r w:rsidRPr="00D91BC0">
        <w:t>QTc</w:t>
      </w:r>
      <w:proofErr w:type="spellEnd"/>
      <w:r w:rsidRPr="00D91BC0">
        <w:t xml:space="preserve"> </w:t>
      </w:r>
      <w:r w:rsidR="00D70EC8">
        <w:t xml:space="preserve">interval </w:t>
      </w:r>
      <w:r w:rsidRPr="00D91BC0">
        <w:t>shortening seen in clinical trials.</w:t>
      </w:r>
      <w:r w:rsidR="00D70EC8">
        <w:rPr>
          <w:rStyle w:val="FootnoteReference"/>
        </w:rPr>
        <w:footnoteReference w:id="5"/>
      </w:r>
    </w:p>
    <w:p w14:paraId="567A21AC" w14:textId="77777777" w:rsidR="00D91BC0" w:rsidRDefault="00D91BC0" w:rsidP="00A960AE">
      <w:r>
        <w:t>The evaluator also commented that the only toxicities identified in the repeat dose studies of potential clinical relevance were related to the liver and the adrenal glands. In the liver, hepatocellular hypertrophy was reversible with no other signs of damage and may represent an adaptive response in rats.</w:t>
      </w:r>
      <w:r w:rsidR="008E0812">
        <w:t xml:space="preserve"> </w:t>
      </w:r>
      <w:r>
        <w:t xml:space="preserve">Repeated administration of </w:t>
      </w:r>
      <w:proofErr w:type="spellStart"/>
      <w:r>
        <w:t>isavuconazo</w:t>
      </w:r>
      <w:r w:rsidR="00CC37F3">
        <w:t>le</w:t>
      </w:r>
      <w:proofErr w:type="spellEnd"/>
      <w:r>
        <w:t xml:space="preserve"> to monkeys resulted in increases in adrenal weights and/or </w:t>
      </w:r>
      <w:proofErr w:type="spellStart"/>
      <w:r>
        <w:t>vacuolation</w:t>
      </w:r>
      <w:proofErr w:type="spellEnd"/>
      <w:r>
        <w:t>/hypertrophy of adrenocortical cells. There were no atrophic or necrotic lesions and these changes were reversible.</w:t>
      </w:r>
    </w:p>
    <w:p w14:paraId="266AAC76" w14:textId="50EF689C" w:rsidR="00D91BC0" w:rsidRDefault="00D91BC0" w:rsidP="00A960AE">
      <w:r>
        <w:t xml:space="preserve">The </w:t>
      </w:r>
      <w:r w:rsidRPr="00BD606E">
        <w:t xml:space="preserve">Australian Pregnancy </w:t>
      </w:r>
      <w:r w:rsidR="00D70EC8" w:rsidRPr="00BD606E">
        <w:t>Categor</w:t>
      </w:r>
      <w:r w:rsidR="00D70EC8">
        <w:t>y</w:t>
      </w:r>
      <w:r w:rsidR="00D70EC8" w:rsidRPr="0097515E">
        <w:rPr>
          <w:color w:val="FF0000"/>
        </w:rPr>
        <w:t xml:space="preserve"> </w:t>
      </w:r>
      <w:r>
        <w:t xml:space="preserve">for </w:t>
      </w:r>
      <w:proofErr w:type="spellStart"/>
      <w:r>
        <w:t>isavuconazonium</w:t>
      </w:r>
      <w:proofErr w:type="spellEnd"/>
      <w:r>
        <w:t xml:space="preserve"> is D</w:t>
      </w:r>
      <w:r w:rsidR="00D70EC8">
        <w:t>;</w:t>
      </w:r>
      <w:r w:rsidR="00BD606E">
        <w:rPr>
          <w:rStyle w:val="FootnoteReference"/>
        </w:rPr>
        <w:footnoteReference w:id="6"/>
      </w:r>
      <w:r>
        <w:t xml:space="preserve"> as reproductive toxicity studies showed an increased incidence of bone abnormalities in rats and rabbits at relative exposure levels ranging from sub-clinical to clinical. The evaluator noted that skeletal changes have also been observed in the offspring of dams treated with other azoles.</w:t>
      </w:r>
    </w:p>
    <w:p w14:paraId="6566F0B3" w14:textId="77777777" w:rsidR="008E7846" w:rsidRPr="00A960AE" w:rsidRDefault="008E7846" w:rsidP="00A960AE">
      <w:pPr>
        <w:pStyle w:val="Heading3"/>
      </w:pPr>
      <w:bookmarkStart w:id="41" w:name="_Toc30577093"/>
      <w:r w:rsidRPr="00A960AE">
        <w:lastRenderedPageBreak/>
        <w:t>Clinical</w:t>
      </w:r>
      <w:bookmarkEnd w:id="39"/>
      <w:bookmarkEnd w:id="40"/>
      <w:bookmarkEnd w:id="41"/>
    </w:p>
    <w:p w14:paraId="392CE7F5" w14:textId="77777777" w:rsidR="00D91BC0" w:rsidRPr="00A960AE" w:rsidRDefault="00D91BC0" w:rsidP="00A960AE">
      <w:pPr>
        <w:pStyle w:val="Heading4"/>
      </w:pPr>
      <w:bookmarkStart w:id="42" w:name="_Toc314842514"/>
      <w:r w:rsidRPr="00A960AE">
        <w:t>Pharmacology</w:t>
      </w:r>
    </w:p>
    <w:p w14:paraId="0ACB6F2F" w14:textId="226C184A" w:rsidR="00D91BC0" w:rsidRPr="00D91BC0" w:rsidRDefault="00D91BC0" w:rsidP="00D91BC0">
      <w:r w:rsidRPr="00D91BC0">
        <w:t xml:space="preserve">To support the pharmacokinetics of </w:t>
      </w:r>
      <w:proofErr w:type="spellStart"/>
      <w:r w:rsidRPr="00D91BC0">
        <w:t>isavuconazole</w:t>
      </w:r>
      <w:proofErr w:type="spellEnd"/>
      <w:r w:rsidRPr="00D91BC0">
        <w:t xml:space="preserve">, the </w:t>
      </w:r>
      <w:r w:rsidR="0097515E">
        <w:t>s</w:t>
      </w:r>
      <w:r w:rsidRPr="00D91BC0">
        <w:t>ponsor presented eight studies in healthy subjects, five studies in special populations and 25 clinical studies to assess the potenti</w:t>
      </w:r>
      <w:r w:rsidR="00F670D5">
        <w:t xml:space="preserve">al for drug-drug interactions. </w:t>
      </w:r>
      <w:r w:rsidRPr="00D91BC0">
        <w:t>In addition, the resul</w:t>
      </w:r>
      <w:r w:rsidR="0097515E">
        <w:t>ts of two QT studies, and five P</w:t>
      </w:r>
      <w:r w:rsidRPr="00D91BC0">
        <w:t xml:space="preserve">hase </w:t>
      </w:r>
      <w:r w:rsidR="0097515E">
        <w:t>II/III</w:t>
      </w:r>
      <w:r w:rsidRPr="00D91BC0">
        <w:t xml:space="preserve"> studies were also submitted for assessment. There were also 20 reports covering </w:t>
      </w:r>
      <w:r w:rsidRPr="00FA6C78">
        <w:rPr>
          <w:i/>
        </w:rPr>
        <w:t>in vitro</w:t>
      </w:r>
      <w:r w:rsidRPr="00D91BC0">
        <w:t xml:space="preserve"> data and five reports with population pharmacokinetics data which were all taken into accoun</w:t>
      </w:r>
      <w:r w:rsidR="00F670D5">
        <w:t xml:space="preserve">t in the </w:t>
      </w:r>
      <w:r w:rsidR="00B474D0">
        <w:t>overseas</w:t>
      </w:r>
      <w:r w:rsidR="00F670D5">
        <w:t xml:space="preserve"> evaluation reports.</w:t>
      </w:r>
      <w:r w:rsidRPr="00D91BC0">
        <w:t xml:space="preserve"> No new clinical pharmacology data were provid</w:t>
      </w:r>
      <w:r w:rsidR="0097515E">
        <w:t>ed for this COR</w:t>
      </w:r>
      <w:r w:rsidR="00B5738C">
        <w:t xml:space="preserve"> </w:t>
      </w:r>
      <w:r w:rsidR="0097515E">
        <w:t>B application.</w:t>
      </w:r>
    </w:p>
    <w:p w14:paraId="5BB359F2" w14:textId="79951FD0" w:rsidR="00762456" w:rsidRDefault="00D91BC0" w:rsidP="006A5784">
      <w:pPr>
        <w:pStyle w:val="Heading4"/>
      </w:pPr>
      <w:r w:rsidRPr="00D91BC0">
        <w:t xml:space="preserve">Pharmacokinetic properties of </w:t>
      </w:r>
      <w:proofErr w:type="spellStart"/>
      <w:r w:rsidRPr="00D91BC0">
        <w:t>isavuconazole</w:t>
      </w:r>
      <w:proofErr w:type="spellEnd"/>
    </w:p>
    <w:p w14:paraId="0A8E748E" w14:textId="13E72DC6" w:rsidR="00BD606E" w:rsidRDefault="008C254C" w:rsidP="00BD606E">
      <w:pPr>
        <w:pStyle w:val="TableTitle"/>
      </w:pPr>
      <w:r>
        <w:t>Table 3</w:t>
      </w:r>
      <w:r w:rsidR="00BD606E">
        <w:t>: Important pharmacokinetic</w:t>
      </w:r>
      <w:r w:rsidR="00130259">
        <w:t xml:space="preserve"> </w:t>
      </w:r>
      <w:r w:rsidR="00BD606E">
        <w:t xml:space="preserve">properties of </w:t>
      </w:r>
      <w:proofErr w:type="spellStart"/>
      <w:r w:rsidR="00BD606E">
        <w:t>isavuconazole</w:t>
      </w:r>
      <w:proofErr w:type="spellEnd"/>
    </w:p>
    <w:p w14:paraId="161A24AF" w14:textId="77777777" w:rsidR="00301714" w:rsidRDefault="00915DA0" w:rsidP="00D91BC0">
      <w:pPr>
        <w:rPr>
          <w:b/>
          <w:bCs/>
        </w:rPr>
      </w:pPr>
      <w:r>
        <w:rPr>
          <w:noProof/>
          <w:lang w:eastAsia="en-AU"/>
        </w:rPr>
        <w:drawing>
          <wp:inline distT="0" distB="0" distL="0" distR="0" wp14:anchorId="1723AD14" wp14:editId="4EB39602">
            <wp:extent cx="4680284" cy="1805136"/>
            <wp:effectExtent l="0" t="0" r="6350" b="5080"/>
            <wp:docPr id="4" name="Picture 4" descr="Important pharmacokinetic properties of isavuconaz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83151" cy="1806242"/>
                    </a:xfrm>
                    <a:prstGeom prst="rect">
                      <a:avLst/>
                    </a:prstGeom>
                  </pic:spPr>
                </pic:pic>
              </a:graphicData>
            </a:graphic>
          </wp:inline>
        </w:drawing>
      </w:r>
    </w:p>
    <w:p w14:paraId="63B7C1D4" w14:textId="355BBB20" w:rsidR="00D70EC8" w:rsidRPr="00D70EC8" w:rsidRDefault="00D70EC8" w:rsidP="00FA6C78">
      <w:pPr>
        <w:pStyle w:val="TableDescription"/>
      </w:pPr>
      <w:r>
        <w:t xml:space="preserve">PK = pharmacokinetic; </w:t>
      </w:r>
      <w:proofErr w:type="spellStart"/>
      <w:r>
        <w:t>T</w:t>
      </w:r>
      <w:r>
        <w:rPr>
          <w:vertAlign w:val="subscript"/>
        </w:rPr>
        <w:t>max</w:t>
      </w:r>
      <w:proofErr w:type="spellEnd"/>
      <w:r>
        <w:rPr>
          <w:vertAlign w:val="subscript"/>
        </w:rPr>
        <w:t xml:space="preserve"> </w:t>
      </w:r>
      <w:r>
        <w:t>= time of maximum measured drug concentration; T</w:t>
      </w:r>
      <w:r>
        <w:rPr>
          <w:vertAlign w:val="subscript"/>
        </w:rPr>
        <w:t>1/2</w:t>
      </w:r>
      <w:r>
        <w:t xml:space="preserve"> = drug </w:t>
      </w:r>
      <w:r w:rsidR="00AE3AF6">
        <w:t>half-life</w:t>
      </w:r>
      <w:r>
        <w:t>.</w:t>
      </w:r>
    </w:p>
    <w:p w14:paraId="03FE10CA" w14:textId="77777777" w:rsidR="00301714" w:rsidRPr="00301714" w:rsidRDefault="00301714" w:rsidP="00CC37F3">
      <w:pPr>
        <w:pStyle w:val="Heading5"/>
      </w:pPr>
      <w:r w:rsidRPr="00301714">
        <w:t>Bioavailability</w:t>
      </w:r>
    </w:p>
    <w:p w14:paraId="44D6C63C" w14:textId="77777777" w:rsidR="00301714" w:rsidRPr="00301714" w:rsidRDefault="00301714" w:rsidP="00301714">
      <w:r w:rsidRPr="00301714">
        <w:t>The absolute bioavailability of the oral formulation was approximately 98%.</w:t>
      </w:r>
    </w:p>
    <w:p w14:paraId="7E7FD61E" w14:textId="77777777" w:rsidR="00301714" w:rsidRPr="00301714" w:rsidRDefault="00301714" w:rsidP="00CC37F3">
      <w:pPr>
        <w:pStyle w:val="Heading5"/>
      </w:pPr>
      <w:r>
        <w:t>F</w:t>
      </w:r>
      <w:r w:rsidRPr="00301714">
        <w:t>ood effect</w:t>
      </w:r>
    </w:p>
    <w:p w14:paraId="09463370" w14:textId="77777777" w:rsidR="00301714" w:rsidRPr="00301714" w:rsidRDefault="00CC37F3" w:rsidP="00301714">
      <w:proofErr w:type="spellStart"/>
      <w:r>
        <w:t>Isavuconazole</w:t>
      </w:r>
      <w:proofErr w:type="spellEnd"/>
      <w:r w:rsidR="00301714" w:rsidRPr="00301714">
        <w:t xml:space="preserve"> </w:t>
      </w:r>
      <w:proofErr w:type="spellStart"/>
      <w:r w:rsidR="00301714" w:rsidRPr="00301714">
        <w:t>sulfate</w:t>
      </w:r>
      <w:proofErr w:type="spellEnd"/>
      <w:r w:rsidR="00301714" w:rsidRPr="00301714">
        <w:t xml:space="preserve"> capsules may be taken with or without food.</w:t>
      </w:r>
    </w:p>
    <w:p w14:paraId="653010F3" w14:textId="77777777" w:rsidR="00301714" w:rsidRPr="00301714" w:rsidRDefault="00301714" w:rsidP="00CC37F3">
      <w:pPr>
        <w:pStyle w:val="Heading5"/>
      </w:pPr>
      <w:r w:rsidRPr="00301714">
        <w:t>Distribution</w:t>
      </w:r>
    </w:p>
    <w:p w14:paraId="00071C23" w14:textId="77777777" w:rsidR="00301714" w:rsidRPr="00301714" w:rsidRDefault="00301714" w:rsidP="00301714">
      <w:proofErr w:type="spellStart"/>
      <w:r w:rsidRPr="00301714">
        <w:t>Isavuconazole</w:t>
      </w:r>
      <w:proofErr w:type="spellEnd"/>
      <w:r w:rsidRPr="00301714">
        <w:t xml:space="preserve"> is extensively distributed with a mean volume of distribution of approximately 450</w:t>
      </w:r>
      <w:r w:rsidR="00B5738C">
        <w:t xml:space="preserve"> </w:t>
      </w:r>
      <w:r w:rsidRPr="00301714">
        <w:t xml:space="preserve">L at steady state. It is extensively bound to plasma proteins </w:t>
      </w:r>
      <w:r w:rsidRPr="00A913FA">
        <w:rPr>
          <w:i/>
        </w:rPr>
        <w:t>in vitro</w:t>
      </w:r>
      <w:r w:rsidRPr="00301714">
        <w:t>.</w:t>
      </w:r>
    </w:p>
    <w:p w14:paraId="2BCF26BC" w14:textId="77777777" w:rsidR="00301714" w:rsidRPr="00301714" w:rsidRDefault="00301714" w:rsidP="00CC37F3">
      <w:pPr>
        <w:pStyle w:val="Heading5"/>
      </w:pPr>
      <w:r w:rsidRPr="00301714">
        <w:t>Population pharmacokinetics</w:t>
      </w:r>
    </w:p>
    <w:p w14:paraId="450DC0BB" w14:textId="622C80B7" w:rsidR="00301714" w:rsidRPr="00301714" w:rsidRDefault="00301714" w:rsidP="00301714">
      <w:r w:rsidRPr="00301714">
        <w:t xml:space="preserve">As this submission was based on </w:t>
      </w:r>
      <w:r w:rsidR="00974904" w:rsidRPr="00301714">
        <w:t>comparable overseas reports</w:t>
      </w:r>
      <w:r w:rsidRPr="00301714">
        <w:t xml:space="preserve">, the TGA did not engage an independent expert group in </w:t>
      </w:r>
      <w:proofErr w:type="spellStart"/>
      <w:r w:rsidRPr="00301714">
        <w:t>pharmacometrics</w:t>
      </w:r>
      <w:proofErr w:type="spellEnd"/>
      <w:r w:rsidRPr="00301714">
        <w:t xml:space="preserve"> to replicate and evaluate the results of the population </w:t>
      </w:r>
      <w:r w:rsidR="00CC37F3">
        <w:t>pharmacokinetic</w:t>
      </w:r>
      <w:r w:rsidRPr="00301714">
        <w:t xml:space="preserve"> analyses. The </w:t>
      </w:r>
      <w:r w:rsidR="00DD7D61">
        <w:t xml:space="preserve">TGA </w:t>
      </w:r>
      <w:r w:rsidR="00F670D5">
        <w:t>c</w:t>
      </w:r>
      <w:r w:rsidRPr="00301714">
        <w:t xml:space="preserve">linical evaluator drew attention to the differences in exposure for Chinese and </w:t>
      </w:r>
      <w:r w:rsidRPr="00DD7D61">
        <w:t>Western subjects and n</w:t>
      </w:r>
      <w:r w:rsidR="008E0812" w:rsidRPr="00DD7D61">
        <w:t xml:space="preserve">oted the questions from the </w:t>
      </w:r>
      <w:r w:rsidR="00DD7D61" w:rsidRPr="00DD7D61">
        <w:t>overseas regulator</w:t>
      </w:r>
      <w:r w:rsidR="008E0812" w:rsidRPr="00DD7D61">
        <w:t>.</w:t>
      </w:r>
    </w:p>
    <w:p w14:paraId="3BA7A385" w14:textId="77777777" w:rsidR="00762456" w:rsidRDefault="00301714" w:rsidP="00301714">
      <w:r w:rsidRPr="00301714">
        <w:t xml:space="preserve">Chinese subjects demonstrated a 15 </w:t>
      </w:r>
      <w:r w:rsidR="00B5738C">
        <w:t>to</w:t>
      </w:r>
      <w:r w:rsidRPr="00301714">
        <w:t xml:space="preserve"> 50% higher exposure compared to Western subjects. This difference was not considered clinically significant and there was no definitive explanation for this</w:t>
      </w:r>
      <w:r w:rsidR="00F670D5">
        <w:t>.</w:t>
      </w:r>
      <w:bookmarkStart w:id="43" w:name="_Ref18941587"/>
      <w:r w:rsidR="00B5738C">
        <w:rPr>
          <w:rStyle w:val="FootnoteReference"/>
        </w:rPr>
        <w:footnoteReference w:id="7"/>
      </w:r>
      <w:bookmarkEnd w:id="43"/>
      <w:r w:rsidRPr="00301714">
        <w:t xml:space="preserve"> While the clinical evaluator initially requested that a summary of use of </w:t>
      </w:r>
      <w:proofErr w:type="spellStart"/>
      <w:r w:rsidRPr="00301714">
        <w:t>isavuconazole</w:t>
      </w:r>
      <w:proofErr w:type="spellEnd"/>
      <w:r w:rsidRPr="00301714">
        <w:t xml:space="preserve"> in Asian patients be included in the PI, </w:t>
      </w:r>
      <w:r w:rsidR="00B5738C">
        <w:t xml:space="preserve">but </w:t>
      </w:r>
      <w:r w:rsidRPr="00301714">
        <w:t xml:space="preserve">given the </w:t>
      </w:r>
      <w:r w:rsidRPr="00301714">
        <w:lastRenderedPageBreak/>
        <w:t>limited number of patients and the lack of clinically relevant differences based on available data</w:t>
      </w:r>
      <w:r w:rsidR="00B5738C">
        <w:t>,</w:t>
      </w:r>
      <w:r w:rsidR="00B5738C" w:rsidRPr="00B5738C">
        <w:t xml:space="preserve"> </w:t>
      </w:r>
      <w:r w:rsidR="00B5738C" w:rsidRPr="00301714">
        <w:t xml:space="preserve">this information was </w:t>
      </w:r>
      <w:r w:rsidR="00B5738C">
        <w:t xml:space="preserve">considered to be </w:t>
      </w:r>
      <w:r w:rsidR="00B5738C" w:rsidRPr="00301714">
        <w:t>not needed</w:t>
      </w:r>
      <w:r w:rsidRPr="00301714">
        <w:t>.</w:t>
      </w:r>
    </w:p>
    <w:p w14:paraId="2938FA23" w14:textId="3446B6FB" w:rsidR="00762456" w:rsidRDefault="00301714" w:rsidP="00301714">
      <w:r w:rsidRPr="00301714">
        <w:t xml:space="preserve">Further details regarding the </w:t>
      </w:r>
      <w:r w:rsidR="00CC37F3">
        <w:t xml:space="preserve">population </w:t>
      </w:r>
      <w:r w:rsidR="00CC37F3" w:rsidRPr="005833CA">
        <w:t>pharmacokinetic</w:t>
      </w:r>
      <w:r w:rsidRPr="005833CA">
        <w:t xml:space="preserve"> evaluation </w:t>
      </w:r>
      <w:r w:rsidR="00DD7D61" w:rsidRPr="005833CA">
        <w:t>were</w:t>
      </w:r>
      <w:r w:rsidRPr="005833CA">
        <w:t xml:space="preserve"> covered in the </w:t>
      </w:r>
      <w:r w:rsidR="00DD7D61" w:rsidRPr="005833CA">
        <w:t>overseas reports and the</w:t>
      </w:r>
      <w:r w:rsidRPr="005833CA">
        <w:t xml:space="preserve"> biopharmaceutics review.</w:t>
      </w:r>
    </w:p>
    <w:p w14:paraId="09E0DBDF" w14:textId="77777777" w:rsidR="00301714" w:rsidRPr="00301714" w:rsidRDefault="00301714" w:rsidP="00CC37F3">
      <w:pPr>
        <w:pStyle w:val="Heading5"/>
      </w:pPr>
      <w:r w:rsidRPr="00301714">
        <w:t>Renal impairment</w:t>
      </w:r>
    </w:p>
    <w:p w14:paraId="125FB49C" w14:textId="77777777" w:rsidR="00301714" w:rsidRPr="00301714" w:rsidRDefault="00301714" w:rsidP="00301714">
      <w:r w:rsidRPr="00301714">
        <w:t xml:space="preserve">Renal clearance of intact </w:t>
      </w:r>
      <w:proofErr w:type="spellStart"/>
      <w:r w:rsidRPr="00301714">
        <w:t>isavuconazole</w:t>
      </w:r>
      <w:proofErr w:type="spellEnd"/>
      <w:r w:rsidRPr="00301714">
        <w:t xml:space="preserve"> and its cleavage product BAL8728 is a minor excretion pathway and therefore impact on clearance due to impaired renal function is not expected. No dose adjustment in patients with renal impairment is recommended</w:t>
      </w:r>
      <w:r w:rsidR="00F670D5">
        <w:t>.</w:t>
      </w:r>
      <w:r w:rsidR="00B5738C" w:rsidRPr="00B5738C">
        <w:rPr>
          <w:vertAlign w:val="superscript"/>
        </w:rPr>
        <w:fldChar w:fldCharType="begin"/>
      </w:r>
      <w:r w:rsidR="00B5738C" w:rsidRPr="00B5738C">
        <w:rPr>
          <w:vertAlign w:val="superscript"/>
        </w:rPr>
        <w:instrText xml:space="preserve"> NOTEREF _Ref17904475 \h </w:instrText>
      </w:r>
      <w:r w:rsidR="00B5738C">
        <w:rPr>
          <w:vertAlign w:val="superscript"/>
        </w:rPr>
        <w:instrText xml:space="preserve"> \* MERGEFORMAT </w:instrText>
      </w:r>
      <w:r w:rsidR="00B5738C" w:rsidRPr="00B5738C">
        <w:rPr>
          <w:vertAlign w:val="superscript"/>
        </w:rPr>
      </w:r>
      <w:r w:rsidR="00B5738C" w:rsidRPr="00B5738C">
        <w:rPr>
          <w:vertAlign w:val="superscript"/>
        </w:rPr>
        <w:fldChar w:fldCharType="separate"/>
      </w:r>
      <w:r w:rsidR="00B5738C" w:rsidRPr="00B5738C">
        <w:rPr>
          <w:vertAlign w:val="superscript"/>
        </w:rPr>
        <w:t>6</w:t>
      </w:r>
      <w:r w:rsidR="00B5738C" w:rsidRPr="00B5738C">
        <w:rPr>
          <w:vertAlign w:val="superscript"/>
        </w:rPr>
        <w:fldChar w:fldCharType="end"/>
      </w:r>
    </w:p>
    <w:p w14:paraId="7CA079CB" w14:textId="77777777" w:rsidR="00301714" w:rsidRPr="00301714" w:rsidRDefault="00301714" w:rsidP="00CC37F3">
      <w:pPr>
        <w:pStyle w:val="Heading5"/>
      </w:pPr>
      <w:r w:rsidRPr="00301714">
        <w:t>Hepatic impairment</w:t>
      </w:r>
    </w:p>
    <w:p w14:paraId="336D58A2" w14:textId="77777777" w:rsidR="00762456" w:rsidRDefault="00301714" w:rsidP="00301714">
      <w:r w:rsidRPr="00301714">
        <w:t xml:space="preserve">No dose adjustment is needed following administration of </w:t>
      </w:r>
      <w:proofErr w:type="spellStart"/>
      <w:r w:rsidRPr="00301714">
        <w:t>isavuconazole</w:t>
      </w:r>
      <w:proofErr w:type="spellEnd"/>
      <w:r w:rsidRPr="00301714">
        <w:t xml:space="preserve"> to patients with mild to moderate hepatic impairment.</w:t>
      </w:r>
    </w:p>
    <w:p w14:paraId="04EE0A4F" w14:textId="77777777" w:rsidR="00301714" w:rsidRPr="00301714" w:rsidRDefault="00301714" w:rsidP="00CC37F3">
      <w:pPr>
        <w:pStyle w:val="Heading5"/>
      </w:pPr>
      <w:r w:rsidRPr="00301714">
        <w:t>Drug-drug interactions</w:t>
      </w:r>
    </w:p>
    <w:p w14:paraId="3B0E28CE" w14:textId="6AE94854" w:rsidR="00301714" w:rsidRPr="00301714" w:rsidRDefault="00A913FA" w:rsidP="00301714">
      <w:r>
        <w:t>Twenty-five</w:t>
      </w:r>
      <w:r w:rsidR="00301714" w:rsidRPr="00301714">
        <w:t xml:space="preserve"> drug-drug interaction studies conducted in healthy volunteers assessed to potential for drug-drug interactions with </w:t>
      </w:r>
      <w:proofErr w:type="spellStart"/>
      <w:r w:rsidR="00301714" w:rsidRPr="00301714">
        <w:t>isavuconazole</w:t>
      </w:r>
      <w:proofErr w:type="spellEnd"/>
      <w:r w:rsidR="00301714" w:rsidRPr="00301714">
        <w:t>. The clinical evaluator was o</w:t>
      </w:r>
      <w:r w:rsidR="00F670D5">
        <w:t xml:space="preserve">f the opinion that the EU </w:t>
      </w:r>
      <w:proofErr w:type="spellStart"/>
      <w:r w:rsidR="00F670D5">
        <w:t>SmPC</w:t>
      </w:r>
      <w:proofErr w:type="spellEnd"/>
      <w:r w:rsidR="00F670D5">
        <w:t xml:space="preserve"> </w:t>
      </w:r>
      <w:r w:rsidR="00301714" w:rsidRPr="00301714">
        <w:t xml:space="preserve">and proposed Australian </w:t>
      </w:r>
      <w:r w:rsidR="00974904">
        <w:t>PI</w:t>
      </w:r>
      <w:r w:rsidR="00301714" w:rsidRPr="00301714">
        <w:t xml:space="preserve"> accurately reflected the data from these studies.</w:t>
      </w:r>
    </w:p>
    <w:p w14:paraId="294031D7" w14:textId="2AD59EC0" w:rsidR="00301714" w:rsidRPr="00301714" w:rsidRDefault="00301714" w:rsidP="00301714">
      <w:proofErr w:type="spellStart"/>
      <w:r w:rsidRPr="00301714">
        <w:t>Isavuconazole</w:t>
      </w:r>
      <w:proofErr w:type="spellEnd"/>
      <w:r w:rsidRPr="00301714">
        <w:t xml:space="preserve"> is a substrate for CYP3A4 and may induce CYP2B6. </w:t>
      </w:r>
      <w:proofErr w:type="spellStart"/>
      <w:r w:rsidRPr="00301714">
        <w:t>Isavuconazole</w:t>
      </w:r>
      <w:proofErr w:type="spellEnd"/>
      <w:r w:rsidRPr="00301714">
        <w:t xml:space="preserve"> may inhibit P-glycoprotein, </w:t>
      </w:r>
      <w:r w:rsidR="00974904">
        <w:t>breast cancer related protein (</w:t>
      </w:r>
      <w:r w:rsidRPr="00CF375D">
        <w:t>BRCP</w:t>
      </w:r>
      <w:r w:rsidR="00974904">
        <w:t>)</w:t>
      </w:r>
      <w:r w:rsidRPr="00CF375D">
        <w:t xml:space="preserve">, </w:t>
      </w:r>
      <w:r w:rsidR="00974904">
        <w:t>organic cation transporter 2 (</w:t>
      </w:r>
      <w:r w:rsidRPr="00CF375D">
        <w:t>OCT2</w:t>
      </w:r>
      <w:r w:rsidR="00974904">
        <w:t>)</w:t>
      </w:r>
      <w:r w:rsidRPr="00CF375D">
        <w:t xml:space="preserve"> and </w:t>
      </w:r>
      <w:r w:rsidR="00974904">
        <w:t>u</w:t>
      </w:r>
      <w:r w:rsidR="00974904" w:rsidRPr="00974904">
        <w:t xml:space="preserve">ridine 5'-diphospho-glucuronosyltransferase </w:t>
      </w:r>
      <w:r w:rsidR="00974904">
        <w:t>(</w:t>
      </w:r>
      <w:r w:rsidRPr="00CF375D">
        <w:t>UGT</w:t>
      </w:r>
      <w:r w:rsidR="00974904">
        <w:t>)</w:t>
      </w:r>
      <w:r w:rsidRPr="00CF375D">
        <w:t>.</w:t>
      </w:r>
      <w:r w:rsidRPr="00301714">
        <w:t xml:space="preserve"> The potential for interactions with these enzymes has been studies </w:t>
      </w:r>
      <w:r w:rsidRPr="00F670D5">
        <w:rPr>
          <w:i/>
        </w:rPr>
        <w:t>in vivo</w:t>
      </w:r>
      <w:r w:rsidR="00F670D5">
        <w:t>.</w:t>
      </w:r>
    </w:p>
    <w:p w14:paraId="1EC4D821" w14:textId="7317327B" w:rsidR="00762456" w:rsidRDefault="00301714" w:rsidP="00301714">
      <w:r w:rsidRPr="00301714">
        <w:t xml:space="preserve">Clinically significant drug-drug interactions include use with strong CYP3A4 inhibitors </w:t>
      </w:r>
      <w:r w:rsidR="00B5738C">
        <w:t>for example,</w:t>
      </w:r>
      <w:r w:rsidRPr="00301714">
        <w:t xml:space="preserve"> ketoconazole, and with CYP3A4 substrates with narrow therapeutic indexes </w:t>
      </w:r>
      <w:r w:rsidR="008E0812">
        <w:t>for example,</w:t>
      </w:r>
      <w:r w:rsidRPr="00301714">
        <w:t xml:space="preserve"> tacrolimus, </w:t>
      </w:r>
      <w:proofErr w:type="spellStart"/>
      <w:r w:rsidRPr="00301714">
        <w:t>sirolimus</w:t>
      </w:r>
      <w:proofErr w:type="spellEnd"/>
      <w:r w:rsidRPr="00301714">
        <w:t xml:space="preserve"> and cyclosporine. Therapeutic drug monitoring of these </w:t>
      </w:r>
      <w:proofErr w:type="spellStart"/>
      <w:r w:rsidRPr="00301714">
        <w:t>immunosuppressants</w:t>
      </w:r>
      <w:proofErr w:type="spellEnd"/>
      <w:r w:rsidRPr="00301714">
        <w:t xml:space="preserve"> would enable concomitant administration with </w:t>
      </w:r>
      <w:proofErr w:type="spellStart"/>
      <w:r w:rsidRPr="00301714">
        <w:t>C</w:t>
      </w:r>
      <w:r w:rsidR="00B5738C">
        <w:t>resemba</w:t>
      </w:r>
      <w:proofErr w:type="spellEnd"/>
      <w:r w:rsidR="00F670D5">
        <w:t>.</w:t>
      </w:r>
    </w:p>
    <w:p w14:paraId="00A4275C" w14:textId="77777777" w:rsidR="00301714" w:rsidRPr="00301714" w:rsidRDefault="00301714" w:rsidP="00CC37F3">
      <w:pPr>
        <w:pStyle w:val="Heading4"/>
      </w:pPr>
      <w:r w:rsidRPr="00301714">
        <w:t>Pharmacodynamics</w:t>
      </w:r>
    </w:p>
    <w:p w14:paraId="34869ED5" w14:textId="53421A5A" w:rsidR="00301714" w:rsidRPr="00301714" w:rsidRDefault="005833CA" w:rsidP="00301714">
      <w:r>
        <w:t>T</w:t>
      </w:r>
      <w:r w:rsidR="00301714" w:rsidRPr="00301714">
        <w:t xml:space="preserve">he </w:t>
      </w:r>
      <w:proofErr w:type="spellStart"/>
      <w:r w:rsidR="00301714" w:rsidRPr="00301714">
        <w:t>pharmacodynamic</w:t>
      </w:r>
      <w:proofErr w:type="spellEnd"/>
      <w:r w:rsidR="00301714" w:rsidRPr="00301714">
        <w:t xml:space="preserve"> parameter of </w:t>
      </w:r>
      <w:r w:rsidR="00974904">
        <w:t xml:space="preserve">area under the curve (AUC)/maximum inhibitory dose (MIC) </w:t>
      </w:r>
      <w:r w:rsidR="00301714" w:rsidRPr="00301714">
        <w:t>correlated best with treatment outcome. ‘</w:t>
      </w:r>
      <w:r w:rsidR="00301714" w:rsidRPr="00A913FA">
        <w:rPr>
          <w:i/>
        </w:rPr>
        <w:t>In vivo</w:t>
      </w:r>
      <w:r w:rsidR="00301714" w:rsidRPr="00301714">
        <w:t xml:space="preserve"> and </w:t>
      </w:r>
      <w:r w:rsidR="00301714" w:rsidRPr="00A913FA">
        <w:rPr>
          <w:i/>
        </w:rPr>
        <w:t>in vitro</w:t>
      </w:r>
      <w:r w:rsidR="00301714" w:rsidRPr="00301714">
        <w:t xml:space="preserve"> dynamic models utilizing both wild-type and isolates with elevated </w:t>
      </w:r>
      <w:r w:rsidR="00B5738C">
        <w:t>minimum inhibitory concentration</w:t>
      </w:r>
      <w:r w:rsidR="00301714" w:rsidRPr="00301714">
        <w:t xml:space="preserve"> to </w:t>
      </w:r>
      <w:proofErr w:type="spellStart"/>
      <w:r w:rsidR="00301714" w:rsidRPr="00301714">
        <w:t>triazoles</w:t>
      </w:r>
      <w:proofErr w:type="spellEnd"/>
      <w:r w:rsidR="00301714" w:rsidRPr="00301714">
        <w:t xml:space="preserve"> or well-characterized mutations in the target gene demonstrated that efficacy could be optimized by increasing the </w:t>
      </w:r>
      <w:proofErr w:type="spellStart"/>
      <w:r w:rsidR="00301714" w:rsidRPr="00301714">
        <w:t>isavuconazole</w:t>
      </w:r>
      <w:proofErr w:type="spellEnd"/>
      <w:r w:rsidR="00301714" w:rsidRPr="00301714">
        <w:t xml:space="preserve"> concentrations</w:t>
      </w:r>
      <w:r w:rsidR="00301714" w:rsidRPr="005833CA">
        <w:t>’</w:t>
      </w:r>
      <w:r w:rsidR="00974904">
        <w:t>.</w:t>
      </w:r>
      <w:r w:rsidR="003B650A" w:rsidRPr="005833CA">
        <w:rPr>
          <w:vertAlign w:val="superscript"/>
        </w:rPr>
        <w:fldChar w:fldCharType="begin"/>
      </w:r>
      <w:r w:rsidR="003B650A" w:rsidRPr="005833CA">
        <w:rPr>
          <w:vertAlign w:val="superscript"/>
        </w:rPr>
        <w:instrText xml:space="preserve"> NOTEREF _Ref17904563 \h  \* MERGEFORMAT </w:instrText>
      </w:r>
      <w:r w:rsidR="003B650A" w:rsidRPr="005833CA">
        <w:rPr>
          <w:vertAlign w:val="superscript"/>
        </w:rPr>
      </w:r>
      <w:r w:rsidR="003B650A" w:rsidRPr="005833CA">
        <w:rPr>
          <w:vertAlign w:val="superscript"/>
        </w:rPr>
        <w:fldChar w:fldCharType="separate"/>
      </w:r>
      <w:r w:rsidR="003B650A" w:rsidRPr="005833CA">
        <w:rPr>
          <w:vertAlign w:val="superscript"/>
        </w:rPr>
        <w:t>7</w:t>
      </w:r>
      <w:r w:rsidR="003B650A" w:rsidRPr="005833CA">
        <w:rPr>
          <w:vertAlign w:val="superscript"/>
        </w:rPr>
        <w:fldChar w:fldCharType="end"/>
      </w:r>
      <w:r w:rsidR="00301714" w:rsidRPr="005833CA">
        <w:t xml:space="preserve"> The </w:t>
      </w:r>
      <w:r w:rsidRPr="005833CA">
        <w:t>overseas evaluator</w:t>
      </w:r>
      <w:r w:rsidR="00301714" w:rsidRPr="005833CA">
        <w:t xml:space="preserve"> expressed concern</w:t>
      </w:r>
      <w:r w:rsidR="00301714" w:rsidRPr="00301714">
        <w:t xml:space="preserve"> that the available microbiological data were inadequate to support a conclusion that </w:t>
      </w:r>
      <w:proofErr w:type="spellStart"/>
      <w:r w:rsidR="00301714" w:rsidRPr="00301714">
        <w:t>isavuconazole</w:t>
      </w:r>
      <w:proofErr w:type="spellEnd"/>
      <w:r w:rsidR="00301714" w:rsidRPr="00301714">
        <w:t xml:space="preserve">, when used at the proposed doses, is suitable for the treatment for all </w:t>
      </w:r>
      <w:proofErr w:type="spellStart"/>
      <w:r w:rsidR="00301714" w:rsidRPr="00F17F21">
        <w:rPr>
          <w:i/>
        </w:rPr>
        <w:t>Mucorales</w:t>
      </w:r>
      <w:proofErr w:type="spellEnd"/>
      <w:r w:rsidR="00301714" w:rsidRPr="00301714">
        <w:t xml:space="preserve"> species.</w:t>
      </w:r>
    </w:p>
    <w:p w14:paraId="2B8823E1" w14:textId="77777777" w:rsidR="00301714" w:rsidRPr="00301714" w:rsidRDefault="00301714" w:rsidP="00CC37F3">
      <w:pPr>
        <w:pStyle w:val="Heading4"/>
      </w:pPr>
      <w:r w:rsidRPr="00301714">
        <w:t>Efficacy</w:t>
      </w:r>
    </w:p>
    <w:p w14:paraId="20D52D31" w14:textId="2FBB94B2" w:rsidR="00762456" w:rsidRDefault="00301714" w:rsidP="00301714">
      <w:r w:rsidRPr="00301714">
        <w:t>Two pivotal studies were submitted in support of the proposed indications: Study</w:t>
      </w:r>
      <w:r w:rsidR="00974904">
        <w:t> </w:t>
      </w:r>
      <w:r w:rsidRPr="00301714">
        <w:t>9766</w:t>
      </w:r>
      <w:r w:rsidR="00974904">
        <w:noBreakHyphen/>
      </w:r>
      <w:r w:rsidRPr="00301714">
        <w:t>CL</w:t>
      </w:r>
      <w:r w:rsidR="00974904">
        <w:noBreakHyphen/>
      </w:r>
      <w:r w:rsidRPr="00301714">
        <w:t xml:space="preserve">0104 and </w:t>
      </w:r>
      <w:r w:rsidR="00E45232">
        <w:t>S</w:t>
      </w:r>
      <w:r w:rsidRPr="00301714">
        <w:t xml:space="preserve">tudy 9766-CL-0103. Two </w:t>
      </w:r>
      <w:r w:rsidR="008E0812">
        <w:t>P</w:t>
      </w:r>
      <w:r w:rsidRPr="00301714">
        <w:t xml:space="preserve">hase </w:t>
      </w:r>
      <w:r w:rsidR="008E0812">
        <w:t>II</w:t>
      </w:r>
      <w:r w:rsidRPr="00301714">
        <w:t xml:space="preserve"> studies (</w:t>
      </w:r>
      <w:r w:rsidR="00974904">
        <w:t xml:space="preserve">Studies </w:t>
      </w:r>
      <w:r w:rsidRPr="00301714">
        <w:t xml:space="preserve">9766-CL-0101, </w:t>
      </w:r>
      <w:r w:rsidR="00974904">
        <w:t xml:space="preserve">and </w:t>
      </w:r>
      <w:r w:rsidRPr="00301714">
        <w:t>9766-CL-0102) were submitted in patients with oesophageal candidiasis and patients undergoing chemotherapy for acute myeloid leukaemia. These studies were not considered relevant to the sought indications.</w:t>
      </w:r>
    </w:p>
    <w:p w14:paraId="2D3386B5" w14:textId="10A4E2A2" w:rsidR="00301714" w:rsidRDefault="008C254C" w:rsidP="00AE3AF6">
      <w:pPr>
        <w:pStyle w:val="TableTitle"/>
        <w:pageBreakBefore/>
      </w:pPr>
      <w:r>
        <w:lastRenderedPageBreak/>
        <w:t>Table 4</w:t>
      </w:r>
      <w:r w:rsidR="00CC37F3">
        <w:t xml:space="preserve">: </w:t>
      </w:r>
      <w:r w:rsidR="00301714" w:rsidRPr="00301714">
        <w:t xml:space="preserve">Overview of </w:t>
      </w:r>
      <w:r w:rsidR="008E0812">
        <w:t>P</w:t>
      </w:r>
      <w:r w:rsidR="00301714" w:rsidRPr="00301714">
        <w:t xml:space="preserve">hase </w:t>
      </w:r>
      <w:r w:rsidR="008E0812">
        <w:t>III</w:t>
      </w:r>
      <w:r w:rsidR="00301714" w:rsidRPr="00301714">
        <w:t xml:space="preserve"> studies</w:t>
      </w:r>
    </w:p>
    <w:tbl>
      <w:tblPr>
        <w:tblStyle w:val="TableTGAblue"/>
        <w:tblW w:w="8755" w:type="dxa"/>
        <w:tblLook w:val="04A0" w:firstRow="1" w:lastRow="0" w:firstColumn="1" w:lastColumn="0" w:noHBand="0" w:noVBand="1"/>
      </w:tblPr>
      <w:tblGrid>
        <w:gridCol w:w="1523"/>
        <w:gridCol w:w="2001"/>
        <w:gridCol w:w="1675"/>
        <w:gridCol w:w="1945"/>
        <w:gridCol w:w="1611"/>
      </w:tblGrid>
      <w:tr w:rsidR="00301714" w:rsidRPr="009C2083" w14:paraId="38D03548" w14:textId="77777777" w:rsidTr="00AE3AF6">
        <w:trPr>
          <w:cnfStyle w:val="100000000000" w:firstRow="1" w:lastRow="0" w:firstColumn="0" w:lastColumn="0" w:oddVBand="0" w:evenVBand="0" w:oddHBand="0" w:evenHBand="0" w:firstRowFirstColumn="0" w:firstRowLastColumn="0" w:lastRowFirstColumn="0" w:lastRowLastColumn="0"/>
          <w:tblHeader w:val="0"/>
        </w:trPr>
        <w:tc>
          <w:tcPr>
            <w:tcW w:w="1523" w:type="dxa"/>
          </w:tcPr>
          <w:p w14:paraId="2CC39E0B" w14:textId="77777777" w:rsidR="00301714" w:rsidRPr="009C2083" w:rsidRDefault="00301714" w:rsidP="00AE3AF6">
            <w:pPr>
              <w:ind w:left="0"/>
              <w:rPr>
                <w:b w:val="0"/>
              </w:rPr>
            </w:pPr>
            <w:r w:rsidRPr="009C2083">
              <w:t>Study and dates</w:t>
            </w:r>
          </w:p>
        </w:tc>
        <w:tc>
          <w:tcPr>
            <w:tcW w:w="2001" w:type="dxa"/>
          </w:tcPr>
          <w:p w14:paraId="6792C461" w14:textId="77777777" w:rsidR="00301714" w:rsidRPr="009C2083" w:rsidRDefault="00301714" w:rsidP="00AE3AF6">
            <w:pPr>
              <w:ind w:left="0"/>
              <w:rPr>
                <w:b w:val="0"/>
              </w:rPr>
            </w:pPr>
            <w:r w:rsidRPr="009C2083">
              <w:t>Design</w:t>
            </w:r>
          </w:p>
        </w:tc>
        <w:tc>
          <w:tcPr>
            <w:tcW w:w="1675" w:type="dxa"/>
          </w:tcPr>
          <w:p w14:paraId="04849E29" w14:textId="77777777" w:rsidR="00301714" w:rsidRPr="009C2083" w:rsidRDefault="00301714" w:rsidP="00AE3AF6">
            <w:pPr>
              <w:ind w:left="18"/>
              <w:rPr>
                <w:b w:val="0"/>
              </w:rPr>
            </w:pPr>
            <w:r w:rsidRPr="009C2083">
              <w:t>Population</w:t>
            </w:r>
          </w:p>
        </w:tc>
        <w:tc>
          <w:tcPr>
            <w:tcW w:w="1945" w:type="dxa"/>
          </w:tcPr>
          <w:p w14:paraId="6EB44FAD" w14:textId="77777777" w:rsidR="00301714" w:rsidRPr="009C2083" w:rsidRDefault="00301714" w:rsidP="00AE3AF6">
            <w:pPr>
              <w:ind w:left="0"/>
              <w:rPr>
                <w:b w:val="0"/>
              </w:rPr>
            </w:pPr>
            <w:r w:rsidRPr="009C2083">
              <w:t xml:space="preserve">Number of subjects </w:t>
            </w:r>
          </w:p>
        </w:tc>
        <w:tc>
          <w:tcPr>
            <w:tcW w:w="1611" w:type="dxa"/>
          </w:tcPr>
          <w:p w14:paraId="16619650" w14:textId="77777777" w:rsidR="00301714" w:rsidRPr="009C2083" w:rsidRDefault="00301714" w:rsidP="00AE3AF6">
            <w:pPr>
              <w:ind w:left="0"/>
              <w:rPr>
                <w:b w:val="0"/>
              </w:rPr>
            </w:pPr>
            <w:r w:rsidRPr="009C2083">
              <w:t>Study duration</w:t>
            </w:r>
          </w:p>
        </w:tc>
      </w:tr>
      <w:tr w:rsidR="00301714" w:rsidRPr="009C2083" w14:paraId="01AF5702" w14:textId="77777777" w:rsidTr="00AE3AF6">
        <w:tc>
          <w:tcPr>
            <w:tcW w:w="1523" w:type="dxa"/>
          </w:tcPr>
          <w:p w14:paraId="2698EA2B" w14:textId="77777777" w:rsidR="00301714" w:rsidRPr="00690A83" w:rsidRDefault="00301714" w:rsidP="00AE3AF6">
            <w:pPr>
              <w:ind w:left="0"/>
            </w:pPr>
            <w:r w:rsidRPr="00690A83">
              <w:t>9766-CL-0104</w:t>
            </w:r>
          </w:p>
          <w:p w14:paraId="535C3362" w14:textId="18996722" w:rsidR="00301714" w:rsidRPr="00690A83" w:rsidRDefault="00301714" w:rsidP="00AE3AF6">
            <w:pPr>
              <w:ind w:left="0"/>
            </w:pPr>
            <w:r w:rsidRPr="00690A83">
              <w:t>March 2007</w:t>
            </w:r>
            <w:r w:rsidR="00974904" w:rsidRPr="00690A83">
              <w:t xml:space="preserve"> to </w:t>
            </w:r>
            <w:r w:rsidRPr="00690A83">
              <w:t>March 2013</w:t>
            </w:r>
          </w:p>
          <w:p w14:paraId="132C268C" w14:textId="77777777" w:rsidR="00301714" w:rsidRPr="00690A83" w:rsidRDefault="00301714" w:rsidP="00AE3AF6">
            <w:pPr>
              <w:ind w:left="0"/>
            </w:pPr>
            <w:r w:rsidRPr="00690A83">
              <w:t>(SECURE study)</w:t>
            </w:r>
          </w:p>
        </w:tc>
        <w:tc>
          <w:tcPr>
            <w:tcW w:w="2001" w:type="dxa"/>
          </w:tcPr>
          <w:p w14:paraId="1FCF8A93" w14:textId="468B2BF6" w:rsidR="00301714" w:rsidRPr="009C2083" w:rsidRDefault="00301714" w:rsidP="00AE3AF6">
            <w:pPr>
              <w:ind w:left="0"/>
            </w:pPr>
            <w:r w:rsidRPr="009C2083">
              <w:t>Double</w:t>
            </w:r>
            <w:r w:rsidR="003443F0" w:rsidRPr="009C2083">
              <w:t xml:space="preserve"> </w:t>
            </w:r>
            <w:r w:rsidRPr="009C2083">
              <w:t>blind, randomised, multicentre, non</w:t>
            </w:r>
            <w:r w:rsidR="00974904">
              <w:noBreakHyphen/>
            </w:r>
            <w:r w:rsidRPr="009C2083">
              <w:t>inferiority</w:t>
            </w:r>
            <w:r w:rsidR="00EE6239" w:rsidRPr="009C2083">
              <w:t xml:space="preserve">, active </w:t>
            </w:r>
            <w:r w:rsidRPr="009C2083">
              <w:t>controlled study</w:t>
            </w:r>
          </w:p>
        </w:tc>
        <w:tc>
          <w:tcPr>
            <w:tcW w:w="1675" w:type="dxa"/>
          </w:tcPr>
          <w:p w14:paraId="7803E857" w14:textId="77777777" w:rsidR="00301714" w:rsidRPr="009C2083" w:rsidRDefault="00301714" w:rsidP="00AE3AF6">
            <w:pPr>
              <w:ind w:left="18"/>
            </w:pPr>
            <w:r w:rsidRPr="009C2083">
              <w:t xml:space="preserve">Patients with proven, probable or possible invasive fungal disease caused by </w:t>
            </w:r>
            <w:r w:rsidRPr="00690A83">
              <w:rPr>
                <w:i/>
              </w:rPr>
              <w:t>Aspergillus</w:t>
            </w:r>
            <w:r w:rsidRPr="009C2083">
              <w:t xml:space="preserve"> or other filamentous fungi</w:t>
            </w:r>
          </w:p>
        </w:tc>
        <w:tc>
          <w:tcPr>
            <w:tcW w:w="1945" w:type="dxa"/>
          </w:tcPr>
          <w:p w14:paraId="48F541A0" w14:textId="77777777" w:rsidR="009C2083" w:rsidRPr="009C2083" w:rsidRDefault="00F670D5" w:rsidP="00AE3AF6">
            <w:pPr>
              <w:ind w:left="0"/>
            </w:pPr>
            <w:r w:rsidRPr="009C2083">
              <w:t>Randomised</w:t>
            </w:r>
            <w:r w:rsidR="009C2083">
              <w:t>:</w:t>
            </w:r>
          </w:p>
          <w:p w14:paraId="03E35FE2" w14:textId="77777777" w:rsidR="00762456" w:rsidRDefault="009C2083" w:rsidP="00AE3AF6">
            <w:pPr>
              <w:ind w:left="0"/>
            </w:pPr>
            <w:r w:rsidRPr="009C2083">
              <w:t>258 (</w:t>
            </w:r>
            <w:proofErr w:type="spellStart"/>
            <w:r w:rsidRPr="009C2083">
              <w:t>isavuconazole</w:t>
            </w:r>
            <w:proofErr w:type="spellEnd"/>
            <w:r w:rsidRPr="009C2083">
              <w:t xml:space="preserve">) </w:t>
            </w:r>
            <w:r w:rsidR="00301714" w:rsidRPr="009C2083">
              <w:t>258 (</w:t>
            </w:r>
            <w:proofErr w:type="spellStart"/>
            <w:r w:rsidR="00301714" w:rsidRPr="009C2083">
              <w:t>voriconazole</w:t>
            </w:r>
            <w:proofErr w:type="spellEnd"/>
            <w:r w:rsidR="00301714" w:rsidRPr="009C2083">
              <w:t>)</w:t>
            </w:r>
          </w:p>
          <w:p w14:paraId="44E222E3" w14:textId="77777777" w:rsidR="00301714" w:rsidRPr="009C2083" w:rsidRDefault="00301714" w:rsidP="00AE3AF6">
            <w:pPr>
              <w:ind w:left="0"/>
            </w:pPr>
            <w:r w:rsidRPr="009C2083">
              <w:t>Completed:</w:t>
            </w:r>
          </w:p>
          <w:p w14:paraId="32614ABD" w14:textId="77777777" w:rsidR="00301714" w:rsidRPr="009C2083" w:rsidRDefault="00301714" w:rsidP="00AE3AF6">
            <w:pPr>
              <w:ind w:left="0"/>
            </w:pPr>
            <w:r w:rsidRPr="009C2083">
              <w:t>118 (</w:t>
            </w:r>
            <w:proofErr w:type="spellStart"/>
            <w:r w:rsidRPr="009C2083">
              <w:t>isavuconazole</w:t>
            </w:r>
            <w:proofErr w:type="spellEnd"/>
            <w:r w:rsidRPr="009C2083">
              <w:t>)</w:t>
            </w:r>
          </w:p>
          <w:p w14:paraId="597CFA31" w14:textId="77777777" w:rsidR="00301714" w:rsidRPr="009C2083" w:rsidRDefault="00301714" w:rsidP="00AE3AF6">
            <w:pPr>
              <w:ind w:left="0"/>
            </w:pPr>
            <w:r w:rsidRPr="009C2083">
              <w:t>120 (</w:t>
            </w:r>
            <w:proofErr w:type="spellStart"/>
            <w:r w:rsidRPr="009C2083">
              <w:t>voriconazole</w:t>
            </w:r>
            <w:proofErr w:type="spellEnd"/>
            <w:r w:rsidRPr="009C2083">
              <w:t>)</w:t>
            </w:r>
          </w:p>
        </w:tc>
        <w:tc>
          <w:tcPr>
            <w:tcW w:w="1611" w:type="dxa"/>
          </w:tcPr>
          <w:p w14:paraId="2A971939" w14:textId="77777777" w:rsidR="00301714" w:rsidRPr="009C2083" w:rsidRDefault="00301714" w:rsidP="00AE3AF6">
            <w:pPr>
              <w:ind w:left="0"/>
            </w:pPr>
            <w:r w:rsidRPr="009C2083">
              <w:t>Maximum treatment period 84 days</w:t>
            </w:r>
          </w:p>
        </w:tc>
      </w:tr>
      <w:tr w:rsidR="00301714" w:rsidRPr="009C2083" w14:paraId="295084CE" w14:textId="77777777" w:rsidTr="00AE3AF6">
        <w:trPr>
          <w:trHeight w:val="3121"/>
        </w:trPr>
        <w:tc>
          <w:tcPr>
            <w:tcW w:w="1523" w:type="dxa"/>
          </w:tcPr>
          <w:p w14:paraId="3EA99D27" w14:textId="77777777" w:rsidR="00301714" w:rsidRPr="00690A83" w:rsidRDefault="00301714" w:rsidP="00AE3AF6">
            <w:pPr>
              <w:ind w:left="0"/>
            </w:pPr>
            <w:r w:rsidRPr="00690A83">
              <w:t>9766-CL-0103</w:t>
            </w:r>
          </w:p>
          <w:p w14:paraId="0BFEA835" w14:textId="4DF7B7FA" w:rsidR="00301714" w:rsidRPr="00690A83" w:rsidRDefault="00301714" w:rsidP="00AE3AF6">
            <w:pPr>
              <w:ind w:left="0"/>
            </w:pPr>
            <w:r w:rsidRPr="00690A83">
              <w:t>April 2008</w:t>
            </w:r>
            <w:r w:rsidR="00974904" w:rsidRPr="00690A83">
              <w:t xml:space="preserve"> to </w:t>
            </w:r>
            <w:r w:rsidRPr="00690A83">
              <w:t>January 2014</w:t>
            </w:r>
          </w:p>
          <w:p w14:paraId="4387A4DD" w14:textId="6FEA274D" w:rsidR="00301714" w:rsidRPr="00690A83" w:rsidRDefault="00301714" w:rsidP="00AE3AF6">
            <w:pPr>
              <w:ind w:left="0"/>
            </w:pPr>
            <w:r w:rsidRPr="00690A83">
              <w:t>(VITAL study)</w:t>
            </w:r>
          </w:p>
        </w:tc>
        <w:tc>
          <w:tcPr>
            <w:tcW w:w="2001" w:type="dxa"/>
          </w:tcPr>
          <w:p w14:paraId="45CC812F" w14:textId="79FFB8AF" w:rsidR="00301714" w:rsidRPr="009C2083" w:rsidRDefault="00301714" w:rsidP="00AE3AF6">
            <w:pPr>
              <w:ind w:left="0"/>
            </w:pPr>
            <w:r w:rsidRPr="009C2083">
              <w:t>Open</w:t>
            </w:r>
            <w:r w:rsidR="003443F0" w:rsidRPr="009C2083">
              <w:t xml:space="preserve"> </w:t>
            </w:r>
            <w:r w:rsidRPr="009C2083">
              <w:t>label, multicentre non</w:t>
            </w:r>
            <w:r w:rsidR="00974904">
              <w:noBreakHyphen/>
            </w:r>
            <w:r w:rsidRPr="009C2083">
              <w:t>comparative study</w:t>
            </w:r>
          </w:p>
        </w:tc>
        <w:tc>
          <w:tcPr>
            <w:tcW w:w="1675" w:type="dxa"/>
          </w:tcPr>
          <w:p w14:paraId="5184CC2D" w14:textId="5A5747A8" w:rsidR="00301714" w:rsidRPr="009C2083" w:rsidRDefault="00301714" w:rsidP="00AE3AF6">
            <w:pPr>
              <w:ind w:left="18"/>
            </w:pPr>
            <w:r w:rsidRPr="009C2083">
              <w:t xml:space="preserve">Patients with invasive </w:t>
            </w:r>
            <w:proofErr w:type="spellStart"/>
            <w:r w:rsidRPr="009C2083">
              <w:t>aspergillosis</w:t>
            </w:r>
            <w:proofErr w:type="spellEnd"/>
            <w:r w:rsidRPr="009C2083">
              <w:t xml:space="preserve"> and renal impairment or patients with invasive fungal disease caused by rare moulds, yeast or dimorphic fungi</w:t>
            </w:r>
          </w:p>
        </w:tc>
        <w:tc>
          <w:tcPr>
            <w:tcW w:w="1945" w:type="dxa"/>
          </w:tcPr>
          <w:p w14:paraId="6E99CDF6" w14:textId="77777777" w:rsidR="00301714" w:rsidRPr="009C2083" w:rsidRDefault="00301714" w:rsidP="00AE3AF6">
            <w:pPr>
              <w:ind w:left="0"/>
            </w:pPr>
            <w:r w:rsidRPr="009C2083">
              <w:t>146</w:t>
            </w:r>
          </w:p>
          <w:p w14:paraId="1D7F3AA0" w14:textId="77777777" w:rsidR="00301714" w:rsidRPr="009C2083" w:rsidRDefault="00301714" w:rsidP="00AE3AF6">
            <w:pPr>
              <w:ind w:left="0"/>
            </w:pPr>
            <w:r w:rsidRPr="009C2083">
              <w:t>46 (</w:t>
            </w:r>
            <w:proofErr w:type="spellStart"/>
            <w:r w:rsidRPr="009C2083">
              <w:t>mucormycosis</w:t>
            </w:r>
            <w:proofErr w:type="spellEnd"/>
            <w:r w:rsidRPr="009C2083">
              <w:t>)</w:t>
            </w:r>
          </w:p>
          <w:p w14:paraId="34F8C11A" w14:textId="77777777" w:rsidR="00301714" w:rsidRPr="009C2083" w:rsidRDefault="00301714" w:rsidP="00AE3AF6">
            <w:pPr>
              <w:ind w:left="0"/>
            </w:pPr>
            <w:r w:rsidRPr="009C2083">
              <w:t>9 (excluded due to co-infection, possible invasive fungal disease)</w:t>
            </w:r>
          </w:p>
          <w:p w14:paraId="4614C608" w14:textId="77777777" w:rsidR="00301714" w:rsidRPr="009C2083" w:rsidRDefault="00301714" w:rsidP="00AE3AF6">
            <w:pPr>
              <w:ind w:left="0"/>
            </w:pPr>
            <w:r w:rsidRPr="009C2083">
              <w:t>37 (</w:t>
            </w:r>
            <w:proofErr w:type="spellStart"/>
            <w:r w:rsidRPr="009C2083">
              <w:t>mucormycosis</w:t>
            </w:r>
            <w:proofErr w:type="spellEnd"/>
            <w:r w:rsidRPr="009C2083">
              <w:t xml:space="preserve"> only)</w:t>
            </w:r>
          </w:p>
          <w:p w14:paraId="25FDF49A" w14:textId="77777777" w:rsidR="00301714" w:rsidRPr="009C2083" w:rsidRDefault="00301714" w:rsidP="00AE3AF6">
            <w:pPr>
              <w:ind w:left="0"/>
            </w:pPr>
            <w:r w:rsidRPr="009C2083">
              <w:t>100 (other fun</w:t>
            </w:r>
            <w:r w:rsidR="009C2083">
              <w:t>gal disease)</w:t>
            </w:r>
          </w:p>
        </w:tc>
        <w:tc>
          <w:tcPr>
            <w:tcW w:w="1611" w:type="dxa"/>
          </w:tcPr>
          <w:p w14:paraId="1A9D8DAA" w14:textId="716BD016" w:rsidR="00301714" w:rsidRPr="009C2083" w:rsidRDefault="00301714" w:rsidP="00AE3AF6">
            <w:pPr>
              <w:ind w:left="0"/>
            </w:pPr>
            <w:r w:rsidRPr="009C2083">
              <w:t>Maximum treatment period 84</w:t>
            </w:r>
            <w:r w:rsidR="00974904">
              <w:t> </w:t>
            </w:r>
            <w:r w:rsidRPr="009C2083">
              <w:t>days. Country specific amendments allowed patients to continue treatment for 180 days.</w:t>
            </w:r>
          </w:p>
        </w:tc>
      </w:tr>
    </w:tbl>
    <w:p w14:paraId="1103A8B5" w14:textId="77777777" w:rsidR="00762456" w:rsidRDefault="00301714" w:rsidP="003443F0">
      <w:pPr>
        <w:pStyle w:val="Heading5"/>
      </w:pPr>
      <w:r>
        <w:t>Study 9766-CL-0104</w:t>
      </w:r>
    </w:p>
    <w:p w14:paraId="546BE15F" w14:textId="2A3226D0" w:rsidR="00762456" w:rsidRDefault="008E156A" w:rsidP="00301714">
      <w:r>
        <w:t>Study 9766-CL-0104 was a</w:t>
      </w:r>
      <w:r w:rsidR="00301714">
        <w:t xml:space="preserve"> </w:t>
      </w:r>
      <w:r w:rsidR="00CC37F3">
        <w:t>P</w:t>
      </w:r>
      <w:r w:rsidR="00301714">
        <w:t>hase III, double</w:t>
      </w:r>
      <w:r w:rsidR="00C53E67">
        <w:t xml:space="preserve"> </w:t>
      </w:r>
      <w:r w:rsidR="00301714">
        <w:t xml:space="preserve">blind, </w:t>
      </w:r>
      <w:r>
        <w:t xml:space="preserve">randomised </w:t>
      </w:r>
      <w:r w:rsidR="00301714">
        <w:t xml:space="preserve">study to evaluate safety and efficacy of </w:t>
      </w:r>
      <w:proofErr w:type="spellStart"/>
      <w:r w:rsidR="00301714">
        <w:t>isavuconazole</w:t>
      </w:r>
      <w:proofErr w:type="spellEnd"/>
      <w:r w:rsidR="00301714">
        <w:t xml:space="preserve"> (BAL8557) versus </w:t>
      </w:r>
      <w:proofErr w:type="spellStart"/>
      <w:r w:rsidR="00301714">
        <w:t>voriconazole</w:t>
      </w:r>
      <w:proofErr w:type="spellEnd"/>
      <w:r w:rsidR="00301714">
        <w:t xml:space="preserve"> for primary treatment of invasive fungal disease caused by </w:t>
      </w:r>
      <w:r w:rsidR="00301714" w:rsidRPr="00A913FA">
        <w:rPr>
          <w:i/>
        </w:rPr>
        <w:t>Aspergillus</w:t>
      </w:r>
      <w:r w:rsidR="00301714">
        <w:t xml:space="preserve"> species or other filam</w:t>
      </w:r>
      <w:r w:rsidR="003B650A">
        <w:t>entous fungi (</w:t>
      </w:r>
      <w:r>
        <w:t xml:space="preserve">also known as </w:t>
      </w:r>
      <w:r w:rsidR="003B650A">
        <w:t xml:space="preserve">the SECURE </w:t>
      </w:r>
      <w:r>
        <w:t>study</w:t>
      </w:r>
      <w:r w:rsidR="003B650A">
        <w:t>)</w:t>
      </w:r>
      <w:r w:rsidR="003443F0">
        <w:t>.</w:t>
      </w:r>
    </w:p>
    <w:p w14:paraId="49B1ED80" w14:textId="77777777" w:rsidR="00762456" w:rsidRDefault="00301714" w:rsidP="00301714">
      <w:r>
        <w:t>Study 9766-CL-0104 was a randomised, double</w:t>
      </w:r>
      <w:r w:rsidR="003B650A">
        <w:t xml:space="preserve"> </w:t>
      </w:r>
      <w:r>
        <w:t>blind, double</w:t>
      </w:r>
      <w:r w:rsidR="003B650A">
        <w:t xml:space="preserve"> </w:t>
      </w:r>
      <w:r>
        <w:t>dummy, non-inferiority, active</w:t>
      </w:r>
      <w:r w:rsidR="003B650A">
        <w:t xml:space="preserve"> </w:t>
      </w:r>
      <w:r>
        <w:t xml:space="preserve">controlled study (versus </w:t>
      </w:r>
      <w:proofErr w:type="spellStart"/>
      <w:r>
        <w:t>voriconazole</w:t>
      </w:r>
      <w:proofErr w:type="spellEnd"/>
      <w:r>
        <w:t xml:space="preserve">), of 527 adult patients with proven, probable, or possible invasive fungal disease caused by </w:t>
      </w:r>
      <w:r w:rsidRPr="00690A83">
        <w:rPr>
          <w:i/>
        </w:rPr>
        <w:t>Aspergillus</w:t>
      </w:r>
      <w:r>
        <w:t xml:space="preserve"> species or other filamentous fungi. Patients were stratified by factors including geographic region, allogeneic bone marrow transplant status and un</w:t>
      </w:r>
      <w:r w:rsidR="009C2083">
        <w:t>controlled malignancy status.</w:t>
      </w:r>
    </w:p>
    <w:p w14:paraId="49F1283B" w14:textId="65EB5497" w:rsidR="00301714" w:rsidRDefault="00301714" w:rsidP="00301714">
      <w:r>
        <w:t xml:space="preserve">The non-inferiority design was </w:t>
      </w:r>
      <w:r w:rsidRPr="005833CA">
        <w:t>considered acceptable and in line</w:t>
      </w:r>
      <w:r>
        <w:t xml:space="preserve"> with the CHMP Guidance on antifungal agents (CHMP/EWP/1343, 2010).</w:t>
      </w:r>
      <w:r w:rsidR="008E156A">
        <w:rPr>
          <w:rStyle w:val="FootnoteReference"/>
        </w:rPr>
        <w:footnoteReference w:id="8"/>
      </w:r>
      <w:r>
        <w:t xml:space="preserve"> </w:t>
      </w:r>
      <w:proofErr w:type="spellStart"/>
      <w:r>
        <w:t>Voriconazole</w:t>
      </w:r>
      <w:proofErr w:type="spellEnd"/>
      <w:r>
        <w:t xml:space="preserve"> is an appropriate</w:t>
      </w:r>
      <w:r w:rsidR="00EE6239">
        <w:t xml:space="preserve"> </w:t>
      </w:r>
      <w:r>
        <w:t>comparator and the preferred antifungal drug in the treatment of invasive aspergillosis.</w:t>
      </w:r>
      <w:r w:rsidR="003B650A" w:rsidRPr="003B650A">
        <w:rPr>
          <w:vertAlign w:val="superscript"/>
        </w:rPr>
        <w:fldChar w:fldCharType="begin"/>
      </w:r>
      <w:r w:rsidR="003B650A" w:rsidRPr="003B650A">
        <w:rPr>
          <w:vertAlign w:val="superscript"/>
        </w:rPr>
        <w:instrText xml:space="preserve"> NOTEREF _Ref17883749 \h </w:instrText>
      </w:r>
      <w:r w:rsidR="003B650A">
        <w:rPr>
          <w:vertAlign w:val="superscript"/>
        </w:rPr>
        <w:instrText xml:space="preserve"> \* MERGEFORMAT </w:instrText>
      </w:r>
      <w:r w:rsidR="003B650A" w:rsidRPr="003B650A">
        <w:rPr>
          <w:vertAlign w:val="superscript"/>
        </w:rPr>
      </w:r>
      <w:r w:rsidR="003B650A" w:rsidRPr="003B650A">
        <w:rPr>
          <w:vertAlign w:val="superscript"/>
        </w:rPr>
        <w:fldChar w:fldCharType="separate"/>
      </w:r>
      <w:r w:rsidR="003B650A" w:rsidRPr="003B650A">
        <w:rPr>
          <w:vertAlign w:val="superscript"/>
        </w:rPr>
        <w:t>1</w:t>
      </w:r>
      <w:r w:rsidR="003B650A" w:rsidRPr="003B650A">
        <w:rPr>
          <w:vertAlign w:val="superscript"/>
        </w:rPr>
        <w:fldChar w:fldCharType="end"/>
      </w:r>
    </w:p>
    <w:p w14:paraId="43A14C61" w14:textId="77777777" w:rsidR="00301714" w:rsidRDefault="00301714" w:rsidP="003443F0">
      <w:pPr>
        <w:pStyle w:val="Heading6"/>
      </w:pPr>
      <w:r>
        <w:lastRenderedPageBreak/>
        <w:t>Treatment groups:</w:t>
      </w:r>
    </w:p>
    <w:p w14:paraId="1DFC0320" w14:textId="77777777" w:rsidR="00301714" w:rsidRDefault="00301714" w:rsidP="00A913FA">
      <w:pPr>
        <w:pStyle w:val="ListBullet"/>
      </w:pPr>
      <w:proofErr w:type="spellStart"/>
      <w:r>
        <w:t>Isavuconazole</w:t>
      </w:r>
      <w:proofErr w:type="spellEnd"/>
    </w:p>
    <w:p w14:paraId="6810ACF4" w14:textId="13AEFC9F" w:rsidR="00301714" w:rsidRDefault="00301714" w:rsidP="00A913FA">
      <w:pPr>
        <w:pStyle w:val="ListBullet2"/>
      </w:pPr>
      <w:r>
        <w:t>Loading Dose: 200</w:t>
      </w:r>
      <w:r w:rsidR="00CC37F3">
        <w:t xml:space="preserve"> </w:t>
      </w:r>
      <w:r>
        <w:t xml:space="preserve">mg, IV </w:t>
      </w:r>
      <w:r w:rsidR="00F17F21">
        <w:t>every 8 hours</w:t>
      </w:r>
      <w:r>
        <w:t xml:space="preserve"> on </w:t>
      </w:r>
      <w:r w:rsidR="00CC37F3">
        <w:t>D</w:t>
      </w:r>
      <w:r>
        <w:t>ays 1 and 2;</w:t>
      </w:r>
    </w:p>
    <w:p w14:paraId="62C7EDAC" w14:textId="34E653AE" w:rsidR="00301714" w:rsidRDefault="00301714" w:rsidP="00A913FA">
      <w:pPr>
        <w:pStyle w:val="ListBullet2"/>
      </w:pPr>
      <w:r>
        <w:t xml:space="preserve">Maintenance: 200 mg IV or oral </w:t>
      </w:r>
      <w:r w:rsidR="00F17F21">
        <w:t>every 24 hours</w:t>
      </w:r>
      <w:r w:rsidR="008E156A">
        <w:t>.</w:t>
      </w:r>
    </w:p>
    <w:p w14:paraId="2AF5C1F1" w14:textId="77777777" w:rsidR="00301714" w:rsidRDefault="00301714" w:rsidP="00A913FA">
      <w:pPr>
        <w:pStyle w:val="ListBullet"/>
      </w:pPr>
      <w:proofErr w:type="spellStart"/>
      <w:r>
        <w:t>Voriconazole</w:t>
      </w:r>
      <w:proofErr w:type="spellEnd"/>
    </w:p>
    <w:p w14:paraId="311E07F4" w14:textId="7D5AF0F3" w:rsidR="00301714" w:rsidRDefault="00301714" w:rsidP="00A913FA">
      <w:pPr>
        <w:pStyle w:val="ListBullet2"/>
      </w:pPr>
      <w:r>
        <w:t xml:space="preserve">Loading dose: 6 mg/kg IV </w:t>
      </w:r>
      <w:r w:rsidR="00F17F21">
        <w:t>every 12 hours</w:t>
      </w:r>
      <w:r>
        <w:t xml:space="preserve"> on </w:t>
      </w:r>
      <w:r w:rsidR="00CC37F3">
        <w:t>D</w:t>
      </w:r>
      <w:r>
        <w:t>ay 1;</w:t>
      </w:r>
    </w:p>
    <w:p w14:paraId="6823E777" w14:textId="4A2A672D" w:rsidR="00301714" w:rsidRDefault="00301714" w:rsidP="00A913FA">
      <w:pPr>
        <w:pStyle w:val="ListBullet2"/>
      </w:pPr>
      <w:r>
        <w:t xml:space="preserve">Maintenance dose: 4 mg/kg IV or 200 mg oral </w:t>
      </w:r>
      <w:r w:rsidR="00F17F21">
        <w:t>every 12 hours</w:t>
      </w:r>
    </w:p>
    <w:p w14:paraId="4473B98A" w14:textId="77777777" w:rsidR="00301714" w:rsidRDefault="00301714" w:rsidP="00301714">
      <w:r>
        <w:t xml:space="preserve">The primary objective was to compare all-cause mortality through </w:t>
      </w:r>
      <w:r w:rsidR="00CC37F3">
        <w:t>D</w:t>
      </w:r>
      <w:r>
        <w:t>ay 42 following primary</w:t>
      </w:r>
      <w:r w:rsidR="00EE6239">
        <w:t xml:space="preserve"> </w:t>
      </w:r>
      <w:r>
        <w:t xml:space="preserve">treatment with </w:t>
      </w:r>
      <w:proofErr w:type="spellStart"/>
      <w:r>
        <w:t>isavuconazole</w:t>
      </w:r>
      <w:proofErr w:type="spellEnd"/>
      <w:r>
        <w:t xml:space="preserve"> versus </w:t>
      </w:r>
      <w:proofErr w:type="spellStart"/>
      <w:r>
        <w:t>voriconazole</w:t>
      </w:r>
      <w:proofErr w:type="spellEnd"/>
      <w:r>
        <w:t xml:space="preserve"> in patients with invasive fungal disease caused by </w:t>
      </w:r>
      <w:r w:rsidRPr="00690A83">
        <w:rPr>
          <w:i/>
        </w:rPr>
        <w:t>Aspergillus</w:t>
      </w:r>
      <w:r>
        <w:t xml:space="preserve"> species or other filamentous fungi.</w:t>
      </w:r>
    </w:p>
    <w:p w14:paraId="26A1BFE5" w14:textId="77777777" w:rsidR="00301714" w:rsidRDefault="00301714" w:rsidP="00301714">
      <w:r>
        <w:t xml:space="preserve">The secondary objectives of the study were to characterise the safety and tolerability while assessing additional efficacy of treatment with </w:t>
      </w:r>
      <w:proofErr w:type="spellStart"/>
      <w:r>
        <w:t>isavuconazole</w:t>
      </w:r>
      <w:proofErr w:type="spellEnd"/>
      <w:r>
        <w:t xml:space="preserve"> versus </w:t>
      </w:r>
      <w:proofErr w:type="spellStart"/>
      <w:r>
        <w:t>voriconazole</w:t>
      </w:r>
      <w:proofErr w:type="spellEnd"/>
      <w:r>
        <w:t>.</w:t>
      </w:r>
    </w:p>
    <w:p w14:paraId="264B8916" w14:textId="02036C94" w:rsidR="00301714" w:rsidRDefault="00301714" w:rsidP="00301714">
      <w:r>
        <w:t xml:space="preserve">Exploratory objectives were to </w:t>
      </w:r>
      <w:r w:rsidR="008E156A">
        <w:t xml:space="preserve">summarise </w:t>
      </w:r>
      <w:r>
        <w:t>the concentration-time profiles and to characterise</w:t>
      </w:r>
      <w:r w:rsidR="00EE6239">
        <w:t xml:space="preserve"> </w:t>
      </w:r>
      <w:r>
        <w:t xml:space="preserve">pharmacokinetic trough values of </w:t>
      </w:r>
      <w:proofErr w:type="spellStart"/>
      <w:r>
        <w:t>isavuconazole</w:t>
      </w:r>
      <w:proofErr w:type="spellEnd"/>
      <w:r>
        <w:t xml:space="preserve"> and metabolite(s) in patients from a pharmacokinetic </w:t>
      </w:r>
      <w:proofErr w:type="spellStart"/>
      <w:r>
        <w:t>substudy</w:t>
      </w:r>
      <w:proofErr w:type="spellEnd"/>
      <w:r>
        <w:t>.</w:t>
      </w:r>
    </w:p>
    <w:p w14:paraId="3AD6E31D" w14:textId="77777777" w:rsidR="00301714" w:rsidRDefault="00301714" w:rsidP="003443F0">
      <w:pPr>
        <w:pStyle w:val="Heading6"/>
      </w:pPr>
      <w:r>
        <w:t>Primary endpoint</w:t>
      </w:r>
    </w:p>
    <w:p w14:paraId="60D3AC5F" w14:textId="0E99EA4D" w:rsidR="00301714" w:rsidRDefault="00301714" w:rsidP="00301714">
      <w:r>
        <w:t xml:space="preserve">Crude rate of </w:t>
      </w:r>
      <w:r w:rsidR="00D973CD">
        <w:t>all-cause</w:t>
      </w:r>
      <w:r>
        <w:t xml:space="preserve"> mortality through to </w:t>
      </w:r>
      <w:r w:rsidR="00C53E67">
        <w:t>Day 42 in the intention to treat p</w:t>
      </w:r>
      <w:r>
        <w:t>opulation.</w:t>
      </w:r>
    </w:p>
    <w:p w14:paraId="33889460" w14:textId="77777777" w:rsidR="00301714" w:rsidRDefault="00301714" w:rsidP="003443F0">
      <w:pPr>
        <w:pStyle w:val="Heading6"/>
      </w:pPr>
      <w:r>
        <w:t>Secondary endpoints</w:t>
      </w:r>
    </w:p>
    <w:p w14:paraId="19B0F4E1" w14:textId="7C8E44F7" w:rsidR="00301714" w:rsidRDefault="008E156A" w:rsidP="00301714">
      <w:r>
        <w:t>The d</w:t>
      </w:r>
      <w:r w:rsidR="009C2083">
        <w:t xml:space="preserve">ata Review Committee </w:t>
      </w:r>
      <w:r w:rsidR="00301714">
        <w:t xml:space="preserve">assessed overall response at end of treatment (key secondary analysis) and at </w:t>
      </w:r>
      <w:r w:rsidR="00C53E67">
        <w:t>D</w:t>
      </w:r>
      <w:r w:rsidR="00301714">
        <w:t xml:space="preserve">ays 42 and 84, all-cause mortality through </w:t>
      </w:r>
      <w:r w:rsidR="00C53E67">
        <w:t>D</w:t>
      </w:r>
      <w:r w:rsidR="00301714">
        <w:t xml:space="preserve">ay 84, </w:t>
      </w:r>
      <w:r w:rsidR="00C53E67">
        <w:t>Data Review Committee</w:t>
      </w:r>
      <w:r w:rsidR="00301714">
        <w:t xml:space="preserve"> attribution of mortality to </w:t>
      </w:r>
      <w:r w:rsidR="009C2083">
        <w:t xml:space="preserve">invasive fungal disease </w:t>
      </w:r>
      <w:r w:rsidR="009C2083" w:rsidRPr="00A913FA">
        <w:t>(</w:t>
      </w:r>
      <w:r w:rsidR="00301714" w:rsidRPr="00A913FA">
        <w:t>IFD</w:t>
      </w:r>
      <w:r w:rsidR="009C2083" w:rsidRPr="00A913FA">
        <w:t>)</w:t>
      </w:r>
      <w:r w:rsidR="00301714" w:rsidRPr="00A913FA">
        <w:t>,</w:t>
      </w:r>
      <w:r w:rsidR="00301714">
        <w:t xml:space="preserve"> investigator assessment of clinical, mycological and radiological response, impact of the use of potentially mould active systemic antifungal therapy, and the results of MIC testing.</w:t>
      </w:r>
    </w:p>
    <w:p w14:paraId="34AF1296" w14:textId="77777777" w:rsidR="00301714" w:rsidRDefault="00301714" w:rsidP="003443F0">
      <w:pPr>
        <w:pStyle w:val="Heading6"/>
      </w:pPr>
      <w:r>
        <w:t>Results</w:t>
      </w:r>
    </w:p>
    <w:p w14:paraId="3B68DCD5" w14:textId="50A3B65E" w:rsidR="00301714" w:rsidRDefault="00A913FA" w:rsidP="00A960AE">
      <w:pPr>
        <w:pStyle w:val="Heading7"/>
      </w:pPr>
      <w:r>
        <w:t>Participant flow</w:t>
      </w:r>
    </w:p>
    <w:p w14:paraId="40ECB723" w14:textId="3CBCD413" w:rsidR="00301714" w:rsidRDefault="00301714" w:rsidP="00301714">
      <w:r>
        <w:t xml:space="preserve">Of 532 who consented, 527 patients were randomised of which 516 patients (97.9%) received at least 1 dose of study drug and were included in the </w:t>
      </w:r>
      <w:r w:rsidR="003B650A">
        <w:t>intention to treat</w:t>
      </w:r>
      <w:r>
        <w:t xml:space="preserve"> population. The number of patients who prematurely discontinued treatment was similar between the two treatment groups: </w:t>
      </w:r>
      <w:proofErr w:type="spellStart"/>
      <w:r>
        <w:t>isavuconazole</w:t>
      </w:r>
      <w:proofErr w:type="spellEnd"/>
      <w:r>
        <w:t xml:space="preserve"> 140</w:t>
      </w:r>
      <w:r w:rsidR="00EE6239">
        <w:t xml:space="preserve"> of </w:t>
      </w:r>
      <w:r>
        <w:t xml:space="preserve">258 (54.3%) versus </w:t>
      </w:r>
      <w:proofErr w:type="spellStart"/>
      <w:r>
        <w:t>voriconazole</w:t>
      </w:r>
      <w:proofErr w:type="spellEnd"/>
      <w:r>
        <w:t xml:space="preserve"> 138</w:t>
      </w:r>
      <w:r w:rsidR="00C53E67">
        <w:t xml:space="preserve"> of </w:t>
      </w:r>
      <w:r>
        <w:t>258 (53.5%).</w:t>
      </w:r>
      <w:r w:rsidR="00690A83">
        <w:t xml:space="preserve"> </w:t>
      </w:r>
      <w:r>
        <w:t>The most common reasons for discontinuation of treatment were inter</w:t>
      </w:r>
      <w:r w:rsidR="00F17F21">
        <w:t xml:space="preserve"> </w:t>
      </w:r>
      <w:r>
        <w:t>current illness, insufficient</w:t>
      </w:r>
      <w:r w:rsidR="00EE6239">
        <w:t xml:space="preserve"> </w:t>
      </w:r>
      <w:r>
        <w:t>therapeutic response and death.</w:t>
      </w:r>
    </w:p>
    <w:p w14:paraId="543A98CC" w14:textId="31CF378B" w:rsidR="00301714" w:rsidRDefault="00301714" w:rsidP="00301714">
      <w:r>
        <w:t>The number of patients who discontinued treatment primarily due to adverse events/</w:t>
      </w:r>
      <w:r w:rsidR="003443F0">
        <w:t xml:space="preserve"> </w:t>
      </w:r>
      <w:r>
        <w:t>inter</w:t>
      </w:r>
      <w:r w:rsidR="00F17F21">
        <w:t xml:space="preserve"> </w:t>
      </w:r>
      <w:r>
        <w:t xml:space="preserve">current illness was lower in the </w:t>
      </w:r>
      <w:proofErr w:type="spellStart"/>
      <w:r>
        <w:t>isavuconazole</w:t>
      </w:r>
      <w:proofErr w:type="spellEnd"/>
      <w:r>
        <w:t xml:space="preserve"> treatment group (31</w:t>
      </w:r>
      <w:r w:rsidR="00EE6239">
        <w:t xml:space="preserve"> of </w:t>
      </w:r>
      <w:r>
        <w:t xml:space="preserve">258, 12.0%) than in the </w:t>
      </w:r>
      <w:proofErr w:type="spellStart"/>
      <w:r>
        <w:t>voriconazole</w:t>
      </w:r>
      <w:proofErr w:type="spellEnd"/>
      <w:r>
        <w:t xml:space="preserve"> treatment group (53</w:t>
      </w:r>
      <w:r w:rsidR="00EE6239">
        <w:t xml:space="preserve"> of </w:t>
      </w:r>
      <w:r>
        <w:t xml:space="preserve">258, 20.5%). The number of patients who discontinued treatment primarily due to an insufficient therapeutic response, as assessed by the investigator was higher in the </w:t>
      </w:r>
      <w:proofErr w:type="spellStart"/>
      <w:r>
        <w:t>isavuconazole</w:t>
      </w:r>
      <w:proofErr w:type="spellEnd"/>
      <w:r>
        <w:t xml:space="preserve"> treatment group (39</w:t>
      </w:r>
      <w:r w:rsidR="00EE6239">
        <w:t xml:space="preserve"> of </w:t>
      </w:r>
      <w:r>
        <w:t xml:space="preserve">258, 15.1%) than in the </w:t>
      </w:r>
      <w:proofErr w:type="spellStart"/>
      <w:r>
        <w:t>voriconazole</w:t>
      </w:r>
      <w:proofErr w:type="spellEnd"/>
      <w:r>
        <w:t xml:space="preserve"> treatment group (23</w:t>
      </w:r>
      <w:r w:rsidR="00EE6239">
        <w:t xml:space="preserve"> of </w:t>
      </w:r>
      <w:r>
        <w:t>258, 8.9%).</w:t>
      </w:r>
    </w:p>
    <w:p w14:paraId="6704B734" w14:textId="77777777" w:rsidR="00301714" w:rsidRDefault="00301714" w:rsidP="00301714">
      <w:r>
        <w:t xml:space="preserve">More patients in the </w:t>
      </w:r>
      <w:proofErr w:type="spellStart"/>
      <w:r>
        <w:t>isavuconazole</w:t>
      </w:r>
      <w:proofErr w:type="spellEnd"/>
      <w:r>
        <w:t xml:space="preserve"> treated group died from infections and infestations</w:t>
      </w:r>
      <w:r w:rsidR="00EE6239">
        <w:t xml:space="preserve"> </w:t>
      </w:r>
      <w:proofErr w:type="spellStart"/>
      <w:r>
        <w:t>isavuconazole</w:t>
      </w:r>
      <w:proofErr w:type="spellEnd"/>
      <w:r>
        <w:t>: 28</w:t>
      </w:r>
      <w:r w:rsidR="00EE6239">
        <w:t xml:space="preserve"> of </w:t>
      </w:r>
      <w:r>
        <w:t>257 (10.9%) v</w:t>
      </w:r>
      <w:r w:rsidR="003B650A">
        <w:t>ersu</w:t>
      </w:r>
      <w:r>
        <w:t xml:space="preserve">s </w:t>
      </w:r>
      <w:proofErr w:type="spellStart"/>
      <w:r>
        <w:t>voriconazole</w:t>
      </w:r>
      <w:proofErr w:type="spellEnd"/>
      <w:r>
        <w:t>: 18</w:t>
      </w:r>
      <w:r w:rsidR="00EE6239">
        <w:t xml:space="preserve"> of </w:t>
      </w:r>
      <w:r>
        <w:t>259 (6.9%).</w:t>
      </w:r>
    </w:p>
    <w:p w14:paraId="3AF531B7" w14:textId="6C953AB4" w:rsidR="00301714" w:rsidRDefault="00301714" w:rsidP="00301714">
      <w:r>
        <w:t xml:space="preserve">The primary objective of demonstrating non-inferiority of </w:t>
      </w:r>
      <w:proofErr w:type="spellStart"/>
      <w:r>
        <w:t>isavuconazole</w:t>
      </w:r>
      <w:proofErr w:type="spellEnd"/>
      <w:r>
        <w:t xml:space="preserve"> relative to </w:t>
      </w:r>
      <w:proofErr w:type="spellStart"/>
      <w:r>
        <w:t>voriconazole</w:t>
      </w:r>
      <w:proofErr w:type="spellEnd"/>
      <w:r>
        <w:t xml:space="preserve"> for the primary endpoint </w:t>
      </w:r>
      <w:r w:rsidR="008E156A">
        <w:t>‘</w:t>
      </w:r>
      <w:r>
        <w:t xml:space="preserve">all-cause mortality through </w:t>
      </w:r>
      <w:r w:rsidR="00EE6239">
        <w:t>D</w:t>
      </w:r>
      <w:r>
        <w:t xml:space="preserve">ay 42 in the </w:t>
      </w:r>
      <w:r w:rsidR="00EE6239">
        <w:t>intention to treat</w:t>
      </w:r>
      <w:r>
        <w:t xml:space="preserve"> population</w:t>
      </w:r>
      <w:r w:rsidR="008E156A">
        <w:t>’</w:t>
      </w:r>
      <w:r>
        <w:t xml:space="preserve"> was met, with the upper bound of the 95% CI of 5.7% around the adjusted treatment difference (</w:t>
      </w:r>
      <w:proofErr w:type="spellStart"/>
      <w:r>
        <w:t>isavuconazole</w:t>
      </w:r>
      <w:proofErr w:type="spellEnd"/>
      <w:r>
        <w:t xml:space="preserve"> </w:t>
      </w:r>
      <w:r w:rsidR="00C53E67">
        <w:t>minus</w:t>
      </w:r>
      <w:r>
        <w:t xml:space="preserve"> </w:t>
      </w:r>
      <w:proofErr w:type="spellStart"/>
      <w:r>
        <w:t>voriconazole</w:t>
      </w:r>
      <w:proofErr w:type="spellEnd"/>
      <w:r>
        <w:t>: -1.0%) being lower than the pre-specified non-inferiority margin of 10%.’</w:t>
      </w:r>
    </w:p>
    <w:p w14:paraId="6B80FB91" w14:textId="7C56D92C" w:rsidR="00301714" w:rsidRDefault="008C254C" w:rsidP="008E156A">
      <w:pPr>
        <w:pStyle w:val="TableTitle"/>
      </w:pPr>
      <w:r>
        <w:lastRenderedPageBreak/>
        <w:t>Table 5</w:t>
      </w:r>
      <w:r w:rsidR="003B650A">
        <w:t xml:space="preserve">: </w:t>
      </w:r>
      <w:r w:rsidR="00301714">
        <w:t>Results for Study</w:t>
      </w:r>
      <w:r w:rsidR="009F1064">
        <w:t xml:space="preserve"> 9766-CL-0104, primary analysis</w:t>
      </w:r>
    </w:p>
    <w:tbl>
      <w:tblPr>
        <w:tblStyle w:val="TableTGAblue"/>
        <w:tblW w:w="0" w:type="auto"/>
        <w:tblLook w:val="04A0" w:firstRow="1" w:lastRow="0" w:firstColumn="1" w:lastColumn="0" w:noHBand="0" w:noVBand="1"/>
      </w:tblPr>
      <w:tblGrid>
        <w:gridCol w:w="3794"/>
        <w:gridCol w:w="2410"/>
        <w:gridCol w:w="2516"/>
      </w:tblGrid>
      <w:tr w:rsidR="00301714" w:rsidRPr="004661FB" w14:paraId="4FD6CC90" w14:textId="77777777" w:rsidTr="00767057">
        <w:trPr>
          <w:cnfStyle w:val="100000000000" w:firstRow="1" w:lastRow="0" w:firstColumn="0" w:lastColumn="0" w:oddVBand="0" w:evenVBand="0" w:oddHBand="0" w:evenHBand="0" w:firstRowFirstColumn="0" w:firstRowLastColumn="0" w:lastRowFirstColumn="0" w:lastRowLastColumn="0"/>
          <w:trHeight w:val="544"/>
        </w:trPr>
        <w:tc>
          <w:tcPr>
            <w:tcW w:w="3794" w:type="dxa"/>
          </w:tcPr>
          <w:p w14:paraId="4E3FCB75" w14:textId="77777777" w:rsidR="00301714" w:rsidRPr="004661FB" w:rsidRDefault="00301714" w:rsidP="00AE3AF6">
            <w:r w:rsidRPr="004661FB">
              <w:t>Treatment group</w:t>
            </w:r>
          </w:p>
        </w:tc>
        <w:tc>
          <w:tcPr>
            <w:tcW w:w="2410" w:type="dxa"/>
          </w:tcPr>
          <w:p w14:paraId="006D22FF" w14:textId="77777777" w:rsidR="00301714" w:rsidRPr="004661FB" w:rsidRDefault="00301714" w:rsidP="00AE3AF6">
            <w:proofErr w:type="spellStart"/>
            <w:r w:rsidRPr="004661FB">
              <w:t>Isavuconazole</w:t>
            </w:r>
            <w:proofErr w:type="spellEnd"/>
          </w:p>
        </w:tc>
        <w:tc>
          <w:tcPr>
            <w:tcW w:w="2516" w:type="dxa"/>
          </w:tcPr>
          <w:p w14:paraId="75E43BCB" w14:textId="77777777" w:rsidR="00301714" w:rsidRPr="004661FB" w:rsidRDefault="00301714" w:rsidP="00AE3AF6">
            <w:proofErr w:type="spellStart"/>
            <w:r w:rsidRPr="004661FB">
              <w:t>Voriconazole</w:t>
            </w:r>
            <w:proofErr w:type="spellEnd"/>
          </w:p>
        </w:tc>
      </w:tr>
      <w:tr w:rsidR="00301714" w14:paraId="6747DCAA" w14:textId="77777777" w:rsidTr="00EE6239">
        <w:tc>
          <w:tcPr>
            <w:tcW w:w="3794" w:type="dxa"/>
          </w:tcPr>
          <w:p w14:paraId="7E729264" w14:textId="77777777" w:rsidR="00301714" w:rsidRDefault="00301714" w:rsidP="00AE3AF6">
            <w:r>
              <w:t>Number of subjects (ITT)</w:t>
            </w:r>
          </w:p>
        </w:tc>
        <w:tc>
          <w:tcPr>
            <w:tcW w:w="2410" w:type="dxa"/>
          </w:tcPr>
          <w:p w14:paraId="0C66FD9E" w14:textId="77777777" w:rsidR="00301714" w:rsidRDefault="00301714" w:rsidP="00AE3AF6">
            <w:r>
              <w:t>258</w:t>
            </w:r>
          </w:p>
        </w:tc>
        <w:tc>
          <w:tcPr>
            <w:tcW w:w="2516" w:type="dxa"/>
          </w:tcPr>
          <w:p w14:paraId="661C5077" w14:textId="77777777" w:rsidR="00301714" w:rsidRDefault="00301714" w:rsidP="00AE3AF6">
            <w:r>
              <w:t>258</w:t>
            </w:r>
          </w:p>
        </w:tc>
      </w:tr>
      <w:tr w:rsidR="00301714" w14:paraId="2533D939" w14:textId="77777777" w:rsidTr="00EE6239">
        <w:tc>
          <w:tcPr>
            <w:tcW w:w="3794" w:type="dxa"/>
          </w:tcPr>
          <w:p w14:paraId="4AE95420" w14:textId="3B7A119D" w:rsidR="00301714" w:rsidRDefault="00301714" w:rsidP="00AE3AF6">
            <w:r>
              <w:t>Primary endpoint (</w:t>
            </w:r>
            <w:r w:rsidR="00D973CD">
              <w:t>All-cause</w:t>
            </w:r>
            <w:r>
              <w:t xml:space="preserve"> mortality through Day 42, ITT)</w:t>
            </w:r>
          </w:p>
        </w:tc>
        <w:tc>
          <w:tcPr>
            <w:tcW w:w="2410" w:type="dxa"/>
          </w:tcPr>
          <w:p w14:paraId="744D3ED1" w14:textId="77777777" w:rsidR="00301714" w:rsidRDefault="00301714" w:rsidP="00AE3AF6">
            <w:r>
              <w:t>48</w:t>
            </w:r>
            <w:r w:rsidR="00EE6239">
              <w:t xml:space="preserve"> of </w:t>
            </w:r>
            <w:r>
              <w:t>258 (18.6%)</w:t>
            </w:r>
          </w:p>
        </w:tc>
        <w:tc>
          <w:tcPr>
            <w:tcW w:w="2516" w:type="dxa"/>
          </w:tcPr>
          <w:p w14:paraId="526FC70B" w14:textId="77777777" w:rsidR="00301714" w:rsidRDefault="00301714" w:rsidP="00AE3AF6">
            <w:r>
              <w:t>52</w:t>
            </w:r>
            <w:r w:rsidR="00EE6239">
              <w:t xml:space="preserve"> of </w:t>
            </w:r>
            <w:r>
              <w:t>258 (20.2%)</w:t>
            </w:r>
          </w:p>
        </w:tc>
      </w:tr>
      <w:tr w:rsidR="00301714" w14:paraId="364588B6" w14:textId="77777777" w:rsidTr="00EE6239">
        <w:tc>
          <w:tcPr>
            <w:tcW w:w="3794" w:type="dxa"/>
          </w:tcPr>
          <w:p w14:paraId="51212C95" w14:textId="27F096A1" w:rsidR="00301714" w:rsidRDefault="009F1064" w:rsidP="00AE3AF6">
            <w:r>
              <w:t>% treatment difference</w:t>
            </w:r>
            <w:r w:rsidR="00EE6239">
              <w:t xml:space="preserve"> </w:t>
            </w:r>
            <w:r w:rsidR="00301714">
              <w:t>(95% CI)</w:t>
            </w:r>
          </w:p>
        </w:tc>
        <w:tc>
          <w:tcPr>
            <w:tcW w:w="4926" w:type="dxa"/>
            <w:gridSpan w:val="2"/>
          </w:tcPr>
          <w:p w14:paraId="00B837E9" w14:textId="77777777" w:rsidR="00301714" w:rsidRDefault="00301714" w:rsidP="00AE3AF6">
            <w:r>
              <w:t>-1.0 (-7.759, 5.683)</w:t>
            </w:r>
          </w:p>
        </w:tc>
      </w:tr>
      <w:tr w:rsidR="00301714" w14:paraId="479ED578" w14:textId="77777777" w:rsidTr="00EE6239">
        <w:tc>
          <w:tcPr>
            <w:tcW w:w="3794" w:type="dxa"/>
          </w:tcPr>
          <w:p w14:paraId="249A8842" w14:textId="77777777" w:rsidR="00301714" w:rsidRDefault="00301714" w:rsidP="00AE3AF6">
            <w:r>
              <w:t>Key secondary endpoint (DRC assessed overall response at EOT) (</w:t>
            </w:r>
            <w:proofErr w:type="spellStart"/>
            <w:r>
              <w:t>mITT</w:t>
            </w:r>
            <w:proofErr w:type="spellEnd"/>
            <w:r>
              <w:t>)</w:t>
            </w:r>
          </w:p>
        </w:tc>
        <w:tc>
          <w:tcPr>
            <w:tcW w:w="2410" w:type="dxa"/>
          </w:tcPr>
          <w:p w14:paraId="576A1E9F" w14:textId="77777777" w:rsidR="00301714" w:rsidRDefault="00301714" w:rsidP="00AE3AF6">
            <w:r>
              <w:t>50</w:t>
            </w:r>
            <w:r w:rsidR="00EE6239">
              <w:t xml:space="preserve"> of </w:t>
            </w:r>
            <w:r>
              <w:t>143 (35%)</w:t>
            </w:r>
          </w:p>
        </w:tc>
        <w:tc>
          <w:tcPr>
            <w:tcW w:w="2516" w:type="dxa"/>
          </w:tcPr>
          <w:p w14:paraId="1D25A104" w14:textId="77777777" w:rsidR="00301714" w:rsidRDefault="00301714" w:rsidP="00AE3AF6">
            <w:r>
              <w:t>47</w:t>
            </w:r>
            <w:r w:rsidR="00EE6239">
              <w:t xml:space="preserve"> of </w:t>
            </w:r>
            <w:r>
              <w:t>129 (36.4%)</w:t>
            </w:r>
          </w:p>
        </w:tc>
      </w:tr>
      <w:tr w:rsidR="00301714" w14:paraId="5D1B5C79" w14:textId="77777777" w:rsidTr="00EE6239">
        <w:tc>
          <w:tcPr>
            <w:tcW w:w="3794" w:type="dxa"/>
          </w:tcPr>
          <w:p w14:paraId="33702D38" w14:textId="302D614E" w:rsidR="00301714" w:rsidRDefault="00301714" w:rsidP="00AE3AF6">
            <w:r w:rsidRPr="00C84F8A">
              <w:t>% treatment difference (95% CI)</w:t>
            </w:r>
          </w:p>
        </w:tc>
        <w:tc>
          <w:tcPr>
            <w:tcW w:w="4926" w:type="dxa"/>
            <w:gridSpan w:val="2"/>
          </w:tcPr>
          <w:p w14:paraId="718381E7" w14:textId="77777777" w:rsidR="00301714" w:rsidRDefault="00301714" w:rsidP="00AE3AF6">
            <w:r>
              <w:t>1.6 (-9.336, 12.572)</w:t>
            </w:r>
          </w:p>
        </w:tc>
      </w:tr>
    </w:tbl>
    <w:p w14:paraId="7DB77AF9" w14:textId="77777777" w:rsidR="00301714" w:rsidRDefault="00301714" w:rsidP="00915DA0">
      <w:pPr>
        <w:pStyle w:val="TableDescription"/>
      </w:pPr>
      <w:r>
        <w:t xml:space="preserve">ITT: intention to treat, CI: confidence interval, DRC: data review committee, EOT: end of treatment, </w:t>
      </w:r>
      <w:proofErr w:type="spellStart"/>
      <w:r>
        <w:t>mITT</w:t>
      </w:r>
      <w:proofErr w:type="spellEnd"/>
      <w:r>
        <w:t>: modified intention to treat.</w:t>
      </w:r>
    </w:p>
    <w:p w14:paraId="02F5ADAE" w14:textId="77777777" w:rsidR="00301714" w:rsidRDefault="003B650A" w:rsidP="003443F0">
      <w:pPr>
        <w:pStyle w:val="FigureTitle"/>
        <w:rPr>
          <w:rFonts w:asciiTheme="minorHAnsi" w:hAnsiTheme="minorHAnsi"/>
          <w:noProof/>
          <w:lang w:eastAsia="en-AU"/>
        </w:rPr>
      </w:pPr>
      <w:r>
        <w:t xml:space="preserve">Figure </w:t>
      </w:r>
      <w:r w:rsidR="003443F0">
        <w:t>2</w:t>
      </w:r>
      <w:r>
        <w:t xml:space="preserve">: </w:t>
      </w:r>
      <w:r w:rsidR="00301714">
        <w:t>Survival from fir</w:t>
      </w:r>
      <w:r w:rsidR="003443F0">
        <w:t>st dose of study drug to Day 84</w:t>
      </w:r>
    </w:p>
    <w:p w14:paraId="26148C35" w14:textId="77777777" w:rsidR="00915DA0" w:rsidRDefault="00915DA0" w:rsidP="009F1064">
      <w:r>
        <w:rPr>
          <w:noProof/>
          <w:lang w:eastAsia="en-AU"/>
        </w:rPr>
        <w:drawing>
          <wp:inline distT="0" distB="0" distL="0" distR="0" wp14:anchorId="5A8E97FA" wp14:editId="2B693613">
            <wp:extent cx="5010150" cy="3333750"/>
            <wp:effectExtent l="0" t="0" r="0" b="0"/>
            <wp:docPr id="6" name="Picture 6" descr="Survival from first dose of study drug to Day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harpenSoften amount="77000"/>
                              </a14:imgEffect>
                              <a14:imgEffect>
                                <a14:brightnessContrast bright="-7000" contrast="61000"/>
                              </a14:imgEffect>
                            </a14:imgLayer>
                          </a14:imgProps>
                        </a:ext>
                      </a:extLst>
                    </a:blip>
                    <a:stretch>
                      <a:fillRect/>
                    </a:stretch>
                  </pic:blipFill>
                  <pic:spPr>
                    <a:xfrm>
                      <a:off x="0" y="0"/>
                      <a:ext cx="5010150" cy="3333750"/>
                    </a:xfrm>
                    <a:prstGeom prst="rect">
                      <a:avLst/>
                    </a:prstGeom>
                  </pic:spPr>
                </pic:pic>
              </a:graphicData>
            </a:graphic>
          </wp:inline>
        </w:drawing>
      </w:r>
    </w:p>
    <w:p w14:paraId="7D53963C" w14:textId="0D8CCCA7" w:rsidR="003443F0" w:rsidRDefault="003443F0" w:rsidP="009F1064">
      <w:pPr>
        <w:pStyle w:val="TableDescription"/>
      </w:pPr>
      <w:r>
        <w:t>Patients were censored on the day of their last known survival s</w:t>
      </w:r>
      <w:r w:rsidR="00503C9A">
        <w:t>t</w:t>
      </w:r>
      <w:r>
        <w:t>atu</w:t>
      </w:r>
      <w:r w:rsidR="009F1064">
        <w:t xml:space="preserve">s, represented by the circles. </w:t>
      </w:r>
      <w:r>
        <w:t>Figure shows data for the intention to</w:t>
      </w:r>
      <w:r w:rsidR="00503C9A">
        <w:t xml:space="preserve"> treat population, all randomised patients who received study drug.</w:t>
      </w:r>
    </w:p>
    <w:p w14:paraId="0AB7697F" w14:textId="291F45D6" w:rsidR="00301714" w:rsidRDefault="00301714" w:rsidP="00301714">
      <w:r>
        <w:t xml:space="preserve">Results for other secondary endpoints </w:t>
      </w:r>
      <w:r w:rsidRPr="005833CA">
        <w:t xml:space="preserve">are described in the </w:t>
      </w:r>
      <w:r w:rsidR="005833CA" w:rsidRPr="005833CA">
        <w:t>overseas</w:t>
      </w:r>
      <w:r w:rsidRPr="005833CA">
        <w:t xml:space="preserve"> report and </w:t>
      </w:r>
      <w:r w:rsidR="00F17F21" w:rsidRPr="005833CA">
        <w:t>the</w:t>
      </w:r>
      <w:r w:rsidR="00F17F21" w:rsidRPr="00F17F21">
        <w:t xml:space="preserve"> </w:t>
      </w:r>
      <w:r w:rsidRPr="00F17F21">
        <w:t>published paper.</w:t>
      </w:r>
      <w:r w:rsidR="00F17F21" w:rsidRPr="00F17F21">
        <w:rPr>
          <w:vertAlign w:val="superscript"/>
        </w:rPr>
        <w:fldChar w:fldCharType="begin"/>
      </w:r>
      <w:r w:rsidR="00F17F21" w:rsidRPr="00F17F21">
        <w:rPr>
          <w:vertAlign w:val="superscript"/>
        </w:rPr>
        <w:instrText xml:space="preserve"> NOTEREF _Ref18941587 \h  \* MERGEFORMAT </w:instrText>
      </w:r>
      <w:r w:rsidR="00F17F21" w:rsidRPr="00F17F21">
        <w:rPr>
          <w:vertAlign w:val="superscript"/>
        </w:rPr>
      </w:r>
      <w:r w:rsidR="00F17F21" w:rsidRPr="00F17F21">
        <w:rPr>
          <w:vertAlign w:val="superscript"/>
        </w:rPr>
        <w:fldChar w:fldCharType="separate"/>
      </w:r>
      <w:r w:rsidR="00F17F21" w:rsidRPr="00F17F21">
        <w:rPr>
          <w:vertAlign w:val="superscript"/>
        </w:rPr>
        <w:t>5</w:t>
      </w:r>
      <w:r w:rsidR="00F17F21" w:rsidRPr="00F17F21">
        <w:rPr>
          <w:vertAlign w:val="superscript"/>
        </w:rPr>
        <w:fldChar w:fldCharType="end"/>
      </w:r>
    </w:p>
    <w:p w14:paraId="3956DD9E" w14:textId="77777777" w:rsidR="00C53E67" w:rsidRDefault="00301714" w:rsidP="00C53E67">
      <w:pPr>
        <w:pStyle w:val="Heading5"/>
      </w:pPr>
      <w:r>
        <w:t>Study 9766-CL-0103</w:t>
      </w:r>
    </w:p>
    <w:p w14:paraId="5480BDE1" w14:textId="007D945C" w:rsidR="00762456" w:rsidRDefault="008E156A" w:rsidP="00503C9A">
      <w:r w:rsidRPr="008E156A">
        <w:t>Study 9766-CL-0103</w:t>
      </w:r>
      <w:r>
        <w:t xml:space="preserve"> was a</w:t>
      </w:r>
      <w:r w:rsidR="00C53E67">
        <w:t>n o</w:t>
      </w:r>
      <w:r w:rsidR="00301714">
        <w:t>pen</w:t>
      </w:r>
      <w:r w:rsidR="00C53E67">
        <w:t xml:space="preserve"> l</w:t>
      </w:r>
      <w:r w:rsidR="00301714">
        <w:t xml:space="preserve">abel </w:t>
      </w:r>
      <w:r w:rsidR="00C53E67">
        <w:t>s</w:t>
      </w:r>
      <w:r w:rsidR="009F1064">
        <w:t xml:space="preserve">tudy of </w:t>
      </w:r>
      <w:proofErr w:type="spellStart"/>
      <w:r w:rsidR="009F1064">
        <w:t>i</w:t>
      </w:r>
      <w:r w:rsidR="00301714">
        <w:t>savuconazole</w:t>
      </w:r>
      <w:proofErr w:type="spellEnd"/>
      <w:r w:rsidR="00301714">
        <w:t xml:space="preserve"> in the </w:t>
      </w:r>
      <w:r>
        <w:t xml:space="preserve">treatment of patients with </w:t>
      </w:r>
      <w:proofErr w:type="spellStart"/>
      <w:r>
        <w:t>aspergillosis</w:t>
      </w:r>
      <w:proofErr w:type="spellEnd"/>
      <w:r>
        <w:t xml:space="preserve"> and renal impairment or of patients with invasive fungal disease caused by rare moulds, yeasts or dimorphic fungi </w:t>
      </w:r>
      <w:r w:rsidR="00301714">
        <w:t>(</w:t>
      </w:r>
      <w:r>
        <w:t xml:space="preserve">also known as </w:t>
      </w:r>
      <w:r w:rsidR="00301714">
        <w:t>the VITAL study)</w:t>
      </w:r>
      <w:r w:rsidR="00767057">
        <w:t>.</w:t>
      </w:r>
    </w:p>
    <w:p w14:paraId="6A014584" w14:textId="77777777" w:rsidR="00762456" w:rsidRDefault="00301714" w:rsidP="00C53E67">
      <w:pPr>
        <w:pStyle w:val="Heading5"/>
      </w:pPr>
      <w:r>
        <w:lastRenderedPageBreak/>
        <w:t>Study 9766-CL-WSA-CS-0103</w:t>
      </w:r>
    </w:p>
    <w:p w14:paraId="4DD4BE8E" w14:textId="485D7C72" w:rsidR="00301714" w:rsidRDefault="008E156A" w:rsidP="00503C9A">
      <w:r w:rsidRPr="008E156A">
        <w:t>Study 9766-CL-WSA-CS-0103</w:t>
      </w:r>
      <w:r>
        <w:t xml:space="preserve"> was a</w:t>
      </w:r>
      <w:r w:rsidR="00301714">
        <w:t xml:space="preserve"> </w:t>
      </w:r>
      <w:r w:rsidR="003B650A">
        <w:t>P</w:t>
      </w:r>
      <w:r w:rsidR="00301714">
        <w:t xml:space="preserve">hase </w:t>
      </w:r>
      <w:r w:rsidR="003B650A">
        <w:t>III</w:t>
      </w:r>
      <w:r w:rsidR="00301714">
        <w:t>, open</w:t>
      </w:r>
      <w:r w:rsidR="003B650A">
        <w:t xml:space="preserve"> </w:t>
      </w:r>
      <w:r w:rsidR="00301714">
        <w:t xml:space="preserve">label, multicentre study in which </w:t>
      </w:r>
      <w:proofErr w:type="spellStart"/>
      <w:r w:rsidR="00301714">
        <w:t>isavuconazole</w:t>
      </w:r>
      <w:proofErr w:type="spellEnd"/>
      <w:r w:rsidR="00301714">
        <w:t xml:space="preserve"> was investigated in three different patient populations. A pharmacokinetic </w:t>
      </w:r>
      <w:proofErr w:type="spellStart"/>
      <w:r w:rsidR="00F17F21">
        <w:t>substudy</w:t>
      </w:r>
      <w:proofErr w:type="spellEnd"/>
      <w:r w:rsidR="00301714">
        <w:t xml:space="preserve"> was conducted and the study investigated the efficacy and safety of </w:t>
      </w:r>
      <w:proofErr w:type="spellStart"/>
      <w:r w:rsidR="00301714">
        <w:t>isavuconazole</w:t>
      </w:r>
      <w:proofErr w:type="spellEnd"/>
      <w:r w:rsidR="00301714">
        <w:t xml:space="preserve"> in the treatment of</w:t>
      </w:r>
      <w:r>
        <w:t>:</w:t>
      </w:r>
    </w:p>
    <w:p w14:paraId="759F331C" w14:textId="45DA3558" w:rsidR="00301714" w:rsidRDefault="00301714" w:rsidP="00A960AE">
      <w:pPr>
        <w:pStyle w:val="ListBullet"/>
      </w:pPr>
      <w:r>
        <w:t>patients with invasive fungal disease caused by rare mo</w:t>
      </w:r>
      <w:r w:rsidR="00F17F21">
        <w:t>ulds, yeasts or dimorphic fungi</w:t>
      </w:r>
      <w:r w:rsidR="008E156A">
        <w:t>; and</w:t>
      </w:r>
    </w:p>
    <w:p w14:paraId="7778BE17" w14:textId="06B6CD94" w:rsidR="00301714" w:rsidRDefault="00301714" w:rsidP="00A960AE">
      <w:pPr>
        <w:pStyle w:val="ListBullet"/>
      </w:pPr>
      <w:r>
        <w:t xml:space="preserve">invasive </w:t>
      </w:r>
      <w:proofErr w:type="spellStart"/>
      <w:r>
        <w:t>aspergillosis</w:t>
      </w:r>
      <w:proofErr w:type="spellEnd"/>
      <w:r>
        <w:t xml:space="preserve"> in</w:t>
      </w:r>
      <w:r w:rsidR="00F17F21">
        <w:t xml:space="preserve"> patients with renal impairment.</w:t>
      </w:r>
    </w:p>
    <w:p w14:paraId="6E21818C" w14:textId="77777777" w:rsidR="00301714" w:rsidRDefault="00301714" w:rsidP="00301714">
      <w:r>
        <w:t>Patients were treated up to a maximum of 84 days. All patients enrolled under certain protocol amendments were eligible to receive treatment for a maximum of 180 days. Country-specific amendments allowed patients who were deriving clinical benefit to continue on treatment beyond 180 days.</w:t>
      </w:r>
    </w:p>
    <w:p w14:paraId="1673C82E" w14:textId="77777777" w:rsidR="00762456" w:rsidRDefault="00301714" w:rsidP="00C53E67">
      <w:pPr>
        <w:pStyle w:val="Heading6"/>
      </w:pPr>
      <w:r>
        <w:t>Treatment</w:t>
      </w:r>
    </w:p>
    <w:p w14:paraId="72D34AF9" w14:textId="1EA0FC24" w:rsidR="00301714" w:rsidRDefault="00301714" w:rsidP="00301714">
      <w:r>
        <w:t xml:space="preserve">Loading dose: 200 mg administered </w:t>
      </w:r>
      <w:r w:rsidR="008E156A">
        <w:t>every 8 hours</w:t>
      </w:r>
      <w:r w:rsidR="008E156A" w:rsidRPr="00EE6239">
        <w:t xml:space="preserve"> </w:t>
      </w:r>
      <w:r w:rsidR="00EE6239" w:rsidRPr="00EE6239">
        <w:t>intravenous</w:t>
      </w:r>
      <w:r w:rsidR="008E156A">
        <w:t>ly,</w:t>
      </w:r>
      <w:r>
        <w:t xml:space="preserve"> or oral</w:t>
      </w:r>
      <w:r w:rsidR="008E156A">
        <w:t>ly</w:t>
      </w:r>
      <w:r>
        <w:t xml:space="preserve"> for 2 days.</w:t>
      </w:r>
    </w:p>
    <w:p w14:paraId="2EF0307D" w14:textId="3FEE0729" w:rsidR="00301714" w:rsidRDefault="00301714" w:rsidP="00301714">
      <w:r>
        <w:t>Mainten</w:t>
      </w:r>
      <w:r w:rsidR="00EE6239">
        <w:t xml:space="preserve">ance dose: </w:t>
      </w:r>
      <w:r w:rsidR="009F1064">
        <w:t>200 mg once per day</w:t>
      </w:r>
      <w:r w:rsidR="008E156A">
        <w:t>,</w:t>
      </w:r>
      <w:r w:rsidR="009F1064">
        <w:t xml:space="preserve"> intravenous</w:t>
      </w:r>
      <w:r w:rsidR="008E156A">
        <w:t>ly</w:t>
      </w:r>
      <w:r>
        <w:t xml:space="preserve"> or oral</w:t>
      </w:r>
      <w:r w:rsidR="008E156A">
        <w:t>ly</w:t>
      </w:r>
      <w:r>
        <w:t>.</w:t>
      </w:r>
    </w:p>
    <w:p w14:paraId="4F80F2F7" w14:textId="29957D99" w:rsidR="00301714" w:rsidRDefault="00301714" w:rsidP="00301714">
      <w:r>
        <w:t>Number enrolled: 146 (</w:t>
      </w:r>
      <w:r w:rsidR="003B650A">
        <w:t>intention to treat</w:t>
      </w:r>
      <w:r>
        <w:t>)</w:t>
      </w:r>
      <w:r w:rsidR="008E156A">
        <w:t>.</w:t>
      </w:r>
    </w:p>
    <w:p w14:paraId="20F5D97B" w14:textId="77777777" w:rsidR="00301714" w:rsidRDefault="00301714" w:rsidP="003B650A">
      <w:pPr>
        <w:pStyle w:val="Heading6"/>
      </w:pPr>
      <w:r>
        <w:t>Primary objective</w:t>
      </w:r>
    </w:p>
    <w:p w14:paraId="12A4FECE" w14:textId="77777777" w:rsidR="00301714" w:rsidRDefault="00301714" w:rsidP="00301714">
      <w:r>
        <w:t xml:space="preserve">To describe the efficacy of </w:t>
      </w:r>
      <w:proofErr w:type="spellStart"/>
      <w:r>
        <w:t>isavuconazole</w:t>
      </w:r>
      <w:proofErr w:type="spellEnd"/>
      <w:r>
        <w:t xml:space="preserve"> in the treatment of:</w:t>
      </w:r>
    </w:p>
    <w:p w14:paraId="5ECFE460" w14:textId="670017EB" w:rsidR="00301714" w:rsidRDefault="00301714" w:rsidP="00EE6239">
      <w:pPr>
        <w:pStyle w:val="ListBullet"/>
      </w:pPr>
      <w:r>
        <w:t xml:space="preserve">invasive </w:t>
      </w:r>
      <w:proofErr w:type="spellStart"/>
      <w:r>
        <w:t>aspergillosis</w:t>
      </w:r>
      <w:proofErr w:type="spellEnd"/>
      <w:r>
        <w:t xml:space="preserve"> in patients with renal impairment</w:t>
      </w:r>
      <w:r w:rsidR="008E156A">
        <w:t>;</w:t>
      </w:r>
      <w:r w:rsidR="00EE6239">
        <w:t xml:space="preserve"> </w:t>
      </w:r>
      <w:r>
        <w:t>and</w:t>
      </w:r>
    </w:p>
    <w:p w14:paraId="687911E9" w14:textId="77777777" w:rsidR="00301714" w:rsidRDefault="00301714" w:rsidP="00EE6239">
      <w:pPr>
        <w:pStyle w:val="ListBullet"/>
      </w:pPr>
      <w:r>
        <w:t>in patients with invasive fungal disease caused by rare moulds, yeasts or dimorphic fungi.</w:t>
      </w:r>
    </w:p>
    <w:p w14:paraId="07B10C16" w14:textId="77777777" w:rsidR="00762456" w:rsidRDefault="00301714" w:rsidP="00C53E67">
      <w:pPr>
        <w:pStyle w:val="Heading6"/>
      </w:pPr>
      <w:r>
        <w:t>Secondary objective</w:t>
      </w:r>
    </w:p>
    <w:p w14:paraId="2E2965CF" w14:textId="23B19976" w:rsidR="00301714" w:rsidRDefault="00301714" w:rsidP="00EE6239">
      <w:pPr>
        <w:pStyle w:val="ListBullet"/>
      </w:pPr>
      <w:r>
        <w:t xml:space="preserve">To </w:t>
      </w:r>
      <w:r w:rsidR="00944347">
        <w:t xml:space="preserve">characterise </w:t>
      </w:r>
      <w:r>
        <w:t>the safety and tolerability while assessing additional efficacy of treatment</w:t>
      </w:r>
      <w:r w:rsidR="00EE6239">
        <w:t xml:space="preserve"> </w:t>
      </w:r>
      <w:r>
        <w:t xml:space="preserve">with </w:t>
      </w:r>
      <w:proofErr w:type="spellStart"/>
      <w:r>
        <w:t>isavuconazole</w:t>
      </w:r>
      <w:proofErr w:type="spellEnd"/>
      <w:r>
        <w:t>.</w:t>
      </w:r>
    </w:p>
    <w:p w14:paraId="05338A6C" w14:textId="77777777" w:rsidR="00301714" w:rsidRDefault="00301714" w:rsidP="00C53E67">
      <w:pPr>
        <w:pStyle w:val="Heading6"/>
      </w:pPr>
      <w:r>
        <w:t>Exploratory endpoints</w:t>
      </w:r>
    </w:p>
    <w:p w14:paraId="25520B02" w14:textId="77777777" w:rsidR="00301714" w:rsidRDefault="00301714" w:rsidP="00301714">
      <w:r>
        <w:t>To summarise the concentration-time profiles of the study drug and metabolite(s) if warranted</w:t>
      </w:r>
    </w:p>
    <w:p w14:paraId="577D00ED" w14:textId="3DF07F7C" w:rsidR="00301714" w:rsidRDefault="00301714" w:rsidP="00301714">
      <w:pPr>
        <w:pStyle w:val="ListBullet"/>
      </w:pPr>
      <w:r>
        <w:t>in patients from the pharmacokinetic sub</w:t>
      </w:r>
      <w:r w:rsidR="00F17F21">
        <w:t xml:space="preserve"> </w:t>
      </w:r>
      <w:r>
        <w:t>study. To characterise pharmacokinetic trough</w:t>
      </w:r>
      <w:r w:rsidR="00EE6239">
        <w:t xml:space="preserve"> </w:t>
      </w:r>
      <w:r>
        <w:t>values of study drug and metabolite(s) if warranted.</w:t>
      </w:r>
    </w:p>
    <w:p w14:paraId="71995C96" w14:textId="77777777" w:rsidR="00301714" w:rsidRDefault="00301714" w:rsidP="00C53E67">
      <w:pPr>
        <w:pStyle w:val="Heading6"/>
      </w:pPr>
      <w:r>
        <w:t>Primary endpoint</w:t>
      </w:r>
    </w:p>
    <w:p w14:paraId="2381D430" w14:textId="77777777" w:rsidR="00762456" w:rsidRDefault="00301714" w:rsidP="00301714">
      <w:r>
        <w:t xml:space="preserve">Overall response at </w:t>
      </w:r>
      <w:r w:rsidR="00C53E67">
        <w:t>D</w:t>
      </w:r>
      <w:r>
        <w:t xml:space="preserve">ay 42 assessed by the </w:t>
      </w:r>
      <w:r w:rsidR="00C53E67">
        <w:t>D</w:t>
      </w:r>
      <w:r>
        <w:t xml:space="preserve">ata </w:t>
      </w:r>
      <w:r w:rsidR="00C53E67">
        <w:t>R</w:t>
      </w:r>
      <w:r>
        <w:t xml:space="preserve">eview </w:t>
      </w:r>
      <w:r w:rsidR="00C53E67">
        <w:t>C</w:t>
      </w:r>
      <w:r>
        <w:t>ommittee.</w:t>
      </w:r>
    </w:p>
    <w:p w14:paraId="46B60C48" w14:textId="6621A582" w:rsidR="00301714" w:rsidRDefault="00301714" w:rsidP="00301714">
      <w:r w:rsidRPr="005833CA">
        <w:t xml:space="preserve">Note: the </w:t>
      </w:r>
      <w:r w:rsidR="00944347">
        <w:t>sponsor</w:t>
      </w:r>
      <w:r w:rsidR="00944347" w:rsidRPr="005833CA">
        <w:t xml:space="preserve"> </w:t>
      </w:r>
      <w:r w:rsidRPr="005833CA">
        <w:t>chose mortality as the most relevant endpoint to be able to</w:t>
      </w:r>
      <w:r>
        <w:t xml:space="preserve"> compare the results from this </w:t>
      </w:r>
      <w:r w:rsidR="00503C9A">
        <w:t>S</w:t>
      </w:r>
      <w:r>
        <w:t>tudy to those in the literature. The ‘Data Review Committee</w:t>
      </w:r>
      <w:r w:rsidR="00503C9A">
        <w:t xml:space="preserve"> </w:t>
      </w:r>
      <w:r>
        <w:t>asses</w:t>
      </w:r>
      <w:r w:rsidR="00503C9A">
        <w:t xml:space="preserve">sed overall response at End of </w:t>
      </w:r>
      <w:r>
        <w:t>Treatment’, which combined clinical, mycological and radiological responses at end of treatment, was considered the most important endpoint for the CHMP.</w:t>
      </w:r>
    </w:p>
    <w:p w14:paraId="5101EDA3" w14:textId="77777777" w:rsidR="00301714" w:rsidRDefault="00301714" w:rsidP="00DA7509">
      <w:pPr>
        <w:pStyle w:val="Heading6"/>
      </w:pPr>
      <w:r>
        <w:t>Secondary endpoints</w:t>
      </w:r>
    </w:p>
    <w:p w14:paraId="52066AFE" w14:textId="675EC983" w:rsidR="00301714" w:rsidRDefault="00301714" w:rsidP="00301714">
      <w:r>
        <w:t xml:space="preserve">These included assessments of overall, clinical, radiological, and mycological responses at </w:t>
      </w:r>
      <w:r w:rsidR="00EE6239">
        <w:t>D</w:t>
      </w:r>
      <w:r>
        <w:t xml:space="preserve">ay 42, </w:t>
      </w:r>
      <w:r w:rsidR="00EE6239">
        <w:t>D</w:t>
      </w:r>
      <w:r>
        <w:t xml:space="preserve">ay 84, and end of treatment, and all-cause mortality at </w:t>
      </w:r>
      <w:r w:rsidR="00EE6239">
        <w:t>D</w:t>
      </w:r>
      <w:r>
        <w:t>ays 42 and 84.</w:t>
      </w:r>
    </w:p>
    <w:p w14:paraId="5B4377E0" w14:textId="77777777" w:rsidR="00301714" w:rsidRDefault="00301714" w:rsidP="00301714">
      <w:r>
        <w:t>No formal sample size calculation was used and results were summarised using descriptive statistics.</w:t>
      </w:r>
    </w:p>
    <w:p w14:paraId="465AB1E7" w14:textId="1F28AE26" w:rsidR="00301714" w:rsidRDefault="00301714" w:rsidP="00301714">
      <w:r>
        <w:t xml:space="preserve">Patients were enrolled in this multicentre study at 34 centres in the US, EU, South America, Asia and the Middle East. Of the 149 patients enrolled, 146 (98%) evaluable </w:t>
      </w:r>
      <w:r>
        <w:lastRenderedPageBreak/>
        <w:t>patients of which 59</w:t>
      </w:r>
      <w:r w:rsidR="0065420C">
        <w:t xml:space="preserve"> of </w:t>
      </w:r>
      <w:r>
        <w:t xml:space="preserve">146 (40.4%) were </w:t>
      </w:r>
      <w:proofErr w:type="spellStart"/>
      <w:r>
        <w:t>renally</w:t>
      </w:r>
      <w:proofErr w:type="spellEnd"/>
      <w:r>
        <w:t xml:space="preserve"> impaired. The </w:t>
      </w:r>
      <w:proofErr w:type="spellStart"/>
      <w:r w:rsidRPr="00F17F21">
        <w:rPr>
          <w:i/>
        </w:rPr>
        <w:t>Mucorales</w:t>
      </w:r>
      <w:proofErr w:type="spellEnd"/>
      <w:r>
        <w:t xml:space="preserve"> </w:t>
      </w:r>
      <w:r w:rsidR="00503C9A">
        <w:t xml:space="preserve">modified intention to treat </w:t>
      </w:r>
      <w:r>
        <w:t xml:space="preserve">population </w:t>
      </w:r>
      <w:r w:rsidR="00503C9A">
        <w:t>(</w:t>
      </w:r>
      <w:proofErr w:type="spellStart"/>
      <w:r w:rsidR="00503C9A">
        <w:t>mITT</w:t>
      </w:r>
      <w:proofErr w:type="spellEnd"/>
      <w:r w:rsidR="00503C9A">
        <w:t xml:space="preserve">) </w:t>
      </w:r>
      <w:r>
        <w:t xml:space="preserve">consisted of 37 patients and the </w:t>
      </w:r>
      <w:r w:rsidRPr="00690A83">
        <w:rPr>
          <w:i/>
        </w:rPr>
        <w:t>Aspergillus</w:t>
      </w:r>
      <w:r>
        <w:t xml:space="preserve"> </w:t>
      </w:r>
      <w:proofErr w:type="spellStart"/>
      <w:r w:rsidR="00944347">
        <w:t>mITT</w:t>
      </w:r>
      <w:proofErr w:type="spellEnd"/>
      <w:r w:rsidR="00944347">
        <w:t xml:space="preserve"> population</w:t>
      </w:r>
      <w:r>
        <w:t xml:space="preserve"> of 24 patients (20 </w:t>
      </w:r>
      <w:proofErr w:type="spellStart"/>
      <w:r>
        <w:t>renally</w:t>
      </w:r>
      <w:proofErr w:type="spellEnd"/>
      <w:r>
        <w:t xml:space="preserve"> impaired and 4</w:t>
      </w:r>
      <w:r w:rsidR="00944347">
        <w:t> </w:t>
      </w:r>
      <w:r>
        <w:t>non-</w:t>
      </w:r>
      <w:proofErr w:type="spellStart"/>
      <w:r>
        <w:t>renally</w:t>
      </w:r>
      <w:proofErr w:type="spellEnd"/>
      <w:r>
        <w:t xml:space="preserve"> impaired)</w:t>
      </w:r>
      <w:r w:rsidR="00F17F21">
        <w:t xml:space="preserve"> (see </w:t>
      </w:r>
      <w:r w:rsidR="00944347">
        <w:t>T</w:t>
      </w:r>
      <w:r w:rsidR="00F17F21">
        <w:t>able</w:t>
      </w:r>
      <w:r w:rsidR="008C254C">
        <w:t xml:space="preserve"> 6</w:t>
      </w:r>
      <w:r w:rsidR="00F17F21">
        <w:t xml:space="preserve"> below).</w:t>
      </w:r>
    </w:p>
    <w:p w14:paraId="2067C97B" w14:textId="2EE1138D" w:rsidR="00301714" w:rsidRDefault="008C254C" w:rsidP="00DA7509">
      <w:pPr>
        <w:pStyle w:val="TableTitle"/>
        <w:rPr>
          <w:rFonts w:asciiTheme="minorHAnsi" w:hAnsiTheme="minorHAnsi"/>
          <w:noProof/>
          <w:lang w:eastAsia="en-AU"/>
        </w:rPr>
      </w:pPr>
      <w:r>
        <w:t>Table 6</w:t>
      </w:r>
      <w:r w:rsidR="00DA7509">
        <w:t xml:space="preserve">: </w:t>
      </w:r>
      <w:r w:rsidR="00301714">
        <w:t>Patient</w:t>
      </w:r>
      <w:r w:rsidR="0065420C">
        <w:t xml:space="preserve"> </w:t>
      </w:r>
      <w:r w:rsidR="00944347">
        <w:t>d</w:t>
      </w:r>
      <w:r w:rsidR="0065420C">
        <w:t xml:space="preserve">isposition and </w:t>
      </w:r>
      <w:r w:rsidR="00944347">
        <w:t>a</w:t>
      </w:r>
      <w:r w:rsidR="0065420C">
        <w:t xml:space="preserve">nalysis </w:t>
      </w:r>
      <w:r w:rsidR="00944347">
        <w:t>s</w:t>
      </w:r>
      <w:r w:rsidR="0065420C">
        <w:t>et (S</w:t>
      </w:r>
      <w:r w:rsidR="00301714">
        <w:t>tudy 9766-CL-0103)</w:t>
      </w:r>
    </w:p>
    <w:p w14:paraId="48A93000" w14:textId="77777777" w:rsidR="00286482" w:rsidRDefault="00286482" w:rsidP="00F933BC">
      <w:r w:rsidRPr="00F933BC">
        <w:rPr>
          <w:noProof/>
          <w:lang w:eastAsia="en-AU"/>
        </w:rPr>
        <w:drawing>
          <wp:inline distT="0" distB="0" distL="0" distR="0" wp14:anchorId="7E4C5216" wp14:editId="50F6185E">
            <wp:extent cx="5400040" cy="2447326"/>
            <wp:effectExtent l="0" t="0" r="0" b="0"/>
            <wp:docPr id="12" name="Picture 12" descr="Patient Disposition and Analysis Set (Study 9766-CL-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sharpenSoften amount="34000"/>
                              </a14:imgEffect>
                            </a14:imgLayer>
                          </a14:imgProps>
                        </a:ext>
                      </a:extLst>
                    </a:blip>
                    <a:stretch>
                      <a:fillRect/>
                    </a:stretch>
                  </pic:blipFill>
                  <pic:spPr>
                    <a:xfrm>
                      <a:off x="0" y="0"/>
                      <a:ext cx="5400040" cy="2447326"/>
                    </a:xfrm>
                    <a:prstGeom prst="rect">
                      <a:avLst/>
                    </a:prstGeom>
                  </pic:spPr>
                </pic:pic>
              </a:graphicData>
            </a:graphic>
          </wp:inline>
        </w:drawing>
      </w:r>
    </w:p>
    <w:p w14:paraId="1DA3524F" w14:textId="77777777" w:rsidR="00301714" w:rsidRDefault="00301714" w:rsidP="00503C9A">
      <w:pPr>
        <w:pStyle w:val="TableDescription"/>
      </w:pPr>
      <w:r>
        <w:t xml:space="preserve">RI: </w:t>
      </w:r>
      <w:proofErr w:type="spellStart"/>
      <w:r>
        <w:t>renally</w:t>
      </w:r>
      <w:proofErr w:type="spellEnd"/>
      <w:r>
        <w:t xml:space="preserve"> impaired, NRI: no</w:t>
      </w:r>
      <w:r w:rsidR="00503C9A">
        <w:t xml:space="preserve">t </w:t>
      </w:r>
      <w:proofErr w:type="spellStart"/>
      <w:r w:rsidR="00503C9A">
        <w:t>renally</w:t>
      </w:r>
      <w:proofErr w:type="spellEnd"/>
      <w:r w:rsidR="00503C9A">
        <w:t xml:space="preserve">-impaired, </w:t>
      </w:r>
      <w:proofErr w:type="spellStart"/>
      <w:r w:rsidR="00503C9A">
        <w:t>m</w:t>
      </w:r>
      <w:r>
        <w:t>ITT</w:t>
      </w:r>
      <w:proofErr w:type="spellEnd"/>
      <w:r>
        <w:t xml:space="preserve">: includes Data Review Committee classified </w:t>
      </w:r>
      <w:r w:rsidR="00503C9A">
        <w:t>infection</w:t>
      </w:r>
      <w:r>
        <w:t xml:space="preserve"> only.</w:t>
      </w:r>
    </w:p>
    <w:p w14:paraId="1D99602A" w14:textId="375DEEBF" w:rsidR="00301714" w:rsidRPr="00DA7509" w:rsidRDefault="00301714" w:rsidP="00301714">
      <w:r>
        <w:t xml:space="preserve">Overall, the number of </w:t>
      </w:r>
      <w:r w:rsidR="00503C9A">
        <w:t>intention to treat</w:t>
      </w:r>
      <w:r>
        <w:t xml:space="preserve"> patients discontinuing treatment was 47.3% (57.6% </w:t>
      </w:r>
      <w:r w:rsidR="00696C9F">
        <w:t>of renal impaired</w:t>
      </w:r>
      <w:r>
        <w:t xml:space="preserve"> and 40.2% </w:t>
      </w:r>
      <w:r w:rsidR="00696C9F">
        <w:t xml:space="preserve">of </w:t>
      </w:r>
      <w:r w:rsidR="00AE3AF6">
        <w:t>non-renal</w:t>
      </w:r>
      <w:r w:rsidR="00696C9F">
        <w:t xml:space="preserve"> impaired patients</w:t>
      </w:r>
      <w:r>
        <w:t xml:space="preserve">) whereas 40.4% (45.8% </w:t>
      </w:r>
      <w:r w:rsidR="00696C9F">
        <w:t>of renal impaired</w:t>
      </w:r>
      <w:r>
        <w:t xml:space="preserve"> and 36.8% </w:t>
      </w:r>
      <w:r w:rsidR="00AE3AF6">
        <w:t>non-renal</w:t>
      </w:r>
      <w:r w:rsidR="00696C9F">
        <w:t xml:space="preserve"> impaired patients</w:t>
      </w:r>
      <w:r>
        <w:t>) did not complete the required follow-up period</w:t>
      </w:r>
      <w:r w:rsidR="00DA7509">
        <w:t>.</w:t>
      </w:r>
    </w:p>
    <w:p w14:paraId="200AFF54" w14:textId="273727B7" w:rsidR="00762456" w:rsidRDefault="00A960AE" w:rsidP="00696C9F">
      <w:pPr>
        <w:pStyle w:val="Heading6"/>
      </w:pPr>
      <w:r>
        <w:t>Results for primary objectives</w:t>
      </w:r>
    </w:p>
    <w:p w14:paraId="2D229A43" w14:textId="2384C1FD" w:rsidR="00944347" w:rsidRPr="00944347" w:rsidRDefault="00944347" w:rsidP="00944347">
      <w:r>
        <w:t>These were as follows:</w:t>
      </w:r>
    </w:p>
    <w:p w14:paraId="5FB17E4A" w14:textId="3ADD8DC3" w:rsidR="00944347" w:rsidRDefault="00944347" w:rsidP="00944347">
      <w:r>
        <w:t>E</w:t>
      </w:r>
      <w:r w:rsidR="00301714">
        <w:t xml:space="preserve">fficacy of </w:t>
      </w:r>
      <w:proofErr w:type="spellStart"/>
      <w:r w:rsidR="00301714">
        <w:t>isavuconazole</w:t>
      </w:r>
      <w:proofErr w:type="spellEnd"/>
      <w:r w:rsidR="00301714">
        <w:t xml:space="preserve"> in the treatment of invasive </w:t>
      </w:r>
      <w:proofErr w:type="spellStart"/>
      <w:r w:rsidR="00301714">
        <w:t>aspergillosis</w:t>
      </w:r>
      <w:proofErr w:type="spellEnd"/>
      <w:r w:rsidR="00301714">
        <w:t xml:space="preserve"> in patients with renal impairment</w:t>
      </w:r>
      <w:r>
        <w:t>:</w:t>
      </w:r>
    </w:p>
    <w:p w14:paraId="40B828EC" w14:textId="3900AF02" w:rsidR="00301714" w:rsidRDefault="00301714" w:rsidP="00924F0E">
      <w:pPr>
        <w:pStyle w:val="ListBullet"/>
      </w:pPr>
      <w:r>
        <w:t xml:space="preserve">There were limited numbers of patients with renal impairment included in the study. Patients in </w:t>
      </w:r>
      <w:r w:rsidR="0065420C">
        <w:t>S</w:t>
      </w:r>
      <w:r>
        <w:t xml:space="preserve">tudy 9766-CL-0103 and a small number in </w:t>
      </w:r>
      <w:r w:rsidR="00944347">
        <w:t xml:space="preserve">Study </w:t>
      </w:r>
      <w:r>
        <w:t xml:space="preserve">9766-CL-0104 had invasive </w:t>
      </w:r>
      <w:proofErr w:type="spellStart"/>
      <w:r>
        <w:t>aspergillosis</w:t>
      </w:r>
      <w:proofErr w:type="spellEnd"/>
      <w:r>
        <w:t xml:space="preserve"> and renal</w:t>
      </w:r>
      <w:r w:rsidR="0065420C">
        <w:t xml:space="preserve"> </w:t>
      </w:r>
      <w:r>
        <w:t>impairment (</w:t>
      </w:r>
      <w:proofErr w:type="spellStart"/>
      <w:r>
        <w:t>eGFR</w:t>
      </w:r>
      <w:proofErr w:type="spellEnd"/>
      <w:r>
        <w:t>-MDRD &lt; 60 mL/min/1.73 m</w:t>
      </w:r>
      <w:r w:rsidRPr="00944347">
        <w:rPr>
          <w:vertAlign w:val="superscript"/>
        </w:rPr>
        <w:t>2</w:t>
      </w:r>
      <w:r>
        <w:t>).</w:t>
      </w:r>
      <w:r w:rsidR="00944347">
        <w:rPr>
          <w:rStyle w:val="FootnoteReference"/>
        </w:rPr>
        <w:footnoteReference w:id="9"/>
      </w:r>
      <w:r>
        <w:t xml:space="preserve"> At the end of treatment, the overall data review committee-assessed response success rates were similar for the renal impairment and non-renal impairment groups.</w:t>
      </w:r>
    </w:p>
    <w:p w14:paraId="419FBFB2" w14:textId="3D4C78E9" w:rsidR="00301714" w:rsidRDefault="00924F0E" w:rsidP="00924F0E">
      <w:r>
        <w:t>P</w:t>
      </w:r>
      <w:r w:rsidR="00301714">
        <w:t>atients with invasive fungal disease caused by rare moulds, yeasts or dimorphic fungi</w:t>
      </w:r>
      <w:r w:rsidR="00690A83">
        <w:t>.</w:t>
      </w:r>
    </w:p>
    <w:p w14:paraId="2889E981" w14:textId="0C99BF9F" w:rsidR="00301714" w:rsidRDefault="008C254C" w:rsidP="00DA7509">
      <w:pPr>
        <w:pStyle w:val="TableTitle"/>
      </w:pPr>
      <w:r>
        <w:t>Table 7</w:t>
      </w:r>
      <w:r w:rsidR="00DA7509">
        <w:t xml:space="preserve">: </w:t>
      </w:r>
      <w:r w:rsidR="00301714">
        <w:t xml:space="preserve">All-cause </w:t>
      </w:r>
      <w:r w:rsidR="00924F0E">
        <w:t xml:space="preserve">crude mortality trough </w:t>
      </w:r>
      <w:r w:rsidR="00301714">
        <w:t>Day 42 and Day 84 (</w:t>
      </w:r>
      <w:proofErr w:type="spellStart"/>
      <w:r w:rsidR="00301714">
        <w:t>mITT</w:t>
      </w:r>
      <w:proofErr w:type="spellEnd"/>
      <w:r w:rsidR="00924F0E">
        <w:t xml:space="preserve"> </w:t>
      </w:r>
      <w:proofErr w:type="spellStart"/>
      <w:r w:rsidR="00301714" w:rsidRPr="00690A83">
        <w:rPr>
          <w:i/>
        </w:rPr>
        <w:t>Mucorales</w:t>
      </w:r>
      <w:proofErr w:type="spellEnd"/>
      <w:r w:rsidR="00301714">
        <w:t xml:space="preserve"> </w:t>
      </w:r>
      <w:r w:rsidR="00924F0E">
        <w:t>population</w:t>
      </w:r>
      <w:r w:rsidR="00301714">
        <w:t>),</w:t>
      </w:r>
      <w:r w:rsidR="0065420C">
        <w:t xml:space="preserve"> S</w:t>
      </w:r>
      <w:r w:rsidR="00301714">
        <w:t>tudy 9766-CL-0103</w:t>
      </w:r>
    </w:p>
    <w:p w14:paraId="4DCFCB89" w14:textId="77777777" w:rsidR="00301714" w:rsidRDefault="00286482" w:rsidP="00301714">
      <w:r>
        <w:rPr>
          <w:noProof/>
          <w:lang w:eastAsia="en-AU"/>
        </w:rPr>
        <w:drawing>
          <wp:inline distT="0" distB="0" distL="0" distR="0" wp14:anchorId="0C11AA17" wp14:editId="1CB6E2F7">
            <wp:extent cx="5229225" cy="1343025"/>
            <wp:effectExtent l="0" t="0" r="9525" b="9525"/>
            <wp:docPr id="1" name="Picture 1" descr="All-cause Crude Mortality Trough Day 42 and Day 84 (mITT-Mucorales Population), Study 9766-CL-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sharpenSoften amount="57000"/>
                              </a14:imgEffect>
                            </a14:imgLayer>
                          </a14:imgProps>
                        </a:ext>
                      </a:extLst>
                    </a:blip>
                    <a:stretch>
                      <a:fillRect/>
                    </a:stretch>
                  </pic:blipFill>
                  <pic:spPr>
                    <a:xfrm>
                      <a:off x="0" y="0"/>
                      <a:ext cx="5229225" cy="1343025"/>
                    </a:xfrm>
                    <a:prstGeom prst="rect">
                      <a:avLst/>
                    </a:prstGeom>
                  </pic:spPr>
                </pic:pic>
              </a:graphicData>
            </a:graphic>
          </wp:inline>
        </w:drawing>
      </w:r>
    </w:p>
    <w:p w14:paraId="37C02029" w14:textId="77777777" w:rsidR="00301714" w:rsidRDefault="00301714" w:rsidP="00915DA0">
      <w:pPr>
        <w:pStyle w:val="TableDescription"/>
      </w:pPr>
      <w:r>
        <w:lastRenderedPageBreak/>
        <w:t xml:space="preserve">† A patient with the last known survival status was before </w:t>
      </w:r>
      <w:r w:rsidR="0065420C">
        <w:t>D</w:t>
      </w:r>
      <w:r>
        <w:t xml:space="preserve">ay 42 or before </w:t>
      </w:r>
      <w:proofErr w:type="spellStart"/>
      <w:r w:rsidR="0065420C">
        <w:t>D</w:t>
      </w:r>
      <w:r>
        <w:t>ay</w:t>
      </w:r>
      <w:proofErr w:type="spellEnd"/>
      <w:r>
        <w:t xml:space="preserve"> 84 or missing and the last assessment day was before </w:t>
      </w:r>
      <w:r w:rsidR="0065420C">
        <w:t>D</w:t>
      </w:r>
      <w:r>
        <w:t xml:space="preserve">ay 42 or before </w:t>
      </w:r>
      <w:proofErr w:type="spellStart"/>
      <w:r w:rsidR="0065420C">
        <w:t>D</w:t>
      </w:r>
      <w:r>
        <w:t>ay</w:t>
      </w:r>
      <w:proofErr w:type="spellEnd"/>
      <w:r>
        <w:t xml:space="preserve"> 84 was counted as death.</w:t>
      </w:r>
    </w:p>
    <w:p w14:paraId="609E931E" w14:textId="18F7FD46" w:rsidR="00301714" w:rsidRDefault="008C254C" w:rsidP="00DA7509">
      <w:pPr>
        <w:pStyle w:val="TableTitle"/>
      </w:pPr>
      <w:r>
        <w:t>Table 8</w:t>
      </w:r>
      <w:r w:rsidR="00DA7509">
        <w:t xml:space="preserve">: </w:t>
      </w:r>
      <w:r w:rsidR="00301714">
        <w:t xml:space="preserve">Data </w:t>
      </w:r>
      <w:r w:rsidR="00924F0E">
        <w:t>review committee</w:t>
      </w:r>
      <w:r w:rsidR="00301714">
        <w:t xml:space="preserve">-assessed </w:t>
      </w:r>
      <w:r w:rsidR="00924F0E">
        <w:t xml:space="preserve">overall response at end of treatment </w:t>
      </w:r>
      <w:r w:rsidR="00301714">
        <w:t>(</w:t>
      </w:r>
      <w:proofErr w:type="spellStart"/>
      <w:r w:rsidR="00301714">
        <w:t>mITT</w:t>
      </w:r>
      <w:proofErr w:type="spellEnd"/>
      <w:r w:rsidR="00924F0E">
        <w:t xml:space="preserve"> </w:t>
      </w:r>
      <w:proofErr w:type="spellStart"/>
      <w:r w:rsidR="00301714" w:rsidRPr="00690A83">
        <w:rPr>
          <w:i/>
        </w:rPr>
        <w:t>Mucorales</w:t>
      </w:r>
      <w:proofErr w:type="spellEnd"/>
      <w:r w:rsidR="00301714">
        <w:t xml:space="preserve"> </w:t>
      </w:r>
      <w:r w:rsidR="00924F0E">
        <w:t>p</w:t>
      </w:r>
      <w:r w:rsidR="00301714">
        <w:t xml:space="preserve">opulation), </w:t>
      </w:r>
      <w:r w:rsidR="0065420C">
        <w:t>S</w:t>
      </w:r>
      <w:r w:rsidR="00301714">
        <w:t>tudy 9766-CL-0103</w:t>
      </w:r>
    </w:p>
    <w:p w14:paraId="3E7ED804" w14:textId="77777777" w:rsidR="00301714" w:rsidRDefault="00286482" w:rsidP="00301714">
      <w:r>
        <w:rPr>
          <w:noProof/>
          <w:lang w:eastAsia="en-AU"/>
        </w:rPr>
        <w:drawing>
          <wp:inline distT="0" distB="0" distL="0" distR="0" wp14:anchorId="2F2DD075" wp14:editId="0BA2F139">
            <wp:extent cx="5400040" cy="1424493"/>
            <wp:effectExtent l="0" t="0" r="0" b="4445"/>
            <wp:docPr id="13" name="Picture 13" descr="Data Review Committee-assessed Overall Response at End of treatment (mITT-Mucorales Population), Study 9766-CL-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sharpenSoften amount="75000"/>
                              </a14:imgEffect>
                            </a14:imgLayer>
                          </a14:imgProps>
                        </a:ext>
                      </a:extLst>
                    </a:blip>
                    <a:stretch>
                      <a:fillRect/>
                    </a:stretch>
                  </pic:blipFill>
                  <pic:spPr>
                    <a:xfrm>
                      <a:off x="0" y="0"/>
                      <a:ext cx="5400040" cy="1424493"/>
                    </a:xfrm>
                    <a:prstGeom prst="rect">
                      <a:avLst/>
                    </a:prstGeom>
                  </pic:spPr>
                </pic:pic>
              </a:graphicData>
            </a:graphic>
          </wp:inline>
        </w:drawing>
      </w:r>
    </w:p>
    <w:p w14:paraId="2331DD6F" w14:textId="77777777" w:rsidR="00301714" w:rsidRDefault="00301714" w:rsidP="00696C9F">
      <w:pPr>
        <w:pStyle w:val="TableDescription"/>
      </w:pPr>
      <w:r w:rsidRPr="00787877">
        <w:t xml:space="preserve">† A patient with the last known survival status was before </w:t>
      </w:r>
      <w:r w:rsidR="0065420C">
        <w:t>D</w:t>
      </w:r>
      <w:r w:rsidRPr="00787877">
        <w:t>ay</w:t>
      </w:r>
      <w:r>
        <w:t xml:space="preserve"> 42 or before </w:t>
      </w:r>
      <w:proofErr w:type="spellStart"/>
      <w:r w:rsidR="0065420C">
        <w:t>D</w:t>
      </w:r>
      <w:r>
        <w:t>ay</w:t>
      </w:r>
      <w:proofErr w:type="spellEnd"/>
      <w:r>
        <w:t xml:space="preserve"> 84 or missing </w:t>
      </w:r>
      <w:r w:rsidRPr="00787877">
        <w:t xml:space="preserve">and the last assessment day was before </w:t>
      </w:r>
      <w:r w:rsidR="0065420C">
        <w:t>D</w:t>
      </w:r>
      <w:r w:rsidRPr="00787877">
        <w:t xml:space="preserve">ay 42 or before </w:t>
      </w:r>
      <w:proofErr w:type="spellStart"/>
      <w:r w:rsidR="0065420C">
        <w:t>D</w:t>
      </w:r>
      <w:r w:rsidRPr="00787877">
        <w:t>ay</w:t>
      </w:r>
      <w:proofErr w:type="spellEnd"/>
      <w:r w:rsidRPr="00787877">
        <w:t xml:space="preserve"> 84 was counted as death</w:t>
      </w:r>
      <w:r>
        <w:t>.</w:t>
      </w:r>
    </w:p>
    <w:p w14:paraId="4B08A5D8" w14:textId="784BBE56" w:rsidR="00301714" w:rsidRPr="00767057" w:rsidRDefault="008C254C" w:rsidP="00696C9F">
      <w:pPr>
        <w:pStyle w:val="TableTitle"/>
      </w:pPr>
      <w:r>
        <w:t>Table 9</w:t>
      </w:r>
      <w:r w:rsidR="00696C9F">
        <w:t xml:space="preserve">: </w:t>
      </w:r>
      <w:r w:rsidR="00301714" w:rsidRPr="006114FC">
        <w:t xml:space="preserve">Data </w:t>
      </w:r>
      <w:r w:rsidR="00924F0E" w:rsidRPr="00924F0E">
        <w:t>review committee-assessed success rates for clinical, mycological, and radiological response at end of treatment by therapy statu</w:t>
      </w:r>
      <w:r w:rsidR="00301714" w:rsidRPr="006114FC">
        <w:t>s (</w:t>
      </w:r>
      <w:proofErr w:type="spellStart"/>
      <w:r w:rsidR="00301714" w:rsidRPr="006114FC">
        <w:t>mITT</w:t>
      </w:r>
      <w:proofErr w:type="spellEnd"/>
      <w:r w:rsidR="00924F0E">
        <w:t xml:space="preserve"> </w:t>
      </w:r>
      <w:proofErr w:type="spellStart"/>
      <w:r w:rsidR="00301714" w:rsidRPr="00690A83">
        <w:rPr>
          <w:i/>
        </w:rPr>
        <w:t>Mucorales</w:t>
      </w:r>
      <w:proofErr w:type="spellEnd"/>
      <w:r w:rsidR="00301714" w:rsidRPr="006114FC">
        <w:t xml:space="preserve"> </w:t>
      </w:r>
      <w:r w:rsidR="00924F0E">
        <w:t>p</w:t>
      </w:r>
      <w:r w:rsidR="00924F0E" w:rsidRPr="006114FC">
        <w:t>opulation</w:t>
      </w:r>
      <w:r w:rsidR="00301714" w:rsidRPr="006114FC">
        <w:t xml:space="preserve">), </w:t>
      </w:r>
      <w:r w:rsidR="00696C9F">
        <w:t>S</w:t>
      </w:r>
      <w:r w:rsidR="00301714" w:rsidRPr="006114FC">
        <w:t>tudy 9766-CL-0103</w:t>
      </w:r>
    </w:p>
    <w:p w14:paraId="25CF23FD" w14:textId="77777777" w:rsidR="00301714" w:rsidRPr="00F17F21" w:rsidRDefault="00286482" w:rsidP="00301714">
      <w:pPr>
        <w:spacing w:before="0" w:after="0" w:line="240" w:lineRule="auto"/>
      </w:pPr>
      <w:r>
        <w:rPr>
          <w:noProof/>
          <w:lang w:eastAsia="en-AU"/>
        </w:rPr>
        <w:drawing>
          <wp:inline distT="0" distB="0" distL="0" distR="0" wp14:anchorId="050CCD96" wp14:editId="5737979B">
            <wp:extent cx="5124450" cy="952500"/>
            <wp:effectExtent l="0" t="0" r="0" b="0"/>
            <wp:docPr id="14" name="Picture 14" descr="Data Review Committee-assessed Success Rates for Clinical, Mycological,and Radiological Response at End of Treatment by Therapy Status (mITT-Mucorales Population), Study 9766-CL-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BEBA8EAE-BF5A-486C-A8C5-ECC9F3942E4B}">
                          <a14:imgProps xmlns:a14="http://schemas.microsoft.com/office/drawing/2010/main">
                            <a14:imgLayer r:embed="rId28">
                              <a14:imgEffect>
                                <a14:sharpenSoften amount="73000"/>
                              </a14:imgEffect>
                            </a14:imgLayer>
                          </a14:imgProps>
                        </a:ext>
                      </a:extLst>
                    </a:blip>
                    <a:stretch>
                      <a:fillRect/>
                    </a:stretch>
                  </pic:blipFill>
                  <pic:spPr>
                    <a:xfrm>
                      <a:off x="0" y="0"/>
                      <a:ext cx="5124450" cy="952500"/>
                    </a:xfrm>
                    <a:prstGeom prst="rect">
                      <a:avLst/>
                    </a:prstGeom>
                  </pic:spPr>
                </pic:pic>
              </a:graphicData>
            </a:graphic>
          </wp:inline>
        </w:drawing>
      </w:r>
    </w:p>
    <w:p w14:paraId="16A4768E" w14:textId="24319CE0" w:rsidR="00762456" w:rsidRDefault="00301714" w:rsidP="00301714">
      <w:r w:rsidRPr="00301714">
        <w:t xml:space="preserve">The assessment highlighted that at </w:t>
      </w:r>
      <w:r w:rsidR="0065420C">
        <w:t>D</w:t>
      </w:r>
      <w:r w:rsidRPr="00301714">
        <w:t xml:space="preserve">ay 42 and </w:t>
      </w:r>
      <w:r w:rsidR="0065420C">
        <w:t>D</w:t>
      </w:r>
      <w:r w:rsidRPr="00301714">
        <w:t>ay 84, the clinical responses were considerably higher than the mycological responses. As the mycological responses were</w:t>
      </w:r>
      <w:r>
        <w:t xml:space="preserve"> predominantly ‘presumed’ based, and therefore depending on the clinical and radiological outcomes, the lower number of mycological responses compared to clinical responses was explained by the very low radiological response rate.</w:t>
      </w:r>
    </w:p>
    <w:p w14:paraId="3E64F0AA" w14:textId="4D48BE67" w:rsidR="00301714" w:rsidRDefault="00301714" w:rsidP="00301714">
      <w:r>
        <w:t xml:space="preserve">Investigator success rates at end of treatment were consistently higher for clinical, mycological and radiological outcomes (54.5%, 41.7% and 26.5%, respectively) </w:t>
      </w:r>
      <w:r w:rsidR="0065420C">
        <w:t>versus</w:t>
      </w:r>
      <w:r>
        <w:t xml:space="preserve"> </w:t>
      </w:r>
      <w:r w:rsidR="00924F0E">
        <w:t>DRC</w:t>
      </w:r>
      <w:r>
        <w:t xml:space="preserve">-assessed rates. For primary patients, the investigator success rates at end of treatment were also higher (65.0%, </w:t>
      </w:r>
      <w:r w:rsidR="0065420C">
        <w:t>42.9% and 30.0%, respectively)</w:t>
      </w:r>
      <w:r w:rsidR="00767057">
        <w:t>.</w:t>
      </w:r>
    </w:p>
    <w:p w14:paraId="417183BF" w14:textId="77777777" w:rsidR="00301714" w:rsidRDefault="00301714" w:rsidP="00B939C9">
      <w:pPr>
        <w:pStyle w:val="Heading6"/>
      </w:pPr>
      <w:r>
        <w:t xml:space="preserve">External control data for </w:t>
      </w:r>
      <w:proofErr w:type="spellStart"/>
      <w:r>
        <w:t>mucormycosis</w:t>
      </w:r>
      <w:proofErr w:type="spellEnd"/>
    </w:p>
    <w:p w14:paraId="3AD815FF" w14:textId="1A63A0C2" w:rsidR="00301714" w:rsidRDefault="00A960AE" w:rsidP="00301714">
      <w:r>
        <w:t>A</w:t>
      </w:r>
      <w:r w:rsidR="00301714">
        <w:t>dditional analyses to put all-cause mortality rates and over</w:t>
      </w:r>
      <w:r w:rsidR="0065420C">
        <w:t>all response rates observed in S</w:t>
      </w:r>
      <w:r w:rsidR="00301714">
        <w:t>tudy 9766-CL-0103 in the context of external control data</w:t>
      </w:r>
      <w:r>
        <w:t xml:space="preserve"> were provided</w:t>
      </w:r>
      <w:r w:rsidR="00301714">
        <w:t>. These external control data were mainly based on (liposomal-) amphotericin</w:t>
      </w:r>
      <w:r w:rsidR="00B939C9">
        <w:t xml:space="preserve"> </w:t>
      </w:r>
      <w:r w:rsidR="00301714">
        <w:t xml:space="preserve">B, which was considered acceptable. They included published literature and case matching with patients from the </w:t>
      </w:r>
      <w:proofErr w:type="spellStart"/>
      <w:r w:rsidR="00301714">
        <w:t>Fungiscope</w:t>
      </w:r>
      <w:proofErr w:type="spellEnd"/>
      <w:r w:rsidR="00301714">
        <w:t xml:space="preserve"> Registry Database who received primary therapy with amphotericin B for proven or probable </w:t>
      </w:r>
      <w:proofErr w:type="spellStart"/>
      <w:r w:rsidR="00301714">
        <w:t>mucormycosis</w:t>
      </w:r>
      <w:proofErr w:type="spellEnd"/>
      <w:r w:rsidR="00301714">
        <w:t>. For the 21 patie</w:t>
      </w:r>
      <w:r w:rsidR="0065420C">
        <w:t>nts in S</w:t>
      </w:r>
      <w:r w:rsidR="00F04E74">
        <w:t>tudy 9766</w:t>
      </w:r>
      <w:r w:rsidR="00F04E74">
        <w:noBreakHyphen/>
      </w:r>
      <w:r w:rsidR="00301714">
        <w:t>CL-0103 included in the mortality assessment, at least 1 matching case was found. There were some differences in characteristics between the cases and controls.</w:t>
      </w:r>
    </w:p>
    <w:p w14:paraId="0ED0A8CA" w14:textId="2DD4B0F8" w:rsidR="00301714" w:rsidRDefault="00B939C9" w:rsidP="00B939C9">
      <w:pPr>
        <w:pStyle w:val="TableTitle"/>
      </w:pPr>
      <w:r>
        <w:t>Table 1</w:t>
      </w:r>
      <w:r w:rsidR="008C254C">
        <w:t>0</w:t>
      </w:r>
      <w:r>
        <w:t xml:space="preserve">: </w:t>
      </w:r>
      <w:r w:rsidR="00301714">
        <w:t>All</w:t>
      </w:r>
      <w:r w:rsidR="00924F0E">
        <w:t xml:space="preserve"> cause crude mortality through</w:t>
      </w:r>
      <w:r w:rsidR="00301714">
        <w:t xml:space="preserve"> Day 42</w:t>
      </w:r>
    </w:p>
    <w:tbl>
      <w:tblPr>
        <w:tblStyle w:val="TableTGAblue"/>
        <w:tblW w:w="0" w:type="auto"/>
        <w:tblCellMar>
          <w:top w:w="28" w:type="dxa"/>
          <w:bottom w:w="28" w:type="dxa"/>
        </w:tblCellMar>
        <w:tblLook w:val="04A0" w:firstRow="1" w:lastRow="0" w:firstColumn="1" w:lastColumn="0" w:noHBand="0" w:noVBand="1"/>
      </w:tblPr>
      <w:tblGrid>
        <w:gridCol w:w="1384"/>
        <w:gridCol w:w="1683"/>
        <w:gridCol w:w="1731"/>
        <w:gridCol w:w="1358"/>
        <w:gridCol w:w="2032"/>
      </w:tblGrid>
      <w:tr w:rsidR="00301714" w:rsidRPr="002040B6" w14:paraId="0B7E925F" w14:textId="77777777" w:rsidTr="00690A83">
        <w:trPr>
          <w:cnfStyle w:val="100000000000" w:firstRow="1" w:lastRow="0" w:firstColumn="0" w:lastColumn="0" w:oddVBand="0" w:evenVBand="0" w:oddHBand="0" w:evenHBand="0" w:firstRowFirstColumn="0" w:firstRowLastColumn="0" w:lastRowFirstColumn="0" w:lastRowLastColumn="0"/>
        </w:trPr>
        <w:tc>
          <w:tcPr>
            <w:tcW w:w="1384" w:type="dxa"/>
          </w:tcPr>
          <w:p w14:paraId="75E7F5FE" w14:textId="77777777" w:rsidR="00301714" w:rsidRDefault="00301714" w:rsidP="008E0812">
            <w:pPr>
              <w:spacing w:before="0" w:after="0" w:line="240" w:lineRule="auto"/>
              <w:rPr>
                <w:rFonts w:asciiTheme="minorHAnsi" w:hAnsiTheme="minorHAnsi"/>
                <w:szCs w:val="22"/>
              </w:rPr>
            </w:pPr>
          </w:p>
        </w:tc>
        <w:tc>
          <w:tcPr>
            <w:tcW w:w="3414" w:type="dxa"/>
            <w:gridSpan w:val="2"/>
          </w:tcPr>
          <w:p w14:paraId="5ED4FC58" w14:textId="71F4B1FC" w:rsidR="00301714" w:rsidRPr="000F30E4" w:rsidRDefault="00924F0E" w:rsidP="00690A83">
            <w:pPr>
              <w:ind w:left="0"/>
              <w:rPr>
                <w:sz w:val="20"/>
                <w:szCs w:val="20"/>
              </w:rPr>
            </w:pPr>
            <w:r w:rsidRPr="000F30E4">
              <w:rPr>
                <w:sz w:val="20"/>
                <w:szCs w:val="20"/>
              </w:rPr>
              <w:t xml:space="preserve">Study </w:t>
            </w:r>
            <w:r w:rsidR="00301714" w:rsidRPr="000F30E4">
              <w:rPr>
                <w:sz w:val="20"/>
                <w:szCs w:val="20"/>
              </w:rPr>
              <w:t xml:space="preserve">9766-CL-0103 </w:t>
            </w:r>
            <w:r w:rsidRPr="000F30E4">
              <w:rPr>
                <w:sz w:val="20"/>
                <w:szCs w:val="20"/>
              </w:rPr>
              <w:t>c</w:t>
            </w:r>
            <w:r w:rsidR="00301714" w:rsidRPr="000F30E4">
              <w:rPr>
                <w:sz w:val="20"/>
                <w:szCs w:val="20"/>
              </w:rPr>
              <w:t>ases</w:t>
            </w:r>
          </w:p>
        </w:tc>
        <w:tc>
          <w:tcPr>
            <w:tcW w:w="3390" w:type="dxa"/>
            <w:gridSpan w:val="2"/>
          </w:tcPr>
          <w:p w14:paraId="2BE1AB8A" w14:textId="0EAF30ED" w:rsidR="00301714" w:rsidRPr="000F30E4" w:rsidRDefault="00301714" w:rsidP="00690A83">
            <w:pPr>
              <w:ind w:left="0"/>
              <w:rPr>
                <w:sz w:val="20"/>
                <w:szCs w:val="20"/>
              </w:rPr>
            </w:pPr>
            <w:proofErr w:type="spellStart"/>
            <w:r w:rsidRPr="000F30E4">
              <w:rPr>
                <w:sz w:val="20"/>
                <w:szCs w:val="20"/>
              </w:rPr>
              <w:t>Fungiscope</w:t>
            </w:r>
            <w:proofErr w:type="spellEnd"/>
            <w:r w:rsidRPr="000F30E4">
              <w:rPr>
                <w:sz w:val="20"/>
                <w:szCs w:val="20"/>
              </w:rPr>
              <w:t xml:space="preserve"> </w:t>
            </w:r>
            <w:r w:rsidR="00924F0E" w:rsidRPr="000F30E4">
              <w:rPr>
                <w:sz w:val="20"/>
                <w:szCs w:val="20"/>
              </w:rPr>
              <w:t>matched controls</w:t>
            </w:r>
          </w:p>
        </w:tc>
      </w:tr>
      <w:tr w:rsidR="00301714" w14:paraId="26EE3C17" w14:textId="77777777" w:rsidTr="00690A83">
        <w:tc>
          <w:tcPr>
            <w:tcW w:w="1384" w:type="dxa"/>
          </w:tcPr>
          <w:p w14:paraId="11C1F3B2" w14:textId="77777777" w:rsidR="00301714" w:rsidRPr="00130259" w:rsidRDefault="00301714" w:rsidP="00130259">
            <w:pPr>
              <w:rPr>
                <w:sz w:val="20"/>
              </w:rPr>
            </w:pPr>
            <w:r w:rsidRPr="00130259">
              <w:rPr>
                <w:sz w:val="20"/>
              </w:rPr>
              <w:t>Outcome</w:t>
            </w:r>
          </w:p>
        </w:tc>
        <w:tc>
          <w:tcPr>
            <w:tcW w:w="1683" w:type="dxa"/>
          </w:tcPr>
          <w:p w14:paraId="58AEBB72" w14:textId="77777777" w:rsidR="00301714" w:rsidRPr="00130259" w:rsidRDefault="00301714" w:rsidP="00130259">
            <w:pPr>
              <w:rPr>
                <w:sz w:val="20"/>
              </w:rPr>
            </w:pPr>
            <w:r w:rsidRPr="00130259">
              <w:rPr>
                <w:sz w:val="20"/>
              </w:rPr>
              <w:t>(n = 21)</w:t>
            </w:r>
          </w:p>
        </w:tc>
        <w:tc>
          <w:tcPr>
            <w:tcW w:w="1731" w:type="dxa"/>
          </w:tcPr>
          <w:p w14:paraId="4259DEB4" w14:textId="77777777" w:rsidR="00301714" w:rsidRPr="00130259" w:rsidRDefault="00301714" w:rsidP="00130259">
            <w:pPr>
              <w:rPr>
                <w:sz w:val="20"/>
              </w:rPr>
            </w:pPr>
            <w:r w:rsidRPr="00130259">
              <w:rPr>
                <w:sz w:val="20"/>
              </w:rPr>
              <w:t>95 % CI</w:t>
            </w:r>
          </w:p>
        </w:tc>
        <w:tc>
          <w:tcPr>
            <w:tcW w:w="1358" w:type="dxa"/>
          </w:tcPr>
          <w:p w14:paraId="0CC17483" w14:textId="1E169885" w:rsidR="00301714" w:rsidRPr="00130259" w:rsidRDefault="00301714" w:rsidP="00130259">
            <w:pPr>
              <w:rPr>
                <w:sz w:val="20"/>
              </w:rPr>
            </w:pPr>
            <w:r w:rsidRPr="00130259">
              <w:rPr>
                <w:sz w:val="20"/>
              </w:rPr>
              <w:t>(n =</w:t>
            </w:r>
            <w:r w:rsidR="00F04E74" w:rsidRPr="00130259">
              <w:rPr>
                <w:sz w:val="20"/>
              </w:rPr>
              <w:t xml:space="preserve"> </w:t>
            </w:r>
            <w:r w:rsidRPr="00130259">
              <w:rPr>
                <w:sz w:val="20"/>
              </w:rPr>
              <w:t>33)</w:t>
            </w:r>
          </w:p>
        </w:tc>
        <w:tc>
          <w:tcPr>
            <w:tcW w:w="2032" w:type="dxa"/>
          </w:tcPr>
          <w:p w14:paraId="749F8640" w14:textId="77777777" w:rsidR="00301714" w:rsidRPr="00130259" w:rsidRDefault="00301714" w:rsidP="00130259">
            <w:pPr>
              <w:rPr>
                <w:sz w:val="20"/>
              </w:rPr>
            </w:pPr>
            <w:r w:rsidRPr="00130259">
              <w:rPr>
                <w:sz w:val="20"/>
              </w:rPr>
              <w:t>95 % CI</w:t>
            </w:r>
          </w:p>
        </w:tc>
      </w:tr>
      <w:tr w:rsidR="00301714" w:rsidRPr="002040B6" w14:paraId="0E74C315" w14:textId="77777777" w:rsidTr="00690A83">
        <w:tc>
          <w:tcPr>
            <w:tcW w:w="1384" w:type="dxa"/>
          </w:tcPr>
          <w:p w14:paraId="1C83F521" w14:textId="77777777" w:rsidR="00301714" w:rsidRPr="00130259" w:rsidRDefault="00301714" w:rsidP="00130259">
            <w:pPr>
              <w:rPr>
                <w:sz w:val="20"/>
              </w:rPr>
            </w:pPr>
            <w:r w:rsidRPr="00130259">
              <w:rPr>
                <w:sz w:val="20"/>
              </w:rPr>
              <w:t>Deaths</w:t>
            </w:r>
          </w:p>
        </w:tc>
        <w:tc>
          <w:tcPr>
            <w:tcW w:w="1683" w:type="dxa"/>
          </w:tcPr>
          <w:p w14:paraId="0D5FC45D" w14:textId="77777777" w:rsidR="00301714" w:rsidRPr="00130259" w:rsidRDefault="00301714" w:rsidP="00130259">
            <w:pPr>
              <w:rPr>
                <w:sz w:val="20"/>
              </w:rPr>
            </w:pPr>
            <w:r w:rsidRPr="00130259">
              <w:rPr>
                <w:sz w:val="20"/>
              </w:rPr>
              <w:t>7 (33.3%)</w:t>
            </w:r>
          </w:p>
        </w:tc>
        <w:tc>
          <w:tcPr>
            <w:tcW w:w="1731" w:type="dxa"/>
          </w:tcPr>
          <w:p w14:paraId="2DFCE14D" w14:textId="77777777" w:rsidR="00301714" w:rsidRPr="00130259" w:rsidRDefault="00301714" w:rsidP="00130259">
            <w:pPr>
              <w:rPr>
                <w:sz w:val="20"/>
              </w:rPr>
            </w:pPr>
            <w:r w:rsidRPr="00130259">
              <w:rPr>
                <w:sz w:val="20"/>
              </w:rPr>
              <w:t>(14.588, 56.968)</w:t>
            </w:r>
          </w:p>
        </w:tc>
        <w:tc>
          <w:tcPr>
            <w:tcW w:w="1358" w:type="dxa"/>
          </w:tcPr>
          <w:p w14:paraId="595C25AE" w14:textId="77777777" w:rsidR="00301714" w:rsidRPr="00130259" w:rsidRDefault="00301714" w:rsidP="00130259">
            <w:pPr>
              <w:rPr>
                <w:sz w:val="20"/>
              </w:rPr>
            </w:pPr>
            <w:r w:rsidRPr="00130259">
              <w:rPr>
                <w:sz w:val="20"/>
              </w:rPr>
              <w:t>13 (39.4%)</w:t>
            </w:r>
          </w:p>
        </w:tc>
        <w:tc>
          <w:tcPr>
            <w:tcW w:w="2032" w:type="dxa"/>
          </w:tcPr>
          <w:p w14:paraId="3F1E74D4" w14:textId="77777777" w:rsidR="00301714" w:rsidRPr="00130259" w:rsidRDefault="00301714" w:rsidP="00130259">
            <w:pPr>
              <w:rPr>
                <w:sz w:val="20"/>
              </w:rPr>
            </w:pPr>
            <w:r w:rsidRPr="00130259">
              <w:rPr>
                <w:sz w:val="20"/>
              </w:rPr>
              <w:t>(22.907, 57.861)</w:t>
            </w:r>
          </w:p>
        </w:tc>
      </w:tr>
    </w:tbl>
    <w:p w14:paraId="306CBCD8" w14:textId="77777777" w:rsidR="00301714" w:rsidRDefault="00301714" w:rsidP="00A960AE">
      <w:pPr>
        <w:pStyle w:val="Heading5"/>
      </w:pPr>
      <w:r>
        <w:lastRenderedPageBreak/>
        <w:t>Conclusions on efficacy</w:t>
      </w:r>
    </w:p>
    <w:p w14:paraId="5695777E" w14:textId="77777777" w:rsidR="00762456" w:rsidRDefault="00301714" w:rsidP="00301714">
      <w:r>
        <w:t xml:space="preserve">Efficacy for the indication of invasive </w:t>
      </w:r>
      <w:proofErr w:type="spellStart"/>
      <w:r>
        <w:t>mucormycosis</w:t>
      </w:r>
      <w:proofErr w:type="spellEnd"/>
      <w:r>
        <w:t xml:space="preserve"> comes from a subpopulation of patients enrolled in Study 9766-CL-0103 and in the context of published literature on the treatment of </w:t>
      </w:r>
      <w:proofErr w:type="spellStart"/>
      <w:r>
        <w:t>mucormycosis</w:t>
      </w:r>
      <w:proofErr w:type="spellEnd"/>
      <w:r>
        <w:t xml:space="preserve"> and case-matching from a global registry database.</w:t>
      </w:r>
    </w:p>
    <w:p w14:paraId="3F16127C" w14:textId="43472BC4" w:rsidR="00301714" w:rsidRDefault="005833CA" w:rsidP="00A960AE">
      <w:r>
        <w:t xml:space="preserve">One of the overseas </w:t>
      </w:r>
      <w:proofErr w:type="spellStart"/>
      <w:r>
        <w:t>ev</w:t>
      </w:r>
      <w:r w:rsidR="00924F0E">
        <w:t>a</w:t>
      </w:r>
      <w:r>
        <w:t>lutors</w:t>
      </w:r>
      <w:proofErr w:type="spellEnd"/>
      <w:r>
        <w:t xml:space="preserve"> indicated that the</w:t>
      </w:r>
      <w:r w:rsidR="00301714">
        <w:t xml:space="preserve"> data were adequate to support the indication for invasive </w:t>
      </w:r>
      <w:proofErr w:type="spellStart"/>
      <w:r w:rsidR="00301714">
        <w:t>mucormycosis</w:t>
      </w:r>
      <w:proofErr w:type="spellEnd"/>
      <w:r w:rsidR="00301714">
        <w:t xml:space="preserve"> in patients 18 years and older. Invasive </w:t>
      </w:r>
      <w:proofErr w:type="spellStart"/>
      <w:r w:rsidR="00301714">
        <w:t>mucormycosis</w:t>
      </w:r>
      <w:proofErr w:type="spellEnd"/>
      <w:r w:rsidR="00301714">
        <w:t xml:space="preserve"> is a rare and serious disease and larger clinical trials w</w:t>
      </w:r>
      <w:r w:rsidR="00F04E74">
        <w:t xml:space="preserve">ere not deemed to be feasible. </w:t>
      </w:r>
      <w:r w:rsidR="00301714">
        <w:t xml:space="preserve">The </w:t>
      </w:r>
      <w:r>
        <w:t>other overseas assessor</w:t>
      </w:r>
      <w:r w:rsidR="00301714">
        <w:t xml:space="preserve"> w</w:t>
      </w:r>
      <w:r>
        <w:t>as</w:t>
      </w:r>
      <w:r w:rsidR="00301714">
        <w:t xml:space="preserve"> of the view that the revised indication proposed by the sponsor for </w:t>
      </w:r>
      <w:r w:rsidR="00301714" w:rsidRPr="00B939C9">
        <w:rPr>
          <w:i/>
        </w:rPr>
        <w:t xml:space="preserve">‘patients with </w:t>
      </w:r>
      <w:proofErr w:type="spellStart"/>
      <w:r w:rsidR="00301714" w:rsidRPr="00B939C9">
        <w:rPr>
          <w:i/>
        </w:rPr>
        <w:t>mucormycosis</w:t>
      </w:r>
      <w:proofErr w:type="spellEnd"/>
      <w:r w:rsidR="00301714" w:rsidRPr="00B939C9">
        <w:rPr>
          <w:i/>
        </w:rPr>
        <w:t xml:space="preserve"> for whom amphotericin B is inappropriate</w:t>
      </w:r>
      <w:r w:rsidR="00301714">
        <w:t>’ was suppor</w:t>
      </w:r>
      <w:r w:rsidR="0065420C">
        <w:t>ted by the small data set from S</w:t>
      </w:r>
      <w:r w:rsidR="00301714">
        <w:t>tudy 9766-CL-0103, although the number of patients who were refractory to treatment was low (n</w:t>
      </w:r>
      <w:r w:rsidR="00F17F21">
        <w:t xml:space="preserve"> </w:t>
      </w:r>
      <w:r w:rsidR="00301714">
        <w:t>=</w:t>
      </w:r>
      <w:r w:rsidR="00F17F21">
        <w:t xml:space="preserve"> </w:t>
      </w:r>
      <w:r w:rsidR="00301714">
        <w:t>11)</w:t>
      </w:r>
      <w:r w:rsidR="00F04E74">
        <w:t>.</w:t>
      </w:r>
    </w:p>
    <w:p w14:paraId="4CD00699" w14:textId="77777777" w:rsidR="00301714" w:rsidRDefault="00301714" w:rsidP="00B939C9">
      <w:pPr>
        <w:pStyle w:val="Heading4"/>
      </w:pPr>
      <w:r>
        <w:t>Safety</w:t>
      </w:r>
    </w:p>
    <w:p w14:paraId="6399F678" w14:textId="68282A73" w:rsidR="00301714" w:rsidRDefault="005833CA" w:rsidP="00301714">
      <w:r>
        <w:t>T</w:t>
      </w:r>
      <w:r w:rsidR="00301714">
        <w:t xml:space="preserve">he observed safety profile for </w:t>
      </w:r>
      <w:proofErr w:type="spellStart"/>
      <w:r w:rsidR="00301714">
        <w:t>isavuconazole</w:t>
      </w:r>
      <w:proofErr w:type="spellEnd"/>
      <w:r w:rsidR="00301714">
        <w:t xml:space="preserve"> is in accordance with that expected for an azole antifungal. Comparat</w:t>
      </w:r>
      <w:r w:rsidR="0065420C">
        <w:t>ive safety data available from S</w:t>
      </w:r>
      <w:r w:rsidR="00F04E74">
        <w:t>tudy </w:t>
      </w:r>
      <w:r w:rsidR="00301714">
        <w:t xml:space="preserve">9766-CL-0104 indicated that the safety profile of </w:t>
      </w:r>
      <w:proofErr w:type="spellStart"/>
      <w:r w:rsidR="00301714">
        <w:t>isavuconazole</w:t>
      </w:r>
      <w:proofErr w:type="spellEnd"/>
      <w:r w:rsidR="00301714">
        <w:t xml:space="preserve"> compared favourably with that of </w:t>
      </w:r>
      <w:proofErr w:type="spellStart"/>
      <w:r w:rsidR="00301714">
        <w:t>voriconazole</w:t>
      </w:r>
      <w:proofErr w:type="spellEnd"/>
      <w:r w:rsidR="00301714">
        <w:t>.</w:t>
      </w:r>
    </w:p>
    <w:p w14:paraId="24914019" w14:textId="08AE2748" w:rsidR="004E4BAE" w:rsidRDefault="00B939C9" w:rsidP="00B939C9">
      <w:pPr>
        <w:pStyle w:val="TableTitle"/>
        <w:rPr>
          <w:rFonts w:asciiTheme="minorHAnsi" w:hAnsiTheme="minorHAnsi"/>
          <w:noProof/>
          <w:lang w:eastAsia="en-AU"/>
        </w:rPr>
      </w:pPr>
      <w:r>
        <w:t>Table 1</w:t>
      </w:r>
      <w:r w:rsidR="008C254C">
        <w:t>1</w:t>
      </w:r>
      <w:r>
        <w:t xml:space="preserve">: </w:t>
      </w:r>
      <w:r w:rsidR="004E4BAE">
        <w:t>Overview of treatment emergent adverse event</w:t>
      </w:r>
      <w:r w:rsidR="0065420C">
        <w:t>s and deaths in the P</w:t>
      </w:r>
      <w:r w:rsidR="004E4BAE">
        <w:t>hase</w:t>
      </w:r>
      <w:r w:rsidR="00924F0E">
        <w:t> </w:t>
      </w:r>
      <w:r w:rsidR="0065420C">
        <w:t>III</w:t>
      </w:r>
      <w:r w:rsidR="004E4BAE">
        <w:t xml:space="preserve"> controlled population (</w:t>
      </w:r>
      <w:r w:rsidR="0065420C">
        <w:t>S</w:t>
      </w:r>
      <w:r w:rsidR="004E4BAE">
        <w:t>tudy 9766-CL-0104)</w:t>
      </w:r>
    </w:p>
    <w:p w14:paraId="7354C523" w14:textId="77777777" w:rsidR="00231072" w:rsidRDefault="00231072" w:rsidP="00F04E74">
      <w:r w:rsidRPr="00F04E74">
        <w:rPr>
          <w:noProof/>
          <w:lang w:eastAsia="en-AU"/>
        </w:rPr>
        <w:drawing>
          <wp:inline distT="0" distB="0" distL="0" distR="0" wp14:anchorId="0AC00448" wp14:editId="0370F203">
            <wp:extent cx="5400040" cy="1917278"/>
            <wp:effectExtent l="0" t="0" r="0" b="6985"/>
            <wp:docPr id="15" name="Picture 15" descr="Overview of treatment emergent adverse events and deaths in the Phase III controlled population (Study 9766-CL-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BEBA8EAE-BF5A-486C-A8C5-ECC9F3942E4B}">
                          <a14:imgProps xmlns:a14="http://schemas.microsoft.com/office/drawing/2010/main">
                            <a14:imgLayer r:embed="rId30">
                              <a14:imgEffect>
                                <a14:sharpenSoften amount="75000"/>
                              </a14:imgEffect>
                            </a14:imgLayer>
                          </a14:imgProps>
                        </a:ext>
                      </a:extLst>
                    </a:blip>
                    <a:stretch>
                      <a:fillRect/>
                    </a:stretch>
                  </pic:blipFill>
                  <pic:spPr>
                    <a:xfrm>
                      <a:off x="0" y="0"/>
                      <a:ext cx="5400040" cy="1917278"/>
                    </a:xfrm>
                    <a:prstGeom prst="rect">
                      <a:avLst/>
                    </a:prstGeom>
                  </pic:spPr>
                </pic:pic>
              </a:graphicData>
            </a:graphic>
          </wp:inline>
        </w:drawing>
      </w:r>
    </w:p>
    <w:p w14:paraId="430FE730" w14:textId="0E85FD68" w:rsidR="004E4BAE" w:rsidRDefault="004E4BAE" w:rsidP="00B939C9">
      <w:pPr>
        <w:pStyle w:val="TableDescription"/>
      </w:pPr>
      <w:r>
        <w:t xml:space="preserve"> *Statistical significance at ≤ 0.05 (Fisher’s exact test). An AE with a missing seriousness is considered as serious.</w:t>
      </w:r>
      <w:r w:rsidR="00F27DB2">
        <w:t xml:space="preserve"> </w:t>
      </w:r>
      <w:r>
        <w:t>† All reported deaths after first dose of study drug are summari</w:t>
      </w:r>
      <w:r w:rsidR="00924F0E">
        <w:t>s</w:t>
      </w:r>
      <w:r>
        <w:t>ed, regardless of the number of study days after the last dose of study drug</w:t>
      </w:r>
    </w:p>
    <w:p w14:paraId="5424E26B" w14:textId="3CFAC0D6" w:rsidR="00762456" w:rsidRDefault="004E4BAE" w:rsidP="004E4BAE">
      <w:r>
        <w:t xml:space="preserve">Significant differences in treatment emergent adverse events between the treatment groups were observed for the following </w:t>
      </w:r>
      <w:r w:rsidR="00924F0E">
        <w:t xml:space="preserve">System Organ Classes </w:t>
      </w:r>
      <w:r>
        <w:t xml:space="preserve">(SOC): skin disorders </w:t>
      </w:r>
      <w:r w:rsidR="00924F0E">
        <w:t>(</w:t>
      </w:r>
      <w:proofErr w:type="spellStart"/>
      <w:r>
        <w:t>isavuconazole</w:t>
      </w:r>
      <w:proofErr w:type="spellEnd"/>
      <w:r>
        <w:t>: 86</w:t>
      </w:r>
      <w:r w:rsidR="0065420C">
        <w:t xml:space="preserve"> of </w:t>
      </w:r>
      <w:r>
        <w:t>257 (33.5% ) v</w:t>
      </w:r>
      <w:r w:rsidR="0065420C">
        <w:t>ersu</w:t>
      </w:r>
      <w:r>
        <w:t xml:space="preserve">s </w:t>
      </w:r>
      <w:proofErr w:type="spellStart"/>
      <w:r>
        <w:t>voriconazole</w:t>
      </w:r>
      <w:proofErr w:type="spellEnd"/>
      <w:r>
        <w:t>: 110</w:t>
      </w:r>
      <w:r w:rsidR="0065420C">
        <w:t xml:space="preserve"> of </w:t>
      </w:r>
      <w:r>
        <w:t xml:space="preserve">259 (42.5)%, </w:t>
      </w:r>
      <w:r w:rsidR="00B939C9">
        <w:t xml:space="preserve">p </w:t>
      </w:r>
      <w:r>
        <w:t>&lt;</w:t>
      </w:r>
      <w:r w:rsidR="00B939C9">
        <w:t> </w:t>
      </w:r>
      <w:r>
        <w:t>0.05)</w:t>
      </w:r>
      <w:r w:rsidR="00924F0E">
        <w:t>)</w:t>
      </w:r>
      <w:r>
        <w:t xml:space="preserve">, eye disorders </w:t>
      </w:r>
      <w:r w:rsidR="00924F0E">
        <w:t>(</w:t>
      </w:r>
      <w:proofErr w:type="spellStart"/>
      <w:r>
        <w:t>isavuconazole</w:t>
      </w:r>
      <w:proofErr w:type="spellEnd"/>
      <w:r>
        <w:t>: 39</w:t>
      </w:r>
      <w:r w:rsidR="0065420C">
        <w:t xml:space="preserve"> of </w:t>
      </w:r>
      <w:r>
        <w:t>257 (15.2%) v</w:t>
      </w:r>
      <w:r w:rsidR="0002457C">
        <w:t>ersu</w:t>
      </w:r>
      <w:r>
        <w:t xml:space="preserve">s </w:t>
      </w:r>
      <w:proofErr w:type="spellStart"/>
      <w:r>
        <w:t>voriconazole</w:t>
      </w:r>
      <w:proofErr w:type="spellEnd"/>
      <w:r>
        <w:t>: 69</w:t>
      </w:r>
      <w:r w:rsidR="0065420C">
        <w:t xml:space="preserve"> of </w:t>
      </w:r>
      <w:r>
        <w:t xml:space="preserve">259 (26.6%), </w:t>
      </w:r>
      <w:r w:rsidR="00B939C9">
        <w:t>p </w:t>
      </w:r>
      <w:r>
        <w:t>&lt;</w:t>
      </w:r>
      <w:r w:rsidR="00B939C9">
        <w:t> </w:t>
      </w:r>
      <w:r>
        <w:t>0.05</w:t>
      </w:r>
      <w:r w:rsidR="00924F0E">
        <w:t>)</w:t>
      </w:r>
      <w:r>
        <w:t xml:space="preserve"> and hepatobiliary disorders </w:t>
      </w:r>
      <w:r w:rsidR="00924F0E">
        <w:t>(</w:t>
      </w:r>
      <w:proofErr w:type="spellStart"/>
      <w:r>
        <w:t>isavuconazole</w:t>
      </w:r>
      <w:proofErr w:type="spellEnd"/>
      <w:r>
        <w:t>: 23</w:t>
      </w:r>
      <w:r w:rsidR="0065420C">
        <w:t xml:space="preserve"> of </w:t>
      </w:r>
      <w:r>
        <w:t>257 8.9% v</w:t>
      </w:r>
      <w:r w:rsidR="00B939C9">
        <w:t>ersu</w:t>
      </w:r>
      <w:r>
        <w:t xml:space="preserve">s </w:t>
      </w:r>
      <w:proofErr w:type="spellStart"/>
      <w:r>
        <w:t>voriconazole</w:t>
      </w:r>
      <w:proofErr w:type="spellEnd"/>
      <w:r>
        <w:t>: 42</w:t>
      </w:r>
      <w:r w:rsidR="0065420C">
        <w:t xml:space="preserve"> of </w:t>
      </w:r>
      <w:r>
        <w:t xml:space="preserve">259 (16.2%), </w:t>
      </w:r>
      <w:r w:rsidR="00B939C9">
        <w:t xml:space="preserve">p </w:t>
      </w:r>
      <w:r>
        <w:t>&lt;</w:t>
      </w:r>
      <w:r w:rsidR="00B939C9">
        <w:t xml:space="preserve"> </w:t>
      </w:r>
      <w:r>
        <w:t>0.05)</w:t>
      </w:r>
      <w:r w:rsidR="00924F0E">
        <w:t>)</w:t>
      </w:r>
      <w:r>
        <w:t xml:space="preserve"> and numerically lower rates (by at least 5%) were reported for psychiatric and cardiac disorders.’ </w:t>
      </w:r>
      <w:proofErr w:type="spellStart"/>
      <w:r>
        <w:t>Isavuconazole</w:t>
      </w:r>
      <w:proofErr w:type="spellEnd"/>
      <w:r>
        <w:t xml:space="preserve"> was generally associated with fewer significant laboratory abnormalities than </w:t>
      </w:r>
      <w:proofErr w:type="spellStart"/>
      <w:r>
        <w:t>voriconazole</w:t>
      </w:r>
      <w:proofErr w:type="spellEnd"/>
      <w:r>
        <w:t xml:space="preserve"> but it</w:t>
      </w:r>
      <w:r w:rsidR="00B77A05">
        <w:t xml:space="preserve"> </w:t>
      </w:r>
      <w:r>
        <w:t xml:space="preserve">does appear to share the toxicity profile of other </w:t>
      </w:r>
      <w:proofErr w:type="spellStart"/>
      <w:r>
        <w:t>triazoles</w:t>
      </w:r>
      <w:proofErr w:type="spellEnd"/>
      <w:r>
        <w:t>, including the potential for drug-induced liver injury</w:t>
      </w:r>
      <w:r w:rsidR="00F27DB2">
        <w:t>.</w:t>
      </w:r>
    </w:p>
    <w:p w14:paraId="260F15BD" w14:textId="77777777" w:rsidR="004E4BAE" w:rsidRDefault="004E4BAE" w:rsidP="00B939C9">
      <w:pPr>
        <w:pStyle w:val="Heading5"/>
      </w:pPr>
      <w:r>
        <w:t>Post-marketing data</w:t>
      </w:r>
    </w:p>
    <w:p w14:paraId="2BC1B899" w14:textId="66653B4F" w:rsidR="004E4BAE" w:rsidRDefault="00F27DB2" w:rsidP="004E4BAE">
      <w:r>
        <w:t>The c</w:t>
      </w:r>
      <w:r w:rsidR="004E4BAE">
        <w:t>linical evaluator highlighted the post-marketing experience from PSUR 5 dated 6</w:t>
      </w:r>
      <w:r w:rsidR="0002457C">
        <w:t> </w:t>
      </w:r>
      <w:r w:rsidR="004E4BAE">
        <w:t xml:space="preserve">September 2017 to 5 March 2018. No safety-related changes were made to the </w:t>
      </w:r>
      <w:r w:rsidR="00924F0E">
        <w:t>PI</w:t>
      </w:r>
      <w:r w:rsidR="004E4BAE">
        <w:t xml:space="preserve"> (EU </w:t>
      </w:r>
      <w:proofErr w:type="spellStart"/>
      <w:r w:rsidR="00924F0E">
        <w:t>SmPC</w:t>
      </w:r>
      <w:proofErr w:type="spellEnd"/>
      <w:r w:rsidR="004E4BAE">
        <w:t>, Investigator’s Brochure, and US Prescribing Information) during the reporting period. No studies were stopped for safety reasons during the reporting period.</w:t>
      </w:r>
    </w:p>
    <w:p w14:paraId="41D37D41" w14:textId="01F5E638" w:rsidR="004E4BAE" w:rsidRDefault="004E4BAE" w:rsidP="004E4BAE">
      <w:r>
        <w:t xml:space="preserve">In the context of clinical trials, a total of 1912 patients have received </w:t>
      </w:r>
      <w:proofErr w:type="spellStart"/>
      <w:r>
        <w:t>isavuconazole</w:t>
      </w:r>
      <w:proofErr w:type="spellEnd"/>
      <w:r>
        <w:t xml:space="preserve"> (which</w:t>
      </w:r>
      <w:r w:rsidR="00A960AE">
        <w:t xml:space="preserve"> included 194 Asian patients). </w:t>
      </w:r>
      <w:r>
        <w:t xml:space="preserve">Outside clinical trials, a cumulative total of 24,134 patients have been exposed to </w:t>
      </w:r>
      <w:proofErr w:type="spellStart"/>
      <w:r>
        <w:t>isavuconazole</w:t>
      </w:r>
      <w:proofErr w:type="spellEnd"/>
      <w:r>
        <w:t xml:space="preserve"> with the vast majority (19,872 pa</w:t>
      </w:r>
      <w:r w:rsidR="00CF375D">
        <w:t xml:space="preserve">tients) being in the </w:t>
      </w:r>
      <w:r w:rsidR="00CF375D">
        <w:lastRenderedPageBreak/>
        <w:t>US. ‘From s</w:t>
      </w:r>
      <w:r>
        <w:t>ponsor supplied post marketing data cumulatively to March 2018 and PSUR 6, there have been a total of 12 serious hepatobiliary adverse events reported including 3</w:t>
      </w:r>
      <w:r w:rsidR="00B939C9">
        <w:t> </w:t>
      </w:r>
      <w:r>
        <w:t xml:space="preserve"> hepatic failure, 1 fulminant hepatitis, 6 hepatotoxicity, 1 liver disorder and 1</w:t>
      </w:r>
      <w:r w:rsidR="009E7FD0">
        <w:t> </w:t>
      </w:r>
      <w:proofErr w:type="spellStart"/>
      <w:r>
        <w:t>venoocclusive</w:t>
      </w:r>
      <w:proofErr w:type="spellEnd"/>
      <w:r>
        <w:t xml:space="preserve"> disease. The </w:t>
      </w:r>
      <w:r w:rsidR="00B939C9">
        <w:t>s</w:t>
      </w:r>
      <w:r>
        <w:t xml:space="preserve">ponsor concluded that the reported cases from the current reporting period (5 hepatotoxicity, 1 hepatic failure and 1 hepatitis fulminant) did not change the understanding and known characteristics of hepatic events associated with </w:t>
      </w:r>
      <w:proofErr w:type="spellStart"/>
      <w:r>
        <w:t>isavuconazole</w:t>
      </w:r>
      <w:proofErr w:type="spellEnd"/>
      <w:r>
        <w:t xml:space="preserve"> use.</w:t>
      </w:r>
    </w:p>
    <w:p w14:paraId="6978FEE0" w14:textId="77777777" w:rsidR="004E4BAE" w:rsidRDefault="004E4BAE" w:rsidP="004E4BAE">
      <w:r>
        <w:t xml:space="preserve">The RMP evaluator noted that the sponsor has proposed to incorporate the EU </w:t>
      </w:r>
      <w:proofErr w:type="spellStart"/>
      <w:r>
        <w:t>SmPC</w:t>
      </w:r>
      <w:proofErr w:type="spellEnd"/>
      <w:r>
        <w:t xml:space="preserve"> language regarding hepatotoxicity in the Australian PI as the EU </w:t>
      </w:r>
      <w:proofErr w:type="spellStart"/>
      <w:r>
        <w:t>SmPC</w:t>
      </w:r>
      <w:proofErr w:type="spellEnd"/>
      <w:r>
        <w:t xml:space="preserve"> is the reference label for Australia for this COR B submission, however the FDA </w:t>
      </w:r>
      <w:r w:rsidR="0065420C">
        <w:t>PI provides a stronger warning.</w:t>
      </w:r>
    </w:p>
    <w:p w14:paraId="61D6D687" w14:textId="108C53F4" w:rsidR="008E7846" w:rsidRDefault="00386150" w:rsidP="007B6132">
      <w:pPr>
        <w:pStyle w:val="Heading3"/>
        <w:rPr>
          <w:lang w:eastAsia="en-AU"/>
        </w:rPr>
      </w:pPr>
      <w:bookmarkStart w:id="44" w:name="_Toc30577094"/>
      <w:r>
        <w:rPr>
          <w:lang w:eastAsia="en-AU"/>
        </w:rPr>
        <w:t>Risk m</w:t>
      </w:r>
      <w:r w:rsidR="008E7846">
        <w:rPr>
          <w:lang w:eastAsia="en-AU"/>
        </w:rPr>
        <w:t xml:space="preserve">anagement </w:t>
      </w:r>
      <w:r>
        <w:rPr>
          <w:lang w:eastAsia="en-AU"/>
        </w:rPr>
        <w:t>p</w:t>
      </w:r>
      <w:r w:rsidR="008E7846">
        <w:rPr>
          <w:lang w:eastAsia="en-AU"/>
        </w:rPr>
        <w:t>lan</w:t>
      </w:r>
      <w:bookmarkEnd w:id="42"/>
      <w:bookmarkEnd w:id="44"/>
    </w:p>
    <w:p w14:paraId="727D81BE" w14:textId="40049B1A" w:rsidR="004637BB" w:rsidRPr="004637BB" w:rsidRDefault="004637BB" w:rsidP="004637BB">
      <w:pPr>
        <w:rPr>
          <w:lang w:eastAsia="en-AU"/>
        </w:rPr>
      </w:pPr>
      <w:r>
        <w:rPr>
          <w:lang w:eastAsia="en-AU"/>
        </w:rPr>
        <w:t xml:space="preserve">A </w:t>
      </w:r>
      <w:r w:rsidR="002D240E">
        <w:rPr>
          <w:lang w:eastAsia="en-AU"/>
        </w:rPr>
        <w:t>summary of safety concerns and their associated</w:t>
      </w:r>
      <w:r>
        <w:rPr>
          <w:lang w:eastAsia="en-AU"/>
        </w:rPr>
        <w:t xml:space="preserve"> pharmacovigilance and risk minimisation activities </w:t>
      </w:r>
      <w:r w:rsidR="002D240E">
        <w:rPr>
          <w:lang w:eastAsia="en-AU"/>
        </w:rPr>
        <w:t>are shown</w:t>
      </w:r>
      <w:r>
        <w:rPr>
          <w:lang w:eastAsia="en-AU"/>
        </w:rPr>
        <w:t xml:space="preserve"> in Table 12.</w:t>
      </w:r>
      <w:r>
        <w:rPr>
          <w:rStyle w:val="FootnoteReference"/>
          <w:lang w:eastAsia="en-AU"/>
        </w:rPr>
        <w:footnoteReference w:id="10"/>
      </w:r>
    </w:p>
    <w:p w14:paraId="09F0DC40" w14:textId="59659743" w:rsidR="004E4BAE" w:rsidRDefault="0049278F" w:rsidP="0049278F">
      <w:pPr>
        <w:pStyle w:val="TableTitle"/>
      </w:pPr>
      <w:r>
        <w:t>Table 1</w:t>
      </w:r>
      <w:r w:rsidR="008C254C">
        <w:t>2</w:t>
      </w:r>
      <w:r w:rsidR="004637BB">
        <w:t>: Risk m</w:t>
      </w:r>
      <w:r>
        <w:t>anagement plan</w:t>
      </w:r>
    </w:p>
    <w:tbl>
      <w:tblPr>
        <w:tblStyle w:val="TableTGAblue"/>
        <w:tblW w:w="8649" w:type="dxa"/>
        <w:tblLayout w:type="fixed"/>
        <w:tblLook w:val="04A0" w:firstRow="1" w:lastRow="0" w:firstColumn="1" w:lastColumn="0" w:noHBand="0" w:noVBand="1"/>
      </w:tblPr>
      <w:tblGrid>
        <w:gridCol w:w="1526"/>
        <w:gridCol w:w="2835"/>
        <w:gridCol w:w="1276"/>
        <w:gridCol w:w="30"/>
        <w:gridCol w:w="1036"/>
        <w:gridCol w:w="989"/>
        <w:gridCol w:w="957"/>
      </w:tblGrid>
      <w:tr w:rsidR="000D21DF" w:rsidRPr="000F30E4" w14:paraId="5C985012" w14:textId="77777777" w:rsidTr="000F30E4">
        <w:trPr>
          <w:cnfStyle w:val="100000000000" w:firstRow="1" w:lastRow="0" w:firstColumn="0" w:lastColumn="0" w:oddVBand="0" w:evenVBand="0" w:oddHBand="0" w:evenHBand="0" w:firstRowFirstColumn="0" w:firstRowLastColumn="0" w:lastRowFirstColumn="0" w:lastRowLastColumn="0"/>
          <w:trHeight w:val="129"/>
        </w:trPr>
        <w:tc>
          <w:tcPr>
            <w:tcW w:w="4361" w:type="dxa"/>
            <w:gridSpan w:val="2"/>
            <w:vMerge w:val="restart"/>
          </w:tcPr>
          <w:p w14:paraId="783E499B" w14:textId="77777777" w:rsidR="009E7FD0" w:rsidRPr="000F30E4" w:rsidRDefault="009E7FD0" w:rsidP="000F30E4">
            <w:pPr>
              <w:rPr>
                <w:b w:val="0"/>
                <w:sz w:val="20"/>
                <w:szCs w:val="20"/>
              </w:rPr>
            </w:pPr>
            <w:r w:rsidRPr="000F30E4">
              <w:rPr>
                <w:sz w:val="20"/>
                <w:szCs w:val="20"/>
              </w:rPr>
              <w:t>Summary of safety concerns</w:t>
            </w:r>
          </w:p>
        </w:tc>
        <w:tc>
          <w:tcPr>
            <w:tcW w:w="2342" w:type="dxa"/>
            <w:gridSpan w:val="3"/>
          </w:tcPr>
          <w:p w14:paraId="089AAEA8" w14:textId="77777777" w:rsidR="009E7FD0" w:rsidRPr="000F30E4" w:rsidRDefault="009E7FD0" w:rsidP="000F30E4">
            <w:pPr>
              <w:rPr>
                <w:b w:val="0"/>
                <w:sz w:val="20"/>
                <w:szCs w:val="20"/>
              </w:rPr>
            </w:pPr>
            <w:r w:rsidRPr="000F30E4">
              <w:rPr>
                <w:sz w:val="20"/>
                <w:szCs w:val="20"/>
              </w:rPr>
              <w:t>Pharmacovigilance</w:t>
            </w:r>
          </w:p>
        </w:tc>
        <w:tc>
          <w:tcPr>
            <w:tcW w:w="1946" w:type="dxa"/>
            <w:gridSpan w:val="2"/>
          </w:tcPr>
          <w:p w14:paraId="312B1383" w14:textId="77777777" w:rsidR="009E7FD0" w:rsidRPr="000F30E4" w:rsidRDefault="009E7FD0" w:rsidP="000F30E4">
            <w:pPr>
              <w:rPr>
                <w:b w:val="0"/>
                <w:sz w:val="20"/>
                <w:szCs w:val="20"/>
              </w:rPr>
            </w:pPr>
            <w:r w:rsidRPr="000F30E4">
              <w:rPr>
                <w:sz w:val="20"/>
                <w:szCs w:val="20"/>
              </w:rPr>
              <w:t>Risk Minimisation</w:t>
            </w:r>
          </w:p>
        </w:tc>
      </w:tr>
      <w:tr w:rsidR="000D21DF" w:rsidRPr="000F30E4" w14:paraId="06F81F26" w14:textId="77777777" w:rsidTr="000F30E4">
        <w:trPr>
          <w:cnfStyle w:val="100000000000" w:firstRow="1" w:lastRow="0" w:firstColumn="0" w:lastColumn="0" w:oddVBand="0" w:evenVBand="0" w:oddHBand="0" w:evenHBand="0" w:firstRowFirstColumn="0" w:firstRowLastColumn="0" w:lastRowFirstColumn="0" w:lastRowLastColumn="0"/>
          <w:trHeight w:val="148"/>
        </w:trPr>
        <w:tc>
          <w:tcPr>
            <w:tcW w:w="4361" w:type="dxa"/>
            <w:gridSpan w:val="2"/>
            <w:vMerge/>
          </w:tcPr>
          <w:p w14:paraId="5A44A751" w14:textId="77777777" w:rsidR="009E7FD0" w:rsidRPr="000F30E4" w:rsidRDefault="009E7FD0" w:rsidP="000F30E4">
            <w:pPr>
              <w:rPr>
                <w:b w:val="0"/>
                <w:color w:val="auto"/>
                <w:sz w:val="20"/>
                <w:szCs w:val="20"/>
              </w:rPr>
            </w:pPr>
          </w:p>
        </w:tc>
        <w:tc>
          <w:tcPr>
            <w:tcW w:w="1276" w:type="dxa"/>
            <w:shd w:val="clear" w:color="auto" w:fill="0070B5" w:themeFill="text2" w:themeFillTint="BF"/>
          </w:tcPr>
          <w:p w14:paraId="16D3B408" w14:textId="77777777" w:rsidR="009E7FD0" w:rsidRPr="000F30E4" w:rsidRDefault="009E7FD0" w:rsidP="000F30E4">
            <w:pPr>
              <w:rPr>
                <w:b w:val="0"/>
                <w:sz w:val="20"/>
                <w:szCs w:val="20"/>
              </w:rPr>
            </w:pPr>
            <w:r w:rsidRPr="000F30E4">
              <w:rPr>
                <w:b w:val="0"/>
                <w:sz w:val="20"/>
                <w:szCs w:val="20"/>
              </w:rPr>
              <w:t>Routine</w:t>
            </w:r>
          </w:p>
        </w:tc>
        <w:tc>
          <w:tcPr>
            <w:tcW w:w="1066" w:type="dxa"/>
            <w:gridSpan w:val="2"/>
            <w:shd w:val="clear" w:color="auto" w:fill="0070B5" w:themeFill="text2" w:themeFillTint="BF"/>
          </w:tcPr>
          <w:p w14:paraId="52AE5612" w14:textId="77777777" w:rsidR="009E7FD0" w:rsidRPr="000F30E4" w:rsidRDefault="009E7FD0" w:rsidP="000F30E4">
            <w:pPr>
              <w:rPr>
                <w:b w:val="0"/>
                <w:sz w:val="20"/>
                <w:szCs w:val="20"/>
              </w:rPr>
            </w:pPr>
            <w:r w:rsidRPr="000F30E4">
              <w:rPr>
                <w:b w:val="0"/>
                <w:sz w:val="20"/>
                <w:szCs w:val="20"/>
              </w:rPr>
              <w:t>Additional</w:t>
            </w:r>
          </w:p>
        </w:tc>
        <w:tc>
          <w:tcPr>
            <w:tcW w:w="989" w:type="dxa"/>
            <w:shd w:val="clear" w:color="auto" w:fill="0070B5" w:themeFill="text2" w:themeFillTint="BF"/>
          </w:tcPr>
          <w:p w14:paraId="0528CF1A" w14:textId="77777777" w:rsidR="009E7FD0" w:rsidRPr="000F30E4" w:rsidRDefault="009E7FD0" w:rsidP="000F30E4">
            <w:pPr>
              <w:rPr>
                <w:b w:val="0"/>
                <w:sz w:val="20"/>
                <w:szCs w:val="20"/>
              </w:rPr>
            </w:pPr>
            <w:r w:rsidRPr="000F30E4">
              <w:rPr>
                <w:b w:val="0"/>
                <w:sz w:val="20"/>
                <w:szCs w:val="20"/>
              </w:rPr>
              <w:t>Routine</w:t>
            </w:r>
          </w:p>
        </w:tc>
        <w:tc>
          <w:tcPr>
            <w:tcW w:w="957" w:type="dxa"/>
            <w:shd w:val="clear" w:color="auto" w:fill="0070B5" w:themeFill="text2" w:themeFillTint="BF"/>
          </w:tcPr>
          <w:p w14:paraId="099DD4C4" w14:textId="77777777" w:rsidR="009E7FD0" w:rsidRPr="000F30E4" w:rsidRDefault="009E7FD0" w:rsidP="000F30E4">
            <w:pPr>
              <w:rPr>
                <w:b w:val="0"/>
                <w:sz w:val="20"/>
                <w:szCs w:val="20"/>
              </w:rPr>
            </w:pPr>
            <w:r w:rsidRPr="000F30E4">
              <w:rPr>
                <w:b w:val="0"/>
                <w:sz w:val="20"/>
                <w:szCs w:val="20"/>
              </w:rPr>
              <w:t>Additional</w:t>
            </w:r>
          </w:p>
        </w:tc>
      </w:tr>
      <w:tr w:rsidR="008C254C" w:rsidRPr="000F30E4" w14:paraId="62C30F01" w14:textId="77777777" w:rsidTr="000F30E4">
        <w:trPr>
          <w:trHeight w:val="135"/>
        </w:trPr>
        <w:tc>
          <w:tcPr>
            <w:tcW w:w="1526" w:type="dxa"/>
            <w:vMerge w:val="restart"/>
          </w:tcPr>
          <w:p w14:paraId="77CFB444" w14:textId="77777777" w:rsidR="009E7FD0" w:rsidRPr="000F30E4" w:rsidRDefault="009E7FD0" w:rsidP="000F30E4">
            <w:pPr>
              <w:rPr>
                <w:color w:val="auto"/>
                <w:sz w:val="20"/>
                <w:szCs w:val="20"/>
              </w:rPr>
            </w:pPr>
            <w:r w:rsidRPr="000F30E4">
              <w:rPr>
                <w:color w:val="auto"/>
                <w:sz w:val="20"/>
                <w:szCs w:val="20"/>
              </w:rPr>
              <w:t>Important identified risks</w:t>
            </w:r>
          </w:p>
        </w:tc>
        <w:tc>
          <w:tcPr>
            <w:tcW w:w="2835" w:type="dxa"/>
          </w:tcPr>
          <w:p w14:paraId="76438F22" w14:textId="77777777" w:rsidR="009E7FD0" w:rsidRPr="000F30E4" w:rsidRDefault="009E7FD0" w:rsidP="000F30E4">
            <w:pPr>
              <w:rPr>
                <w:color w:val="auto"/>
                <w:sz w:val="20"/>
                <w:szCs w:val="20"/>
              </w:rPr>
            </w:pPr>
            <w:r w:rsidRPr="000F30E4">
              <w:rPr>
                <w:color w:val="auto"/>
                <w:sz w:val="20"/>
                <w:szCs w:val="20"/>
              </w:rPr>
              <w:t>Hepatic function abnormal or hepatitis</w:t>
            </w:r>
          </w:p>
        </w:tc>
        <w:tc>
          <w:tcPr>
            <w:tcW w:w="1306" w:type="dxa"/>
            <w:gridSpan w:val="2"/>
          </w:tcPr>
          <w:p w14:paraId="18D70410" w14:textId="77777777" w:rsidR="009E7FD0" w:rsidRPr="000F30E4" w:rsidRDefault="009E7FD0" w:rsidP="000F30E4">
            <w:pPr>
              <w:rPr>
                <w:color w:val="auto"/>
                <w:sz w:val="20"/>
                <w:szCs w:val="20"/>
              </w:rPr>
            </w:pPr>
            <w:r w:rsidRPr="000F30E4">
              <w:rPr>
                <w:color w:val="auto"/>
                <w:sz w:val="20"/>
                <w:szCs w:val="20"/>
              </w:rPr>
              <w:sym w:font="Wingdings" w:char="F0FC"/>
            </w:r>
          </w:p>
        </w:tc>
        <w:tc>
          <w:tcPr>
            <w:tcW w:w="1036" w:type="dxa"/>
          </w:tcPr>
          <w:p w14:paraId="0BC3A545" w14:textId="77777777" w:rsidR="009E7FD0" w:rsidRPr="000F30E4" w:rsidRDefault="009E7FD0" w:rsidP="000F30E4">
            <w:pPr>
              <w:rPr>
                <w:color w:val="auto"/>
                <w:sz w:val="20"/>
                <w:szCs w:val="20"/>
              </w:rPr>
            </w:pPr>
            <w:r w:rsidRPr="000F30E4">
              <w:rPr>
                <w:color w:val="auto"/>
                <w:sz w:val="20"/>
                <w:szCs w:val="20"/>
              </w:rPr>
              <w:t>–</w:t>
            </w:r>
          </w:p>
        </w:tc>
        <w:tc>
          <w:tcPr>
            <w:tcW w:w="989" w:type="dxa"/>
          </w:tcPr>
          <w:p w14:paraId="6BA7F82B" w14:textId="77777777" w:rsidR="009E7FD0" w:rsidRPr="000F30E4" w:rsidRDefault="009E7FD0" w:rsidP="000F30E4">
            <w:pPr>
              <w:rPr>
                <w:color w:val="auto"/>
                <w:sz w:val="20"/>
                <w:szCs w:val="20"/>
              </w:rPr>
            </w:pPr>
            <w:r w:rsidRPr="000F30E4">
              <w:rPr>
                <w:color w:val="auto"/>
                <w:sz w:val="20"/>
                <w:szCs w:val="20"/>
              </w:rPr>
              <w:sym w:font="Wingdings" w:char="F0FC"/>
            </w:r>
          </w:p>
        </w:tc>
        <w:tc>
          <w:tcPr>
            <w:tcW w:w="957" w:type="dxa"/>
          </w:tcPr>
          <w:p w14:paraId="25E87AFD" w14:textId="77777777" w:rsidR="009E7FD0" w:rsidRPr="000F30E4" w:rsidRDefault="009E7FD0" w:rsidP="000F30E4">
            <w:pPr>
              <w:rPr>
                <w:color w:val="auto"/>
                <w:sz w:val="20"/>
                <w:szCs w:val="20"/>
              </w:rPr>
            </w:pPr>
            <w:r w:rsidRPr="000F30E4">
              <w:rPr>
                <w:color w:val="auto"/>
                <w:sz w:val="20"/>
                <w:szCs w:val="20"/>
              </w:rPr>
              <w:t>–</w:t>
            </w:r>
          </w:p>
        </w:tc>
      </w:tr>
      <w:tr w:rsidR="008C254C" w:rsidRPr="000F30E4" w14:paraId="47522D3B" w14:textId="77777777" w:rsidTr="000F30E4">
        <w:trPr>
          <w:trHeight w:val="92"/>
        </w:trPr>
        <w:tc>
          <w:tcPr>
            <w:tcW w:w="1526" w:type="dxa"/>
            <w:vMerge/>
          </w:tcPr>
          <w:p w14:paraId="7023840F" w14:textId="77777777" w:rsidR="009E7FD0" w:rsidRPr="000F30E4" w:rsidRDefault="009E7FD0" w:rsidP="000F30E4">
            <w:pPr>
              <w:rPr>
                <w:color w:val="auto"/>
                <w:sz w:val="20"/>
                <w:szCs w:val="20"/>
              </w:rPr>
            </w:pPr>
          </w:p>
        </w:tc>
        <w:tc>
          <w:tcPr>
            <w:tcW w:w="2835" w:type="dxa"/>
          </w:tcPr>
          <w:p w14:paraId="1D8E2677" w14:textId="77777777" w:rsidR="009E7FD0" w:rsidRPr="000F30E4" w:rsidRDefault="009E7FD0" w:rsidP="000F30E4">
            <w:pPr>
              <w:rPr>
                <w:color w:val="auto"/>
                <w:sz w:val="20"/>
                <w:szCs w:val="20"/>
              </w:rPr>
            </w:pPr>
            <w:r w:rsidRPr="000F30E4">
              <w:rPr>
                <w:color w:val="auto"/>
                <w:sz w:val="20"/>
                <w:szCs w:val="20"/>
              </w:rPr>
              <w:t>Infusion-related reactions</w:t>
            </w:r>
          </w:p>
        </w:tc>
        <w:tc>
          <w:tcPr>
            <w:tcW w:w="1306" w:type="dxa"/>
            <w:gridSpan w:val="2"/>
          </w:tcPr>
          <w:p w14:paraId="7166762C" w14:textId="77777777" w:rsidR="009E7FD0" w:rsidRPr="000F30E4" w:rsidRDefault="009E7FD0" w:rsidP="000F30E4">
            <w:pPr>
              <w:rPr>
                <w:color w:val="auto"/>
                <w:sz w:val="20"/>
                <w:szCs w:val="20"/>
              </w:rPr>
            </w:pPr>
            <w:r w:rsidRPr="000F30E4">
              <w:rPr>
                <w:color w:val="auto"/>
                <w:sz w:val="20"/>
                <w:szCs w:val="20"/>
              </w:rPr>
              <w:sym w:font="Wingdings" w:char="F0FC"/>
            </w:r>
          </w:p>
        </w:tc>
        <w:tc>
          <w:tcPr>
            <w:tcW w:w="1036" w:type="dxa"/>
          </w:tcPr>
          <w:p w14:paraId="02D0791D" w14:textId="77777777" w:rsidR="009E7FD0" w:rsidRPr="000F30E4" w:rsidRDefault="009E7FD0" w:rsidP="000F30E4">
            <w:pPr>
              <w:rPr>
                <w:color w:val="auto"/>
                <w:sz w:val="20"/>
                <w:szCs w:val="20"/>
              </w:rPr>
            </w:pPr>
            <w:r w:rsidRPr="000F30E4">
              <w:rPr>
                <w:color w:val="auto"/>
                <w:sz w:val="20"/>
                <w:szCs w:val="20"/>
              </w:rPr>
              <w:t>–</w:t>
            </w:r>
          </w:p>
        </w:tc>
        <w:tc>
          <w:tcPr>
            <w:tcW w:w="989" w:type="dxa"/>
          </w:tcPr>
          <w:p w14:paraId="12C2FC38" w14:textId="77777777" w:rsidR="009E7FD0" w:rsidRPr="000F30E4" w:rsidRDefault="009E7FD0" w:rsidP="000F30E4">
            <w:pPr>
              <w:rPr>
                <w:color w:val="auto"/>
                <w:sz w:val="20"/>
                <w:szCs w:val="20"/>
              </w:rPr>
            </w:pPr>
            <w:r w:rsidRPr="000F30E4">
              <w:rPr>
                <w:color w:val="auto"/>
                <w:sz w:val="20"/>
                <w:szCs w:val="20"/>
              </w:rPr>
              <w:sym w:font="Wingdings" w:char="F0FC"/>
            </w:r>
          </w:p>
        </w:tc>
        <w:tc>
          <w:tcPr>
            <w:tcW w:w="957" w:type="dxa"/>
          </w:tcPr>
          <w:p w14:paraId="5D52AA0A" w14:textId="77777777" w:rsidR="009E7FD0" w:rsidRPr="000F30E4" w:rsidRDefault="009E7FD0" w:rsidP="000F30E4">
            <w:pPr>
              <w:rPr>
                <w:color w:val="auto"/>
                <w:sz w:val="20"/>
                <w:szCs w:val="20"/>
              </w:rPr>
            </w:pPr>
            <w:r w:rsidRPr="000F30E4">
              <w:rPr>
                <w:color w:val="auto"/>
                <w:sz w:val="20"/>
                <w:szCs w:val="20"/>
              </w:rPr>
              <w:t>–</w:t>
            </w:r>
          </w:p>
        </w:tc>
      </w:tr>
      <w:tr w:rsidR="008C254C" w:rsidRPr="000F30E4" w14:paraId="2529DC1C" w14:textId="77777777" w:rsidTr="000F30E4">
        <w:trPr>
          <w:trHeight w:val="92"/>
        </w:trPr>
        <w:tc>
          <w:tcPr>
            <w:tcW w:w="1526" w:type="dxa"/>
            <w:vMerge/>
          </w:tcPr>
          <w:p w14:paraId="369E03FB" w14:textId="77777777" w:rsidR="009E7FD0" w:rsidRPr="000F30E4" w:rsidRDefault="009E7FD0" w:rsidP="000F30E4">
            <w:pPr>
              <w:rPr>
                <w:color w:val="auto"/>
                <w:sz w:val="20"/>
                <w:szCs w:val="20"/>
              </w:rPr>
            </w:pPr>
          </w:p>
        </w:tc>
        <w:tc>
          <w:tcPr>
            <w:tcW w:w="2835" w:type="dxa"/>
          </w:tcPr>
          <w:p w14:paraId="670B7BF6" w14:textId="77777777" w:rsidR="009E7FD0" w:rsidRPr="000F30E4" w:rsidRDefault="009E7FD0" w:rsidP="000F30E4">
            <w:pPr>
              <w:rPr>
                <w:color w:val="auto"/>
                <w:sz w:val="20"/>
                <w:szCs w:val="20"/>
              </w:rPr>
            </w:pPr>
            <w:r w:rsidRPr="000F30E4">
              <w:rPr>
                <w:color w:val="auto"/>
                <w:sz w:val="20"/>
                <w:szCs w:val="20"/>
              </w:rPr>
              <w:t>Severe cutaneous adverse reactions</w:t>
            </w:r>
          </w:p>
        </w:tc>
        <w:tc>
          <w:tcPr>
            <w:tcW w:w="1306" w:type="dxa"/>
            <w:gridSpan w:val="2"/>
          </w:tcPr>
          <w:p w14:paraId="3E9F8D05" w14:textId="77777777" w:rsidR="009E7FD0" w:rsidRPr="000F30E4" w:rsidRDefault="009E7FD0" w:rsidP="000F30E4">
            <w:pPr>
              <w:rPr>
                <w:color w:val="auto"/>
                <w:sz w:val="20"/>
                <w:szCs w:val="20"/>
              </w:rPr>
            </w:pPr>
            <w:r w:rsidRPr="000F30E4">
              <w:rPr>
                <w:color w:val="auto"/>
                <w:sz w:val="20"/>
                <w:szCs w:val="20"/>
              </w:rPr>
              <w:sym w:font="Wingdings" w:char="F0FC"/>
            </w:r>
          </w:p>
        </w:tc>
        <w:tc>
          <w:tcPr>
            <w:tcW w:w="1036" w:type="dxa"/>
          </w:tcPr>
          <w:p w14:paraId="09F1CDF0" w14:textId="77777777" w:rsidR="009E7FD0" w:rsidRPr="000F30E4" w:rsidRDefault="009E7FD0" w:rsidP="000F30E4">
            <w:pPr>
              <w:rPr>
                <w:color w:val="auto"/>
                <w:sz w:val="20"/>
                <w:szCs w:val="20"/>
              </w:rPr>
            </w:pPr>
            <w:r w:rsidRPr="000F30E4">
              <w:rPr>
                <w:color w:val="auto"/>
                <w:sz w:val="20"/>
                <w:szCs w:val="20"/>
              </w:rPr>
              <w:t>–</w:t>
            </w:r>
          </w:p>
        </w:tc>
        <w:tc>
          <w:tcPr>
            <w:tcW w:w="989" w:type="dxa"/>
          </w:tcPr>
          <w:p w14:paraId="1C7630DA" w14:textId="77777777" w:rsidR="009E7FD0" w:rsidRPr="000F30E4" w:rsidRDefault="009E7FD0" w:rsidP="000F30E4">
            <w:pPr>
              <w:rPr>
                <w:color w:val="auto"/>
                <w:sz w:val="20"/>
                <w:szCs w:val="20"/>
              </w:rPr>
            </w:pPr>
            <w:r w:rsidRPr="000F30E4">
              <w:rPr>
                <w:color w:val="auto"/>
                <w:sz w:val="20"/>
                <w:szCs w:val="20"/>
              </w:rPr>
              <w:sym w:font="Wingdings" w:char="F0FC"/>
            </w:r>
          </w:p>
        </w:tc>
        <w:tc>
          <w:tcPr>
            <w:tcW w:w="957" w:type="dxa"/>
          </w:tcPr>
          <w:p w14:paraId="7D3CEBAA" w14:textId="77777777" w:rsidR="009E7FD0" w:rsidRPr="000F30E4" w:rsidRDefault="009E7FD0" w:rsidP="000F30E4">
            <w:pPr>
              <w:rPr>
                <w:color w:val="auto"/>
                <w:sz w:val="20"/>
                <w:szCs w:val="20"/>
              </w:rPr>
            </w:pPr>
            <w:r w:rsidRPr="000F30E4">
              <w:rPr>
                <w:color w:val="auto"/>
                <w:sz w:val="20"/>
                <w:szCs w:val="20"/>
              </w:rPr>
              <w:t>–</w:t>
            </w:r>
          </w:p>
        </w:tc>
      </w:tr>
      <w:tr w:rsidR="008C254C" w:rsidRPr="000F30E4" w14:paraId="7CFA0282" w14:textId="77777777" w:rsidTr="000F30E4">
        <w:trPr>
          <w:trHeight w:val="184"/>
        </w:trPr>
        <w:tc>
          <w:tcPr>
            <w:tcW w:w="1526" w:type="dxa"/>
            <w:vMerge/>
          </w:tcPr>
          <w:p w14:paraId="51EDE1AE" w14:textId="77777777" w:rsidR="009E7FD0" w:rsidRPr="000F30E4" w:rsidRDefault="009E7FD0" w:rsidP="000F30E4">
            <w:pPr>
              <w:rPr>
                <w:color w:val="auto"/>
                <w:sz w:val="20"/>
                <w:szCs w:val="20"/>
              </w:rPr>
            </w:pPr>
          </w:p>
        </w:tc>
        <w:tc>
          <w:tcPr>
            <w:tcW w:w="2835" w:type="dxa"/>
          </w:tcPr>
          <w:p w14:paraId="2DF7C34D" w14:textId="77777777" w:rsidR="009E7FD0" w:rsidRPr="000F30E4" w:rsidRDefault="009E7FD0" w:rsidP="000F30E4">
            <w:pPr>
              <w:rPr>
                <w:color w:val="auto"/>
                <w:sz w:val="20"/>
                <w:szCs w:val="20"/>
              </w:rPr>
            </w:pPr>
            <w:r w:rsidRPr="000F30E4">
              <w:rPr>
                <w:color w:val="auto"/>
                <w:sz w:val="20"/>
                <w:szCs w:val="20"/>
              </w:rPr>
              <w:t>Arrhythmia due to QT shortening</w:t>
            </w:r>
          </w:p>
        </w:tc>
        <w:tc>
          <w:tcPr>
            <w:tcW w:w="1306" w:type="dxa"/>
            <w:gridSpan w:val="2"/>
          </w:tcPr>
          <w:p w14:paraId="150C3AD1" w14:textId="77777777" w:rsidR="009E7FD0" w:rsidRPr="000F30E4" w:rsidRDefault="009E7FD0" w:rsidP="000F30E4">
            <w:pPr>
              <w:rPr>
                <w:color w:val="auto"/>
                <w:sz w:val="20"/>
                <w:szCs w:val="20"/>
              </w:rPr>
            </w:pPr>
            <w:r w:rsidRPr="000F30E4">
              <w:rPr>
                <w:color w:val="auto"/>
                <w:sz w:val="20"/>
                <w:szCs w:val="20"/>
              </w:rPr>
              <w:sym w:font="Wingdings" w:char="F0FC"/>
            </w:r>
          </w:p>
        </w:tc>
        <w:tc>
          <w:tcPr>
            <w:tcW w:w="1036" w:type="dxa"/>
          </w:tcPr>
          <w:p w14:paraId="11390F3D" w14:textId="77777777" w:rsidR="009E7FD0" w:rsidRPr="000F30E4" w:rsidRDefault="009E7FD0" w:rsidP="000F30E4">
            <w:pPr>
              <w:rPr>
                <w:color w:val="auto"/>
                <w:sz w:val="20"/>
                <w:szCs w:val="20"/>
              </w:rPr>
            </w:pPr>
            <w:r w:rsidRPr="000F30E4">
              <w:rPr>
                <w:color w:val="auto"/>
                <w:sz w:val="20"/>
                <w:szCs w:val="20"/>
              </w:rPr>
              <w:t>–</w:t>
            </w:r>
          </w:p>
        </w:tc>
        <w:tc>
          <w:tcPr>
            <w:tcW w:w="989" w:type="dxa"/>
          </w:tcPr>
          <w:p w14:paraId="550A4A2F" w14:textId="77777777" w:rsidR="009E7FD0" w:rsidRPr="000F30E4" w:rsidRDefault="009E7FD0" w:rsidP="000F30E4">
            <w:pPr>
              <w:rPr>
                <w:color w:val="auto"/>
                <w:sz w:val="20"/>
                <w:szCs w:val="20"/>
              </w:rPr>
            </w:pPr>
            <w:r w:rsidRPr="000F30E4">
              <w:rPr>
                <w:color w:val="auto"/>
                <w:sz w:val="20"/>
                <w:szCs w:val="20"/>
              </w:rPr>
              <w:sym w:font="Wingdings" w:char="F0FC"/>
            </w:r>
          </w:p>
        </w:tc>
        <w:tc>
          <w:tcPr>
            <w:tcW w:w="957" w:type="dxa"/>
          </w:tcPr>
          <w:p w14:paraId="06CCE1AB" w14:textId="77777777" w:rsidR="009E7FD0" w:rsidRPr="000F30E4" w:rsidRDefault="009E7FD0" w:rsidP="000F30E4">
            <w:pPr>
              <w:rPr>
                <w:color w:val="auto"/>
                <w:sz w:val="20"/>
                <w:szCs w:val="20"/>
              </w:rPr>
            </w:pPr>
            <w:r w:rsidRPr="000F30E4">
              <w:rPr>
                <w:color w:val="auto"/>
                <w:sz w:val="20"/>
                <w:szCs w:val="20"/>
              </w:rPr>
              <w:t>–</w:t>
            </w:r>
          </w:p>
        </w:tc>
      </w:tr>
      <w:tr w:rsidR="008C254C" w:rsidRPr="000F30E4" w14:paraId="0AFAA960" w14:textId="77777777" w:rsidTr="000F30E4">
        <w:trPr>
          <w:trHeight w:val="156"/>
        </w:trPr>
        <w:tc>
          <w:tcPr>
            <w:tcW w:w="1526" w:type="dxa"/>
            <w:vMerge w:val="restart"/>
          </w:tcPr>
          <w:p w14:paraId="1E3F2792" w14:textId="77777777" w:rsidR="009E7FD0" w:rsidRPr="000F30E4" w:rsidRDefault="009E7FD0" w:rsidP="000F30E4">
            <w:pPr>
              <w:rPr>
                <w:color w:val="auto"/>
                <w:sz w:val="20"/>
                <w:szCs w:val="20"/>
              </w:rPr>
            </w:pPr>
            <w:r w:rsidRPr="000F30E4">
              <w:rPr>
                <w:color w:val="auto"/>
                <w:sz w:val="20"/>
                <w:szCs w:val="20"/>
              </w:rPr>
              <w:t>Important potential risks</w:t>
            </w:r>
          </w:p>
        </w:tc>
        <w:tc>
          <w:tcPr>
            <w:tcW w:w="2835" w:type="dxa"/>
          </w:tcPr>
          <w:p w14:paraId="77DDC6B4" w14:textId="77777777" w:rsidR="009E7FD0" w:rsidRPr="000F30E4" w:rsidRDefault="009E7FD0" w:rsidP="000F30E4">
            <w:pPr>
              <w:rPr>
                <w:color w:val="auto"/>
                <w:sz w:val="20"/>
                <w:szCs w:val="20"/>
              </w:rPr>
            </w:pPr>
            <w:r w:rsidRPr="000F30E4">
              <w:rPr>
                <w:color w:val="auto"/>
                <w:sz w:val="20"/>
                <w:szCs w:val="20"/>
              </w:rPr>
              <w:t>Teratogenicity</w:t>
            </w:r>
          </w:p>
        </w:tc>
        <w:tc>
          <w:tcPr>
            <w:tcW w:w="1306" w:type="dxa"/>
            <w:gridSpan w:val="2"/>
          </w:tcPr>
          <w:p w14:paraId="121CF036" w14:textId="77777777" w:rsidR="009E7FD0" w:rsidRPr="000F30E4" w:rsidRDefault="009E7FD0" w:rsidP="000F30E4">
            <w:pPr>
              <w:rPr>
                <w:color w:val="auto"/>
                <w:sz w:val="20"/>
                <w:szCs w:val="20"/>
                <w:vertAlign w:val="superscript"/>
              </w:rPr>
            </w:pPr>
            <w:r w:rsidRPr="000F30E4">
              <w:rPr>
                <w:color w:val="auto"/>
                <w:sz w:val="20"/>
                <w:szCs w:val="20"/>
              </w:rPr>
              <w:sym w:font="Wingdings" w:char="F0FC"/>
            </w:r>
            <w:r w:rsidRPr="000F30E4">
              <w:rPr>
                <w:color w:val="auto"/>
                <w:sz w:val="20"/>
                <w:szCs w:val="20"/>
                <w:vertAlign w:val="superscript"/>
              </w:rPr>
              <w:t>1</w:t>
            </w:r>
          </w:p>
        </w:tc>
        <w:tc>
          <w:tcPr>
            <w:tcW w:w="1036" w:type="dxa"/>
          </w:tcPr>
          <w:p w14:paraId="7B38152A" w14:textId="77777777" w:rsidR="009E7FD0" w:rsidRPr="000F30E4" w:rsidRDefault="009E7FD0" w:rsidP="000F30E4">
            <w:pPr>
              <w:rPr>
                <w:color w:val="auto"/>
                <w:sz w:val="20"/>
                <w:szCs w:val="20"/>
              </w:rPr>
            </w:pPr>
            <w:r w:rsidRPr="000F30E4">
              <w:rPr>
                <w:color w:val="auto"/>
                <w:sz w:val="20"/>
                <w:szCs w:val="20"/>
              </w:rPr>
              <w:t>–</w:t>
            </w:r>
          </w:p>
        </w:tc>
        <w:tc>
          <w:tcPr>
            <w:tcW w:w="989" w:type="dxa"/>
          </w:tcPr>
          <w:p w14:paraId="3190EC63" w14:textId="77777777" w:rsidR="009E7FD0" w:rsidRPr="000F30E4" w:rsidRDefault="009E7FD0" w:rsidP="000F30E4">
            <w:pPr>
              <w:rPr>
                <w:color w:val="auto"/>
                <w:sz w:val="20"/>
                <w:szCs w:val="20"/>
              </w:rPr>
            </w:pPr>
            <w:r w:rsidRPr="000F30E4">
              <w:rPr>
                <w:color w:val="auto"/>
                <w:sz w:val="20"/>
                <w:szCs w:val="20"/>
              </w:rPr>
              <w:sym w:font="Wingdings" w:char="F0FC"/>
            </w:r>
          </w:p>
        </w:tc>
        <w:tc>
          <w:tcPr>
            <w:tcW w:w="957" w:type="dxa"/>
          </w:tcPr>
          <w:p w14:paraId="1FC95CD2" w14:textId="77777777" w:rsidR="009E7FD0" w:rsidRPr="000F30E4" w:rsidRDefault="009E7FD0" w:rsidP="000F30E4">
            <w:pPr>
              <w:rPr>
                <w:color w:val="auto"/>
                <w:sz w:val="20"/>
                <w:szCs w:val="20"/>
              </w:rPr>
            </w:pPr>
            <w:r w:rsidRPr="000F30E4">
              <w:rPr>
                <w:color w:val="auto"/>
                <w:sz w:val="20"/>
                <w:szCs w:val="20"/>
              </w:rPr>
              <w:t>–</w:t>
            </w:r>
          </w:p>
        </w:tc>
      </w:tr>
      <w:tr w:rsidR="008C254C" w:rsidRPr="000F30E4" w14:paraId="42B7D96A" w14:textId="77777777" w:rsidTr="000F30E4">
        <w:trPr>
          <w:trHeight w:val="120"/>
        </w:trPr>
        <w:tc>
          <w:tcPr>
            <w:tcW w:w="1526" w:type="dxa"/>
            <w:vMerge/>
          </w:tcPr>
          <w:p w14:paraId="4D408D7C" w14:textId="77777777" w:rsidR="009E7FD0" w:rsidRPr="000F30E4" w:rsidRDefault="009E7FD0" w:rsidP="000F30E4">
            <w:pPr>
              <w:rPr>
                <w:color w:val="auto"/>
                <w:sz w:val="20"/>
                <w:szCs w:val="20"/>
              </w:rPr>
            </w:pPr>
          </w:p>
        </w:tc>
        <w:tc>
          <w:tcPr>
            <w:tcW w:w="2835" w:type="dxa"/>
          </w:tcPr>
          <w:p w14:paraId="40809E12" w14:textId="77777777" w:rsidR="009E7FD0" w:rsidRPr="000F30E4" w:rsidRDefault="009E7FD0" w:rsidP="000F30E4">
            <w:pPr>
              <w:rPr>
                <w:color w:val="auto"/>
                <w:sz w:val="20"/>
                <w:szCs w:val="20"/>
              </w:rPr>
            </w:pPr>
            <w:r w:rsidRPr="000F30E4">
              <w:rPr>
                <w:color w:val="auto"/>
                <w:sz w:val="20"/>
                <w:szCs w:val="20"/>
              </w:rPr>
              <w:t xml:space="preserve">Effect on children exposed to </w:t>
            </w:r>
            <w:proofErr w:type="spellStart"/>
            <w:r w:rsidRPr="000F30E4">
              <w:rPr>
                <w:color w:val="auto"/>
                <w:sz w:val="20"/>
                <w:szCs w:val="20"/>
              </w:rPr>
              <w:t>isavuconazole</w:t>
            </w:r>
            <w:proofErr w:type="spellEnd"/>
            <w:r w:rsidRPr="000F30E4">
              <w:rPr>
                <w:color w:val="auto"/>
                <w:sz w:val="20"/>
                <w:szCs w:val="20"/>
              </w:rPr>
              <w:t xml:space="preserve"> via breast milk</w:t>
            </w:r>
          </w:p>
        </w:tc>
        <w:tc>
          <w:tcPr>
            <w:tcW w:w="1306" w:type="dxa"/>
            <w:gridSpan w:val="2"/>
          </w:tcPr>
          <w:p w14:paraId="213CF215" w14:textId="77777777" w:rsidR="009E7FD0" w:rsidRPr="000F30E4" w:rsidRDefault="009E7FD0" w:rsidP="000F30E4">
            <w:pPr>
              <w:rPr>
                <w:color w:val="auto"/>
                <w:sz w:val="20"/>
                <w:szCs w:val="20"/>
              </w:rPr>
            </w:pPr>
            <w:r w:rsidRPr="000F30E4">
              <w:rPr>
                <w:color w:val="auto"/>
                <w:sz w:val="20"/>
                <w:szCs w:val="20"/>
              </w:rPr>
              <w:sym w:font="Wingdings" w:char="F0FC"/>
            </w:r>
          </w:p>
        </w:tc>
        <w:tc>
          <w:tcPr>
            <w:tcW w:w="1036" w:type="dxa"/>
          </w:tcPr>
          <w:p w14:paraId="3A1FC56E" w14:textId="77777777" w:rsidR="009E7FD0" w:rsidRPr="000F30E4" w:rsidRDefault="009E7FD0" w:rsidP="000F30E4">
            <w:pPr>
              <w:rPr>
                <w:color w:val="auto"/>
                <w:sz w:val="20"/>
                <w:szCs w:val="20"/>
              </w:rPr>
            </w:pPr>
            <w:r w:rsidRPr="000F30E4">
              <w:rPr>
                <w:color w:val="auto"/>
                <w:sz w:val="20"/>
                <w:szCs w:val="20"/>
              </w:rPr>
              <w:t>–</w:t>
            </w:r>
          </w:p>
        </w:tc>
        <w:tc>
          <w:tcPr>
            <w:tcW w:w="989" w:type="dxa"/>
          </w:tcPr>
          <w:p w14:paraId="6FE5D078" w14:textId="77777777" w:rsidR="009E7FD0" w:rsidRPr="000F30E4" w:rsidRDefault="009E7FD0" w:rsidP="000F30E4">
            <w:pPr>
              <w:rPr>
                <w:color w:val="auto"/>
                <w:sz w:val="20"/>
                <w:szCs w:val="20"/>
              </w:rPr>
            </w:pPr>
            <w:r w:rsidRPr="000F30E4">
              <w:rPr>
                <w:color w:val="auto"/>
                <w:sz w:val="20"/>
                <w:szCs w:val="20"/>
              </w:rPr>
              <w:sym w:font="Wingdings" w:char="F0FC"/>
            </w:r>
          </w:p>
        </w:tc>
        <w:tc>
          <w:tcPr>
            <w:tcW w:w="957" w:type="dxa"/>
          </w:tcPr>
          <w:p w14:paraId="5E7B7EAF" w14:textId="77777777" w:rsidR="009E7FD0" w:rsidRPr="000F30E4" w:rsidRDefault="009E7FD0" w:rsidP="000F30E4">
            <w:pPr>
              <w:rPr>
                <w:color w:val="auto"/>
                <w:sz w:val="20"/>
                <w:szCs w:val="20"/>
              </w:rPr>
            </w:pPr>
            <w:r w:rsidRPr="000F30E4">
              <w:rPr>
                <w:color w:val="auto"/>
                <w:sz w:val="20"/>
                <w:szCs w:val="20"/>
              </w:rPr>
              <w:t>–</w:t>
            </w:r>
          </w:p>
        </w:tc>
      </w:tr>
      <w:tr w:rsidR="008C254C" w:rsidRPr="000F30E4" w14:paraId="2C6322FE" w14:textId="77777777" w:rsidTr="000F30E4">
        <w:trPr>
          <w:trHeight w:val="120"/>
        </w:trPr>
        <w:tc>
          <w:tcPr>
            <w:tcW w:w="1526" w:type="dxa"/>
            <w:vMerge/>
          </w:tcPr>
          <w:p w14:paraId="221C892F" w14:textId="77777777" w:rsidR="009E7FD0" w:rsidRPr="000F30E4" w:rsidRDefault="009E7FD0" w:rsidP="000F30E4">
            <w:pPr>
              <w:rPr>
                <w:color w:val="auto"/>
                <w:sz w:val="20"/>
                <w:szCs w:val="20"/>
              </w:rPr>
            </w:pPr>
          </w:p>
        </w:tc>
        <w:tc>
          <w:tcPr>
            <w:tcW w:w="2835" w:type="dxa"/>
          </w:tcPr>
          <w:p w14:paraId="3BC7831A" w14:textId="77777777" w:rsidR="009E7FD0" w:rsidRPr="000F30E4" w:rsidRDefault="009E7FD0" w:rsidP="000F30E4">
            <w:pPr>
              <w:rPr>
                <w:color w:val="auto"/>
                <w:sz w:val="20"/>
                <w:szCs w:val="20"/>
              </w:rPr>
            </w:pPr>
            <w:r w:rsidRPr="000F30E4">
              <w:rPr>
                <w:color w:val="auto"/>
                <w:sz w:val="20"/>
                <w:szCs w:val="20"/>
              </w:rPr>
              <w:t>Development of resistant strains</w:t>
            </w:r>
          </w:p>
        </w:tc>
        <w:tc>
          <w:tcPr>
            <w:tcW w:w="1306" w:type="dxa"/>
            <w:gridSpan w:val="2"/>
          </w:tcPr>
          <w:p w14:paraId="6FFD4AAB" w14:textId="77777777" w:rsidR="009E7FD0" w:rsidRPr="000F30E4" w:rsidRDefault="009E7FD0" w:rsidP="000F30E4">
            <w:pPr>
              <w:rPr>
                <w:color w:val="auto"/>
                <w:sz w:val="20"/>
                <w:szCs w:val="20"/>
                <w:vertAlign w:val="superscript"/>
              </w:rPr>
            </w:pPr>
            <w:r w:rsidRPr="000F30E4">
              <w:rPr>
                <w:color w:val="auto"/>
                <w:sz w:val="20"/>
                <w:szCs w:val="20"/>
              </w:rPr>
              <w:sym w:font="Wingdings" w:char="F0FC"/>
            </w:r>
          </w:p>
        </w:tc>
        <w:tc>
          <w:tcPr>
            <w:tcW w:w="1036" w:type="dxa"/>
          </w:tcPr>
          <w:p w14:paraId="6326743C" w14:textId="77777777" w:rsidR="009E7FD0" w:rsidRPr="000F30E4" w:rsidRDefault="009E7FD0" w:rsidP="000F30E4">
            <w:pPr>
              <w:rPr>
                <w:color w:val="auto"/>
                <w:sz w:val="20"/>
                <w:szCs w:val="20"/>
                <w:vertAlign w:val="superscript"/>
              </w:rPr>
            </w:pPr>
            <w:r w:rsidRPr="000F30E4">
              <w:rPr>
                <w:color w:val="auto"/>
                <w:sz w:val="20"/>
                <w:szCs w:val="20"/>
              </w:rPr>
              <w:sym w:font="Wingdings" w:char="F0FC"/>
            </w:r>
            <w:r w:rsidRPr="000F30E4">
              <w:rPr>
                <w:color w:val="auto"/>
                <w:sz w:val="20"/>
                <w:szCs w:val="20"/>
                <w:vertAlign w:val="superscript"/>
              </w:rPr>
              <w:t>3, 4</w:t>
            </w:r>
          </w:p>
        </w:tc>
        <w:tc>
          <w:tcPr>
            <w:tcW w:w="989" w:type="dxa"/>
          </w:tcPr>
          <w:p w14:paraId="55461436" w14:textId="77777777" w:rsidR="009E7FD0" w:rsidRPr="000F30E4" w:rsidRDefault="009E7FD0" w:rsidP="000F30E4">
            <w:pPr>
              <w:rPr>
                <w:color w:val="auto"/>
                <w:sz w:val="20"/>
                <w:szCs w:val="20"/>
              </w:rPr>
            </w:pPr>
            <w:r w:rsidRPr="000F30E4">
              <w:rPr>
                <w:color w:val="auto"/>
                <w:sz w:val="20"/>
                <w:szCs w:val="20"/>
              </w:rPr>
              <w:sym w:font="Wingdings" w:char="F0FC"/>
            </w:r>
          </w:p>
        </w:tc>
        <w:tc>
          <w:tcPr>
            <w:tcW w:w="957" w:type="dxa"/>
          </w:tcPr>
          <w:p w14:paraId="7C824377" w14:textId="77777777" w:rsidR="009E7FD0" w:rsidRPr="000F30E4" w:rsidRDefault="009E7FD0" w:rsidP="000F30E4">
            <w:pPr>
              <w:rPr>
                <w:color w:val="auto"/>
                <w:sz w:val="20"/>
                <w:szCs w:val="20"/>
              </w:rPr>
            </w:pPr>
            <w:r w:rsidRPr="000F30E4">
              <w:rPr>
                <w:color w:val="auto"/>
                <w:sz w:val="20"/>
                <w:szCs w:val="20"/>
              </w:rPr>
              <w:t>–</w:t>
            </w:r>
          </w:p>
        </w:tc>
      </w:tr>
      <w:tr w:rsidR="008C254C" w:rsidRPr="000F30E4" w14:paraId="23F3078F" w14:textId="77777777" w:rsidTr="000F30E4">
        <w:trPr>
          <w:trHeight w:val="110"/>
        </w:trPr>
        <w:tc>
          <w:tcPr>
            <w:tcW w:w="1526" w:type="dxa"/>
            <w:vMerge/>
          </w:tcPr>
          <w:p w14:paraId="7242405D" w14:textId="77777777" w:rsidR="009E7FD0" w:rsidRPr="000F30E4" w:rsidRDefault="009E7FD0" w:rsidP="000F30E4">
            <w:pPr>
              <w:rPr>
                <w:color w:val="auto"/>
                <w:sz w:val="20"/>
                <w:szCs w:val="20"/>
              </w:rPr>
            </w:pPr>
          </w:p>
        </w:tc>
        <w:tc>
          <w:tcPr>
            <w:tcW w:w="2835" w:type="dxa"/>
          </w:tcPr>
          <w:p w14:paraId="72AC24AC" w14:textId="77777777" w:rsidR="009E7FD0" w:rsidRPr="000F30E4" w:rsidRDefault="009E7FD0" w:rsidP="000F30E4">
            <w:pPr>
              <w:rPr>
                <w:color w:val="auto"/>
                <w:sz w:val="20"/>
                <w:szCs w:val="20"/>
              </w:rPr>
            </w:pPr>
            <w:r w:rsidRPr="000F30E4">
              <w:rPr>
                <w:color w:val="auto"/>
                <w:sz w:val="20"/>
                <w:szCs w:val="20"/>
              </w:rPr>
              <w:t>Off-label use</w:t>
            </w:r>
          </w:p>
        </w:tc>
        <w:tc>
          <w:tcPr>
            <w:tcW w:w="1306" w:type="dxa"/>
            <w:gridSpan w:val="2"/>
          </w:tcPr>
          <w:p w14:paraId="5107C21C" w14:textId="77777777" w:rsidR="009E7FD0" w:rsidRPr="000F30E4" w:rsidRDefault="009E7FD0" w:rsidP="000F30E4">
            <w:pPr>
              <w:rPr>
                <w:color w:val="auto"/>
                <w:sz w:val="20"/>
                <w:szCs w:val="20"/>
              </w:rPr>
            </w:pPr>
            <w:r w:rsidRPr="000F30E4">
              <w:rPr>
                <w:color w:val="auto"/>
                <w:sz w:val="20"/>
                <w:szCs w:val="20"/>
              </w:rPr>
              <w:sym w:font="Wingdings" w:char="F0FC"/>
            </w:r>
          </w:p>
        </w:tc>
        <w:tc>
          <w:tcPr>
            <w:tcW w:w="1036" w:type="dxa"/>
          </w:tcPr>
          <w:p w14:paraId="31AE8E1B" w14:textId="77777777" w:rsidR="009E7FD0" w:rsidRPr="000F30E4" w:rsidRDefault="009E7FD0" w:rsidP="000F30E4">
            <w:pPr>
              <w:rPr>
                <w:color w:val="auto"/>
                <w:sz w:val="20"/>
                <w:szCs w:val="20"/>
              </w:rPr>
            </w:pPr>
            <w:r w:rsidRPr="000F30E4">
              <w:rPr>
                <w:color w:val="auto"/>
                <w:sz w:val="20"/>
                <w:szCs w:val="20"/>
              </w:rPr>
              <w:t>–</w:t>
            </w:r>
          </w:p>
        </w:tc>
        <w:tc>
          <w:tcPr>
            <w:tcW w:w="989" w:type="dxa"/>
          </w:tcPr>
          <w:p w14:paraId="108E64CC" w14:textId="77777777" w:rsidR="009E7FD0" w:rsidRPr="000F30E4" w:rsidRDefault="009E7FD0" w:rsidP="000F30E4">
            <w:pPr>
              <w:rPr>
                <w:color w:val="auto"/>
                <w:sz w:val="20"/>
                <w:szCs w:val="20"/>
              </w:rPr>
            </w:pPr>
            <w:r w:rsidRPr="000F30E4">
              <w:rPr>
                <w:color w:val="auto"/>
                <w:sz w:val="20"/>
                <w:szCs w:val="20"/>
              </w:rPr>
              <w:sym w:font="Wingdings" w:char="F0FC"/>
            </w:r>
          </w:p>
        </w:tc>
        <w:tc>
          <w:tcPr>
            <w:tcW w:w="957" w:type="dxa"/>
          </w:tcPr>
          <w:p w14:paraId="41BDA86C" w14:textId="77777777" w:rsidR="009E7FD0" w:rsidRPr="000F30E4" w:rsidRDefault="009E7FD0" w:rsidP="000F30E4">
            <w:pPr>
              <w:rPr>
                <w:color w:val="auto"/>
                <w:sz w:val="20"/>
                <w:szCs w:val="20"/>
              </w:rPr>
            </w:pPr>
            <w:r w:rsidRPr="000F30E4">
              <w:rPr>
                <w:color w:val="auto"/>
                <w:sz w:val="20"/>
                <w:szCs w:val="20"/>
              </w:rPr>
              <w:t>–</w:t>
            </w:r>
          </w:p>
        </w:tc>
      </w:tr>
      <w:tr w:rsidR="008C254C" w:rsidRPr="000F30E4" w14:paraId="26E1879A" w14:textId="77777777" w:rsidTr="000F30E4">
        <w:trPr>
          <w:trHeight w:val="175"/>
        </w:trPr>
        <w:tc>
          <w:tcPr>
            <w:tcW w:w="1526" w:type="dxa"/>
            <w:vMerge w:val="restart"/>
          </w:tcPr>
          <w:p w14:paraId="3D75C800" w14:textId="77777777" w:rsidR="009E7FD0" w:rsidRPr="000F30E4" w:rsidRDefault="009E7FD0" w:rsidP="000F30E4">
            <w:pPr>
              <w:rPr>
                <w:color w:val="auto"/>
                <w:sz w:val="20"/>
                <w:szCs w:val="20"/>
              </w:rPr>
            </w:pPr>
            <w:r w:rsidRPr="000F30E4">
              <w:rPr>
                <w:color w:val="auto"/>
                <w:sz w:val="20"/>
                <w:szCs w:val="20"/>
              </w:rPr>
              <w:t>Missing information</w:t>
            </w:r>
          </w:p>
        </w:tc>
        <w:tc>
          <w:tcPr>
            <w:tcW w:w="2835" w:type="dxa"/>
          </w:tcPr>
          <w:p w14:paraId="6A8673AD" w14:textId="77777777" w:rsidR="009E7FD0" w:rsidRPr="000F30E4" w:rsidRDefault="009E7FD0" w:rsidP="000F30E4">
            <w:pPr>
              <w:rPr>
                <w:color w:val="auto"/>
                <w:sz w:val="20"/>
                <w:szCs w:val="20"/>
              </w:rPr>
            </w:pPr>
            <w:r w:rsidRPr="000F30E4">
              <w:rPr>
                <w:color w:val="auto"/>
                <w:sz w:val="20"/>
                <w:szCs w:val="20"/>
              </w:rPr>
              <w:t>Use in patients &lt; 18 years-old</w:t>
            </w:r>
          </w:p>
        </w:tc>
        <w:tc>
          <w:tcPr>
            <w:tcW w:w="1306" w:type="dxa"/>
            <w:gridSpan w:val="2"/>
          </w:tcPr>
          <w:p w14:paraId="43109F38" w14:textId="77777777" w:rsidR="009E7FD0" w:rsidRPr="000F30E4" w:rsidRDefault="009E7FD0" w:rsidP="000F30E4">
            <w:pPr>
              <w:rPr>
                <w:color w:val="auto"/>
                <w:sz w:val="20"/>
                <w:szCs w:val="20"/>
                <w:vertAlign w:val="superscript"/>
              </w:rPr>
            </w:pPr>
            <w:r w:rsidRPr="000F30E4">
              <w:rPr>
                <w:color w:val="auto"/>
                <w:sz w:val="20"/>
                <w:szCs w:val="20"/>
              </w:rPr>
              <w:sym w:font="Wingdings" w:char="F0FC"/>
            </w:r>
            <w:r w:rsidRPr="000F30E4">
              <w:rPr>
                <w:color w:val="auto"/>
                <w:sz w:val="20"/>
                <w:szCs w:val="20"/>
                <w:vertAlign w:val="superscript"/>
              </w:rPr>
              <w:t>2</w:t>
            </w:r>
          </w:p>
        </w:tc>
        <w:tc>
          <w:tcPr>
            <w:tcW w:w="1036" w:type="dxa"/>
          </w:tcPr>
          <w:p w14:paraId="6FB90C58" w14:textId="77777777" w:rsidR="009E7FD0" w:rsidRPr="000F30E4" w:rsidRDefault="009E7FD0" w:rsidP="000F30E4">
            <w:pPr>
              <w:rPr>
                <w:color w:val="auto"/>
                <w:sz w:val="20"/>
                <w:szCs w:val="20"/>
              </w:rPr>
            </w:pPr>
            <w:r w:rsidRPr="000F30E4">
              <w:rPr>
                <w:color w:val="auto"/>
                <w:sz w:val="20"/>
                <w:szCs w:val="20"/>
              </w:rPr>
              <w:t>–</w:t>
            </w:r>
          </w:p>
        </w:tc>
        <w:tc>
          <w:tcPr>
            <w:tcW w:w="989" w:type="dxa"/>
          </w:tcPr>
          <w:p w14:paraId="291B867A" w14:textId="77777777" w:rsidR="009E7FD0" w:rsidRPr="000F30E4" w:rsidRDefault="009E7FD0" w:rsidP="000F30E4">
            <w:pPr>
              <w:rPr>
                <w:color w:val="auto"/>
                <w:sz w:val="20"/>
                <w:szCs w:val="20"/>
              </w:rPr>
            </w:pPr>
            <w:r w:rsidRPr="000F30E4">
              <w:rPr>
                <w:color w:val="auto"/>
                <w:sz w:val="20"/>
                <w:szCs w:val="20"/>
              </w:rPr>
              <w:sym w:font="Wingdings" w:char="F0FC"/>
            </w:r>
          </w:p>
        </w:tc>
        <w:tc>
          <w:tcPr>
            <w:tcW w:w="957" w:type="dxa"/>
          </w:tcPr>
          <w:p w14:paraId="2002CF90" w14:textId="77777777" w:rsidR="009E7FD0" w:rsidRPr="000F30E4" w:rsidRDefault="009E7FD0" w:rsidP="000F30E4">
            <w:pPr>
              <w:rPr>
                <w:color w:val="auto"/>
                <w:sz w:val="20"/>
                <w:szCs w:val="20"/>
              </w:rPr>
            </w:pPr>
            <w:r w:rsidRPr="000F30E4">
              <w:rPr>
                <w:color w:val="auto"/>
                <w:sz w:val="20"/>
                <w:szCs w:val="20"/>
              </w:rPr>
              <w:t>–</w:t>
            </w:r>
          </w:p>
        </w:tc>
      </w:tr>
      <w:tr w:rsidR="008C254C" w:rsidRPr="000F30E4" w14:paraId="01CC17D5" w14:textId="77777777" w:rsidTr="000F30E4">
        <w:trPr>
          <w:trHeight w:val="101"/>
        </w:trPr>
        <w:tc>
          <w:tcPr>
            <w:tcW w:w="1526" w:type="dxa"/>
            <w:vMerge/>
          </w:tcPr>
          <w:p w14:paraId="351BF2F1" w14:textId="77777777" w:rsidR="009E7FD0" w:rsidRPr="000F30E4" w:rsidRDefault="009E7FD0" w:rsidP="000F30E4">
            <w:pPr>
              <w:rPr>
                <w:color w:val="auto"/>
                <w:sz w:val="20"/>
                <w:szCs w:val="20"/>
              </w:rPr>
            </w:pPr>
          </w:p>
        </w:tc>
        <w:tc>
          <w:tcPr>
            <w:tcW w:w="2835" w:type="dxa"/>
          </w:tcPr>
          <w:p w14:paraId="0C43D2C8" w14:textId="77777777" w:rsidR="009E7FD0" w:rsidRPr="000F30E4" w:rsidRDefault="009E7FD0" w:rsidP="000F30E4">
            <w:pPr>
              <w:rPr>
                <w:color w:val="auto"/>
                <w:sz w:val="20"/>
                <w:szCs w:val="20"/>
              </w:rPr>
            </w:pPr>
            <w:r w:rsidRPr="000F30E4">
              <w:rPr>
                <w:color w:val="auto"/>
                <w:sz w:val="20"/>
                <w:szCs w:val="20"/>
              </w:rPr>
              <w:t>Use in patients with severe hepatic impairment</w:t>
            </w:r>
          </w:p>
        </w:tc>
        <w:tc>
          <w:tcPr>
            <w:tcW w:w="1306" w:type="dxa"/>
            <w:gridSpan w:val="2"/>
          </w:tcPr>
          <w:p w14:paraId="20FA0439" w14:textId="77777777" w:rsidR="009E7FD0" w:rsidRPr="000F30E4" w:rsidRDefault="009E7FD0" w:rsidP="000F30E4">
            <w:pPr>
              <w:rPr>
                <w:color w:val="auto"/>
                <w:sz w:val="20"/>
                <w:szCs w:val="20"/>
              </w:rPr>
            </w:pPr>
            <w:r w:rsidRPr="000F30E4">
              <w:rPr>
                <w:color w:val="auto"/>
                <w:sz w:val="20"/>
                <w:szCs w:val="20"/>
              </w:rPr>
              <w:sym w:font="Wingdings" w:char="F0FC"/>
            </w:r>
          </w:p>
        </w:tc>
        <w:tc>
          <w:tcPr>
            <w:tcW w:w="1036" w:type="dxa"/>
          </w:tcPr>
          <w:p w14:paraId="3280AFB6" w14:textId="77777777" w:rsidR="009E7FD0" w:rsidRPr="000F30E4" w:rsidRDefault="009E7FD0" w:rsidP="000F30E4">
            <w:pPr>
              <w:rPr>
                <w:color w:val="auto"/>
                <w:sz w:val="20"/>
                <w:szCs w:val="20"/>
              </w:rPr>
            </w:pPr>
            <w:r w:rsidRPr="000F30E4">
              <w:rPr>
                <w:color w:val="auto"/>
                <w:sz w:val="20"/>
                <w:szCs w:val="20"/>
              </w:rPr>
              <w:t>–</w:t>
            </w:r>
          </w:p>
        </w:tc>
        <w:tc>
          <w:tcPr>
            <w:tcW w:w="989" w:type="dxa"/>
          </w:tcPr>
          <w:p w14:paraId="0DE1AB04" w14:textId="77777777" w:rsidR="009E7FD0" w:rsidRPr="000F30E4" w:rsidRDefault="009E7FD0" w:rsidP="000F30E4">
            <w:pPr>
              <w:rPr>
                <w:color w:val="auto"/>
                <w:sz w:val="20"/>
                <w:szCs w:val="20"/>
              </w:rPr>
            </w:pPr>
            <w:r w:rsidRPr="000F30E4">
              <w:rPr>
                <w:color w:val="auto"/>
                <w:sz w:val="20"/>
                <w:szCs w:val="20"/>
              </w:rPr>
              <w:sym w:font="Wingdings" w:char="F0FC"/>
            </w:r>
          </w:p>
        </w:tc>
        <w:tc>
          <w:tcPr>
            <w:tcW w:w="957" w:type="dxa"/>
          </w:tcPr>
          <w:p w14:paraId="256A8063" w14:textId="77777777" w:rsidR="009E7FD0" w:rsidRPr="000F30E4" w:rsidRDefault="009E7FD0" w:rsidP="000F30E4">
            <w:pPr>
              <w:rPr>
                <w:color w:val="auto"/>
                <w:sz w:val="20"/>
                <w:szCs w:val="20"/>
              </w:rPr>
            </w:pPr>
            <w:r w:rsidRPr="000F30E4">
              <w:rPr>
                <w:color w:val="auto"/>
                <w:sz w:val="20"/>
                <w:szCs w:val="20"/>
              </w:rPr>
              <w:t>–</w:t>
            </w:r>
          </w:p>
        </w:tc>
      </w:tr>
      <w:tr w:rsidR="008C254C" w:rsidRPr="000F30E4" w14:paraId="06BACA32" w14:textId="77777777" w:rsidTr="000F30E4">
        <w:trPr>
          <w:trHeight w:val="101"/>
        </w:trPr>
        <w:tc>
          <w:tcPr>
            <w:tcW w:w="1526" w:type="dxa"/>
            <w:vMerge/>
          </w:tcPr>
          <w:p w14:paraId="0DBAECE5" w14:textId="77777777" w:rsidR="009E7FD0" w:rsidRPr="000F30E4" w:rsidRDefault="009E7FD0" w:rsidP="000F30E4">
            <w:pPr>
              <w:rPr>
                <w:color w:val="auto"/>
                <w:sz w:val="20"/>
                <w:szCs w:val="20"/>
              </w:rPr>
            </w:pPr>
          </w:p>
        </w:tc>
        <w:tc>
          <w:tcPr>
            <w:tcW w:w="2835" w:type="dxa"/>
          </w:tcPr>
          <w:p w14:paraId="571ECE9B" w14:textId="77777777" w:rsidR="009E7FD0" w:rsidRPr="000F30E4" w:rsidRDefault="009E7FD0" w:rsidP="000F30E4">
            <w:pPr>
              <w:rPr>
                <w:color w:val="auto"/>
                <w:sz w:val="20"/>
                <w:szCs w:val="20"/>
              </w:rPr>
            </w:pPr>
            <w:r w:rsidRPr="000F30E4">
              <w:rPr>
                <w:color w:val="auto"/>
                <w:sz w:val="20"/>
                <w:szCs w:val="20"/>
              </w:rPr>
              <w:t xml:space="preserve">Efficacy in invasive </w:t>
            </w:r>
            <w:proofErr w:type="spellStart"/>
            <w:r w:rsidRPr="000F30E4">
              <w:rPr>
                <w:color w:val="auto"/>
                <w:sz w:val="20"/>
                <w:szCs w:val="20"/>
              </w:rPr>
              <w:t>aspergillosis</w:t>
            </w:r>
            <w:proofErr w:type="spellEnd"/>
            <w:r w:rsidRPr="000F30E4">
              <w:rPr>
                <w:color w:val="auto"/>
                <w:sz w:val="20"/>
                <w:szCs w:val="20"/>
              </w:rPr>
              <w:t xml:space="preserve"> in Asian patients</w:t>
            </w:r>
          </w:p>
        </w:tc>
        <w:tc>
          <w:tcPr>
            <w:tcW w:w="1306" w:type="dxa"/>
            <w:gridSpan w:val="2"/>
          </w:tcPr>
          <w:p w14:paraId="53E8F0BE" w14:textId="77777777" w:rsidR="009E7FD0" w:rsidRPr="000F30E4" w:rsidRDefault="009E7FD0" w:rsidP="000F30E4">
            <w:pPr>
              <w:rPr>
                <w:color w:val="auto"/>
                <w:sz w:val="20"/>
                <w:szCs w:val="20"/>
              </w:rPr>
            </w:pPr>
            <w:r w:rsidRPr="000F30E4">
              <w:rPr>
                <w:color w:val="auto"/>
                <w:sz w:val="20"/>
                <w:szCs w:val="20"/>
              </w:rPr>
              <w:sym w:font="Wingdings" w:char="F0FC"/>
            </w:r>
          </w:p>
        </w:tc>
        <w:tc>
          <w:tcPr>
            <w:tcW w:w="1036" w:type="dxa"/>
          </w:tcPr>
          <w:p w14:paraId="2A687A19" w14:textId="77777777" w:rsidR="009E7FD0" w:rsidRPr="000F30E4" w:rsidRDefault="009E7FD0" w:rsidP="000F30E4">
            <w:pPr>
              <w:rPr>
                <w:color w:val="auto"/>
                <w:sz w:val="20"/>
                <w:szCs w:val="20"/>
              </w:rPr>
            </w:pPr>
            <w:r w:rsidRPr="000F30E4">
              <w:rPr>
                <w:color w:val="auto"/>
                <w:sz w:val="20"/>
                <w:szCs w:val="20"/>
              </w:rPr>
              <w:t>–</w:t>
            </w:r>
          </w:p>
        </w:tc>
        <w:tc>
          <w:tcPr>
            <w:tcW w:w="989" w:type="dxa"/>
          </w:tcPr>
          <w:p w14:paraId="0520D918" w14:textId="77777777" w:rsidR="009E7FD0" w:rsidRPr="000F30E4" w:rsidRDefault="009E7FD0" w:rsidP="000F30E4">
            <w:pPr>
              <w:rPr>
                <w:color w:val="auto"/>
                <w:sz w:val="20"/>
                <w:szCs w:val="20"/>
              </w:rPr>
            </w:pPr>
            <w:r w:rsidRPr="000F30E4">
              <w:rPr>
                <w:color w:val="auto"/>
                <w:sz w:val="20"/>
                <w:szCs w:val="20"/>
              </w:rPr>
              <w:t>–</w:t>
            </w:r>
          </w:p>
        </w:tc>
        <w:tc>
          <w:tcPr>
            <w:tcW w:w="957" w:type="dxa"/>
          </w:tcPr>
          <w:p w14:paraId="5835102F" w14:textId="77777777" w:rsidR="009E7FD0" w:rsidRPr="000F30E4" w:rsidRDefault="009E7FD0" w:rsidP="000F30E4">
            <w:pPr>
              <w:rPr>
                <w:color w:val="auto"/>
                <w:sz w:val="20"/>
                <w:szCs w:val="20"/>
              </w:rPr>
            </w:pPr>
            <w:r w:rsidRPr="000F30E4">
              <w:rPr>
                <w:color w:val="auto"/>
                <w:sz w:val="20"/>
                <w:szCs w:val="20"/>
              </w:rPr>
              <w:t>–</w:t>
            </w:r>
          </w:p>
        </w:tc>
      </w:tr>
      <w:tr w:rsidR="008C254C" w:rsidRPr="000F30E4" w14:paraId="397910C3" w14:textId="77777777" w:rsidTr="000F30E4">
        <w:trPr>
          <w:trHeight w:val="138"/>
        </w:trPr>
        <w:tc>
          <w:tcPr>
            <w:tcW w:w="1526" w:type="dxa"/>
            <w:vMerge/>
          </w:tcPr>
          <w:p w14:paraId="46EBA1F3" w14:textId="77777777" w:rsidR="009E7FD0" w:rsidRPr="000F30E4" w:rsidRDefault="009E7FD0" w:rsidP="000F30E4">
            <w:pPr>
              <w:rPr>
                <w:color w:val="auto"/>
                <w:sz w:val="20"/>
                <w:szCs w:val="20"/>
              </w:rPr>
            </w:pPr>
          </w:p>
        </w:tc>
        <w:tc>
          <w:tcPr>
            <w:tcW w:w="2835" w:type="dxa"/>
          </w:tcPr>
          <w:p w14:paraId="58B0D38C" w14:textId="77777777" w:rsidR="009E7FD0" w:rsidRPr="000F30E4" w:rsidRDefault="009E7FD0" w:rsidP="000F30E4">
            <w:pPr>
              <w:rPr>
                <w:color w:val="auto"/>
                <w:sz w:val="20"/>
                <w:szCs w:val="20"/>
              </w:rPr>
            </w:pPr>
            <w:r w:rsidRPr="000F30E4">
              <w:rPr>
                <w:color w:val="auto"/>
                <w:sz w:val="20"/>
                <w:szCs w:val="20"/>
              </w:rPr>
              <w:t xml:space="preserve">Clinical efficacy and safety of </w:t>
            </w:r>
            <w:proofErr w:type="spellStart"/>
            <w:r w:rsidRPr="000F30E4">
              <w:rPr>
                <w:color w:val="auto"/>
                <w:sz w:val="20"/>
                <w:szCs w:val="20"/>
              </w:rPr>
              <w:t>isavuconazole</w:t>
            </w:r>
            <w:proofErr w:type="spellEnd"/>
            <w:r w:rsidRPr="000F30E4">
              <w:rPr>
                <w:color w:val="auto"/>
                <w:sz w:val="20"/>
                <w:szCs w:val="20"/>
              </w:rPr>
              <w:t xml:space="preserve"> treatment in patients infected with </w:t>
            </w:r>
            <w:proofErr w:type="spellStart"/>
            <w:r w:rsidRPr="000F30E4">
              <w:rPr>
                <w:color w:val="auto"/>
                <w:sz w:val="20"/>
                <w:szCs w:val="20"/>
              </w:rPr>
              <w:t>mucorales</w:t>
            </w:r>
            <w:proofErr w:type="spellEnd"/>
            <w:r w:rsidRPr="000F30E4">
              <w:rPr>
                <w:color w:val="auto"/>
                <w:sz w:val="20"/>
                <w:szCs w:val="20"/>
              </w:rPr>
              <w:t xml:space="preserve"> species</w:t>
            </w:r>
          </w:p>
        </w:tc>
        <w:tc>
          <w:tcPr>
            <w:tcW w:w="1306" w:type="dxa"/>
            <w:gridSpan w:val="2"/>
          </w:tcPr>
          <w:p w14:paraId="12B08DC2" w14:textId="77777777" w:rsidR="009E7FD0" w:rsidRPr="000F30E4" w:rsidRDefault="009E7FD0" w:rsidP="000F30E4">
            <w:pPr>
              <w:rPr>
                <w:color w:val="auto"/>
                <w:sz w:val="20"/>
                <w:szCs w:val="20"/>
              </w:rPr>
            </w:pPr>
            <w:r w:rsidRPr="000F30E4">
              <w:rPr>
                <w:color w:val="auto"/>
                <w:sz w:val="20"/>
                <w:szCs w:val="20"/>
              </w:rPr>
              <w:sym w:font="Wingdings" w:char="F0FC"/>
            </w:r>
          </w:p>
        </w:tc>
        <w:tc>
          <w:tcPr>
            <w:tcW w:w="1036" w:type="dxa"/>
          </w:tcPr>
          <w:p w14:paraId="1A3B1489" w14:textId="77777777" w:rsidR="009E7FD0" w:rsidRPr="000F30E4" w:rsidRDefault="009E7FD0" w:rsidP="000F30E4">
            <w:pPr>
              <w:rPr>
                <w:color w:val="auto"/>
                <w:sz w:val="20"/>
                <w:szCs w:val="20"/>
                <w:vertAlign w:val="superscript"/>
              </w:rPr>
            </w:pPr>
            <w:r w:rsidRPr="000F30E4">
              <w:rPr>
                <w:color w:val="auto"/>
                <w:sz w:val="20"/>
                <w:szCs w:val="20"/>
              </w:rPr>
              <w:sym w:font="Wingdings" w:char="F0FC"/>
            </w:r>
            <w:r w:rsidRPr="000F30E4">
              <w:rPr>
                <w:color w:val="auto"/>
                <w:sz w:val="20"/>
                <w:szCs w:val="20"/>
                <w:vertAlign w:val="superscript"/>
              </w:rPr>
              <w:t>5</w:t>
            </w:r>
          </w:p>
        </w:tc>
        <w:tc>
          <w:tcPr>
            <w:tcW w:w="989" w:type="dxa"/>
          </w:tcPr>
          <w:p w14:paraId="678F8311" w14:textId="77777777" w:rsidR="009E7FD0" w:rsidRPr="000F30E4" w:rsidRDefault="009E7FD0" w:rsidP="000F30E4">
            <w:pPr>
              <w:rPr>
                <w:color w:val="auto"/>
                <w:sz w:val="20"/>
                <w:szCs w:val="20"/>
              </w:rPr>
            </w:pPr>
            <w:r w:rsidRPr="000F30E4">
              <w:rPr>
                <w:color w:val="auto"/>
                <w:sz w:val="20"/>
                <w:szCs w:val="20"/>
              </w:rPr>
              <w:sym w:font="Wingdings" w:char="F0FC"/>
            </w:r>
          </w:p>
        </w:tc>
        <w:tc>
          <w:tcPr>
            <w:tcW w:w="957" w:type="dxa"/>
          </w:tcPr>
          <w:p w14:paraId="07A3FEF7" w14:textId="77777777" w:rsidR="009E7FD0" w:rsidRPr="000F30E4" w:rsidRDefault="009E7FD0" w:rsidP="000F30E4">
            <w:pPr>
              <w:rPr>
                <w:color w:val="auto"/>
                <w:sz w:val="20"/>
                <w:szCs w:val="20"/>
              </w:rPr>
            </w:pPr>
            <w:r w:rsidRPr="000F30E4">
              <w:rPr>
                <w:color w:val="auto"/>
                <w:sz w:val="20"/>
                <w:szCs w:val="20"/>
              </w:rPr>
              <w:t>–</w:t>
            </w:r>
          </w:p>
        </w:tc>
      </w:tr>
    </w:tbl>
    <w:p w14:paraId="167D25B5" w14:textId="353F8104" w:rsidR="00BA7D4B" w:rsidRPr="00092E41" w:rsidRDefault="0049278F" w:rsidP="00092E41">
      <w:pPr>
        <w:pStyle w:val="TableDescription"/>
      </w:pPr>
      <w:r w:rsidRPr="00BA7D4B">
        <w:t>1</w:t>
      </w:r>
      <w:r w:rsidR="00231072" w:rsidRPr="00BA7D4B">
        <w:t xml:space="preserve"> </w:t>
      </w:r>
      <w:r w:rsidRPr="00BA7D4B">
        <w:t>Adverse reaction s</w:t>
      </w:r>
      <w:r w:rsidR="00BA7D4B" w:rsidRPr="00BA7D4B">
        <w:t xml:space="preserve">pecific follow-up questionnaire </w:t>
      </w:r>
      <w:r w:rsidRPr="00BA7D4B">
        <w:t>2</w:t>
      </w:r>
      <w:r w:rsidR="00231072" w:rsidRPr="00BA7D4B">
        <w:t xml:space="preserve"> </w:t>
      </w:r>
      <w:r w:rsidR="00BA7D4B" w:rsidRPr="00BA7D4B">
        <w:t xml:space="preserve">Paediatric investigation plan </w:t>
      </w:r>
      <w:r w:rsidRPr="00BA7D4B">
        <w:t>3</w:t>
      </w:r>
      <w:r w:rsidR="00231072" w:rsidRPr="00BA7D4B">
        <w:t xml:space="preserve"> </w:t>
      </w:r>
      <w:r w:rsidRPr="00BA7D4B">
        <w:t>Quantitative Susceptibility Testing at Sentinel National Mycology R</w:t>
      </w:r>
      <w:r w:rsidR="00BA7D4B" w:rsidRPr="00BA7D4B">
        <w:t xml:space="preserve">eference Laboratories in Europe </w:t>
      </w:r>
      <w:r w:rsidRPr="00BA7D4B">
        <w:t>4</w:t>
      </w:r>
      <w:r w:rsidR="00231072" w:rsidRPr="00BA7D4B">
        <w:t xml:space="preserve"> </w:t>
      </w:r>
      <w:r w:rsidRPr="00BA7D4B">
        <w:t>Global antimicrobial surveillance program (requested by RMP evaluator)</w:t>
      </w:r>
      <w:r w:rsidR="00BA7D4B" w:rsidRPr="00BA7D4B">
        <w:t xml:space="preserve"> </w:t>
      </w:r>
      <w:r w:rsidRPr="00BA7D4B">
        <w:t>5 Patient registry</w:t>
      </w:r>
    </w:p>
    <w:p w14:paraId="488E2EEF" w14:textId="77777777" w:rsidR="00BA7D4B" w:rsidRDefault="00BA7D4B" w:rsidP="00092E41">
      <w:r>
        <w:t>Minor outstanding issues were highlighted by the RMP evaluator in the Round 2 report. These included the following:</w:t>
      </w:r>
    </w:p>
    <w:p w14:paraId="75731AC1" w14:textId="77777777" w:rsidR="00BA7D4B" w:rsidRPr="006207BF" w:rsidRDefault="00BA7D4B" w:rsidP="00A960AE">
      <w:pPr>
        <w:pStyle w:val="ListBullet"/>
      </w:pPr>
      <w:r w:rsidRPr="00704685">
        <w:t>Antimicrobial surveillance</w:t>
      </w:r>
    </w:p>
    <w:p w14:paraId="5BD64AC2" w14:textId="1B648966" w:rsidR="00BA7D4B" w:rsidRDefault="00BA7D4B" w:rsidP="00A960AE">
      <w:pPr>
        <w:spacing w:before="0" w:after="0" w:line="240" w:lineRule="auto"/>
        <w:ind w:left="360"/>
        <w:rPr>
          <w:rFonts w:asciiTheme="minorHAnsi" w:hAnsiTheme="minorHAnsi"/>
        </w:rPr>
      </w:pPr>
      <w:r>
        <w:rPr>
          <w:rFonts w:asciiTheme="minorHAnsi" w:hAnsiTheme="minorHAnsi"/>
        </w:rPr>
        <w:t>The sponsor</w:t>
      </w:r>
      <w:r w:rsidRPr="00763CEC">
        <w:rPr>
          <w:rFonts w:asciiTheme="minorHAnsi" w:hAnsiTheme="minorHAnsi"/>
        </w:rPr>
        <w:t xml:space="preserve"> provided its assessment with an example of the report from the SENTRY antimicrob</w:t>
      </w:r>
      <w:r>
        <w:rPr>
          <w:rFonts w:asciiTheme="minorHAnsi" w:hAnsiTheme="minorHAnsi"/>
        </w:rPr>
        <w:t>ial surveillance program. This wa</w:t>
      </w:r>
      <w:r w:rsidRPr="00763CEC">
        <w:rPr>
          <w:rFonts w:asciiTheme="minorHAnsi" w:hAnsiTheme="minorHAnsi"/>
        </w:rPr>
        <w:t xml:space="preserve">s considered </w:t>
      </w:r>
      <w:r>
        <w:rPr>
          <w:rFonts w:asciiTheme="minorHAnsi" w:hAnsiTheme="minorHAnsi"/>
        </w:rPr>
        <w:t xml:space="preserve">an </w:t>
      </w:r>
      <w:r w:rsidRPr="00763CEC">
        <w:rPr>
          <w:rFonts w:asciiTheme="minorHAnsi" w:hAnsiTheme="minorHAnsi"/>
        </w:rPr>
        <w:t>acceptable surveillance measure that provides Australian specific information in a broader global context. The sponsor should include this in the ASA as ongoing additional pharmacovigilance for ‘development of resistant strains’. The sponsor should analyse and report data from the program in the discussion of the potentia</w:t>
      </w:r>
      <w:r>
        <w:rPr>
          <w:rFonts w:asciiTheme="minorHAnsi" w:hAnsiTheme="minorHAnsi"/>
        </w:rPr>
        <w:t>l risk ‘development of resistant strains</w:t>
      </w:r>
      <w:r w:rsidRPr="00763CEC">
        <w:rPr>
          <w:rFonts w:asciiTheme="minorHAnsi" w:hAnsiTheme="minorHAnsi"/>
        </w:rPr>
        <w:t xml:space="preserve">’ in </w:t>
      </w:r>
      <w:r w:rsidR="00092E41">
        <w:rPr>
          <w:rFonts w:asciiTheme="minorHAnsi" w:hAnsiTheme="minorHAnsi"/>
        </w:rPr>
        <w:t xml:space="preserve">PSURs. </w:t>
      </w:r>
      <w:r>
        <w:rPr>
          <w:rFonts w:asciiTheme="minorHAnsi" w:hAnsiTheme="minorHAnsi"/>
        </w:rPr>
        <w:t>The RMP evaluator indicated that t</w:t>
      </w:r>
      <w:r w:rsidRPr="00704685">
        <w:rPr>
          <w:rFonts w:asciiTheme="minorHAnsi" w:hAnsiTheme="minorHAnsi"/>
        </w:rPr>
        <w:t xml:space="preserve">his is not a critical issue </w:t>
      </w:r>
      <w:r>
        <w:rPr>
          <w:rFonts w:asciiTheme="minorHAnsi" w:hAnsiTheme="minorHAnsi"/>
        </w:rPr>
        <w:t>and that t</w:t>
      </w:r>
      <w:r w:rsidRPr="00704685">
        <w:rPr>
          <w:rFonts w:asciiTheme="minorHAnsi" w:hAnsiTheme="minorHAnsi"/>
        </w:rPr>
        <w:t xml:space="preserve">his update could be provided when the ASA is </w:t>
      </w:r>
      <w:r>
        <w:rPr>
          <w:rFonts w:asciiTheme="minorHAnsi" w:hAnsiTheme="minorHAnsi"/>
        </w:rPr>
        <w:t>next updated.</w:t>
      </w:r>
    </w:p>
    <w:p w14:paraId="46FEDD00" w14:textId="4B2BE170" w:rsidR="00BA7D4B" w:rsidRDefault="00BA7D4B" w:rsidP="00A960AE">
      <w:pPr>
        <w:spacing w:before="0" w:after="0" w:line="240" w:lineRule="auto"/>
        <w:ind w:left="360"/>
        <w:rPr>
          <w:rFonts w:asciiTheme="minorHAnsi" w:hAnsiTheme="minorHAnsi"/>
        </w:rPr>
      </w:pPr>
      <w:r w:rsidRPr="00FE13AA">
        <w:rPr>
          <w:rFonts w:asciiTheme="minorHAnsi" w:hAnsiTheme="minorHAnsi"/>
        </w:rPr>
        <w:t xml:space="preserve">The sponsor provided further information on the </w:t>
      </w:r>
      <w:proofErr w:type="spellStart"/>
      <w:r w:rsidRPr="00FE13AA">
        <w:rPr>
          <w:rFonts w:asciiTheme="minorHAnsi" w:hAnsiTheme="minorHAnsi"/>
        </w:rPr>
        <w:t>Basilea</w:t>
      </w:r>
      <w:proofErr w:type="spellEnd"/>
      <w:r w:rsidRPr="00FE13AA">
        <w:rPr>
          <w:rFonts w:asciiTheme="minorHAnsi" w:hAnsiTheme="minorHAnsi"/>
        </w:rPr>
        <w:t xml:space="preserve"> </w:t>
      </w:r>
      <w:proofErr w:type="spellStart"/>
      <w:r w:rsidRPr="00FE13AA">
        <w:rPr>
          <w:rFonts w:asciiTheme="minorHAnsi" w:hAnsiTheme="minorHAnsi"/>
        </w:rPr>
        <w:t>Mucormycosis</w:t>
      </w:r>
      <w:proofErr w:type="spellEnd"/>
      <w:r w:rsidRPr="00FE13AA">
        <w:rPr>
          <w:rFonts w:asciiTheme="minorHAnsi" w:hAnsiTheme="minorHAnsi"/>
        </w:rPr>
        <w:t xml:space="preserve"> study (within the </w:t>
      </w:r>
      <w:proofErr w:type="spellStart"/>
      <w:r w:rsidRPr="00FE13AA">
        <w:rPr>
          <w:rFonts w:asciiTheme="minorHAnsi" w:hAnsiTheme="minorHAnsi"/>
        </w:rPr>
        <w:t>Fungiscope</w:t>
      </w:r>
      <w:proofErr w:type="spellEnd"/>
      <w:r w:rsidRPr="00FE13AA">
        <w:rPr>
          <w:rFonts w:asciiTheme="minorHAnsi" w:hAnsiTheme="minorHAnsi"/>
        </w:rPr>
        <w:t xml:space="preserve"> registry) as recommended. The RMP evaluator noted the inclusion of this information in the updated ASA. Australian centres have been included in the registry and the </w:t>
      </w:r>
      <w:r>
        <w:rPr>
          <w:rFonts w:asciiTheme="minorHAnsi" w:hAnsiTheme="minorHAnsi"/>
        </w:rPr>
        <w:t xml:space="preserve">study is still ongoing in 2019. Australian participation in the study should be noted </w:t>
      </w:r>
      <w:r w:rsidRPr="00FE13AA">
        <w:rPr>
          <w:rFonts w:asciiTheme="minorHAnsi" w:hAnsiTheme="minorHAnsi"/>
        </w:rPr>
        <w:t xml:space="preserve">when the ASA is </w:t>
      </w:r>
      <w:r>
        <w:rPr>
          <w:rFonts w:asciiTheme="minorHAnsi" w:hAnsiTheme="minorHAnsi"/>
        </w:rPr>
        <w:t>next updated.</w:t>
      </w:r>
    </w:p>
    <w:p w14:paraId="238E6A0B" w14:textId="77777777" w:rsidR="00BA7D4B" w:rsidRPr="005E2647" w:rsidRDefault="00BA7D4B" w:rsidP="00A960AE">
      <w:pPr>
        <w:pStyle w:val="ListBullet"/>
      </w:pPr>
      <w:r w:rsidRPr="005E2647">
        <w:t>Hepatotoxicity</w:t>
      </w:r>
    </w:p>
    <w:p w14:paraId="2986F2ED" w14:textId="34C17096" w:rsidR="00BA7D4B" w:rsidRPr="00B233F7" w:rsidRDefault="00BA7D4B" w:rsidP="00A960AE">
      <w:pPr>
        <w:spacing w:before="0" w:after="0" w:line="240" w:lineRule="auto"/>
        <w:ind w:left="360"/>
        <w:rPr>
          <w:rFonts w:asciiTheme="minorHAnsi" w:hAnsiTheme="minorHAnsi"/>
        </w:rPr>
      </w:pPr>
      <w:r w:rsidRPr="00B233F7">
        <w:rPr>
          <w:rFonts w:asciiTheme="minorHAnsi" w:hAnsiTheme="minorHAnsi"/>
        </w:rPr>
        <w:t xml:space="preserve">Hepatotoxicity is a class effect for </w:t>
      </w:r>
      <w:proofErr w:type="spellStart"/>
      <w:r w:rsidRPr="00B233F7">
        <w:rPr>
          <w:rFonts w:asciiTheme="minorHAnsi" w:hAnsiTheme="minorHAnsi"/>
        </w:rPr>
        <w:t>triazoles</w:t>
      </w:r>
      <w:proofErr w:type="spellEnd"/>
      <w:r w:rsidRPr="00B233F7">
        <w:rPr>
          <w:rFonts w:asciiTheme="minorHAnsi" w:hAnsiTheme="minorHAnsi"/>
        </w:rPr>
        <w:t xml:space="preserve"> and ‘hepatic function abnormal or hepatitis’ is an important identified risk for </w:t>
      </w:r>
      <w:proofErr w:type="spellStart"/>
      <w:r w:rsidRPr="00B233F7">
        <w:rPr>
          <w:rFonts w:asciiTheme="minorHAnsi" w:hAnsiTheme="minorHAnsi"/>
        </w:rPr>
        <w:t>Cresemba</w:t>
      </w:r>
      <w:proofErr w:type="spellEnd"/>
      <w:r w:rsidRPr="00B233F7">
        <w:rPr>
          <w:rFonts w:asciiTheme="minorHAnsi" w:hAnsiTheme="minorHAnsi"/>
        </w:rPr>
        <w:t xml:space="preserve">. The US FDA approved product label contains stronger warning than that in the draft Australian PI. The </w:t>
      </w:r>
      <w:r w:rsidR="00924F0E">
        <w:rPr>
          <w:rFonts w:asciiTheme="minorHAnsi" w:hAnsiTheme="minorHAnsi"/>
        </w:rPr>
        <w:t>first round</w:t>
      </w:r>
      <w:r w:rsidRPr="00B233F7">
        <w:rPr>
          <w:rFonts w:asciiTheme="minorHAnsi" w:hAnsiTheme="minorHAnsi"/>
        </w:rPr>
        <w:t xml:space="preserve"> RMP evaluation report recommended that the advice in Australian PI is strengthened to include the following: </w:t>
      </w:r>
    </w:p>
    <w:p w14:paraId="39223A27" w14:textId="77777777" w:rsidR="00BA7D4B" w:rsidRPr="00B233F7" w:rsidRDefault="00BA7D4B" w:rsidP="00A960AE">
      <w:pPr>
        <w:spacing w:before="0" w:after="0" w:line="240" w:lineRule="auto"/>
        <w:ind w:left="360"/>
        <w:rPr>
          <w:rFonts w:asciiTheme="minorHAnsi" w:hAnsiTheme="minorHAnsi"/>
        </w:rPr>
      </w:pPr>
      <w:r>
        <w:rPr>
          <w:rFonts w:asciiTheme="minorHAnsi" w:hAnsiTheme="minorHAnsi"/>
        </w:rPr>
        <w:t>‘</w:t>
      </w:r>
      <w:r w:rsidRPr="00B233F7">
        <w:rPr>
          <w:rFonts w:asciiTheme="minorHAnsi" w:hAnsiTheme="minorHAnsi"/>
        </w:rPr>
        <w:t xml:space="preserve">Serious hepatic reactions have been reported. Evaluate liver-related laboratory tests at the start and during the </w:t>
      </w:r>
      <w:r>
        <w:rPr>
          <w:rFonts w:asciiTheme="minorHAnsi" w:hAnsiTheme="minorHAnsi"/>
        </w:rPr>
        <w:t>course of CRESEMBA therapy.’</w:t>
      </w:r>
    </w:p>
    <w:p w14:paraId="711DABA7" w14:textId="1C041C28" w:rsidR="00BA7D4B" w:rsidRDefault="00BA7D4B" w:rsidP="00A960AE">
      <w:pPr>
        <w:spacing w:before="0" w:after="0" w:line="240" w:lineRule="auto"/>
        <w:ind w:left="360"/>
        <w:rPr>
          <w:rFonts w:asciiTheme="minorHAnsi" w:hAnsiTheme="minorHAnsi"/>
        </w:rPr>
      </w:pPr>
      <w:r w:rsidRPr="00B233F7">
        <w:rPr>
          <w:rFonts w:asciiTheme="minorHAnsi" w:hAnsiTheme="minorHAnsi"/>
        </w:rPr>
        <w:lastRenderedPageBreak/>
        <w:t xml:space="preserve">The sponsor proposed in its </w:t>
      </w:r>
      <w:r w:rsidR="00924F0E">
        <w:rPr>
          <w:rFonts w:asciiTheme="minorHAnsi" w:hAnsiTheme="minorHAnsi"/>
        </w:rPr>
        <w:t>post-first round evaluation</w:t>
      </w:r>
      <w:r w:rsidR="00924F0E" w:rsidRPr="00B233F7">
        <w:rPr>
          <w:rFonts w:asciiTheme="minorHAnsi" w:hAnsiTheme="minorHAnsi"/>
        </w:rPr>
        <w:t xml:space="preserve"> </w:t>
      </w:r>
      <w:r w:rsidRPr="00B233F7">
        <w:rPr>
          <w:rFonts w:asciiTheme="minorHAnsi" w:hAnsiTheme="minorHAnsi"/>
        </w:rPr>
        <w:t xml:space="preserve">response to incorporate the EU </w:t>
      </w:r>
      <w:proofErr w:type="spellStart"/>
      <w:r w:rsidRPr="00B233F7">
        <w:rPr>
          <w:rFonts w:asciiTheme="minorHAnsi" w:hAnsiTheme="minorHAnsi"/>
        </w:rPr>
        <w:t>SmPC</w:t>
      </w:r>
      <w:proofErr w:type="spellEnd"/>
      <w:r w:rsidRPr="00B233F7">
        <w:rPr>
          <w:rFonts w:asciiTheme="minorHAnsi" w:hAnsiTheme="minorHAnsi"/>
        </w:rPr>
        <w:t xml:space="preserve"> language regarding hepatotoxicity in the Australian PI as the EU </w:t>
      </w:r>
      <w:proofErr w:type="spellStart"/>
      <w:r w:rsidRPr="00B233F7">
        <w:rPr>
          <w:rFonts w:asciiTheme="minorHAnsi" w:hAnsiTheme="minorHAnsi"/>
        </w:rPr>
        <w:t>SmPC</w:t>
      </w:r>
      <w:proofErr w:type="spellEnd"/>
      <w:r w:rsidRPr="00B233F7">
        <w:rPr>
          <w:rFonts w:asciiTheme="minorHAnsi" w:hAnsiTheme="minorHAnsi"/>
        </w:rPr>
        <w:t xml:space="preserve"> is the reference label for Australia for this COR B submission</w:t>
      </w:r>
      <w:r>
        <w:rPr>
          <w:rFonts w:asciiTheme="minorHAnsi" w:hAnsiTheme="minorHAnsi"/>
        </w:rPr>
        <w:t>.</w:t>
      </w:r>
    </w:p>
    <w:p w14:paraId="42AAAD9C" w14:textId="344F8CD9" w:rsidR="00BA7D4B" w:rsidRPr="00257247" w:rsidRDefault="00BA7D4B" w:rsidP="00130259">
      <w:r w:rsidRPr="00924F0E">
        <w:t>The Delegate agrees that the wording regarding hepatotoxicity in the proposed PI should be strengthened as per the FDA PI. (see Review of Product information). Comment is sought from the sponsor and the ACM regarding the proposed surveillance program.</w:t>
      </w:r>
    </w:p>
    <w:p w14:paraId="46B14277" w14:textId="6CACC5D7" w:rsidR="00BA7D4B" w:rsidRPr="00A960AE" w:rsidRDefault="00BA7D4B" w:rsidP="00A960AE">
      <w:r>
        <w:t>The suggested wording for conditions of registration is:</w:t>
      </w:r>
    </w:p>
    <w:p w14:paraId="428EEF80" w14:textId="0F7A933E" w:rsidR="00BA7D4B" w:rsidRPr="00A960AE" w:rsidRDefault="00BA7D4B" w:rsidP="00A960AE">
      <w:pPr>
        <w:spacing w:before="0" w:after="0" w:line="240" w:lineRule="auto"/>
        <w:ind w:left="720"/>
        <w:rPr>
          <w:rFonts w:asciiTheme="minorHAnsi" w:hAnsiTheme="minorHAnsi"/>
        </w:rPr>
      </w:pPr>
      <w:r>
        <w:rPr>
          <w:rFonts w:asciiTheme="minorHAnsi" w:hAnsiTheme="minorHAnsi"/>
        </w:rPr>
        <w:t>‘</w:t>
      </w:r>
      <w:r w:rsidRPr="00763CEC">
        <w:rPr>
          <w:rFonts w:asciiTheme="minorHAnsi" w:hAnsiTheme="minorHAnsi"/>
        </w:rPr>
        <w:t xml:space="preserve">The </w:t>
      </w:r>
      <w:proofErr w:type="spellStart"/>
      <w:r w:rsidRPr="00763CEC">
        <w:rPr>
          <w:rFonts w:asciiTheme="minorHAnsi" w:hAnsiTheme="minorHAnsi"/>
        </w:rPr>
        <w:t>isavuconazonium</w:t>
      </w:r>
      <w:proofErr w:type="spellEnd"/>
      <w:r w:rsidRPr="00763CEC">
        <w:rPr>
          <w:rFonts w:asciiTheme="minorHAnsi" w:hAnsiTheme="minorHAnsi"/>
        </w:rPr>
        <w:t xml:space="preserve"> EU-Risk Management Plan (RMP) (version 5.0, dated 23 July 2015, data lock point 17 May 2015), with Australian Specific Annex (version 0.2, dated 19 December 2018), included with submission PM-2018-02483-1-2, and any subsequent revisions, as agreed with the TGA will be implemented in Australia.</w:t>
      </w:r>
      <w:r>
        <w:rPr>
          <w:rFonts w:asciiTheme="minorHAnsi" w:hAnsiTheme="minorHAnsi"/>
        </w:rPr>
        <w:t>’</w:t>
      </w:r>
    </w:p>
    <w:p w14:paraId="7370A550" w14:textId="77777777" w:rsidR="004E4BAE" w:rsidRDefault="004E4BAE" w:rsidP="0049278F">
      <w:pPr>
        <w:pStyle w:val="Heading3"/>
      </w:pPr>
      <w:bookmarkStart w:id="45" w:name="_Toc196046505"/>
      <w:bookmarkStart w:id="46" w:name="_Toc196046949"/>
      <w:bookmarkStart w:id="47" w:name="_Toc30577095"/>
      <w:r>
        <w:t>Conclusions</w:t>
      </w:r>
      <w:bookmarkEnd w:id="47"/>
    </w:p>
    <w:p w14:paraId="4382DF47" w14:textId="77777777" w:rsidR="004E4BAE" w:rsidRDefault="004E4BAE" w:rsidP="004E4BAE">
      <w:r>
        <w:t xml:space="preserve">The submitted data are adequate to demonstrate efficacy of </w:t>
      </w:r>
      <w:proofErr w:type="spellStart"/>
      <w:r>
        <w:t>isavuconazole</w:t>
      </w:r>
      <w:proofErr w:type="spellEnd"/>
      <w:r>
        <w:t xml:space="preserve"> for the treatment of patients with invasive </w:t>
      </w:r>
      <w:proofErr w:type="spellStart"/>
      <w:r>
        <w:t>aspergillosis</w:t>
      </w:r>
      <w:proofErr w:type="spellEnd"/>
      <w:r>
        <w:t>.</w:t>
      </w:r>
    </w:p>
    <w:p w14:paraId="0EBC9252" w14:textId="293AC6A4" w:rsidR="004E4BAE" w:rsidRDefault="004E4BAE" w:rsidP="004E4BAE">
      <w:r>
        <w:t xml:space="preserve">In regards to the use in patients with invasive </w:t>
      </w:r>
      <w:proofErr w:type="spellStart"/>
      <w:r>
        <w:t>mucormycosis</w:t>
      </w:r>
      <w:proofErr w:type="spellEnd"/>
      <w:r>
        <w:t xml:space="preserve">, data are limited by the rarity of the condition, the single-arm design of the study and the challenges in </w:t>
      </w:r>
      <w:r w:rsidRPr="005833CA">
        <w:t>diagnosis. These issues have been explored at leng</w:t>
      </w:r>
      <w:r w:rsidR="00F27DB2" w:rsidRPr="005833CA">
        <w:t xml:space="preserve">th by the </w:t>
      </w:r>
      <w:r w:rsidR="005833CA" w:rsidRPr="005833CA">
        <w:t>overseas regulators</w:t>
      </w:r>
      <w:r w:rsidR="00F27DB2" w:rsidRPr="005833CA">
        <w:t>. The s</w:t>
      </w:r>
      <w:r w:rsidRPr="005833CA">
        <w:t>ponsor changed the requested indication to use in patients for whom amphotericin B is inappropria</w:t>
      </w:r>
      <w:r>
        <w:t>te during the CHMP evaluation, although there were limited numbers of patients refractory to amphotericin B in the submitted study.</w:t>
      </w:r>
    </w:p>
    <w:p w14:paraId="7345FA00" w14:textId="77777777" w:rsidR="00456765" w:rsidRPr="00456765" w:rsidRDefault="004E4BAE" w:rsidP="004E4BAE">
      <w:r>
        <w:t xml:space="preserve">The Delegate seeks advice on this indication from the ACM, but is inclined to approve the registration of </w:t>
      </w:r>
      <w:proofErr w:type="spellStart"/>
      <w:r>
        <w:t>isavuconazole</w:t>
      </w:r>
      <w:proofErr w:type="spellEnd"/>
      <w:r>
        <w:t xml:space="preserve"> for adults for the treatment of invasive </w:t>
      </w:r>
      <w:proofErr w:type="spellStart"/>
      <w:r>
        <w:t>aspergillosis</w:t>
      </w:r>
      <w:proofErr w:type="spellEnd"/>
      <w:r>
        <w:t xml:space="preserve"> and </w:t>
      </w:r>
      <w:proofErr w:type="spellStart"/>
      <w:r>
        <w:t>mucormycosis</w:t>
      </w:r>
      <w:proofErr w:type="spellEnd"/>
      <w:r>
        <w:t xml:space="preserve"> in patients for whom amphotericin B is inappropriate, noting the overseas assessments, acceptable toxicity profile and limitations of the data for rare infections.</w:t>
      </w:r>
    </w:p>
    <w:p w14:paraId="5E94C444" w14:textId="77777777" w:rsidR="00D23139" w:rsidRDefault="00D23139" w:rsidP="00D23139">
      <w:pPr>
        <w:pStyle w:val="Heading4"/>
      </w:pPr>
      <w:r w:rsidRPr="00D23139">
        <w:t>Proposed action</w:t>
      </w:r>
    </w:p>
    <w:p w14:paraId="0C3A3EB2" w14:textId="77777777" w:rsidR="00456765" w:rsidRDefault="004E4BAE" w:rsidP="004E4BAE">
      <w:r>
        <w:t xml:space="preserve">The submitted data are adequate to demonstrate efficacy of </w:t>
      </w:r>
      <w:proofErr w:type="spellStart"/>
      <w:r>
        <w:t>isavuconazole</w:t>
      </w:r>
      <w:proofErr w:type="spellEnd"/>
      <w:r>
        <w:t xml:space="preserve"> for the treatment of patients with invasive </w:t>
      </w:r>
      <w:proofErr w:type="spellStart"/>
      <w:r>
        <w:t>aspergillosis</w:t>
      </w:r>
      <w:proofErr w:type="spellEnd"/>
      <w:r>
        <w:t xml:space="preserve">. Efficacy for the indication of invasive </w:t>
      </w:r>
      <w:proofErr w:type="spellStart"/>
      <w:r>
        <w:t>mucormycosis</w:t>
      </w:r>
      <w:proofErr w:type="spellEnd"/>
      <w:r>
        <w:t xml:space="preserve"> comes from a subpopulation of patients enrolled in a single</w:t>
      </w:r>
      <w:r w:rsidR="0049278F">
        <w:t xml:space="preserve"> </w:t>
      </w:r>
      <w:r>
        <w:t xml:space="preserve">arm study and from the context of published literature on the treatment of </w:t>
      </w:r>
      <w:proofErr w:type="spellStart"/>
      <w:r>
        <w:t>mucormycosis</w:t>
      </w:r>
      <w:proofErr w:type="spellEnd"/>
      <w:r>
        <w:t xml:space="preserve"> and case-matching from a global registry database. The safety profile of </w:t>
      </w:r>
      <w:proofErr w:type="spellStart"/>
      <w:r>
        <w:t>Cresemba</w:t>
      </w:r>
      <w:proofErr w:type="spellEnd"/>
      <w:r>
        <w:t xml:space="preserve"> is consistent with the class effects of azole antifungal therapies and includes the potential for hepatotoxicity and drug-drug interactions.</w:t>
      </w:r>
    </w:p>
    <w:p w14:paraId="3183EBE9" w14:textId="77777777" w:rsidR="004E4BAE" w:rsidRPr="00456765" w:rsidRDefault="0065420C" w:rsidP="004E4BAE">
      <w:r>
        <w:t>There is</w:t>
      </w:r>
      <w:r w:rsidR="004E4BAE" w:rsidRPr="004E4BAE">
        <w:t xml:space="preserve"> no reason to say, at this time, that the application for </w:t>
      </w:r>
      <w:proofErr w:type="spellStart"/>
      <w:r w:rsidR="004E4BAE" w:rsidRPr="004E4BAE">
        <w:t>C</w:t>
      </w:r>
      <w:r>
        <w:t>resemba</w:t>
      </w:r>
      <w:proofErr w:type="spellEnd"/>
      <w:r w:rsidR="004E4BAE" w:rsidRPr="004E4BAE">
        <w:t xml:space="preserve"> should not be approved for registration.</w:t>
      </w:r>
    </w:p>
    <w:p w14:paraId="2CFE1ACB" w14:textId="77777777" w:rsidR="00D23139" w:rsidRDefault="00A22D57" w:rsidP="00D23139">
      <w:pPr>
        <w:pStyle w:val="Heading4"/>
      </w:pPr>
      <w:r>
        <w:t>Request for AC</w:t>
      </w:r>
      <w:r w:rsidR="00D23139" w:rsidRPr="00D23139">
        <w:t>M advice</w:t>
      </w:r>
    </w:p>
    <w:p w14:paraId="2B56ACB9" w14:textId="77777777" w:rsidR="00340716" w:rsidRDefault="00340716" w:rsidP="00340716">
      <w:r>
        <w:t>The committee is requested to provide advice on the following specific issues:</w:t>
      </w:r>
    </w:p>
    <w:p w14:paraId="372CF9EB" w14:textId="77777777" w:rsidR="00340716" w:rsidRDefault="00340716" w:rsidP="0065420C">
      <w:pPr>
        <w:pStyle w:val="Numberbullet0"/>
      </w:pPr>
      <w:r>
        <w:t xml:space="preserve">The proposed indication for </w:t>
      </w:r>
      <w:proofErr w:type="spellStart"/>
      <w:r>
        <w:t>mucormycosis</w:t>
      </w:r>
      <w:proofErr w:type="spellEnd"/>
      <w:r>
        <w:t>, in light of the findings of the clinical trial and concerns raised by the EU CHMP.</w:t>
      </w:r>
      <w:r w:rsidR="0065420C">
        <w:t xml:space="preserve"> </w:t>
      </w:r>
      <w:r>
        <w:t xml:space="preserve">Does the committee agree with the proposed wording of the indication for </w:t>
      </w:r>
      <w:proofErr w:type="spellStart"/>
      <w:r>
        <w:t>mucormycosis</w:t>
      </w:r>
      <w:proofErr w:type="spellEnd"/>
      <w:r>
        <w:t>?</w:t>
      </w:r>
    </w:p>
    <w:p w14:paraId="537C7580" w14:textId="08020746" w:rsidR="00340716" w:rsidRDefault="00340716" w:rsidP="0065420C">
      <w:pPr>
        <w:pStyle w:val="Numberbullet0"/>
      </w:pPr>
      <w:r>
        <w:t xml:space="preserve">The antimicrobial surveillance monitoring proposed by the </w:t>
      </w:r>
      <w:r w:rsidR="00924F0E">
        <w:t>s</w:t>
      </w:r>
      <w:r>
        <w:t>ponsor and the Australian context, noting the comments from the RMP evaluator.</w:t>
      </w:r>
    </w:p>
    <w:p w14:paraId="68B49420" w14:textId="77777777" w:rsidR="00456765" w:rsidRPr="00456765" w:rsidRDefault="00340716" w:rsidP="00340716">
      <w:r>
        <w:t>The committee is (also) requested to provide advice on any other issues that it thinks may be relevant to a decision on whether or not to approve this application.</w:t>
      </w:r>
    </w:p>
    <w:p w14:paraId="72A38DA7" w14:textId="77777777" w:rsidR="008E7846" w:rsidRDefault="008E7846" w:rsidP="008E7846">
      <w:pPr>
        <w:pStyle w:val="Heading4"/>
      </w:pPr>
      <w:r>
        <w:lastRenderedPageBreak/>
        <w:t>Advisory Committee Considerations</w:t>
      </w:r>
      <w:r w:rsidR="00456765">
        <w:rPr>
          <w:rStyle w:val="FootnoteReference"/>
        </w:rPr>
        <w:footnoteReference w:id="11"/>
      </w:r>
    </w:p>
    <w:p w14:paraId="077E2D71" w14:textId="77777777" w:rsidR="008E7846" w:rsidRDefault="00456765" w:rsidP="008E7846">
      <w:pPr>
        <w:rPr>
          <w:bCs/>
        </w:rPr>
      </w:pPr>
      <w:r w:rsidRPr="00456765">
        <w:rPr>
          <w:bCs/>
        </w:rPr>
        <w:t>The Advisory Committee on Medicines (ACM), having considered the evaluations and the Delegate’s overview, as well as the sponsor’s response to these documents, advised the following:</w:t>
      </w:r>
    </w:p>
    <w:p w14:paraId="0EA1FF93" w14:textId="44F9A93E" w:rsidR="00762456" w:rsidRDefault="000D0108" w:rsidP="000D0108">
      <w:pPr>
        <w:pStyle w:val="Default"/>
        <w:rPr>
          <w:sz w:val="22"/>
          <w:szCs w:val="22"/>
        </w:rPr>
      </w:pPr>
      <w:r>
        <w:rPr>
          <w:sz w:val="22"/>
          <w:szCs w:val="22"/>
        </w:rPr>
        <w:t xml:space="preserve">The ACM considered the referral for advice from the Delegate in relation to the application to register </w:t>
      </w:r>
      <w:proofErr w:type="spellStart"/>
      <w:r w:rsidR="00F27DB2">
        <w:rPr>
          <w:sz w:val="22"/>
          <w:szCs w:val="22"/>
        </w:rPr>
        <w:t>Cresemba</w:t>
      </w:r>
      <w:proofErr w:type="spellEnd"/>
      <w:r>
        <w:rPr>
          <w:sz w:val="22"/>
          <w:szCs w:val="22"/>
        </w:rPr>
        <w:t xml:space="preserve"> in the form of powder for intravenous injection, containing 200 mg </w:t>
      </w:r>
      <w:proofErr w:type="spellStart"/>
      <w:r>
        <w:rPr>
          <w:sz w:val="22"/>
          <w:szCs w:val="22"/>
        </w:rPr>
        <w:t>isavuconazole</w:t>
      </w:r>
      <w:proofErr w:type="spellEnd"/>
      <w:r>
        <w:rPr>
          <w:sz w:val="22"/>
          <w:szCs w:val="22"/>
        </w:rPr>
        <w:t xml:space="preserve">, and capsules for oral administration, containing 100 mg of </w:t>
      </w:r>
      <w:proofErr w:type="spellStart"/>
      <w:r>
        <w:rPr>
          <w:sz w:val="22"/>
          <w:szCs w:val="22"/>
        </w:rPr>
        <w:t>isavuconazole</w:t>
      </w:r>
      <w:proofErr w:type="spellEnd"/>
      <w:r>
        <w:rPr>
          <w:sz w:val="22"/>
          <w:szCs w:val="22"/>
        </w:rPr>
        <w:t>.</w:t>
      </w:r>
    </w:p>
    <w:p w14:paraId="77D674BA" w14:textId="77777777" w:rsidR="00762456" w:rsidRDefault="000D0108" w:rsidP="000D0108">
      <w:pPr>
        <w:pStyle w:val="Default"/>
        <w:rPr>
          <w:sz w:val="22"/>
          <w:szCs w:val="22"/>
        </w:rPr>
      </w:pPr>
      <w:r>
        <w:rPr>
          <w:sz w:val="22"/>
          <w:szCs w:val="22"/>
        </w:rPr>
        <w:t xml:space="preserve">The ACM agreed that </w:t>
      </w:r>
      <w:proofErr w:type="spellStart"/>
      <w:r>
        <w:rPr>
          <w:sz w:val="22"/>
          <w:szCs w:val="22"/>
        </w:rPr>
        <w:t>Cresemba</w:t>
      </w:r>
      <w:proofErr w:type="spellEnd"/>
      <w:r>
        <w:rPr>
          <w:sz w:val="22"/>
          <w:szCs w:val="22"/>
        </w:rPr>
        <w:t xml:space="preserve"> had an overall positive benefit-risk profile for the proposed indication:</w:t>
      </w:r>
    </w:p>
    <w:p w14:paraId="79490AF6" w14:textId="77777777" w:rsidR="00762456" w:rsidRDefault="000D0108" w:rsidP="000D0108">
      <w:pPr>
        <w:pStyle w:val="Default"/>
        <w:ind w:left="720"/>
        <w:rPr>
          <w:i/>
          <w:iCs/>
          <w:sz w:val="22"/>
          <w:szCs w:val="22"/>
        </w:rPr>
      </w:pPr>
      <w:proofErr w:type="spellStart"/>
      <w:r>
        <w:rPr>
          <w:i/>
          <w:iCs/>
          <w:sz w:val="22"/>
          <w:szCs w:val="22"/>
        </w:rPr>
        <w:t>Cresemba</w:t>
      </w:r>
      <w:proofErr w:type="spellEnd"/>
      <w:r>
        <w:rPr>
          <w:i/>
          <w:iCs/>
          <w:sz w:val="22"/>
          <w:szCs w:val="22"/>
        </w:rPr>
        <w:t xml:space="preserve"> is a </w:t>
      </w:r>
      <w:proofErr w:type="spellStart"/>
      <w:r>
        <w:rPr>
          <w:i/>
          <w:iCs/>
          <w:sz w:val="22"/>
          <w:szCs w:val="22"/>
        </w:rPr>
        <w:t>triazole</w:t>
      </w:r>
      <w:proofErr w:type="spellEnd"/>
      <w:r>
        <w:rPr>
          <w:i/>
          <w:iCs/>
          <w:sz w:val="22"/>
          <w:szCs w:val="22"/>
        </w:rPr>
        <w:t xml:space="preserve"> which is indicated in adults for the treatment of:</w:t>
      </w:r>
    </w:p>
    <w:p w14:paraId="02368844" w14:textId="77777777" w:rsidR="00762456" w:rsidRDefault="000D0108" w:rsidP="000D0108">
      <w:pPr>
        <w:pStyle w:val="ListBullet3"/>
        <w:rPr>
          <w:i/>
        </w:rPr>
      </w:pPr>
      <w:r w:rsidRPr="0002457C">
        <w:rPr>
          <w:i/>
        </w:rPr>
        <w:t xml:space="preserve">invasive </w:t>
      </w:r>
      <w:proofErr w:type="spellStart"/>
      <w:r w:rsidRPr="0002457C">
        <w:rPr>
          <w:i/>
        </w:rPr>
        <w:t>aspergillosis</w:t>
      </w:r>
      <w:proofErr w:type="spellEnd"/>
    </w:p>
    <w:p w14:paraId="011646CA" w14:textId="77777777" w:rsidR="000D0108" w:rsidRDefault="000D0108" w:rsidP="000D0108">
      <w:pPr>
        <w:pStyle w:val="ListBullet3"/>
      </w:pPr>
      <w:proofErr w:type="spellStart"/>
      <w:r w:rsidRPr="0002457C">
        <w:rPr>
          <w:i/>
        </w:rPr>
        <w:t>mucormycosis</w:t>
      </w:r>
      <w:proofErr w:type="spellEnd"/>
      <w:r w:rsidRPr="0002457C">
        <w:rPr>
          <w:i/>
        </w:rPr>
        <w:t xml:space="preserve"> in patients for whom amphotericin B is inappropriate</w:t>
      </w:r>
    </w:p>
    <w:p w14:paraId="4EA65BB2" w14:textId="77777777" w:rsidR="00762456" w:rsidRDefault="000D0108" w:rsidP="000D0108">
      <w:pPr>
        <w:pStyle w:val="Default"/>
        <w:rPr>
          <w:sz w:val="22"/>
          <w:szCs w:val="22"/>
        </w:rPr>
      </w:pPr>
      <w:r>
        <w:rPr>
          <w:sz w:val="22"/>
          <w:szCs w:val="22"/>
        </w:rPr>
        <w:t>In providing this advice the ACM noted that:</w:t>
      </w:r>
    </w:p>
    <w:p w14:paraId="5F18A1DC" w14:textId="0972B63C" w:rsidR="00762456" w:rsidRDefault="000D0108" w:rsidP="000D0108">
      <w:pPr>
        <w:pStyle w:val="ListBullet"/>
      </w:pPr>
      <w:proofErr w:type="spellStart"/>
      <w:r>
        <w:t>Cresemba</w:t>
      </w:r>
      <w:proofErr w:type="spellEnd"/>
      <w:r>
        <w:t xml:space="preserve"> is approved in the EU and USA for similar indications</w:t>
      </w:r>
      <w:r w:rsidR="00924F0E">
        <w:t>;</w:t>
      </w:r>
    </w:p>
    <w:p w14:paraId="4F0658BA" w14:textId="2CB18A40" w:rsidR="00762456" w:rsidRPr="009A2FCA" w:rsidRDefault="000D0108" w:rsidP="000D0108">
      <w:pPr>
        <w:pStyle w:val="ListBullet"/>
      </w:pPr>
      <w:r>
        <w:t xml:space="preserve">the </w:t>
      </w:r>
      <w:r w:rsidRPr="009A2FCA">
        <w:t xml:space="preserve">submitted application is based on the EMA evaluation of </w:t>
      </w:r>
      <w:proofErr w:type="spellStart"/>
      <w:r w:rsidRPr="009A2FCA">
        <w:t>C</w:t>
      </w:r>
      <w:r w:rsidR="0009480A" w:rsidRPr="009A2FCA">
        <w:t>resemba</w:t>
      </w:r>
      <w:proofErr w:type="spellEnd"/>
      <w:r w:rsidRPr="009A2FCA">
        <w:t xml:space="preserve"> completed in 2015</w:t>
      </w:r>
      <w:r w:rsidR="00924F0E">
        <w:t>;</w:t>
      </w:r>
    </w:p>
    <w:p w14:paraId="4186AF50" w14:textId="77777777" w:rsidR="00762456" w:rsidRDefault="000D0108" w:rsidP="000D0108">
      <w:pPr>
        <w:pStyle w:val="ListBullet"/>
      </w:pPr>
      <w:r>
        <w:t xml:space="preserve">the current therapy for </w:t>
      </w:r>
      <w:proofErr w:type="spellStart"/>
      <w:r>
        <w:t>aspergillosis</w:t>
      </w:r>
      <w:proofErr w:type="spellEnd"/>
      <w:r>
        <w:t xml:space="preserve"> is treatment with </w:t>
      </w:r>
      <w:proofErr w:type="spellStart"/>
      <w:r>
        <w:t>voriconazole</w:t>
      </w:r>
      <w:proofErr w:type="spellEnd"/>
      <w:r>
        <w:t xml:space="preserve"> or amphotericin. The issues associated with </w:t>
      </w:r>
      <w:proofErr w:type="spellStart"/>
      <w:r>
        <w:t>voriconazole</w:t>
      </w:r>
      <w:proofErr w:type="spellEnd"/>
      <w:r>
        <w:t xml:space="preserve"> treatment include a narrow therapeutic window, visual disturbance and photosensitivity.</w:t>
      </w:r>
    </w:p>
    <w:p w14:paraId="67005E6F" w14:textId="77777777" w:rsidR="00762456" w:rsidRDefault="000D0108" w:rsidP="000D0108">
      <w:pPr>
        <w:pStyle w:val="ListBullet"/>
      </w:pPr>
      <w:r>
        <w:t xml:space="preserve">the pharmacokinetics of </w:t>
      </w:r>
      <w:proofErr w:type="spellStart"/>
      <w:r>
        <w:t>isavuconazole</w:t>
      </w:r>
      <w:proofErr w:type="spellEnd"/>
      <w:r>
        <w:t xml:space="preserve"> differed in Asian populations and that this information was included in the US-approved PI but not included in the EU-approved PI.</w:t>
      </w:r>
    </w:p>
    <w:p w14:paraId="1433C861" w14:textId="77777777" w:rsidR="00762456" w:rsidRDefault="000D0108" w:rsidP="000D0108">
      <w:pPr>
        <w:pStyle w:val="Default"/>
        <w:rPr>
          <w:sz w:val="22"/>
          <w:szCs w:val="22"/>
        </w:rPr>
      </w:pPr>
      <w:r>
        <w:rPr>
          <w:sz w:val="22"/>
          <w:szCs w:val="22"/>
        </w:rPr>
        <w:t>The ACM agreed that the pharmacokinetic variability had no known clinical relevance.</w:t>
      </w:r>
    </w:p>
    <w:p w14:paraId="219AF4FA" w14:textId="77777777" w:rsidR="00762456" w:rsidRDefault="000D0108" w:rsidP="000D0108">
      <w:pPr>
        <w:pStyle w:val="ListBullet"/>
      </w:pPr>
      <w:r>
        <w:t xml:space="preserve">there are few treatment options for </w:t>
      </w:r>
      <w:proofErr w:type="spellStart"/>
      <w:r>
        <w:t>mucormycosis</w:t>
      </w:r>
      <w:proofErr w:type="spellEnd"/>
      <w:r>
        <w:t xml:space="preserve"> in patients for whom amphotericin B is inappropriate. </w:t>
      </w:r>
      <w:proofErr w:type="spellStart"/>
      <w:r>
        <w:t>Mucormycosis</w:t>
      </w:r>
      <w:proofErr w:type="spellEnd"/>
      <w:r>
        <w:t xml:space="preserve"> is a rare and serious fungal infection with high mortality rates.</w:t>
      </w:r>
    </w:p>
    <w:p w14:paraId="50B4D617" w14:textId="77777777" w:rsidR="00762456" w:rsidRDefault="000D0108" w:rsidP="000D0108">
      <w:pPr>
        <w:pStyle w:val="ListBullet"/>
      </w:pPr>
      <w:proofErr w:type="spellStart"/>
      <w:r>
        <w:t>isavuconazole</w:t>
      </w:r>
      <w:proofErr w:type="spellEnd"/>
      <w:r>
        <w:t xml:space="preserve"> was active against most strains of </w:t>
      </w:r>
      <w:r w:rsidRPr="00497A38">
        <w:rPr>
          <w:i/>
          <w:iCs/>
        </w:rPr>
        <w:t>Aspergillus</w:t>
      </w:r>
      <w:r w:rsidRPr="000D0108">
        <w:rPr>
          <w:iCs/>
        </w:rPr>
        <w:t xml:space="preserve"> </w:t>
      </w:r>
      <w:r w:rsidRPr="000D0108">
        <w:t xml:space="preserve">and variably active against </w:t>
      </w:r>
      <w:proofErr w:type="spellStart"/>
      <w:r w:rsidRPr="00497A38">
        <w:rPr>
          <w:i/>
          <w:iCs/>
        </w:rPr>
        <w:t>Mucorales</w:t>
      </w:r>
      <w:proofErr w:type="spellEnd"/>
      <w:r w:rsidRPr="000D0108">
        <w:rPr>
          <w:iCs/>
        </w:rPr>
        <w:t xml:space="preserve"> </w:t>
      </w:r>
      <w:r w:rsidRPr="000D0108">
        <w:t>species.</w:t>
      </w:r>
    </w:p>
    <w:p w14:paraId="4485FDD5" w14:textId="77777777" w:rsidR="00762456" w:rsidRDefault="000D0108" w:rsidP="000D0108">
      <w:pPr>
        <w:pStyle w:val="ListBullet"/>
      </w:pPr>
      <w:r>
        <w:t xml:space="preserve">there were low numbers of Asian patients included in the efficacy study for </w:t>
      </w:r>
      <w:proofErr w:type="spellStart"/>
      <w:r>
        <w:t>aspergillosis</w:t>
      </w:r>
      <w:proofErr w:type="spellEnd"/>
      <w:r>
        <w:t>.</w:t>
      </w:r>
    </w:p>
    <w:p w14:paraId="6367A72C" w14:textId="77777777" w:rsidR="00762456" w:rsidRDefault="000D0108" w:rsidP="000D0108">
      <w:pPr>
        <w:pStyle w:val="ListBullet"/>
      </w:pPr>
      <w:r>
        <w:t xml:space="preserve">the safety data for </w:t>
      </w:r>
      <w:proofErr w:type="spellStart"/>
      <w:r>
        <w:t>isavuconazole</w:t>
      </w:r>
      <w:proofErr w:type="spellEnd"/>
      <w:r>
        <w:t xml:space="preserve"> indicated a significant reduction in selected adverse effects compared to </w:t>
      </w:r>
      <w:proofErr w:type="spellStart"/>
      <w:r>
        <w:t>voriconazole</w:t>
      </w:r>
      <w:proofErr w:type="spellEnd"/>
      <w:r>
        <w:t>.</w:t>
      </w:r>
    </w:p>
    <w:p w14:paraId="1A85382D" w14:textId="2E8F02DE" w:rsidR="00762456" w:rsidRDefault="000D0108" w:rsidP="000D0108">
      <w:pPr>
        <w:pStyle w:val="Default"/>
        <w:rPr>
          <w:b/>
          <w:bCs/>
          <w:sz w:val="22"/>
          <w:szCs w:val="22"/>
        </w:rPr>
      </w:pPr>
      <w:r>
        <w:rPr>
          <w:b/>
          <w:bCs/>
          <w:sz w:val="22"/>
          <w:szCs w:val="22"/>
        </w:rPr>
        <w:t xml:space="preserve">Specific </w:t>
      </w:r>
      <w:r w:rsidR="000F30E4">
        <w:rPr>
          <w:b/>
          <w:bCs/>
          <w:sz w:val="22"/>
          <w:szCs w:val="22"/>
        </w:rPr>
        <w:t>a</w:t>
      </w:r>
      <w:r>
        <w:rPr>
          <w:b/>
          <w:bCs/>
          <w:sz w:val="22"/>
          <w:szCs w:val="22"/>
        </w:rPr>
        <w:t>dvice</w:t>
      </w:r>
    </w:p>
    <w:p w14:paraId="03C8CD20" w14:textId="77777777" w:rsidR="000D0108" w:rsidRDefault="000D0108" w:rsidP="000D0108">
      <w:r>
        <w:t>The ACM advised the following in response to the Delegate’s specific request for advice:</w:t>
      </w:r>
    </w:p>
    <w:p w14:paraId="4971EFA2" w14:textId="77777777" w:rsidR="00762456" w:rsidRPr="00497A38" w:rsidRDefault="000D0108" w:rsidP="00497A38">
      <w:pPr>
        <w:pStyle w:val="Numberbullet0"/>
        <w:numPr>
          <w:ilvl w:val="0"/>
          <w:numId w:val="32"/>
        </w:numPr>
        <w:rPr>
          <w:b/>
          <w:i/>
        </w:rPr>
      </w:pPr>
      <w:r w:rsidRPr="00497A38">
        <w:rPr>
          <w:b/>
          <w:i/>
        </w:rPr>
        <w:t xml:space="preserve">The proposed indication for </w:t>
      </w:r>
      <w:proofErr w:type="spellStart"/>
      <w:r w:rsidRPr="00497A38">
        <w:rPr>
          <w:b/>
          <w:i/>
        </w:rPr>
        <w:t>mucormycosis</w:t>
      </w:r>
      <w:proofErr w:type="spellEnd"/>
      <w:r w:rsidRPr="00497A38">
        <w:rPr>
          <w:b/>
          <w:i/>
        </w:rPr>
        <w:t xml:space="preserve">, in light of the findings of the clinical trial and concerns raised by the EU CHMP. Does the committee agree with the proposed wording of the indication for </w:t>
      </w:r>
      <w:proofErr w:type="spellStart"/>
      <w:r w:rsidRPr="00497A38">
        <w:rPr>
          <w:b/>
          <w:i/>
        </w:rPr>
        <w:t>mucormycosis</w:t>
      </w:r>
      <w:proofErr w:type="spellEnd"/>
      <w:r w:rsidRPr="00497A38">
        <w:rPr>
          <w:b/>
          <w:i/>
        </w:rPr>
        <w:t>?</w:t>
      </w:r>
    </w:p>
    <w:p w14:paraId="3302FDBB" w14:textId="1B92572B" w:rsidR="000D0108" w:rsidRPr="000D0108" w:rsidRDefault="000D0108" w:rsidP="00F17F21">
      <w:pPr>
        <w:ind w:left="425"/>
      </w:pPr>
      <w:r w:rsidRPr="000D0108">
        <w:lastRenderedPageBreak/>
        <w:t xml:space="preserve">The ACM noted that the approved indication for </w:t>
      </w:r>
      <w:proofErr w:type="spellStart"/>
      <w:r w:rsidRPr="000D0108">
        <w:t>C</w:t>
      </w:r>
      <w:r w:rsidR="0002457C">
        <w:t>resemba</w:t>
      </w:r>
      <w:proofErr w:type="spellEnd"/>
      <w:r w:rsidRPr="000D0108">
        <w:t xml:space="preserve"> in the USA does not</w:t>
      </w:r>
      <w:r>
        <w:t xml:space="preserve"> </w:t>
      </w:r>
      <w:r w:rsidRPr="000D0108">
        <w:t xml:space="preserve">include the comment </w:t>
      </w:r>
      <w:r w:rsidR="00924F0E">
        <w:t>‘</w:t>
      </w:r>
      <w:r w:rsidRPr="0002457C">
        <w:rPr>
          <w:i/>
        </w:rPr>
        <w:t>in patients for whom amphotericin B is inappropriate</w:t>
      </w:r>
      <w:r w:rsidR="00924F0E">
        <w:t>’</w:t>
      </w:r>
      <w:r w:rsidRPr="000D0108">
        <w:t>, unlike</w:t>
      </w:r>
      <w:r>
        <w:t xml:space="preserve"> </w:t>
      </w:r>
      <w:r w:rsidRPr="000D0108">
        <w:t>the indication approved in the EU.</w:t>
      </w:r>
      <w:r>
        <w:t xml:space="preserve"> </w:t>
      </w:r>
      <w:r w:rsidRPr="000D0108">
        <w:t xml:space="preserve">The ACM noted the limited clinical data for </w:t>
      </w:r>
      <w:proofErr w:type="spellStart"/>
      <w:r w:rsidRPr="000D0108">
        <w:t>isavuconazole</w:t>
      </w:r>
      <w:proofErr w:type="spellEnd"/>
      <w:r w:rsidRPr="000D0108">
        <w:t xml:space="preserve"> in </w:t>
      </w:r>
      <w:proofErr w:type="spellStart"/>
      <w:r w:rsidRPr="000D0108">
        <w:t>mucormycosis</w:t>
      </w:r>
      <w:proofErr w:type="spellEnd"/>
      <w:r w:rsidRPr="000D0108">
        <w:t xml:space="preserve"> as</w:t>
      </w:r>
      <w:r>
        <w:t xml:space="preserve"> </w:t>
      </w:r>
      <w:r w:rsidRPr="000D0108">
        <w:t>described in the PI. The limited data is most likely attributable to the rarity of the</w:t>
      </w:r>
      <w:r>
        <w:t xml:space="preserve"> </w:t>
      </w:r>
      <w:r w:rsidRPr="000D0108">
        <w:t>condition and the likely use as salvage therapy in dying patients. Due to the rarity of</w:t>
      </w:r>
      <w:r>
        <w:t xml:space="preserve"> </w:t>
      </w:r>
      <w:r w:rsidRPr="000D0108">
        <w:t>the condition, treatment would be overseen by specialists who understand the data</w:t>
      </w:r>
      <w:r>
        <w:t xml:space="preserve"> </w:t>
      </w:r>
      <w:r w:rsidRPr="000D0108">
        <w:t>limitations and lack of alternative treatment options besides amphotericin B.</w:t>
      </w:r>
      <w:r>
        <w:t xml:space="preserve"> </w:t>
      </w:r>
      <w:r w:rsidRPr="000D0108">
        <w:t xml:space="preserve">Given the data limitations and that some strains of </w:t>
      </w:r>
      <w:proofErr w:type="spellStart"/>
      <w:r w:rsidRPr="000D0108">
        <w:t>Mucorales</w:t>
      </w:r>
      <w:proofErr w:type="spellEnd"/>
      <w:r w:rsidRPr="000D0108">
        <w:t xml:space="preserve"> species are intrinsically</w:t>
      </w:r>
      <w:r>
        <w:t xml:space="preserve"> </w:t>
      </w:r>
      <w:r w:rsidRPr="000D0108">
        <w:t xml:space="preserve">resistant to </w:t>
      </w:r>
      <w:proofErr w:type="spellStart"/>
      <w:r w:rsidRPr="000D0108">
        <w:t>isavuconazole</w:t>
      </w:r>
      <w:proofErr w:type="spellEnd"/>
      <w:r w:rsidRPr="000D0108">
        <w:t xml:space="preserve">, the ACM was of the view that </w:t>
      </w:r>
      <w:proofErr w:type="spellStart"/>
      <w:r w:rsidRPr="000D0108">
        <w:t>isavuconazole</w:t>
      </w:r>
      <w:proofErr w:type="spellEnd"/>
      <w:r w:rsidRPr="000D0108">
        <w:t xml:space="preserve"> should be</w:t>
      </w:r>
      <w:r>
        <w:t xml:space="preserve"> </w:t>
      </w:r>
      <w:r w:rsidRPr="000D0108">
        <w:t>restricted to patients where use of amphotericin B is inappropriate.</w:t>
      </w:r>
    </w:p>
    <w:p w14:paraId="14CCCDA5" w14:textId="150F1E90" w:rsidR="00762456" w:rsidRPr="00497A38" w:rsidRDefault="000D0108" w:rsidP="00497A38">
      <w:pPr>
        <w:pStyle w:val="Numberbullet0"/>
        <w:rPr>
          <w:b/>
          <w:i/>
        </w:rPr>
      </w:pPr>
      <w:r w:rsidRPr="00497A38">
        <w:rPr>
          <w:b/>
          <w:i/>
        </w:rPr>
        <w:t xml:space="preserve">The antimicrobial surveillance monitoring proposed by the </w:t>
      </w:r>
      <w:r w:rsidR="00924F0E">
        <w:rPr>
          <w:b/>
          <w:i/>
        </w:rPr>
        <w:t>s</w:t>
      </w:r>
      <w:r w:rsidRPr="00497A38">
        <w:rPr>
          <w:b/>
          <w:i/>
        </w:rPr>
        <w:t>ponsor and the Australian context, noting the comments from the RMP evaluator.</w:t>
      </w:r>
    </w:p>
    <w:p w14:paraId="0FF9FD33" w14:textId="0756D569" w:rsidR="000D0108" w:rsidRDefault="000D0108" w:rsidP="0002457C">
      <w:pPr>
        <w:ind w:left="360"/>
      </w:pPr>
      <w:r w:rsidRPr="000D0108">
        <w:t xml:space="preserve">The ACM noted that there is no recommendation as yet to monitor </w:t>
      </w:r>
      <w:proofErr w:type="spellStart"/>
      <w:r w:rsidRPr="000D0108">
        <w:t>isavuconazole</w:t>
      </w:r>
      <w:proofErr w:type="spellEnd"/>
      <w:r w:rsidRPr="000D0108">
        <w:t xml:space="preserve"> but</w:t>
      </w:r>
      <w:r>
        <w:t xml:space="preserve"> </w:t>
      </w:r>
      <w:r w:rsidRPr="000D0108">
        <w:t>that therapeutic monitoring would be likely in the future.</w:t>
      </w:r>
      <w:r>
        <w:t xml:space="preserve"> </w:t>
      </w:r>
      <w:r w:rsidRPr="000D0108">
        <w:t xml:space="preserve">The ACM agreed that the SENTRY </w:t>
      </w:r>
      <w:r w:rsidR="00924F0E">
        <w:t>s</w:t>
      </w:r>
      <w:r w:rsidRPr="000D0108">
        <w:t xml:space="preserve">tudy with </w:t>
      </w:r>
      <w:r w:rsidR="0009480A">
        <w:t>four</w:t>
      </w:r>
      <w:r w:rsidRPr="000D0108">
        <w:t xml:space="preserve"> participating Australian</w:t>
      </w:r>
      <w:r>
        <w:t xml:space="preserve"> </w:t>
      </w:r>
      <w:r w:rsidRPr="000D0108">
        <w:t>sites was an</w:t>
      </w:r>
      <w:r>
        <w:t xml:space="preserve"> </w:t>
      </w:r>
      <w:r w:rsidRPr="000D0108">
        <w:t xml:space="preserve">acceptable antimicrobial surveillance program. The </w:t>
      </w:r>
      <w:proofErr w:type="spellStart"/>
      <w:r w:rsidRPr="000D0108">
        <w:t>Basilea</w:t>
      </w:r>
      <w:proofErr w:type="spellEnd"/>
      <w:r w:rsidRPr="000D0108">
        <w:t xml:space="preserve"> </w:t>
      </w:r>
      <w:proofErr w:type="spellStart"/>
      <w:r w:rsidRPr="000D0108">
        <w:t>Mucormycosis</w:t>
      </w:r>
      <w:proofErr w:type="spellEnd"/>
      <w:r w:rsidRPr="000D0108">
        <w:t xml:space="preserve"> study was</w:t>
      </w:r>
      <w:r>
        <w:t xml:space="preserve"> </w:t>
      </w:r>
      <w:r w:rsidRPr="000D0108">
        <w:t>also acceptable as it included Australian centres however, due to the rarity of</w:t>
      </w:r>
      <w:r>
        <w:t xml:space="preserve"> </w:t>
      </w:r>
      <w:proofErr w:type="spellStart"/>
      <w:r w:rsidRPr="000D0108">
        <w:t>mucormycosis</w:t>
      </w:r>
      <w:proofErr w:type="spellEnd"/>
      <w:r w:rsidRPr="000D0108">
        <w:t>, no Australian cases have been reported as yet.</w:t>
      </w:r>
    </w:p>
    <w:p w14:paraId="0473413B" w14:textId="77777777" w:rsidR="008E7846" w:rsidRPr="002E238E" w:rsidRDefault="008E7846" w:rsidP="008E7846">
      <w:pPr>
        <w:pStyle w:val="Heading3"/>
      </w:pPr>
      <w:bookmarkStart w:id="48" w:name="_Toc247691532"/>
      <w:bookmarkStart w:id="49" w:name="_Toc314842516"/>
      <w:bookmarkStart w:id="50" w:name="_Toc30577096"/>
      <w:bookmarkEnd w:id="32"/>
      <w:bookmarkEnd w:id="45"/>
      <w:bookmarkEnd w:id="46"/>
      <w:r>
        <w:t>Outcome</w:t>
      </w:r>
      <w:bookmarkEnd w:id="48"/>
      <w:bookmarkEnd w:id="49"/>
      <w:bookmarkEnd w:id="50"/>
    </w:p>
    <w:p w14:paraId="549A34A5" w14:textId="060890A8" w:rsidR="00D23139" w:rsidRPr="00D23139" w:rsidRDefault="00D23139" w:rsidP="00D23139">
      <w:bookmarkStart w:id="51" w:name="_Toc247691533"/>
      <w:bookmarkStart w:id="52" w:name="_Toc314842517"/>
      <w:r w:rsidRPr="00D23139">
        <w:t xml:space="preserve">Based on a review of quality, safety and efficacy, </w:t>
      </w:r>
      <w:r w:rsidR="00924F0E">
        <w:t xml:space="preserve">the </w:t>
      </w:r>
      <w:r w:rsidRPr="00D23139">
        <w:t>TG</w:t>
      </w:r>
      <w:r w:rsidR="0009480A">
        <w:t xml:space="preserve">A approved the registration of </w:t>
      </w:r>
      <w:proofErr w:type="spellStart"/>
      <w:r w:rsidR="0009480A">
        <w:t>Cresemba</w:t>
      </w:r>
      <w:proofErr w:type="spellEnd"/>
      <w:r w:rsidR="0009480A">
        <w:t xml:space="preserve"> </w:t>
      </w:r>
      <w:proofErr w:type="spellStart"/>
      <w:r w:rsidR="0009480A">
        <w:t>isavuconazole</w:t>
      </w:r>
      <w:proofErr w:type="spellEnd"/>
      <w:r w:rsidR="00BA7D4B">
        <w:t xml:space="preserve"> 100 mg capsules and 200 mg powder for injection </w:t>
      </w:r>
      <w:r w:rsidR="0009480A">
        <w:t>intravenous injection</w:t>
      </w:r>
      <w:r w:rsidRPr="00D23139">
        <w:t xml:space="preserve">, indicated </w:t>
      </w:r>
      <w:r w:rsidR="00B77A05">
        <w:t>as</w:t>
      </w:r>
      <w:r w:rsidRPr="00D23139">
        <w:t>:</w:t>
      </w:r>
    </w:p>
    <w:p w14:paraId="3AE29155" w14:textId="77777777" w:rsidR="00B77A05" w:rsidRPr="0009480A" w:rsidRDefault="00620481" w:rsidP="00D64EDA">
      <w:pPr>
        <w:ind w:left="360"/>
        <w:rPr>
          <w:i/>
        </w:rPr>
      </w:pPr>
      <w:proofErr w:type="spellStart"/>
      <w:r w:rsidRPr="0009480A">
        <w:rPr>
          <w:i/>
        </w:rPr>
        <w:t>Cresemba</w:t>
      </w:r>
      <w:proofErr w:type="spellEnd"/>
      <w:r w:rsidR="00B77A05" w:rsidRPr="0009480A">
        <w:rPr>
          <w:i/>
        </w:rPr>
        <w:t xml:space="preserve"> is indicated in adults for the treatment of:</w:t>
      </w:r>
    </w:p>
    <w:p w14:paraId="20EE393B" w14:textId="77777777" w:rsidR="00B77A05" w:rsidRPr="0009480A" w:rsidRDefault="00B77A05" w:rsidP="00D64EDA">
      <w:pPr>
        <w:pStyle w:val="ListBullet"/>
        <w:ind w:left="720"/>
        <w:rPr>
          <w:i/>
        </w:rPr>
      </w:pPr>
      <w:r w:rsidRPr="0009480A">
        <w:rPr>
          <w:i/>
        </w:rPr>
        <w:t xml:space="preserve">invasive </w:t>
      </w:r>
      <w:proofErr w:type="spellStart"/>
      <w:r w:rsidRPr="0009480A">
        <w:rPr>
          <w:i/>
        </w:rPr>
        <w:t>aspergillosis</w:t>
      </w:r>
      <w:proofErr w:type="spellEnd"/>
    </w:p>
    <w:p w14:paraId="6E164D9E" w14:textId="77777777" w:rsidR="00B77A05" w:rsidRPr="0009480A" w:rsidRDefault="00B77A05" w:rsidP="00D64EDA">
      <w:pPr>
        <w:pStyle w:val="ListBullet"/>
        <w:ind w:left="720"/>
        <w:rPr>
          <w:i/>
        </w:rPr>
      </w:pPr>
      <w:proofErr w:type="spellStart"/>
      <w:r w:rsidRPr="0009480A">
        <w:rPr>
          <w:i/>
        </w:rPr>
        <w:t>mucormycosis</w:t>
      </w:r>
      <w:proofErr w:type="spellEnd"/>
      <w:r w:rsidRPr="0009480A">
        <w:rPr>
          <w:i/>
        </w:rPr>
        <w:t xml:space="preserve"> in patients for whom amphotericin B is inappropriate (see Section 4.4 Special warnings and precautions for use and Section 5.1 </w:t>
      </w:r>
      <w:proofErr w:type="spellStart"/>
      <w:r w:rsidRPr="0009480A">
        <w:rPr>
          <w:i/>
        </w:rPr>
        <w:t>Pharmacodynamic</w:t>
      </w:r>
      <w:proofErr w:type="spellEnd"/>
      <w:r w:rsidRPr="0009480A">
        <w:rPr>
          <w:i/>
        </w:rPr>
        <w:t xml:space="preserve"> properties)</w:t>
      </w:r>
    </w:p>
    <w:p w14:paraId="68ACA7A6" w14:textId="77777777" w:rsidR="00D23139" w:rsidRPr="0009480A" w:rsidRDefault="00B77A05" w:rsidP="00335D75">
      <w:pPr>
        <w:ind w:left="360"/>
        <w:rPr>
          <w:i/>
        </w:rPr>
      </w:pPr>
      <w:r w:rsidRPr="0009480A">
        <w:rPr>
          <w:i/>
        </w:rPr>
        <w:t>Consideration should be given to official guidance on the appropriate use of antifungal</w:t>
      </w:r>
      <w:r w:rsidR="00335D75" w:rsidRPr="0009480A">
        <w:rPr>
          <w:i/>
        </w:rPr>
        <w:t xml:space="preserve"> agents.</w:t>
      </w:r>
    </w:p>
    <w:p w14:paraId="42A871E2" w14:textId="77777777" w:rsidR="00D23139" w:rsidRPr="00D23139" w:rsidRDefault="00D23139" w:rsidP="00D23139">
      <w:pPr>
        <w:pStyle w:val="Heading4"/>
      </w:pPr>
      <w:r w:rsidRPr="00D23139">
        <w:t>Specific conditions of registration applying to these goods</w:t>
      </w:r>
    </w:p>
    <w:p w14:paraId="7CA85FCA" w14:textId="77777777" w:rsidR="00335D75" w:rsidRPr="00335D75" w:rsidRDefault="0002457C" w:rsidP="0002457C">
      <w:pPr>
        <w:pStyle w:val="Numberbullet0"/>
        <w:numPr>
          <w:ilvl w:val="0"/>
          <w:numId w:val="31"/>
        </w:numPr>
      </w:pPr>
      <w:proofErr w:type="spellStart"/>
      <w:r>
        <w:t>Cresemba</w:t>
      </w:r>
      <w:proofErr w:type="spellEnd"/>
      <w:r w:rsidR="00335D75" w:rsidRPr="00335D75">
        <w:t xml:space="preserve"> (</w:t>
      </w:r>
      <w:proofErr w:type="spellStart"/>
      <w:r w:rsidR="00335D75" w:rsidRPr="00335D75">
        <w:t>isavuconazonium</w:t>
      </w:r>
      <w:proofErr w:type="spellEnd"/>
      <w:r w:rsidR="00335D75" w:rsidRPr="00335D75">
        <w:t>) is to be included in the Black Triangle Scheme. The PI</w:t>
      </w:r>
      <w:r w:rsidR="00335D75">
        <w:t xml:space="preserve"> </w:t>
      </w:r>
      <w:r w:rsidR="00335D75" w:rsidRPr="00335D75">
        <w:t xml:space="preserve">and CMI for </w:t>
      </w:r>
      <w:proofErr w:type="spellStart"/>
      <w:r w:rsidR="00335D75" w:rsidRPr="00335D75">
        <w:t>C</w:t>
      </w:r>
      <w:r>
        <w:t>resemba</w:t>
      </w:r>
      <w:proofErr w:type="spellEnd"/>
      <w:r w:rsidR="00335D75" w:rsidRPr="00335D75">
        <w:t xml:space="preserve"> must include the black triangle symbol and mandatory</w:t>
      </w:r>
      <w:r w:rsidR="00335D75">
        <w:t xml:space="preserve"> </w:t>
      </w:r>
      <w:r w:rsidR="00335D75" w:rsidRPr="00335D75">
        <w:t>accompanying text for five years, which starts from the date that the sponsor notifies</w:t>
      </w:r>
      <w:r w:rsidR="00335D75">
        <w:t xml:space="preserve"> </w:t>
      </w:r>
      <w:r w:rsidR="00335D75" w:rsidRPr="00335D75">
        <w:t>the TGA of supply of the product.</w:t>
      </w:r>
    </w:p>
    <w:p w14:paraId="626FC9A2" w14:textId="77777777" w:rsidR="00335D75" w:rsidRPr="00335D75" w:rsidRDefault="00335D75" w:rsidP="0002457C">
      <w:pPr>
        <w:pStyle w:val="Numberbullet0"/>
        <w:numPr>
          <w:ilvl w:val="0"/>
          <w:numId w:val="31"/>
        </w:numPr>
      </w:pPr>
      <w:r w:rsidRPr="00335D75">
        <w:t xml:space="preserve">The </w:t>
      </w:r>
      <w:proofErr w:type="spellStart"/>
      <w:r w:rsidRPr="00335D75">
        <w:t>isavuconazonium</w:t>
      </w:r>
      <w:proofErr w:type="spellEnd"/>
      <w:r w:rsidRPr="00335D75">
        <w:t xml:space="preserve"> EU-Risk Management Plan (RMP) (version 5.0, dated 23 July</w:t>
      </w:r>
      <w:r>
        <w:t xml:space="preserve"> </w:t>
      </w:r>
      <w:r w:rsidRPr="00335D75">
        <w:t>2015, data lock point 17 May 2015), with Australian Specific Annex (version 0.3, dated</w:t>
      </w:r>
      <w:r>
        <w:t xml:space="preserve"> </w:t>
      </w:r>
      <w:r w:rsidRPr="00335D75">
        <w:t>20 March 2019), included with submission PM-2018-02483-1-2, and any subsequent</w:t>
      </w:r>
      <w:r>
        <w:t xml:space="preserve"> </w:t>
      </w:r>
      <w:r w:rsidRPr="00335D75">
        <w:t>revisions, as agreed with the TGA will be implemented in Australia.</w:t>
      </w:r>
    </w:p>
    <w:p w14:paraId="7597326D" w14:textId="77777777" w:rsidR="00335D75" w:rsidRPr="0002457C" w:rsidRDefault="00335D75" w:rsidP="00497A38">
      <w:pPr>
        <w:ind w:left="425"/>
        <w:rPr>
          <w:b/>
          <w:bCs/>
        </w:rPr>
      </w:pPr>
      <w:r w:rsidRPr="00335D75">
        <w:t>An obligatory component of risk management plans is routine pharmacovigilance.</w:t>
      </w:r>
      <w:r w:rsidR="0002457C">
        <w:t xml:space="preserve"> </w:t>
      </w:r>
      <w:r w:rsidRPr="00335D75">
        <w:t>Routine pharmacovigilance includes the submission of periodic safety update reports</w:t>
      </w:r>
      <w:r>
        <w:t xml:space="preserve"> </w:t>
      </w:r>
      <w:r w:rsidRPr="00335D75">
        <w:t>(PSURs).</w:t>
      </w:r>
      <w:r>
        <w:t xml:space="preserve"> Reports are to be provided in line with the current published list of EU reference dates and frequency of submission of PSURs until the period covered by such reports is not less than three years from the date of this approval letter. The reports are to at least meet the requirements for PSURs as described in the European Medicines Agency’s Guideline on good pharmacovigilance practices (GVP) Module VII-</w:t>
      </w:r>
      <w:r>
        <w:lastRenderedPageBreak/>
        <w:t>periodic safety update report (Rev 1), Part VII.B Structures and processes. Note that submission of a PSUR does not constitute an application to vary the registration.</w:t>
      </w:r>
    </w:p>
    <w:p w14:paraId="447672FD" w14:textId="77777777" w:rsidR="008E7846" w:rsidRDefault="00A80B5B" w:rsidP="00335D75">
      <w:pPr>
        <w:pStyle w:val="Heading2"/>
      </w:pPr>
      <w:bookmarkStart w:id="53" w:name="_Toc30577097"/>
      <w:r>
        <w:t xml:space="preserve">Attachment 1. </w:t>
      </w:r>
      <w:r w:rsidR="008E7846">
        <w:t xml:space="preserve">Product </w:t>
      </w:r>
      <w:r w:rsidR="00AA0ED0">
        <w:t>I</w:t>
      </w:r>
      <w:r w:rsidR="008E7846">
        <w:t>nformation</w:t>
      </w:r>
      <w:bookmarkEnd w:id="51"/>
      <w:bookmarkEnd w:id="52"/>
      <w:bookmarkEnd w:id="53"/>
    </w:p>
    <w:p w14:paraId="0F262343" w14:textId="6C856784" w:rsidR="00762456" w:rsidRDefault="006136D7" w:rsidP="0002457C">
      <w:r w:rsidRPr="002B3624">
        <w:t xml:space="preserve">The </w:t>
      </w:r>
      <w:r>
        <w:t>PI</w:t>
      </w:r>
      <w:r w:rsidRPr="002B3624">
        <w:t xml:space="preserve"> for </w:t>
      </w:r>
      <w:proofErr w:type="spellStart"/>
      <w:r w:rsidR="009A2FCA">
        <w:t>Cresemba</w:t>
      </w:r>
      <w:proofErr w:type="spellEnd"/>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31" w:history="1">
        <w:r w:rsidR="007C6B9B" w:rsidRPr="007C6B9B">
          <w:rPr>
            <w:rStyle w:val="Hyperlink"/>
          </w:rPr>
          <w:t>https://www.tga.gov.au/product-information-pi</w:t>
        </w:r>
      </w:hyperlink>
      <w:r w:rsidR="007C6B9B" w:rsidRPr="007C6B9B">
        <w:t>&gt;.</w:t>
      </w:r>
    </w:p>
    <w:p w14:paraId="45238287" w14:textId="77777777" w:rsidR="00C80137" w:rsidRPr="001D043B" w:rsidRDefault="00C80137" w:rsidP="003A7F6C">
      <w:pPr>
        <w:pStyle w:val="TableTitle"/>
        <w:sectPr w:rsidR="00C80137" w:rsidRPr="001D043B" w:rsidSect="00B452CE">
          <w:headerReference w:type="even" r:id="rId32"/>
          <w:headerReference w:type="default" r:id="rId33"/>
          <w:headerReference w:type="first" r:id="rId34"/>
          <w:footerReference w:type="first" r:id="rId35"/>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5D2E43F6" w14:textId="77777777" w:rsidTr="00A05FA4">
        <w:trPr>
          <w:trHeight w:hRule="exact" w:val="704"/>
        </w:trPr>
        <w:tc>
          <w:tcPr>
            <w:tcW w:w="9175" w:type="dxa"/>
          </w:tcPr>
          <w:p w14:paraId="7E534FED" w14:textId="77777777" w:rsidR="001C32CD" w:rsidRPr="00487162" w:rsidRDefault="001C32CD" w:rsidP="00A05FA4">
            <w:pPr>
              <w:pStyle w:val="TGASignoff"/>
            </w:pPr>
            <w:r w:rsidRPr="00487162">
              <w:lastRenderedPageBreak/>
              <w:t>Therapeutic Goods Administration</w:t>
            </w:r>
          </w:p>
        </w:tc>
      </w:tr>
      <w:tr w:rsidR="001C32CD" w:rsidRPr="004C239D" w14:paraId="739D9CEB" w14:textId="77777777" w:rsidTr="00A05FA4">
        <w:trPr>
          <w:trHeight w:val="1221"/>
        </w:trPr>
        <w:tc>
          <w:tcPr>
            <w:tcW w:w="9175" w:type="dxa"/>
            <w:tcMar>
              <w:top w:w="28" w:type="dxa"/>
            </w:tcMar>
          </w:tcPr>
          <w:p w14:paraId="52F220CA" w14:textId="77777777" w:rsidR="001C32CD" w:rsidRPr="00487162" w:rsidRDefault="001C32CD" w:rsidP="00A05FA4">
            <w:pPr>
              <w:pStyle w:val="Address"/>
            </w:pPr>
            <w:r w:rsidRPr="00487162">
              <w:t>PO Box 100 Woden ACT 2606 Australia</w:t>
            </w:r>
          </w:p>
          <w:p w14:paraId="2DE0B8DB" w14:textId="77777777" w:rsidR="001C32CD" w:rsidRPr="00487162" w:rsidRDefault="001C32CD" w:rsidP="00A05FA4">
            <w:pPr>
              <w:pStyle w:val="Address"/>
            </w:pPr>
            <w:r w:rsidRPr="00487162">
              <w:t xml:space="preserve">Email: </w:t>
            </w:r>
            <w:hyperlink r:id="rId36" w:history="1">
              <w:r w:rsidRPr="004C239D">
                <w:rPr>
                  <w:rStyle w:val="Hyperlink"/>
                </w:rPr>
                <w:t>info@tga.gov.au</w:t>
              </w:r>
            </w:hyperlink>
            <w:r w:rsidRPr="00487162">
              <w:t xml:space="preserve">  Phone: 1800 020 653  Fax: 02 6232 8605</w:t>
            </w:r>
          </w:p>
          <w:p w14:paraId="21206A60" w14:textId="77777777" w:rsidR="001C32CD" w:rsidRPr="004C239D" w:rsidRDefault="001F4437" w:rsidP="00A05FA4">
            <w:pPr>
              <w:pStyle w:val="Address"/>
              <w:spacing w:line="260" w:lineRule="atLeast"/>
              <w:rPr>
                <w:b/>
                <w:color w:val="0000FF"/>
                <w:u w:val="single"/>
              </w:rPr>
            </w:pPr>
            <w:hyperlink r:id="rId37" w:history="1">
              <w:r w:rsidR="007C6B9B" w:rsidRPr="007C6B9B">
                <w:rPr>
                  <w:rStyle w:val="Hyperlink"/>
                  <w:b/>
                </w:rPr>
                <w:t>https://www.tga.gov.au</w:t>
              </w:r>
            </w:hyperlink>
          </w:p>
        </w:tc>
      </w:tr>
    </w:tbl>
    <w:p w14:paraId="0099DE7C" w14:textId="77777777" w:rsidR="00774E1D" w:rsidRPr="008A5E0B" w:rsidRDefault="00774E1D" w:rsidP="004C239D"/>
    <w:sectPr w:rsidR="00774E1D" w:rsidRPr="008A5E0B" w:rsidSect="001C32CD">
      <w:headerReference w:type="even" r:id="rId38"/>
      <w:headerReference w:type="default" r:id="rId39"/>
      <w:footerReference w:type="default" r:id="rId40"/>
      <w:headerReference w:type="first" r:id="rId41"/>
      <w:footerReference w:type="first" r:id="rId42"/>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95D36D" w14:textId="77777777" w:rsidR="001F4437" w:rsidRDefault="001F4437" w:rsidP="00C40A36">
      <w:pPr>
        <w:spacing w:after="0"/>
      </w:pPr>
      <w:r>
        <w:separator/>
      </w:r>
    </w:p>
  </w:endnote>
  <w:endnote w:type="continuationSeparator" w:id="0">
    <w:p w14:paraId="6115EFA3" w14:textId="77777777" w:rsidR="001F4437" w:rsidRDefault="001F4437"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E4631" w14:textId="77777777" w:rsidR="001F4437" w:rsidRDefault="001F44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1F4437" w:rsidRPr="00487162" w14:paraId="34014440" w14:textId="77777777" w:rsidTr="00DB750B">
      <w:trPr>
        <w:trHeight w:val="269"/>
      </w:trPr>
      <w:tc>
        <w:tcPr>
          <w:tcW w:w="7371" w:type="dxa"/>
          <w:tcMar>
            <w:top w:w="142" w:type="dxa"/>
            <w:bottom w:w="0" w:type="dxa"/>
          </w:tcMar>
        </w:tcPr>
        <w:p w14:paraId="41CF2859" w14:textId="77777777" w:rsidR="001F4437" w:rsidRDefault="001F4437" w:rsidP="00257247">
          <w:pPr>
            <w:pStyle w:val="Footer"/>
          </w:pPr>
          <w:r w:rsidRPr="00487162">
            <w:t>AusPA</w:t>
          </w:r>
          <w:r>
            <w:t xml:space="preserve">R </w:t>
          </w:r>
          <w:proofErr w:type="spellStart"/>
          <w:r>
            <w:t>Cresemba</w:t>
          </w:r>
          <w:proofErr w:type="spellEnd"/>
          <w:r>
            <w:t xml:space="preserve"> </w:t>
          </w:r>
          <w:proofErr w:type="spellStart"/>
          <w:r>
            <w:t>isavuconazole</w:t>
          </w:r>
          <w:proofErr w:type="spellEnd"/>
          <w:r>
            <w:t xml:space="preserve"> Pfizer Australia Pty. Ltd. PM-</w:t>
          </w:r>
          <w:r w:rsidRPr="00C0793F">
            <w:t>2018-02483-1-2</w:t>
          </w:r>
          <w:r>
            <w:t xml:space="preserve"> </w:t>
          </w:r>
        </w:p>
        <w:p w14:paraId="561A4FF0" w14:textId="7D6DE85E" w:rsidR="001F4437" w:rsidRPr="00487162" w:rsidRDefault="001F4437" w:rsidP="00D973CD">
          <w:pPr>
            <w:pStyle w:val="Footer"/>
          </w:pPr>
          <w:r>
            <w:t>FINAL 17 December 2019</w:t>
          </w:r>
        </w:p>
      </w:tc>
      <w:tc>
        <w:tcPr>
          <w:tcW w:w="1490" w:type="dxa"/>
          <w:tcMar>
            <w:top w:w="142" w:type="dxa"/>
            <w:bottom w:w="0" w:type="dxa"/>
          </w:tcMar>
        </w:tcPr>
        <w:p w14:paraId="4A798C1E" w14:textId="71428D2B" w:rsidR="001F4437" w:rsidRPr="00487162" w:rsidRDefault="001F4437" w:rsidP="00DB750B">
          <w:pPr>
            <w:pStyle w:val="Footer"/>
            <w:jc w:val="right"/>
          </w:pPr>
          <w:r w:rsidRPr="00487162">
            <w:t xml:space="preserve">Page </w:t>
          </w:r>
          <w:r>
            <w:fldChar w:fldCharType="begin"/>
          </w:r>
          <w:r>
            <w:instrText xml:space="preserve"> PAGE  \* Arabic </w:instrText>
          </w:r>
          <w:r>
            <w:fldChar w:fldCharType="separate"/>
          </w:r>
          <w:r w:rsidR="000F30E4">
            <w:rPr>
              <w:noProof/>
            </w:rPr>
            <w:t>3</w:t>
          </w:r>
          <w:r>
            <w:fldChar w:fldCharType="end"/>
          </w:r>
          <w:r w:rsidRPr="00487162">
            <w:t xml:space="preserve"> of </w:t>
          </w:r>
          <w:fldSimple w:instr=" NUMPAGES  \* Arabic ">
            <w:r w:rsidR="000F30E4">
              <w:rPr>
                <w:noProof/>
              </w:rPr>
              <w:t>27</w:t>
            </w:r>
          </w:fldSimple>
        </w:p>
      </w:tc>
    </w:tr>
  </w:tbl>
  <w:p w14:paraId="2FA40D90" w14:textId="77777777" w:rsidR="001F4437" w:rsidRDefault="001F4437"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8A2C4" w14:textId="77777777" w:rsidR="001F4437" w:rsidRDefault="001F44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1F4437" w:rsidRPr="00487162" w14:paraId="210FF6C2" w14:textId="77777777" w:rsidTr="00E45619">
      <w:trPr>
        <w:trHeight w:val="269"/>
      </w:trPr>
      <w:tc>
        <w:tcPr>
          <w:tcW w:w="4519" w:type="dxa"/>
          <w:tcBorders>
            <w:top w:val="single" w:sz="4" w:space="0" w:color="auto"/>
          </w:tcBorders>
          <w:tcMar>
            <w:top w:w="142" w:type="dxa"/>
            <w:bottom w:w="0" w:type="dxa"/>
          </w:tcMar>
        </w:tcPr>
        <w:p w14:paraId="5ADD3720" w14:textId="77777777" w:rsidR="001F4437" w:rsidRPr="00487162" w:rsidRDefault="001F4437" w:rsidP="00FE1DEE">
          <w:pPr>
            <w:pStyle w:val="Footer"/>
          </w:pPr>
          <w:r w:rsidRPr="00487162">
            <w:t>Document title, Part #, Section # - Section title</w:t>
          </w:r>
        </w:p>
        <w:p w14:paraId="7398B990" w14:textId="77777777" w:rsidR="001F4437" w:rsidRPr="00487162" w:rsidRDefault="001F4437" w:rsidP="00FE1DEE">
          <w:pPr>
            <w:pStyle w:val="Footer"/>
          </w:pPr>
          <w:r w:rsidRPr="00487162">
            <w:t>V1.0 October 2010</w:t>
          </w:r>
        </w:p>
      </w:tc>
      <w:tc>
        <w:tcPr>
          <w:tcW w:w="4342" w:type="dxa"/>
          <w:tcBorders>
            <w:top w:val="single" w:sz="4" w:space="0" w:color="auto"/>
          </w:tcBorders>
          <w:tcMar>
            <w:top w:w="142" w:type="dxa"/>
            <w:bottom w:w="0" w:type="dxa"/>
          </w:tcMar>
        </w:tcPr>
        <w:p w14:paraId="4513BB94" w14:textId="77777777" w:rsidR="001F4437" w:rsidRPr="00487162" w:rsidRDefault="001F4437"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3</w:t>
            </w:r>
          </w:fldSimple>
        </w:p>
      </w:tc>
    </w:tr>
  </w:tbl>
  <w:p w14:paraId="7C7A29B8" w14:textId="77777777" w:rsidR="001F4437" w:rsidRDefault="001F443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D8AC1" w14:textId="77777777" w:rsidR="001F4437" w:rsidRPr="001C32CD" w:rsidRDefault="001F4437"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1F4437" w14:paraId="29E2D61A" w14:textId="77777777" w:rsidTr="0010601F">
      <w:trPr>
        <w:trHeight w:val="108"/>
      </w:trPr>
      <w:tc>
        <w:tcPr>
          <w:tcW w:w="8875" w:type="dxa"/>
          <w:gridSpan w:val="2"/>
          <w:tcBorders>
            <w:bottom w:val="single" w:sz="4" w:space="0" w:color="auto"/>
          </w:tcBorders>
          <w:tcMar>
            <w:right w:w="284" w:type="dxa"/>
          </w:tcMar>
        </w:tcPr>
        <w:p w14:paraId="5D7A20F3" w14:textId="77777777" w:rsidR="001F4437" w:rsidRDefault="001F4437" w:rsidP="006E08B3">
          <w:pPr>
            <w:pStyle w:val="Heading3"/>
          </w:pPr>
          <w:r>
            <w:t>Copyright</w:t>
          </w:r>
        </w:p>
        <w:p w14:paraId="314EF700" w14:textId="77777777" w:rsidR="001F4437" w:rsidRDefault="001F4437" w:rsidP="006E08B3">
          <w:r>
            <w:rPr>
              <w:rFonts w:cs="Arial"/>
            </w:rPr>
            <w:t>©</w:t>
          </w:r>
          <w:r>
            <w:t xml:space="preserve"> Commonwealth of Australia [add year]</w:t>
          </w:r>
        </w:p>
        <w:p w14:paraId="3D6683FB" w14:textId="77777777" w:rsidR="001F4437" w:rsidRDefault="001F443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20E20AE1" w14:textId="77777777" w:rsidR="001F4437" w:rsidRDefault="001F4437" w:rsidP="006E08B3">
          <w:pPr>
            <w:pStyle w:val="Heading3"/>
          </w:pPr>
          <w:r>
            <w:t>Confidentiality</w:t>
          </w:r>
        </w:p>
        <w:p w14:paraId="1AC81349" w14:textId="77777777" w:rsidR="001F4437" w:rsidRDefault="001F443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08989E2E" w14:textId="77777777" w:rsidR="001F4437" w:rsidRDefault="001F4437" w:rsidP="006E08B3">
          <w:r>
            <w:t>For submission made by individuals, all personal details, other than your name, will be removed from your submission before it is published on the TGA’s Internet site.</w:t>
          </w:r>
        </w:p>
        <w:p w14:paraId="61F90933" w14:textId="77777777" w:rsidR="001F4437" w:rsidRDefault="001F4437"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1F4437" w14:paraId="72E5D2A2" w14:textId="77777777" w:rsidTr="0010601F">
      <w:trPr>
        <w:trHeight w:val="417"/>
      </w:trPr>
      <w:tc>
        <w:tcPr>
          <w:tcW w:w="4519" w:type="dxa"/>
          <w:tcBorders>
            <w:top w:val="single" w:sz="4" w:space="0" w:color="auto"/>
          </w:tcBorders>
          <w:tcMar>
            <w:top w:w="142" w:type="dxa"/>
            <w:bottom w:w="0" w:type="dxa"/>
          </w:tcMar>
        </w:tcPr>
        <w:p w14:paraId="7E3C5E7C" w14:textId="77777777" w:rsidR="001F4437" w:rsidRDefault="001F4437" w:rsidP="006E08B3">
          <w:r>
            <w:t>Document title, Part #, Section # - Section title</w:t>
          </w:r>
        </w:p>
        <w:p w14:paraId="6D01C058" w14:textId="77777777" w:rsidR="001F4437" w:rsidRDefault="001F4437" w:rsidP="006E08B3">
          <w:r>
            <w:t>V1.0 October 2010</w:t>
          </w:r>
        </w:p>
      </w:tc>
      <w:tc>
        <w:tcPr>
          <w:tcW w:w="4356" w:type="dxa"/>
          <w:tcBorders>
            <w:top w:val="single" w:sz="4" w:space="0" w:color="auto"/>
          </w:tcBorders>
          <w:tcMar>
            <w:top w:w="142" w:type="dxa"/>
            <w:bottom w:w="0" w:type="dxa"/>
          </w:tcMar>
        </w:tcPr>
        <w:p w14:paraId="773CCF33" w14:textId="77777777" w:rsidR="001F4437" w:rsidRDefault="001F4437"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3</w:t>
            </w:r>
          </w:fldSimple>
          <w:r>
            <w:t xml:space="preserve">  </w:t>
          </w:r>
        </w:p>
      </w:tc>
    </w:tr>
  </w:tbl>
  <w:p w14:paraId="75CE7B79" w14:textId="77777777" w:rsidR="001F4437" w:rsidRDefault="001F443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39C9E5" w14:textId="77777777" w:rsidR="001F4437" w:rsidRDefault="001F4437" w:rsidP="00C40A36">
      <w:pPr>
        <w:spacing w:after="0"/>
      </w:pPr>
      <w:r>
        <w:separator/>
      </w:r>
    </w:p>
  </w:footnote>
  <w:footnote w:type="continuationSeparator" w:id="0">
    <w:p w14:paraId="3FFD8419" w14:textId="77777777" w:rsidR="001F4437" w:rsidRDefault="001F4437" w:rsidP="00C40A36">
      <w:pPr>
        <w:spacing w:after="0"/>
      </w:pPr>
      <w:r>
        <w:continuationSeparator/>
      </w:r>
    </w:p>
  </w:footnote>
  <w:footnote w:id="1">
    <w:p w14:paraId="47C448A7" w14:textId="0D140B88" w:rsidR="001F4437" w:rsidRDefault="001F4437">
      <w:pPr>
        <w:pStyle w:val="FootnoteText"/>
      </w:pPr>
      <w:r>
        <w:rPr>
          <w:rStyle w:val="FootnoteReference"/>
        </w:rPr>
        <w:footnoteRef/>
      </w:r>
      <w:r>
        <w:t xml:space="preserve"> </w:t>
      </w:r>
      <w:r w:rsidRPr="00032895">
        <w:t xml:space="preserve">Blyth et al, Consensus guidelines for the treatment of invasive mould infections in haematological malignancy and </w:t>
      </w:r>
      <w:proofErr w:type="spellStart"/>
      <w:r w:rsidRPr="00032895">
        <w:t>haemopoietic</w:t>
      </w:r>
      <w:proofErr w:type="spellEnd"/>
      <w:r w:rsidRPr="00032895">
        <w:t xml:space="preserve"> stem cell transplantation, </w:t>
      </w:r>
      <w:r w:rsidRPr="00032895">
        <w:rPr>
          <w:i/>
        </w:rPr>
        <w:t>Internal Medicine Journal</w:t>
      </w:r>
      <w:r>
        <w:rPr>
          <w:i/>
        </w:rPr>
        <w:t xml:space="preserve"> </w:t>
      </w:r>
      <w:r w:rsidRPr="00E63208">
        <w:t>2014</w:t>
      </w:r>
      <w:r>
        <w:t>;</w:t>
      </w:r>
      <w:r w:rsidRPr="00E63208">
        <w:t xml:space="preserve"> 44:1333-</w:t>
      </w:r>
      <w:r>
        <w:t>1349</w:t>
      </w:r>
    </w:p>
  </w:footnote>
  <w:footnote w:id="2">
    <w:p w14:paraId="502405BC" w14:textId="1E90F443" w:rsidR="001F4437" w:rsidRDefault="001F4437">
      <w:pPr>
        <w:pStyle w:val="FootnoteText"/>
      </w:pPr>
      <w:r>
        <w:rPr>
          <w:rStyle w:val="FootnoteReference"/>
        </w:rPr>
        <w:footnoteRef/>
      </w:r>
      <w:r>
        <w:t xml:space="preserve"> </w:t>
      </w:r>
      <w:r w:rsidRPr="00B5738C">
        <w:t>Antibiotic Guidelines. November 2014. Amended June 2015. Therapeutic Guidelines Ltd (</w:t>
      </w:r>
      <w:proofErr w:type="spellStart"/>
      <w:r w:rsidRPr="00B5738C">
        <w:t>eTG</w:t>
      </w:r>
      <w:proofErr w:type="spellEnd"/>
      <w:r w:rsidRPr="00B5738C">
        <w:t xml:space="preserve"> January 2019 edition)</w:t>
      </w:r>
    </w:p>
  </w:footnote>
  <w:footnote w:id="3">
    <w:p w14:paraId="10FCD9B0" w14:textId="5FB52CF6" w:rsidR="001F4437" w:rsidRDefault="001F4437">
      <w:pPr>
        <w:pStyle w:val="FootnoteText"/>
      </w:pPr>
      <w:r>
        <w:rPr>
          <w:rStyle w:val="FootnoteReference"/>
        </w:rPr>
        <w:footnoteRef/>
      </w:r>
      <w:r>
        <w:t xml:space="preserve"> </w:t>
      </w:r>
      <w:proofErr w:type="spellStart"/>
      <w:r w:rsidRPr="00032895">
        <w:t>Pertrikkos</w:t>
      </w:r>
      <w:proofErr w:type="spellEnd"/>
      <w:r w:rsidRPr="00032895">
        <w:t xml:space="preserve"> et </w:t>
      </w:r>
      <w:r w:rsidRPr="00762456">
        <w:t xml:space="preserve">al, Epidemiology and clinical manifestations of </w:t>
      </w:r>
      <w:proofErr w:type="spellStart"/>
      <w:r w:rsidRPr="00762456">
        <w:t>mucormycosis</w:t>
      </w:r>
      <w:proofErr w:type="spellEnd"/>
      <w:r w:rsidRPr="00762456">
        <w:t xml:space="preserve">. </w:t>
      </w:r>
      <w:r w:rsidRPr="00762456">
        <w:rPr>
          <w:i/>
        </w:rPr>
        <w:t xml:space="preserve">Clinical Infectious Diseases </w:t>
      </w:r>
      <w:r w:rsidRPr="00032895">
        <w:t>2012:</w:t>
      </w:r>
      <w:r>
        <w:t xml:space="preserve"> </w:t>
      </w:r>
      <w:r w:rsidRPr="00032895">
        <w:t>54 (</w:t>
      </w:r>
      <w:proofErr w:type="spellStart"/>
      <w:r w:rsidRPr="00032895">
        <w:t>Suppl</w:t>
      </w:r>
      <w:proofErr w:type="spellEnd"/>
      <w:r w:rsidRPr="00032895">
        <w:t xml:space="preserve"> 1)</w:t>
      </w:r>
      <w:r>
        <w:t>;</w:t>
      </w:r>
      <w:r w:rsidRPr="00032895">
        <w:t xml:space="preserve"> S23-34</w:t>
      </w:r>
    </w:p>
  </w:footnote>
  <w:footnote w:id="4">
    <w:p w14:paraId="5FAC8CC6" w14:textId="60138CBB" w:rsidR="001F4437" w:rsidRPr="00130259" w:rsidRDefault="001F4437">
      <w:pPr>
        <w:pStyle w:val="FootnoteText"/>
        <w:rPr>
          <w:lang w:val="en-GB"/>
        </w:rPr>
      </w:pPr>
      <w:r>
        <w:rPr>
          <w:rStyle w:val="FootnoteReference"/>
        </w:rPr>
        <w:footnoteRef/>
      </w:r>
      <w:r>
        <w:t xml:space="preserve"> </w:t>
      </w:r>
      <w:r w:rsidRPr="00C80C93">
        <w:t>Comparable overseas regulators (CORs) for prescription medicines</w:t>
      </w:r>
      <w:r>
        <w:t xml:space="preserve">. Therapeutic Goods Administration; Canberra, Australia. 24 October 2019. </w:t>
      </w:r>
      <w:r w:rsidRPr="00C80C93">
        <w:t>https://www.tga.gov.au/node/769355</w:t>
      </w:r>
    </w:p>
  </w:footnote>
  <w:footnote w:id="5">
    <w:p w14:paraId="306458FD" w14:textId="523657C0" w:rsidR="001F4437" w:rsidRPr="00130259" w:rsidRDefault="001F4437">
      <w:pPr>
        <w:pStyle w:val="FootnoteText"/>
        <w:rPr>
          <w:lang w:val="en-GB"/>
        </w:rPr>
      </w:pPr>
      <w:r>
        <w:rPr>
          <w:rStyle w:val="FootnoteReference"/>
        </w:rPr>
        <w:footnoteRef/>
      </w:r>
      <w:r>
        <w:t xml:space="preserve"> </w:t>
      </w:r>
      <w:proofErr w:type="spellStart"/>
      <w:r>
        <w:rPr>
          <w:lang w:val="en-GB"/>
        </w:rPr>
        <w:t>QTc</w:t>
      </w:r>
      <w:proofErr w:type="spellEnd"/>
      <w:r>
        <w:rPr>
          <w:lang w:val="en-GB"/>
        </w:rPr>
        <w:t xml:space="preserve"> is the cardiac QT interval corrected for heart rate.</w:t>
      </w:r>
    </w:p>
  </w:footnote>
  <w:footnote w:id="6">
    <w:p w14:paraId="4F37E6FD" w14:textId="77777777" w:rsidR="001F4437" w:rsidRDefault="001F4437" w:rsidP="00BD606E">
      <w:pPr>
        <w:pStyle w:val="FootnoteText"/>
      </w:pPr>
      <w:r>
        <w:rPr>
          <w:rStyle w:val="FootnoteReference"/>
        </w:rPr>
        <w:footnoteRef/>
      </w:r>
      <w:r>
        <w:t xml:space="preserve"> Category D: Drugs which have caused, are suspected to have caused or may be expected to cause, an increased incidence of human foetal malformations or irreversible damage. These drugs may also have adverse pharmacological effects. Accompanying texts should be consulted for further details.</w:t>
      </w:r>
    </w:p>
  </w:footnote>
  <w:footnote w:id="7">
    <w:p w14:paraId="2EA55EA3" w14:textId="71E2775F" w:rsidR="001F4437" w:rsidRDefault="001F4437">
      <w:pPr>
        <w:pStyle w:val="FootnoteText"/>
      </w:pPr>
      <w:r>
        <w:rPr>
          <w:rStyle w:val="FootnoteReference"/>
        </w:rPr>
        <w:footnoteRef/>
      </w:r>
      <w:r>
        <w:t xml:space="preserve"> </w:t>
      </w:r>
      <w:proofErr w:type="spellStart"/>
      <w:r w:rsidRPr="00B5738C">
        <w:t>Maertens</w:t>
      </w:r>
      <w:proofErr w:type="spellEnd"/>
      <w:r w:rsidRPr="00B5738C">
        <w:t xml:space="preserve"> JA et al, </w:t>
      </w:r>
      <w:proofErr w:type="spellStart"/>
      <w:r w:rsidRPr="00762456">
        <w:t>Isavuconazole</w:t>
      </w:r>
      <w:proofErr w:type="spellEnd"/>
      <w:r w:rsidRPr="00762456">
        <w:t xml:space="preserve"> versus </w:t>
      </w:r>
      <w:proofErr w:type="spellStart"/>
      <w:r w:rsidRPr="00762456">
        <w:t>voriconazole</w:t>
      </w:r>
      <w:proofErr w:type="spellEnd"/>
      <w:r w:rsidRPr="00762456">
        <w:t xml:space="preserve"> for primary treatment of invasive mould disease caused by Aspergillus and other filamentous fungi (SECURE): a phase 3, randomised-controlled, non-inferiority trial.</w:t>
      </w:r>
      <w:r>
        <w:t xml:space="preserve"> </w:t>
      </w:r>
      <w:r w:rsidRPr="00B5738C">
        <w:rPr>
          <w:i/>
        </w:rPr>
        <w:t xml:space="preserve">Lancet </w:t>
      </w:r>
      <w:r w:rsidRPr="00762456">
        <w:t>2016;</w:t>
      </w:r>
      <w:r>
        <w:t xml:space="preserve"> </w:t>
      </w:r>
      <w:r w:rsidRPr="00762456">
        <w:t>387:</w:t>
      </w:r>
      <w:r>
        <w:t xml:space="preserve"> </w:t>
      </w:r>
      <w:r w:rsidRPr="00762456">
        <w:t>760-</w:t>
      </w:r>
      <w:r>
        <w:t>7</w:t>
      </w:r>
      <w:r w:rsidRPr="00762456">
        <w:t>69</w:t>
      </w:r>
    </w:p>
  </w:footnote>
  <w:footnote w:id="8">
    <w:p w14:paraId="10191301" w14:textId="68356906" w:rsidR="001F4437" w:rsidRPr="008E156A" w:rsidRDefault="001F4437" w:rsidP="008E156A">
      <w:pPr>
        <w:pStyle w:val="FootnoteText"/>
      </w:pPr>
      <w:r>
        <w:rPr>
          <w:rStyle w:val="FootnoteReference"/>
        </w:rPr>
        <w:footnoteRef/>
      </w:r>
      <w:r>
        <w:t xml:space="preserve"> CHMP/EWP/1343/01 Rev. 1: Committee for Medicinal Products for Human Use (CHMP) Guideline on the clinical evaluation of antifungal agents for the treatment and prophylaxis of invasive fungal disease; 22 April 2010.</w:t>
      </w:r>
    </w:p>
  </w:footnote>
  <w:footnote w:id="9">
    <w:p w14:paraId="6A46B106" w14:textId="710F6C50" w:rsidR="001F4437" w:rsidRPr="00130259" w:rsidRDefault="001F4437">
      <w:pPr>
        <w:pStyle w:val="FootnoteText"/>
        <w:rPr>
          <w:lang w:val="en-GB"/>
        </w:rPr>
      </w:pPr>
      <w:r>
        <w:rPr>
          <w:rStyle w:val="FootnoteReference"/>
        </w:rPr>
        <w:footnoteRef/>
      </w:r>
      <w:r>
        <w:t xml:space="preserve"> </w:t>
      </w:r>
      <w:proofErr w:type="spellStart"/>
      <w:r>
        <w:rPr>
          <w:lang w:val="en-GB"/>
        </w:rPr>
        <w:t>eGRF</w:t>
      </w:r>
      <w:proofErr w:type="spellEnd"/>
      <w:r>
        <w:rPr>
          <w:lang w:val="en-GB"/>
        </w:rPr>
        <w:t>-MDRD = estimated glomerular filtration rate calculated via the Modification of Diet in Renal Disease study.</w:t>
      </w:r>
    </w:p>
  </w:footnote>
  <w:footnote w:id="10">
    <w:p w14:paraId="6707C2E0" w14:textId="77777777" w:rsidR="001F4437" w:rsidRDefault="001F4437" w:rsidP="004637BB">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14:paraId="2FCBFD0B" w14:textId="77777777" w:rsidR="001F4437" w:rsidRDefault="001F4437" w:rsidP="004637BB">
      <w:pPr>
        <w:pStyle w:val="FootnoteText"/>
      </w:pPr>
      <w:r w:rsidRPr="00F12492">
        <w:rPr>
          <w:i/>
        </w:rPr>
        <w:t>Routine pharmacovigilance</w:t>
      </w:r>
      <w:r>
        <w:t xml:space="preserve"> practices involve the following activities:</w:t>
      </w:r>
    </w:p>
    <w:p w14:paraId="3FB75787" w14:textId="77777777" w:rsidR="001F4437" w:rsidRDefault="001F4437" w:rsidP="004637BB">
      <w:pPr>
        <w:pStyle w:val="FootnoteText"/>
        <w:numPr>
          <w:ilvl w:val="0"/>
          <w:numId w:val="28"/>
        </w:numPr>
      </w:pPr>
      <w:r>
        <w:t>All suspected adverse reactions that are reported to the personnel of the company are collected and collated in an accessible manner;</w:t>
      </w:r>
    </w:p>
    <w:p w14:paraId="77A5A949" w14:textId="77777777" w:rsidR="001F4437" w:rsidRDefault="001F4437" w:rsidP="004637BB">
      <w:pPr>
        <w:pStyle w:val="FootnoteText"/>
        <w:numPr>
          <w:ilvl w:val="0"/>
          <w:numId w:val="28"/>
        </w:numPr>
      </w:pPr>
      <w:r>
        <w:t>Reporting to regulatory authorities;</w:t>
      </w:r>
    </w:p>
    <w:p w14:paraId="295C4E28" w14:textId="6F839194" w:rsidR="001F4437" w:rsidRDefault="001F4437" w:rsidP="004637BB">
      <w:pPr>
        <w:pStyle w:val="FootnoteText"/>
        <w:numPr>
          <w:ilvl w:val="0"/>
          <w:numId w:val="28"/>
        </w:numPr>
      </w:pPr>
      <w:r>
        <w:t>Continuous monitoring of the safety profiles of approved products including signal detection and updating of labelling;</w:t>
      </w:r>
    </w:p>
    <w:p w14:paraId="552F1917" w14:textId="77777777" w:rsidR="001F4437" w:rsidRDefault="001F4437" w:rsidP="004637BB">
      <w:pPr>
        <w:pStyle w:val="FootnoteText"/>
        <w:numPr>
          <w:ilvl w:val="0"/>
          <w:numId w:val="28"/>
        </w:numPr>
      </w:pPr>
      <w:r>
        <w:t>Submission of PSURs;</w:t>
      </w:r>
    </w:p>
    <w:p w14:paraId="0AE268EA" w14:textId="77777777" w:rsidR="001F4437" w:rsidRPr="00F12492" w:rsidRDefault="001F4437" w:rsidP="004637BB">
      <w:pPr>
        <w:pStyle w:val="FootnoteText"/>
        <w:numPr>
          <w:ilvl w:val="0"/>
          <w:numId w:val="28"/>
        </w:numPr>
        <w:rPr>
          <w:lang w:val="en-US"/>
        </w:rPr>
      </w:pPr>
      <w:r>
        <w:t>Meeting other local regulatory agency requirements.</w:t>
      </w:r>
    </w:p>
  </w:footnote>
  <w:footnote w:id="11">
    <w:p w14:paraId="7FCBB739" w14:textId="77777777" w:rsidR="001F4437" w:rsidRDefault="001F4437"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4540FFEA" w14:textId="77777777" w:rsidR="001F4437" w:rsidRPr="00456765" w:rsidRDefault="001F4437"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FC656" w14:textId="77777777" w:rsidR="001F4437" w:rsidRDefault="001F44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24708" w14:textId="77777777" w:rsidR="001F4437" w:rsidRDefault="001F4437"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2C544" w14:textId="77777777" w:rsidR="001F4437" w:rsidRDefault="001F4437">
    <w:pPr>
      <w:rPr>
        <w:noProof/>
        <w:lang w:eastAsia="en-AU"/>
      </w:rPr>
    </w:pPr>
    <w:r w:rsidRPr="00347824">
      <w:rPr>
        <w:noProof/>
        <w:lang w:eastAsia="en-AU"/>
      </w:rPr>
      <w:drawing>
        <wp:anchor distT="0" distB="0" distL="114300" distR="114300" simplePos="0" relativeHeight="251659264" behindDoc="1" locked="0" layoutInCell="1" allowOverlap="1" wp14:anchorId="7382103C" wp14:editId="5FB5CCF3">
          <wp:simplePos x="0" y="0"/>
          <wp:positionH relativeFrom="column">
            <wp:posOffset>-1089660</wp:posOffset>
          </wp:positionH>
          <wp:positionV relativeFrom="paragraph">
            <wp:posOffset>-585470</wp:posOffset>
          </wp:positionV>
          <wp:extent cx="7572375" cy="10706100"/>
          <wp:effectExtent l="19050" t="0" r="0" b="0"/>
          <wp:wrapNone/>
          <wp:docPr id="17"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1BB68D62" w14:textId="77777777" w:rsidR="001F4437" w:rsidRDefault="001F4437" w:rsidP="00593AD1">
    <w:pPr>
      <w:pStyle w:val="HeaderNoLine"/>
    </w:pPr>
    <w:r>
      <w:rPr>
        <w:noProof/>
        <w:lang w:eastAsia="en-AU"/>
      </w:rPr>
      <w:drawing>
        <wp:inline distT="0" distB="0" distL="0" distR="0" wp14:anchorId="5C84698E" wp14:editId="5ED26046">
          <wp:extent cx="5400675" cy="7639050"/>
          <wp:effectExtent l="0" t="0" r="9525" b="0"/>
          <wp:docPr id="18" name="Picture 18"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31EAD" w14:textId="77777777" w:rsidR="001F4437" w:rsidRDefault="001F443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F3771" w14:textId="77777777" w:rsidR="001F4437" w:rsidRDefault="001F4437">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E4BA0" w14:textId="77777777" w:rsidR="001F4437" w:rsidRDefault="001F4437">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FC51D" w14:textId="77777777" w:rsidR="001F4437" w:rsidRDefault="001F443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CE614" w14:textId="77777777" w:rsidR="001F4437" w:rsidRDefault="001F4437"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D5165" w14:textId="77777777" w:rsidR="001F4437" w:rsidRDefault="001F4437" w:rsidP="006E08B3">
    <w:r>
      <w:t>Therapeutic Goods Administration</w:t>
    </w:r>
  </w:p>
  <w:p w14:paraId="56F867F5" w14:textId="77777777" w:rsidR="001F4437" w:rsidRDefault="001F4437"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06D0654"/>
    <w:multiLevelType w:val="hybridMultilevel"/>
    <w:tmpl w:val="DF8EEF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68F13E9"/>
    <w:multiLevelType w:val="multilevel"/>
    <w:tmpl w:val="8AFC4ABE"/>
    <w:styleLink w:val="ListBullets"/>
    <w:lvl w:ilvl="0">
      <w:numFmt w:val="bullet"/>
      <w:pStyle w:val="ListBullet"/>
      <w:lvlText w:val="•"/>
      <w:lvlJc w:val="left"/>
      <w:pPr>
        <w:ind w:left="360" w:hanging="360"/>
      </w:pPr>
      <w:rPr>
        <w:rFonts w:ascii="Cambria" w:eastAsia="Cambria" w:hAnsi="Cambria" w:cs="Times New Roman"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15:restartNumberingAfterBreak="0">
    <w:nsid w:val="3AFC23E1"/>
    <w:multiLevelType w:val="hybridMultilevel"/>
    <w:tmpl w:val="DF8EEF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6"/>
  </w:num>
  <w:num w:numId="14">
    <w:abstractNumId w:val="6"/>
  </w:num>
  <w:num w:numId="15">
    <w:abstractNumId w:val="6"/>
  </w:num>
  <w:num w:numId="16">
    <w:abstractNumId w:val="5"/>
  </w:num>
  <w:num w:numId="17">
    <w:abstractNumId w:val="5"/>
  </w:num>
  <w:num w:numId="18">
    <w:abstractNumId w:val="5"/>
  </w:num>
  <w:num w:numId="19">
    <w:abstractNumId w:val="6"/>
  </w:num>
  <w:num w:numId="20">
    <w:abstractNumId w:val="6"/>
  </w:num>
  <w:num w:numId="21">
    <w:abstractNumId w:val="6"/>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8"/>
  </w:num>
  <w:num w:numId="28">
    <w:abstractNumId w:val="9"/>
  </w:num>
  <w:num w:numId="29">
    <w:abstractNumId w:val="4"/>
  </w:num>
  <w:num w:numId="30">
    <w:abstractNumId w:val="7"/>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906"/>
    <w:rsid w:val="00002031"/>
    <w:rsid w:val="00004734"/>
    <w:rsid w:val="00006B22"/>
    <w:rsid w:val="0001276A"/>
    <w:rsid w:val="0002457C"/>
    <w:rsid w:val="000246AE"/>
    <w:rsid w:val="00025C67"/>
    <w:rsid w:val="00032895"/>
    <w:rsid w:val="00044772"/>
    <w:rsid w:val="0004541C"/>
    <w:rsid w:val="0005559E"/>
    <w:rsid w:val="000604D6"/>
    <w:rsid w:val="000734D8"/>
    <w:rsid w:val="00077775"/>
    <w:rsid w:val="00090471"/>
    <w:rsid w:val="00092E41"/>
    <w:rsid w:val="0009480A"/>
    <w:rsid w:val="00096AA7"/>
    <w:rsid w:val="000A3AED"/>
    <w:rsid w:val="000B3532"/>
    <w:rsid w:val="000B3A75"/>
    <w:rsid w:val="000C00C2"/>
    <w:rsid w:val="000C690F"/>
    <w:rsid w:val="000D0108"/>
    <w:rsid w:val="000D1295"/>
    <w:rsid w:val="000D21DF"/>
    <w:rsid w:val="000D391B"/>
    <w:rsid w:val="000D3D6D"/>
    <w:rsid w:val="000D4FC7"/>
    <w:rsid w:val="000E6196"/>
    <w:rsid w:val="000F30E4"/>
    <w:rsid w:val="000F4869"/>
    <w:rsid w:val="000F5B42"/>
    <w:rsid w:val="000F6E6F"/>
    <w:rsid w:val="0010601F"/>
    <w:rsid w:val="0010788A"/>
    <w:rsid w:val="00107A31"/>
    <w:rsid w:val="00110EA5"/>
    <w:rsid w:val="00112F56"/>
    <w:rsid w:val="00124ACD"/>
    <w:rsid w:val="00125318"/>
    <w:rsid w:val="00130259"/>
    <w:rsid w:val="001305A2"/>
    <w:rsid w:val="00133238"/>
    <w:rsid w:val="00133A1B"/>
    <w:rsid w:val="0014197B"/>
    <w:rsid w:val="001447CD"/>
    <w:rsid w:val="001516B1"/>
    <w:rsid w:val="00154EBB"/>
    <w:rsid w:val="00156316"/>
    <w:rsid w:val="00161181"/>
    <w:rsid w:val="001623CA"/>
    <w:rsid w:val="00162D14"/>
    <w:rsid w:val="00163780"/>
    <w:rsid w:val="00165389"/>
    <w:rsid w:val="0017693F"/>
    <w:rsid w:val="0018110E"/>
    <w:rsid w:val="00181684"/>
    <w:rsid w:val="001843C6"/>
    <w:rsid w:val="001850E0"/>
    <w:rsid w:val="001A03AF"/>
    <w:rsid w:val="001A0D58"/>
    <w:rsid w:val="001A2158"/>
    <w:rsid w:val="001A525F"/>
    <w:rsid w:val="001B09F9"/>
    <w:rsid w:val="001B5C90"/>
    <w:rsid w:val="001B6448"/>
    <w:rsid w:val="001C32CD"/>
    <w:rsid w:val="001D2984"/>
    <w:rsid w:val="001E07CF"/>
    <w:rsid w:val="001E59F1"/>
    <w:rsid w:val="001F2CEE"/>
    <w:rsid w:val="001F4437"/>
    <w:rsid w:val="001F49EB"/>
    <w:rsid w:val="001F6CBA"/>
    <w:rsid w:val="00201D4E"/>
    <w:rsid w:val="002076C9"/>
    <w:rsid w:val="00220B8A"/>
    <w:rsid w:val="002257F3"/>
    <w:rsid w:val="00231072"/>
    <w:rsid w:val="00233456"/>
    <w:rsid w:val="002339A5"/>
    <w:rsid w:val="00233C8C"/>
    <w:rsid w:val="00257247"/>
    <w:rsid w:val="00257848"/>
    <w:rsid w:val="0027084A"/>
    <w:rsid w:val="00280265"/>
    <w:rsid w:val="00286434"/>
    <w:rsid w:val="00286482"/>
    <w:rsid w:val="00286C59"/>
    <w:rsid w:val="00291957"/>
    <w:rsid w:val="002942D1"/>
    <w:rsid w:val="0029501A"/>
    <w:rsid w:val="002A3721"/>
    <w:rsid w:val="002B1638"/>
    <w:rsid w:val="002B3624"/>
    <w:rsid w:val="002D0952"/>
    <w:rsid w:val="002D240E"/>
    <w:rsid w:val="002E40B3"/>
    <w:rsid w:val="002E4C9A"/>
    <w:rsid w:val="002F11F8"/>
    <w:rsid w:val="002F3F56"/>
    <w:rsid w:val="002F44B5"/>
    <w:rsid w:val="002F5122"/>
    <w:rsid w:val="00301714"/>
    <w:rsid w:val="00311AC0"/>
    <w:rsid w:val="003176FC"/>
    <w:rsid w:val="0032583B"/>
    <w:rsid w:val="00327883"/>
    <w:rsid w:val="00335504"/>
    <w:rsid w:val="00335D75"/>
    <w:rsid w:val="00340716"/>
    <w:rsid w:val="00340C18"/>
    <w:rsid w:val="003442FD"/>
    <w:rsid w:val="003443F0"/>
    <w:rsid w:val="00347824"/>
    <w:rsid w:val="00350567"/>
    <w:rsid w:val="003521E8"/>
    <w:rsid w:val="00370CE3"/>
    <w:rsid w:val="003728F3"/>
    <w:rsid w:val="003735BC"/>
    <w:rsid w:val="0037496E"/>
    <w:rsid w:val="00383221"/>
    <w:rsid w:val="00386150"/>
    <w:rsid w:val="003874CE"/>
    <w:rsid w:val="00390900"/>
    <w:rsid w:val="003A7F6C"/>
    <w:rsid w:val="003B4D60"/>
    <w:rsid w:val="003B650A"/>
    <w:rsid w:val="003B7E39"/>
    <w:rsid w:val="003C2478"/>
    <w:rsid w:val="003C58DC"/>
    <w:rsid w:val="003D1E62"/>
    <w:rsid w:val="003E0B99"/>
    <w:rsid w:val="003E2486"/>
    <w:rsid w:val="003E3208"/>
    <w:rsid w:val="003F0B04"/>
    <w:rsid w:val="0040134E"/>
    <w:rsid w:val="004334C7"/>
    <w:rsid w:val="00440A2D"/>
    <w:rsid w:val="00441C3F"/>
    <w:rsid w:val="00444D1A"/>
    <w:rsid w:val="0045186A"/>
    <w:rsid w:val="004564A7"/>
    <w:rsid w:val="00456765"/>
    <w:rsid w:val="004617BF"/>
    <w:rsid w:val="00463658"/>
    <w:rsid w:val="004637A0"/>
    <w:rsid w:val="004637BB"/>
    <w:rsid w:val="004722CC"/>
    <w:rsid w:val="00490483"/>
    <w:rsid w:val="0049278F"/>
    <w:rsid w:val="004936E4"/>
    <w:rsid w:val="00494E60"/>
    <w:rsid w:val="00497487"/>
    <w:rsid w:val="00497A38"/>
    <w:rsid w:val="004A2771"/>
    <w:rsid w:val="004A6189"/>
    <w:rsid w:val="004A7390"/>
    <w:rsid w:val="004B7B76"/>
    <w:rsid w:val="004C239D"/>
    <w:rsid w:val="004C2DCA"/>
    <w:rsid w:val="004C61D2"/>
    <w:rsid w:val="004E4BAE"/>
    <w:rsid w:val="004F0C4A"/>
    <w:rsid w:val="004F0F38"/>
    <w:rsid w:val="004F25A7"/>
    <w:rsid w:val="004F47D6"/>
    <w:rsid w:val="00500337"/>
    <w:rsid w:val="00501921"/>
    <w:rsid w:val="00503C9A"/>
    <w:rsid w:val="00530354"/>
    <w:rsid w:val="0053625B"/>
    <w:rsid w:val="005434C6"/>
    <w:rsid w:val="00543B39"/>
    <w:rsid w:val="00546154"/>
    <w:rsid w:val="00550096"/>
    <w:rsid w:val="00555280"/>
    <w:rsid w:val="00557FF9"/>
    <w:rsid w:val="00562327"/>
    <w:rsid w:val="005711D5"/>
    <w:rsid w:val="00576378"/>
    <w:rsid w:val="00577130"/>
    <w:rsid w:val="00577945"/>
    <w:rsid w:val="00577E38"/>
    <w:rsid w:val="005833CA"/>
    <w:rsid w:val="00585322"/>
    <w:rsid w:val="005857C6"/>
    <w:rsid w:val="00592F6E"/>
    <w:rsid w:val="00593AD1"/>
    <w:rsid w:val="005A68B6"/>
    <w:rsid w:val="005C5570"/>
    <w:rsid w:val="005C79A4"/>
    <w:rsid w:val="005D5442"/>
    <w:rsid w:val="005E63FB"/>
    <w:rsid w:val="00603F32"/>
    <w:rsid w:val="00605AD4"/>
    <w:rsid w:val="006136D7"/>
    <w:rsid w:val="00620481"/>
    <w:rsid w:val="00625A6E"/>
    <w:rsid w:val="00632398"/>
    <w:rsid w:val="00640FC3"/>
    <w:rsid w:val="00642020"/>
    <w:rsid w:val="006430EE"/>
    <w:rsid w:val="0065337B"/>
    <w:rsid w:val="0065419D"/>
    <w:rsid w:val="0065420C"/>
    <w:rsid w:val="006603BC"/>
    <w:rsid w:val="006604D8"/>
    <w:rsid w:val="006627F1"/>
    <w:rsid w:val="00664A5B"/>
    <w:rsid w:val="0066735C"/>
    <w:rsid w:val="006763D2"/>
    <w:rsid w:val="00680C08"/>
    <w:rsid w:val="00690A83"/>
    <w:rsid w:val="006916A0"/>
    <w:rsid w:val="006931B1"/>
    <w:rsid w:val="00696C9F"/>
    <w:rsid w:val="006A15C0"/>
    <w:rsid w:val="006A5784"/>
    <w:rsid w:val="006A58A8"/>
    <w:rsid w:val="006C3E2A"/>
    <w:rsid w:val="006C5F9B"/>
    <w:rsid w:val="006C642F"/>
    <w:rsid w:val="006D03E5"/>
    <w:rsid w:val="006D5D3E"/>
    <w:rsid w:val="006E08B3"/>
    <w:rsid w:val="006F17AC"/>
    <w:rsid w:val="006F25B8"/>
    <w:rsid w:val="006F572E"/>
    <w:rsid w:val="007046D6"/>
    <w:rsid w:val="00705DB0"/>
    <w:rsid w:val="007109AC"/>
    <w:rsid w:val="00722B57"/>
    <w:rsid w:val="00730F8A"/>
    <w:rsid w:val="00735A8C"/>
    <w:rsid w:val="0074253D"/>
    <w:rsid w:val="0074429B"/>
    <w:rsid w:val="007615BC"/>
    <w:rsid w:val="00762456"/>
    <w:rsid w:val="00762F05"/>
    <w:rsid w:val="007652FF"/>
    <w:rsid w:val="00767057"/>
    <w:rsid w:val="00770CAC"/>
    <w:rsid w:val="00770EF1"/>
    <w:rsid w:val="00773EF7"/>
    <w:rsid w:val="00774E1D"/>
    <w:rsid w:val="007765D8"/>
    <w:rsid w:val="0077675A"/>
    <w:rsid w:val="00780355"/>
    <w:rsid w:val="007819FD"/>
    <w:rsid w:val="00785717"/>
    <w:rsid w:val="00785721"/>
    <w:rsid w:val="00793A59"/>
    <w:rsid w:val="007A46F5"/>
    <w:rsid w:val="007A6505"/>
    <w:rsid w:val="007B5350"/>
    <w:rsid w:val="007B6132"/>
    <w:rsid w:val="007B6E9F"/>
    <w:rsid w:val="007C1216"/>
    <w:rsid w:val="007C1AF7"/>
    <w:rsid w:val="007C6B9B"/>
    <w:rsid w:val="00805D27"/>
    <w:rsid w:val="00806DCB"/>
    <w:rsid w:val="00821776"/>
    <w:rsid w:val="008321F5"/>
    <w:rsid w:val="00832369"/>
    <w:rsid w:val="00834660"/>
    <w:rsid w:val="00836BC2"/>
    <w:rsid w:val="0085156D"/>
    <w:rsid w:val="00852B28"/>
    <w:rsid w:val="0085641B"/>
    <w:rsid w:val="00857136"/>
    <w:rsid w:val="00857452"/>
    <w:rsid w:val="00875A6B"/>
    <w:rsid w:val="00885B11"/>
    <w:rsid w:val="00886D15"/>
    <w:rsid w:val="00887DD8"/>
    <w:rsid w:val="00891BA9"/>
    <w:rsid w:val="00896018"/>
    <w:rsid w:val="008960DD"/>
    <w:rsid w:val="0089635C"/>
    <w:rsid w:val="008A2B9D"/>
    <w:rsid w:val="008A3D9F"/>
    <w:rsid w:val="008A58C1"/>
    <w:rsid w:val="008A5E0B"/>
    <w:rsid w:val="008A6D59"/>
    <w:rsid w:val="008B4B03"/>
    <w:rsid w:val="008B596F"/>
    <w:rsid w:val="008C159F"/>
    <w:rsid w:val="008C1623"/>
    <w:rsid w:val="008C1850"/>
    <w:rsid w:val="008C254C"/>
    <w:rsid w:val="008C51A9"/>
    <w:rsid w:val="008E0812"/>
    <w:rsid w:val="008E156A"/>
    <w:rsid w:val="008E1FFD"/>
    <w:rsid w:val="008E7846"/>
    <w:rsid w:val="008F02E5"/>
    <w:rsid w:val="008F1CCC"/>
    <w:rsid w:val="008F2967"/>
    <w:rsid w:val="008F6943"/>
    <w:rsid w:val="00902A21"/>
    <w:rsid w:val="0091523F"/>
    <w:rsid w:val="00915DA0"/>
    <w:rsid w:val="00920330"/>
    <w:rsid w:val="009219D7"/>
    <w:rsid w:val="00922D53"/>
    <w:rsid w:val="00923B70"/>
    <w:rsid w:val="00924482"/>
    <w:rsid w:val="00924F0E"/>
    <w:rsid w:val="00930237"/>
    <w:rsid w:val="009312DE"/>
    <w:rsid w:val="00937C17"/>
    <w:rsid w:val="00940A89"/>
    <w:rsid w:val="00941F77"/>
    <w:rsid w:val="00944347"/>
    <w:rsid w:val="00946EA5"/>
    <w:rsid w:val="00963C08"/>
    <w:rsid w:val="00974904"/>
    <w:rsid w:val="0097515E"/>
    <w:rsid w:val="009752A5"/>
    <w:rsid w:val="0098585A"/>
    <w:rsid w:val="009A2FCA"/>
    <w:rsid w:val="009A4CED"/>
    <w:rsid w:val="009A690D"/>
    <w:rsid w:val="009B1D12"/>
    <w:rsid w:val="009B416B"/>
    <w:rsid w:val="009C2083"/>
    <w:rsid w:val="009C4BD5"/>
    <w:rsid w:val="009D7B77"/>
    <w:rsid w:val="009E0BB0"/>
    <w:rsid w:val="009E3FBB"/>
    <w:rsid w:val="009E7FD0"/>
    <w:rsid w:val="009F1064"/>
    <w:rsid w:val="009F7353"/>
    <w:rsid w:val="00A04F85"/>
    <w:rsid w:val="00A05FA4"/>
    <w:rsid w:val="00A102E4"/>
    <w:rsid w:val="00A1219C"/>
    <w:rsid w:val="00A12C42"/>
    <w:rsid w:val="00A14DF7"/>
    <w:rsid w:val="00A22D57"/>
    <w:rsid w:val="00A3246D"/>
    <w:rsid w:val="00A36FA7"/>
    <w:rsid w:val="00A44DDB"/>
    <w:rsid w:val="00A475B7"/>
    <w:rsid w:val="00A47AF7"/>
    <w:rsid w:val="00A47C3E"/>
    <w:rsid w:val="00A50226"/>
    <w:rsid w:val="00A511B9"/>
    <w:rsid w:val="00A60BAD"/>
    <w:rsid w:val="00A77F87"/>
    <w:rsid w:val="00A80B5B"/>
    <w:rsid w:val="00A84E36"/>
    <w:rsid w:val="00A913FA"/>
    <w:rsid w:val="00A960AE"/>
    <w:rsid w:val="00A964D1"/>
    <w:rsid w:val="00AA0ED0"/>
    <w:rsid w:val="00AC2B40"/>
    <w:rsid w:val="00AC2BB2"/>
    <w:rsid w:val="00AC2C3C"/>
    <w:rsid w:val="00AC512D"/>
    <w:rsid w:val="00AD0083"/>
    <w:rsid w:val="00AD3935"/>
    <w:rsid w:val="00AE1CE7"/>
    <w:rsid w:val="00AE3AF6"/>
    <w:rsid w:val="00AE65EB"/>
    <w:rsid w:val="00AE67A7"/>
    <w:rsid w:val="00AF1D94"/>
    <w:rsid w:val="00AF60C5"/>
    <w:rsid w:val="00B009C6"/>
    <w:rsid w:val="00B01548"/>
    <w:rsid w:val="00B130C5"/>
    <w:rsid w:val="00B13EBD"/>
    <w:rsid w:val="00B21D29"/>
    <w:rsid w:val="00B25034"/>
    <w:rsid w:val="00B33588"/>
    <w:rsid w:val="00B33863"/>
    <w:rsid w:val="00B37D17"/>
    <w:rsid w:val="00B4175E"/>
    <w:rsid w:val="00B41C85"/>
    <w:rsid w:val="00B452CE"/>
    <w:rsid w:val="00B474D0"/>
    <w:rsid w:val="00B54C25"/>
    <w:rsid w:val="00B5738C"/>
    <w:rsid w:val="00B76B91"/>
    <w:rsid w:val="00B77A05"/>
    <w:rsid w:val="00B77EB1"/>
    <w:rsid w:val="00B811C6"/>
    <w:rsid w:val="00B855B0"/>
    <w:rsid w:val="00B92E08"/>
    <w:rsid w:val="00B939C9"/>
    <w:rsid w:val="00BA7D4B"/>
    <w:rsid w:val="00BC318C"/>
    <w:rsid w:val="00BC622A"/>
    <w:rsid w:val="00BD606E"/>
    <w:rsid w:val="00BE0A78"/>
    <w:rsid w:val="00BE79F0"/>
    <w:rsid w:val="00BF046D"/>
    <w:rsid w:val="00BF1190"/>
    <w:rsid w:val="00BF3774"/>
    <w:rsid w:val="00BF5D04"/>
    <w:rsid w:val="00C009AA"/>
    <w:rsid w:val="00C0793F"/>
    <w:rsid w:val="00C1164D"/>
    <w:rsid w:val="00C16861"/>
    <w:rsid w:val="00C326B3"/>
    <w:rsid w:val="00C346AB"/>
    <w:rsid w:val="00C404A6"/>
    <w:rsid w:val="00C40A36"/>
    <w:rsid w:val="00C44419"/>
    <w:rsid w:val="00C45E7B"/>
    <w:rsid w:val="00C471B1"/>
    <w:rsid w:val="00C52E24"/>
    <w:rsid w:val="00C53E67"/>
    <w:rsid w:val="00C6316B"/>
    <w:rsid w:val="00C634A9"/>
    <w:rsid w:val="00C64586"/>
    <w:rsid w:val="00C70D53"/>
    <w:rsid w:val="00C73D0B"/>
    <w:rsid w:val="00C772FF"/>
    <w:rsid w:val="00C80137"/>
    <w:rsid w:val="00C801AF"/>
    <w:rsid w:val="00C80256"/>
    <w:rsid w:val="00C80C93"/>
    <w:rsid w:val="00C94CD4"/>
    <w:rsid w:val="00C9747E"/>
    <w:rsid w:val="00CB364D"/>
    <w:rsid w:val="00CB6BC0"/>
    <w:rsid w:val="00CC1B7C"/>
    <w:rsid w:val="00CC37F3"/>
    <w:rsid w:val="00CC727F"/>
    <w:rsid w:val="00CF15C3"/>
    <w:rsid w:val="00CF2B6F"/>
    <w:rsid w:val="00CF2F3E"/>
    <w:rsid w:val="00CF375D"/>
    <w:rsid w:val="00CF58B6"/>
    <w:rsid w:val="00D0062D"/>
    <w:rsid w:val="00D017ED"/>
    <w:rsid w:val="00D040D3"/>
    <w:rsid w:val="00D04C65"/>
    <w:rsid w:val="00D153D8"/>
    <w:rsid w:val="00D15906"/>
    <w:rsid w:val="00D201D2"/>
    <w:rsid w:val="00D224FE"/>
    <w:rsid w:val="00D23139"/>
    <w:rsid w:val="00D425BB"/>
    <w:rsid w:val="00D453FA"/>
    <w:rsid w:val="00D6493E"/>
    <w:rsid w:val="00D64EDA"/>
    <w:rsid w:val="00D70EC8"/>
    <w:rsid w:val="00D7195D"/>
    <w:rsid w:val="00D7301E"/>
    <w:rsid w:val="00D83AE1"/>
    <w:rsid w:val="00D855D4"/>
    <w:rsid w:val="00D902C9"/>
    <w:rsid w:val="00D91BC0"/>
    <w:rsid w:val="00D93466"/>
    <w:rsid w:val="00D973CD"/>
    <w:rsid w:val="00DA1124"/>
    <w:rsid w:val="00DA64CB"/>
    <w:rsid w:val="00DA7509"/>
    <w:rsid w:val="00DB06B8"/>
    <w:rsid w:val="00DB6124"/>
    <w:rsid w:val="00DB750B"/>
    <w:rsid w:val="00DB75B7"/>
    <w:rsid w:val="00DC0A2F"/>
    <w:rsid w:val="00DC1948"/>
    <w:rsid w:val="00DC6E02"/>
    <w:rsid w:val="00DD28CD"/>
    <w:rsid w:val="00DD5DF5"/>
    <w:rsid w:val="00DD7D61"/>
    <w:rsid w:val="00DE02AE"/>
    <w:rsid w:val="00DE39D1"/>
    <w:rsid w:val="00DF1D7F"/>
    <w:rsid w:val="00DF4BE4"/>
    <w:rsid w:val="00E02382"/>
    <w:rsid w:val="00E02FB4"/>
    <w:rsid w:val="00E13FC7"/>
    <w:rsid w:val="00E20571"/>
    <w:rsid w:val="00E235F7"/>
    <w:rsid w:val="00E23659"/>
    <w:rsid w:val="00E239D4"/>
    <w:rsid w:val="00E26130"/>
    <w:rsid w:val="00E40B22"/>
    <w:rsid w:val="00E44ED1"/>
    <w:rsid w:val="00E45232"/>
    <w:rsid w:val="00E45619"/>
    <w:rsid w:val="00E4588F"/>
    <w:rsid w:val="00E46DA3"/>
    <w:rsid w:val="00E51BB1"/>
    <w:rsid w:val="00E55CB0"/>
    <w:rsid w:val="00E624A5"/>
    <w:rsid w:val="00E63208"/>
    <w:rsid w:val="00E64BA4"/>
    <w:rsid w:val="00E7344E"/>
    <w:rsid w:val="00E82665"/>
    <w:rsid w:val="00EA1E97"/>
    <w:rsid w:val="00EB0798"/>
    <w:rsid w:val="00EB40AD"/>
    <w:rsid w:val="00EB586E"/>
    <w:rsid w:val="00EB5FC8"/>
    <w:rsid w:val="00EC463D"/>
    <w:rsid w:val="00EC4B26"/>
    <w:rsid w:val="00EC7A85"/>
    <w:rsid w:val="00ED2922"/>
    <w:rsid w:val="00ED3CAD"/>
    <w:rsid w:val="00ED5A41"/>
    <w:rsid w:val="00EE1DE8"/>
    <w:rsid w:val="00EE27C2"/>
    <w:rsid w:val="00EE6239"/>
    <w:rsid w:val="00EF4BAD"/>
    <w:rsid w:val="00EF59DC"/>
    <w:rsid w:val="00F033EC"/>
    <w:rsid w:val="00F04E74"/>
    <w:rsid w:val="00F04F68"/>
    <w:rsid w:val="00F12670"/>
    <w:rsid w:val="00F14B27"/>
    <w:rsid w:val="00F17F21"/>
    <w:rsid w:val="00F27DB2"/>
    <w:rsid w:val="00F3148D"/>
    <w:rsid w:val="00F325C5"/>
    <w:rsid w:val="00F32FE0"/>
    <w:rsid w:val="00F35298"/>
    <w:rsid w:val="00F47333"/>
    <w:rsid w:val="00F47E37"/>
    <w:rsid w:val="00F53C07"/>
    <w:rsid w:val="00F54B65"/>
    <w:rsid w:val="00F640B6"/>
    <w:rsid w:val="00F66DF2"/>
    <w:rsid w:val="00F670D5"/>
    <w:rsid w:val="00F80E40"/>
    <w:rsid w:val="00F848D9"/>
    <w:rsid w:val="00F933BC"/>
    <w:rsid w:val="00FA5069"/>
    <w:rsid w:val="00FA5B82"/>
    <w:rsid w:val="00FA639E"/>
    <w:rsid w:val="00FA6C78"/>
    <w:rsid w:val="00FC1FCA"/>
    <w:rsid w:val="00FC25E4"/>
    <w:rsid w:val="00FC4EF7"/>
    <w:rsid w:val="00FD0824"/>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E88BAD2"/>
  <w15:docId w15:val="{35197B85-EBC5-47D8-BE84-546CECB31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AE3AF6"/>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Default">
    <w:name w:val="Default"/>
    <w:rsid w:val="000D0108"/>
    <w:pPr>
      <w:autoSpaceDE w:val="0"/>
      <w:autoSpaceDN w:val="0"/>
      <w:adjustRightInd w:val="0"/>
      <w:spacing w:after="0" w:line="240" w:lineRule="auto"/>
    </w:pPr>
    <w:rPr>
      <w:rFonts w:ascii="Cambria" w:hAnsi="Cambria" w:cs="Cambria"/>
      <w:color w:val="000000"/>
      <w:sz w:val="24"/>
      <w:szCs w:val="24"/>
    </w:rPr>
  </w:style>
  <w:style w:type="character" w:customStyle="1" w:styleId="TabletextChar">
    <w:name w:val="Table text Char"/>
    <w:basedOn w:val="DefaultParagraphFont"/>
    <w:link w:val="Tabletext"/>
    <w:rsid w:val="009E7FD0"/>
    <w:rPr>
      <w:rFonts w:ascii="Cambria" w:eastAsia="Cambria" w:hAnsi="Cambria" w:cs="Times New Roman"/>
      <w:sz w:val="19"/>
    </w:rPr>
  </w:style>
  <w:style w:type="paragraph" w:styleId="ListParagraph">
    <w:name w:val="List Paragraph"/>
    <w:basedOn w:val="Normal"/>
    <w:uiPriority w:val="34"/>
    <w:rsid w:val="000245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3106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footer" Target="footer2.xml"/><Relationship Id="rId18" Type="http://schemas.openxmlformats.org/officeDocument/2006/relationships/image" Target="media/image4.png"/><Relationship Id="rId26" Type="http://schemas.microsoft.com/office/2007/relationships/hdphoto" Target="media/hdphoto4.wdp"/><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6.xml"/><Relationship Id="rId42"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tga.gov.au/product-information-pi" TargetMode="External"/><Relationship Id="rId25" Type="http://schemas.openxmlformats.org/officeDocument/2006/relationships/image" Target="media/image8.png"/><Relationship Id="rId33" Type="http://schemas.openxmlformats.org/officeDocument/2006/relationships/header" Target="header5.xml"/><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3.emf"/><Relationship Id="rId20" Type="http://schemas.microsoft.com/office/2007/relationships/hdphoto" Target="media/hdphoto1.wdp"/><Relationship Id="rId29" Type="http://schemas.openxmlformats.org/officeDocument/2006/relationships/image" Target="media/image10.png"/><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microsoft.com/office/2007/relationships/hdphoto" Target="media/hdphoto3.wdp"/><Relationship Id="rId32" Type="http://schemas.openxmlformats.org/officeDocument/2006/relationships/header" Target="header4.xml"/><Relationship Id="rId37" Type="http://schemas.openxmlformats.org/officeDocument/2006/relationships/hyperlink" Target="https://www.tga.gov.au" TargetMode="Externa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png"/><Relationship Id="rId28" Type="http://schemas.microsoft.com/office/2007/relationships/hdphoto" Target="media/hdphoto5.wdp"/><Relationship Id="rId36" Type="http://schemas.openxmlformats.org/officeDocument/2006/relationships/hyperlink" Target="mailto:info@tga.gov.au" TargetMode="Externa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yperlink" Target="https://www.tga.gov.au/product-information-pi"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microsoft.com/office/2007/relationships/hdphoto" Target="media/hdphoto2.wdp"/><Relationship Id="rId27" Type="http://schemas.openxmlformats.org/officeDocument/2006/relationships/image" Target="media/image9.png"/><Relationship Id="rId30" Type="http://schemas.microsoft.com/office/2007/relationships/hdphoto" Target="media/hdphoto6.wdp"/><Relationship Id="rId35" Type="http://schemas.openxmlformats.org/officeDocument/2006/relationships/footer" Target="footer4.xml"/><Relationship Id="rId43"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production.tga.gov.au\dfsroot\Users\rohden\Documents\AusPAR%20-%20template%20-%20streamlined.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500E4-0BC0-42D8-8A96-76918F756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 - template - streamlined</Template>
  <TotalTime>18</TotalTime>
  <Pages>27</Pages>
  <Words>7253</Words>
  <Characters>41347</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Australian public assessment for Isavuconazole (as sulphate)</vt:lpstr>
    </vt:vector>
  </TitlesOfParts>
  <Company>Department of Health Therapeutic Goods Administration</Company>
  <LinksUpToDate>false</LinksUpToDate>
  <CharactersWithSpaces>48503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Isavuconazole (as sulphate)</dc:title>
  <dc:subject>prescription medicines</dc:subject>
  <dc:creator>Therapeutic Goods Administration</dc:creator>
  <cp:keywords>AusPARs</cp:keywords>
  <cp:lastPrinted>2019-08-14T04:30:00Z</cp:lastPrinted>
  <dcterms:created xsi:type="dcterms:W3CDTF">2020-01-21T22:00:00Z</dcterms:created>
  <dcterms:modified xsi:type="dcterms:W3CDTF">2020-01-21T22:18:00Z</dcterms:modified>
  <cp:category/>
</cp:coreProperties>
</file>