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85F47" w14:textId="77777777" w:rsidR="002F5236" w:rsidRDefault="002F5236" w:rsidP="00243A31">
      <w:pPr>
        <w:pStyle w:val="CLDNormal"/>
        <w:rPr>
          <w:rFonts w:eastAsiaTheme="minorHAnsi"/>
          <w:lang w:val="en-AU"/>
        </w:rPr>
      </w:pPr>
      <w:bookmarkStart w:id="0" w:name="_GoBack"/>
      <w:r w:rsidRPr="002F5236">
        <w:rPr>
          <w:rFonts w:asciiTheme="minorHAnsi" w:eastAsiaTheme="minorHAnsi" w:hAnsiTheme="minorHAnsi"/>
          <w:noProof/>
          <w:lang w:val="en-AU" w:eastAsia="en-AU"/>
        </w:rPr>
        <mc:AlternateContent>
          <mc:Choice Requires="wps">
            <w:drawing>
              <wp:inline distT="0" distB="0" distL="0" distR="0" wp14:anchorId="16412FFF" wp14:editId="5DDAF851">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88E3E" w14:textId="77777777" w:rsidR="0043736A" w:rsidRPr="00BE2A26" w:rsidRDefault="0043736A" w:rsidP="002F5236">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6412FFF"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4x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X&#10;GCnSAUX3fPDoRg+oCN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BvYfjF0AgAA/gQAAA4AAAAAAAAAAAAA&#10;AAAALgIAAGRycy9lMm9Eb2MueG1sUEsBAi0AFAAGAAgAAAAhAGP1TgzZAAAAAwEAAA8AAAAAAAAA&#10;AAAAAAAAzgQAAGRycy9kb3ducmV2LnhtbFBLBQYAAAAABAAEAPMAAADUBQAAAAA=&#10;" stroked="f">
                <v:textbox inset="0,0,0,0">
                  <w:txbxContent>
                    <w:p w14:paraId="4CD88E3E" w14:textId="77777777" w:rsidR="0043736A" w:rsidRPr="00BE2A26" w:rsidRDefault="0043736A" w:rsidP="002F5236">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bookmarkEnd w:id="0"/>
      <w:r w:rsidRPr="002F5236">
        <w:rPr>
          <w:rFonts w:eastAsiaTheme="minorHAnsi"/>
          <w:lang w:val="en-AU"/>
        </w:rPr>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2F5236">
          <w:rPr>
            <w:rFonts w:eastAsiaTheme="minorHAnsi"/>
            <w:color w:val="0000FF" w:themeColor="hyperlink"/>
            <w:u w:val="single"/>
            <w:lang w:val="en-AU"/>
          </w:rPr>
          <w:t>www.tga.gov.au/reporting-problems</w:t>
        </w:r>
      </w:hyperlink>
      <w:r w:rsidRPr="002F5236">
        <w:rPr>
          <w:rFonts w:eastAsiaTheme="minorHAnsi"/>
          <w:lang w:val="en-AU"/>
        </w:rPr>
        <w:t>.</w:t>
      </w:r>
    </w:p>
    <w:p w14:paraId="108BF2EC" w14:textId="77777777" w:rsidR="005F0573" w:rsidRPr="00D01328" w:rsidRDefault="003B255D" w:rsidP="00D01328">
      <w:pPr>
        <w:pStyle w:val="CLDTITLE"/>
        <w:rPr>
          <w:color w:val="FF0000"/>
        </w:rPr>
      </w:pPr>
      <w:r w:rsidRPr="00D01328">
        <w:t xml:space="preserve">AUSTRALIAN PRODUCT INFORMATION </w:t>
      </w:r>
      <w:r w:rsidR="00395AD9" w:rsidRPr="00395AD9">
        <w:t>CRESEMBA® (ISAVUCONAZOLE) POWDER FOR INJECTION AND CAPSULES</w:t>
      </w:r>
    </w:p>
    <w:p w14:paraId="63F31030" w14:textId="77777777" w:rsidR="00EB4D43" w:rsidRPr="00643055" w:rsidRDefault="00E60520" w:rsidP="001D73D4">
      <w:pPr>
        <w:pStyle w:val="CLDHeading1"/>
      </w:pPr>
      <w:r w:rsidRPr="00643055">
        <w:t>1.</w:t>
      </w:r>
      <w:r w:rsidR="00294A15" w:rsidRPr="00643055">
        <w:tab/>
      </w:r>
      <w:r w:rsidRPr="00643055">
        <w:t>NAME</w:t>
      </w:r>
      <w:r w:rsidR="003B255D" w:rsidRPr="00643055">
        <w:t xml:space="preserve"> OF THE MEDICINE</w:t>
      </w:r>
    </w:p>
    <w:p w14:paraId="7EC0F413" w14:textId="77777777" w:rsidR="009330C4" w:rsidRDefault="009330C4" w:rsidP="009330C4">
      <w:pPr>
        <w:pStyle w:val="CLDNormal"/>
        <w:rPr>
          <w:b/>
          <w:caps/>
        </w:rPr>
      </w:pPr>
      <w:proofErr w:type="spellStart"/>
      <w:r w:rsidRPr="009330C4">
        <w:t>Isavuconazole</w:t>
      </w:r>
      <w:proofErr w:type="spellEnd"/>
      <w:r w:rsidRPr="009330C4">
        <w:t xml:space="preserve"> (as </w:t>
      </w:r>
      <w:proofErr w:type="spellStart"/>
      <w:r w:rsidRPr="009330C4">
        <w:t>isavuconazonium</w:t>
      </w:r>
      <w:proofErr w:type="spellEnd"/>
      <w:r w:rsidRPr="009330C4">
        <w:t xml:space="preserve"> </w:t>
      </w:r>
      <w:proofErr w:type="spellStart"/>
      <w:r w:rsidRPr="009330C4">
        <w:t>sulfate</w:t>
      </w:r>
      <w:proofErr w:type="spellEnd"/>
      <w:r w:rsidRPr="009330C4">
        <w:t xml:space="preserve">). </w:t>
      </w:r>
    </w:p>
    <w:p w14:paraId="4B6079A8" w14:textId="77777777" w:rsidR="00EB4D43" w:rsidRPr="00924CC2" w:rsidRDefault="00294A15" w:rsidP="001D73D4">
      <w:pPr>
        <w:pStyle w:val="CLDHeading1"/>
      </w:pPr>
      <w:r>
        <w:t>2.</w:t>
      </w:r>
      <w:r>
        <w:tab/>
      </w:r>
      <w:r w:rsidR="0018348D">
        <w:t>QUALITATIVE AND QUANTITATIVE COMPOSITION</w:t>
      </w:r>
      <w:r w:rsidR="00E60520">
        <w:t xml:space="preserve"> </w:t>
      </w:r>
    </w:p>
    <w:p w14:paraId="4F280C81" w14:textId="77777777" w:rsidR="009330C4" w:rsidRPr="009330C4" w:rsidRDefault="009330C4" w:rsidP="009330C4">
      <w:pPr>
        <w:pStyle w:val="CLDNormal"/>
        <w:rPr>
          <w:b/>
          <w:bCs/>
          <w:lang w:val="en-US"/>
        </w:rPr>
      </w:pPr>
      <w:r w:rsidRPr="009330C4">
        <w:rPr>
          <w:b/>
          <w:bCs/>
          <w:lang w:val="en-US"/>
        </w:rPr>
        <w:t>Powder for injection</w:t>
      </w:r>
    </w:p>
    <w:p w14:paraId="4E748EF9" w14:textId="77777777" w:rsidR="009330C4" w:rsidRPr="00212203" w:rsidRDefault="009330C4" w:rsidP="009330C4">
      <w:pPr>
        <w:pStyle w:val="CLDNormal"/>
        <w:rPr>
          <w:szCs w:val="22"/>
          <w:lang w:val="en-US"/>
        </w:rPr>
      </w:pPr>
      <w:r w:rsidRPr="00212203">
        <w:rPr>
          <w:szCs w:val="22"/>
          <w:lang w:val="en-US"/>
        </w:rPr>
        <w:t xml:space="preserve">Each vial contains 200 mg </w:t>
      </w:r>
      <w:proofErr w:type="spellStart"/>
      <w:r w:rsidRPr="00212203">
        <w:rPr>
          <w:szCs w:val="22"/>
          <w:lang w:val="en-US"/>
        </w:rPr>
        <w:t>isavuconazole</w:t>
      </w:r>
      <w:proofErr w:type="spellEnd"/>
      <w:r w:rsidRPr="00212203">
        <w:rPr>
          <w:szCs w:val="22"/>
          <w:lang w:val="en-US"/>
        </w:rPr>
        <w:t xml:space="preserve"> (as 372.6 mg </w:t>
      </w:r>
      <w:proofErr w:type="spellStart"/>
      <w:r w:rsidRPr="00212203">
        <w:rPr>
          <w:szCs w:val="22"/>
          <w:lang w:val="en-US"/>
        </w:rPr>
        <w:t>isavuconazonium</w:t>
      </w:r>
      <w:proofErr w:type="spellEnd"/>
      <w:r w:rsidRPr="00212203">
        <w:rPr>
          <w:szCs w:val="22"/>
          <w:lang w:val="en-US"/>
        </w:rPr>
        <w:t xml:space="preserve"> sulfate).</w:t>
      </w:r>
    </w:p>
    <w:p w14:paraId="689DC5B0" w14:textId="77777777" w:rsidR="009330C4" w:rsidRPr="009330C4" w:rsidRDefault="009330C4" w:rsidP="009330C4">
      <w:pPr>
        <w:pStyle w:val="CLDNormal"/>
        <w:rPr>
          <w:b/>
          <w:bCs/>
          <w:lang w:val="en-US"/>
        </w:rPr>
      </w:pPr>
      <w:r w:rsidRPr="009330C4">
        <w:rPr>
          <w:b/>
          <w:bCs/>
          <w:lang w:val="en-US"/>
        </w:rPr>
        <w:t>Capsules</w:t>
      </w:r>
    </w:p>
    <w:p w14:paraId="07B5EBF9" w14:textId="77777777" w:rsidR="009330C4" w:rsidRPr="00212203" w:rsidRDefault="009330C4" w:rsidP="009330C4">
      <w:pPr>
        <w:pStyle w:val="CLDNormal"/>
        <w:rPr>
          <w:lang w:val="en-US"/>
        </w:rPr>
      </w:pPr>
      <w:r w:rsidRPr="00212203">
        <w:rPr>
          <w:lang w:val="en-US"/>
        </w:rPr>
        <w:t xml:space="preserve">Each capsule contains 100 mg </w:t>
      </w:r>
      <w:proofErr w:type="spellStart"/>
      <w:r w:rsidRPr="00212203">
        <w:rPr>
          <w:lang w:val="en-US"/>
        </w:rPr>
        <w:t>isavuconazole</w:t>
      </w:r>
      <w:proofErr w:type="spellEnd"/>
      <w:r w:rsidRPr="00212203">
        <w:rPr>
          <w:lang w:val="en-US"/>
        </w:rPr>
        <w:t xml:space="preserve"> (as 186.3 mg </w:t>
      </w:r>
      <w:proofErr w:type="spellStart"/>
      <w:r w:rsidRPr="00212203">
        <w:rPr>
          <w:lang w:val="en-US"/>
        </w:rPr>
        <w:t>isavuconazonium</w:t>
      </w:r>
      <w:proofErr w:type="spellEnd"/>
      <w:r w:rsidRPr="00212203">
        <w:rPr>
          <w:lang w:val="en-US"/>
        </w:rPr>
        <w:t xml:space="preserve"> sulfate).</w:t>
      </w:r>
    </w:p>
    <w:p w14:paraId="692A6CAC" w14:textId="77777777" w:rsidR="009330C4" w:rsidRPr="00212203" w:rsidRDefault="009330C4" w:rsidP="009330C4">
      <w:pPr>
        <w:pStyle w:val="CLDNormal"/>
      </w:pPr>
      <w:r w:rsidRPr="00212203">
        <w:t xml:space="preserve">For the full list of excipients, see </w:t>
      </w:r>
      <w:r w:rsidRPr="000D5911">
        <w:t>Section 6.1 List of excipients</w:t>
      </w:r>
      <w:r w:rsidRPr="00212203">
        <w:t>.</w:t>
      </w:r>
    </w:p>
    <w:p w14:paraId="1B97EBB0" w14:textId="77777777" w:rsidR="0034484A" w:rsidRPr="002C0516" w:rsidRDefault="00932B9D" w:rsidP="001D73D4">
      <w:pPr>
        <w:pStyle w:val="CLDHeading1"/>
      </w:pPr>
      <w:r>
        <w:t>3.</w:t>
      </w:r>
      <w:r>
        <w:tab/>
      </w:r>
      <w:r w:rsidR="0018348D">
        <w:t>PHARMACEUTICAL FORM</w:t>
      </w:r>
    </w:p>
    <w:p w14:paraId="2E397350" w14:textId="77777777" w:rsidR="009330C4" w:rsidRPr="009330C4" w:rsidRDefault="009330C4" w:rsidP="009330C4">
      <w:pPr>
        <w:pStyle w:val="CLDNormal"/>
        <w:rPr>
          <w:b/>
          <w:bCs/>
          <w:lang w:val="en-US"/>
        </w:rPr>
      </w:pPr>
      <w:r w:rsidRPr="009330C4">
        <w:rPr>
          <w:b/>
          <w:bCs/>
          <w:lang w:val="en-US"/>
        </w:rPr>
        <w:t xml:space="preserve">Powder for injection </w:t>
      </w:r>
    </w:p>
    <w:p w14:paraId="6D099CA0" w14:textId="77777777" w:rsidR="009330C4" w:rsidRPr="00212203" w:rsidRDefault="009330C4" w:rsidP="009330C4">
      <w:pPr>
        <w:pStyle w:val="CLDNormal"/>
      </w:pPr>
      <w:r w:rsidRPr="00212203">
        <w:t xml:space="preserve">Powder for injection; white to yellow powder for intravenous administration following reconstitution and dilution. </w:t>
      </w:r>
    </w:p>
    <w:p w14:paraId="24CA9ACA" w14:textId="77777777" w:rsidR="009330C4" w:rsidRPr="009330C4" w:rsidRDefault="009330C4" w:rsidP="009330C4">
      <w:pPr>
        <w:pStyle w:val="CLDNormal"/>
        <w:rPr>
          <w:b/>
          <w:bCs/>
          <w:lang w:val="en-US"/>
        </w:rPr>
      </w:pPr>
      <w:r w:rsidRPr="009330C4">
        <w:rPr>
          <w:b/>
          <w:bCs/>
          <w:lang w:val="en-US"/>
        </w:rPr>
        <w:t>Capsules</w:t>
      </w:r>
    </w:p>
    <w:p w14:paraId="0BA10A2F" w14:textId="77777777" w:rsidR="009330C4" w:rsidRPr="00212203" w:rsidRDefault="009330C4" w:rsidP="009330C4">
      <w:pPr>
        <w:pStyle w:val="CLDNormal"/>
      </w:pPr>
      <w:r w:rsidRPr="00212203">
        <w:t xml:space="preserve">Swedish Orange (reddish-brown) capsule body marked with “100” in black ink and a white cap marked with “C” in black ink.  For oral administration. </w:t>
      </w:r>
    </w:p>
    <w:p w14:paraId="3C105589" w14:textId="77777777" w:rsidR="00E4558F" w:rsidRDefault="00932B9D" w:rsidP="001D73D4">
      <w:pPr>
        <w:pStyle w:val="CLDHeading1"/>
      </w:pPr>
      <w:r>
        <w:t>4.</w:t>
      </w:r>
      <w:r>
        <w:tab/>
      </w:r>
      <w:r w:rsidR="0018348D">
        <w:t>CLINICAL PARTICULARS</w:t>
      </w:r>
    </w:p>
    <w:p w14:paraId="59AE45E7" w14:textId="77777777" w:rsidR="00E60520" w:rsidRPr="00C035A6" w:rsidRDefault="00932B9D" w:rsidP="00755FFF">
      <w:pPr>
        <w:pStyle w:val="CLDHeading2"/>
        <w:rPr>
          <w:bCs/>
          <w:i/>
          <w:iCs/>
          <w:color w:val="FF0000"/>
        </w:rPr>
      </w:pPr>
      <w:r>
        <w:t>4.1</w:t>
      </w:r>
      <w:r>
        <w:tab/>
      </w:r>
      <w:r w:rsidR="004779F5">
        <w:t>Therapeutic i</w:t>
      </w:r>
      <w:r w:rsidR="00E60520" w:rsidRPr="00932B9D">
        <w:t>ndications</w:t>
      </w:r>
    </w:p>
    <w:p w14:paraId="0DBCA6A8" w14:textId="77777777" w:rsidR="009330C4" w:rsidRPr="00212203" w:rsidRDefault="009330C4" w:rsidP="009330C4">
      <w:pPr>
        <w:pStyle w:val="CLDNormal"/>
      </w:pPr>
      <w:r w:rsidRPr="00212203">
        <w:t>CRESEMBA is indicated in adults for the treatment of</w:t>
      </w:r>
    </w:p>
    <w:p w14:paraId="1952388D" w14:textId="77777777" w:rsidR="009330C4" w:rsidRPr="00212203" w:rsidRDefault="009330C4" w:rsidP="00EF1DAA">
      <w:pPr>
        <w:pStyle w:val="CLDTableTextListText"/>
        <w:numPr>
          <w:ilvl w:val="0"/>
          <w:numId w:val="34"/>
        </w:numPr>
      </w:pPr>
      <w:r w:rsidRPr="00212203">
        <w:t xml:space="preserve">invasive </w:t>
      </w:r>
      <w:proofErr w:type="spellStart"/>
      <w:r w:rsidRPr="00212203">
        <w:t>aspergillosis</w:t>
      </w:r>
      <w:proofErr w:type="spellEnd"/>
    </w:p>
    <w:p w14:paraId="02503193" w14:textId="77777777" w:rsidR="009330C4" w:rsidRDefault="009330C4" w:rsidP="00EF1DAA">
      <w:pPr>
        <w:pStyle w:val="CLDTableTextListText"/>
        <w:numPr>
          <w:ilvl w:val="0"/>
          <w:numId w:val="34"/>
        </w:numPr>
      </w:pPr>
      <w:proofErr w:type="spellStart"/>
      <w:r w:rsidRPr="00212203">
        <w:lastRenderedPageBreak/>
        <w:t>mucormycosis</w:t>
      </w:r>
      <w:proofErr w:type="spellEnd"/>
      <w:r w:rsidRPr="00212203">
        <w:t xml:space="preserve"> in patients for whom amphotericin B is inappropriate (see </w:t>
      </w:r>
      <w:r w:rsidRPr="00EF1DAA">
        <w:t>Section 4.4 Special warnings and precautions for use</w:t>
      </w:r>
      <w:r w:rsidRPr="00212203">
        <w:t xml:space="preserve"> and </w:t>
      </w:r>
      <w:r w:rsidRPr="00EF1DAA">
        <w:t xml:space="preserve">Section 5.1 </w:t>
      </w:r>
      <w:proofErr w:type="spellStart"/>
      <w:r w:rsidRPr="00EF1DAA">
        <w:t>Pharmacodynamic</w:t>
      </w:r>
      <w:proofErr w:type="spellEnd"/>
      <w:r w:rsidRPr="00EF1DAA">
        <w:t xml:space="preserve"> properties</w:t>
      </w:r>
      <w:r w:rsidRPr="00212203">
        <w:t>)</w:t>
      </w:r>
    </w:p>
    <w:p w14:paraId="598A784B" w14:textId="77777777" w:rsidR="00EF1DAA" w:rsidRPr="00212203" w:rsidRDefault="00EF1DAA" w:rsidP="00EF1DAA">
      <w:pPr>
        <w:pStyle w:val="CLDTableTextListText"/>
        <w:ind w:left="720"/>
      </w:pPr>
    </w:p>
    <w:p w14:paraId="3035AF50" w14:textId="77777777" w:rsidR="009330C4" w:rsidRPr="00212203" w:rsidRDefault="009330C4" w:rsidP="009330C4">
      <w:pPr>
        <w:pStyle w:val="CLDNormal"/>
      </w:pPr>
      <w:r w:rsidRPr="00212203">
        <w:t>Consideration should be given to official guidance on the appropriate use of antifungal agents.</w:t>
      </w:r>
    </w:p>
    <w:p w14:paraId="16936748" w14:textId="77777777" w:rsidR="00E60520" w:rsidRPr="001D73D4" w:rsidRDefault="00932B9D" w:rsidP="001D73D4">
      <w:pPr>
        <w:pStyle w:val="CLDHeading1"/>
      </w:pPr>
      <w:r w:rsidRPr="001D73D4">
        <w:t>4.2</w:t>
      </w:r>
      <w:r w:rsidRPr="001D73D4">
        <w:tab/>
      </w:r>
      <w:r w:rsidR="004779F5" w:rsidRPr="001D73D4">
        <w:t>Dose and method of a</w:t>
      </w:r>
      <w:r w:rsidR="00E60520" w:rsidRPr="001D73D4">
        <w:t>dministration</w:t>
      </w:r>
    </w:p>
    <w:p w14:paraId="2FEDF91E" w14:textId="77777777" w:rsidR="00112B3F" w:rsidRPr="00932B9D" w:rsidRDefault="00112B3F" w:rsidP="00755FFF">
      <w:pPr>
        <w:pStyle w:val="CLDHeading3"/>
      </w:pPr>
      <w:r w:rsidRPr="00932B9D">
        <w:t>Dos</w:t>
      </w:r>
      <w:r w:rsidR="00837C3E">
        <w:t>age</w:t>
      </w:r>
    </w:p>
    <w:p w14:paraId="577AC412" w14:textId="77777777" w:rsidR="009330C4" w:rsidRPr="009330C4" w:rsidRDefault="009330C4" w:rsidP="009330C4">
      <w:pPr>
        <w:pStyle w:val="CLDNormal"/>
      </w:pPr>
      <w:r w:rsidRPr="009330C4">
        <w:t xml:space="preserve">The recommended loading and maintenance dose for both the powder for injection and capsule formulations are shown in Table 1 below. </w:t>
      </w:r>
    </w:p>
    <w:p w14:paraId="1BC0CE04" w14:textId="49905DFC" w:rsidR="009330C4" w:rsidRPr="009330C4" w:rsidRDefault="009330C4" w:rsidP="009330C4">
      <w:pPr>
        <w:pStyle w:val="CLDTableTitle"/>
      </w:pPr>
      <w:r w:rsidRPr="009330C4">
        <w:t xml:space="preserve">Table </w:t>
      </w:r>
      <w:r w:rsidRPr="009330C4">
        <w:fldChar w:fldCharType="begin"/>
      </w:r>
      <w:r w:rsidRPr="009330C4">
        <w:instrText xml:space="preserve"> SEQ Table \* ARABIC </w:instrText>
      </w:r>
      <w:r w:rsidRPr="009330C4">
        <w:fldChar w:fldCharType="separate"/>
      </w:r>
      <w:r w:rsidR="00437C19">
        <w:rPr>
          <w:noProof/>
        </w:rPr>
        <w:t>1</w:t>
      </w:r>
      <w:r w:rsidRPr="009330C4">
        <w:fldChar w:fldCharType="end"/>
      </w:r>
      <w:r w:rsidR="001F72B3">
        <w:t>.</w:t>
      </w:r>
      <w:r w:rsidRPr="009330C4">
        <w:t xml:space="preserve"> Dosage Regimen for CRESEMBA</w:t>
      </w:r>
    </w:p>
    <w:tbl>
      <w:tblPr>
        <w:tblStyle w:val="TableGrid"/>
        <w:tblW w:w="0" w:type="auto"/>
        <w:tblLook w:val="04A0" w:firstRow="1" w:lastRow="0" w:firstColumn="1" w:lastColumn="0" w:noHBand="0" w:noVBand="1"/>
      </w:tblPr>
      <w:tblGrid>
        <w:gridCol w:w="3005"/>
        <w:gridCol w:w="3005"/>
        <w:gridCol w:w="3006"/>
      </w:tblGrid>
      <w:tr w:rsidR="009330C4" w:rsidRPr="00212203" w14:paraId="6111820B" w14:textId="77777777" w:rsidTr="005A2454">
        <w:tc>
          <w:tcPr>
            <w:tcW w:w="3005" w:type="dxa"/>
          </w:tcPr>
          <w:p w14:paraId="4EAC435F" w14:textId="77777777" w:rsidR="009330C4" w:rsidRPr="00212203" w:rsidRDefault="009330C4" w:rsidP="009330C4">
            <w:pPr>
              <w:pStyle w:val="CLDTableTextListText"/>
            </w:pPr>
          </w:p>
        </w:tc>
        <w:tc>
          <w:tcPr>
            <w:tcW w:w="3005" w:type="dxa"/>
          </w:tcPr>
          <w:p w14:paraId="41A17E23" w14:textId="77777777" w:rsidR="009330C4" w:rsidRPr="001D73D4" w:rsidRDefault="009330C4" w:rsidP="001D73D4">
            <w:pPr>
              <w:pStyle w:val="CLDTableTextListText"/>
              <w:jc w:val="center"/>
              <w:rPr>
                <w:b/>
              </w:rPr>
            </w:pPr>
            <w:r w:rsidRPr="001D73D4">
              <w:rPr>
                <w:b/>
              </w:rPr>
              <w:t>Loading Dose</w:t>
            </w:r>
          </w:p>
        </w:tc>
        <w:tc>
          <w:tcPr>
            <w:tcW w:w="3006" w:type="dxa"/>
          </w:tcPr>
          <w:p w14:paraId="6B70CA65" w14:textId="77777777" w:rsidR="009330C4" w:rsidRPr="001D73D4" w:rsidRDefault="009330C4" w:rsidP="001D73D4">
            <w:pPr>
              <w:pStyle w:val="CLDTableTextListText"/>
              <w:jc w:val="center"/>
              <w:rPr>
                <w:b/>
                <w:vertAlign w:val="superscript"/>
              </w:rPr>
            </w:pPr>
            <w:r w:rsidRPr="001D73D4">
              <w:rPr>
                <w:b/>
              </w:rPr>
              <w:t xml:space="preserve">Maintenance </w:t>
            </w:r>
            <w:proofErr w:type="spellStart"/>
            <w:r w:rsidRPr="001D73D4">
              <w:rPr>
                <w:b/>
              </w:rPr>
              <w:t>Dose</w:t>
            </w:r>
            <w:r w:rsidRPr="001D73D4">
              <w:rPr>
                <w:b/>
                <w:vertAlign w:val="superscript"/>
              </w:rPr>
              <w:t>a</w:t>
            </w:r>
            <w:proofErr w:type="spellEnd"/>
          </w:p>
        </w:tc>
      </w:tr>
      <w:tr w:rsidR="009330C4" w:rsidRPr="00212203" w14:paraId="6CCDCFB8" w14:textId="77777777" w:rsidTr="005A2454">
        <w:tc>
          <w:tcPr>
            <w:tcW w:w="3005" w:type="dxa"/>
          </w:tcPr>
          <w:p w14:paraId="77B6DBD9" w14:textId="77777777" w:rsidR="009330C4" w:rsidRPr="00212203" w:rsidRDefault="009330C4" w:rsidP="009330C4">
            <w:pPr>
              <w:pStyle w:val="CLDTableTextListText"/>
            </w:pPr>
            <w:r w:rsidRPr="00212203">
              <w:t xml:space="preserve">CRESEMBA Powder for injection (200 mg of </w:t>
            </w:r>
            <w:proofErr w:type="spellStart"/>
            <w:r w:rsidRPr="00212203">
              <w:t>isavuconazole</w:t>
            </w:r>
            <w:proofErr w:type="spellEnd"/>
            <w:r w:rsidRPr="00212203">
              <w:t xml:space="preserve"> per vial)</w:t>
            </w:r>
          </w:p>
        </w:tc>
        <w:tc>
          <w:tcPr>
            <w:tcW w:w="3005" w:type="dxa"/>
          </w:tcPr>
          <w:p w14:paraId="3D1D1DB3" w14:textId="77777777" w:rsidR="009330C4" w:rsidRPr="00212203" w:rsidRDefault="009330C4" w:rsidP="001D73D4">
            <w:pPr>
              <w:pStyle w:val="CLDTableTextListText"/>
              <w:jc w:val="center"/>
            </w:pPr>
            <w:r w:rsidRPr="00212203">
              <w:t>1 reconstituted vial (200 mg)</w:t>
            </w:r>
          </w:p>
          <w:p w14:paraId="21093E43" w14:textId="77777777" w:rsidR="009330C4" w:rsidRPr="00212203" w:rsidRDefault="009330C4" w:rsidP="001D73D4">
            <w:pPr>
              <w:pStyle w:val="CLDTableTextListText"/>
              <w:jc w:val="center"/>
            </w:pPr>
            <w:r w:rsidRPr="00212203">
              <w:t>intravenously every 8 hours for 6 doses (48 hours)</w:t>
            </w:r>
          </w:p>
        </w:tc>
        <w:tc>
          <w:tcPr>
            <w:tcW w:w="3006" w:type="dxa"/>
          </w:tcPr>
          <w:p w14:paraId="7AA648D5" w14:textId="77777777" w:rsidR="009330C4" w:rsidRPr="00212203" w:rsidRDefault="009330C4" w:rsidP="006C013A">
            <w:pPr>
              <w:pStyle w:val="CLDTableTextListText"/>
              <w:jc w:val="center"/>
            </w:pPr>
            <w:r w:rsidRPr="00212203">
              <w:t>1 reconstituted vial (200 mg)</w:t>
            </w:r>
          </w:p>
          <w:p w14:paraId="584511EE" w14:textId="77777777" w:rsidR="009330C4" w:rsidRPr="00212203" w:rsidRDefault="009330C4" w:rsidP="001D73D4">
            <w:pPr>
              <w:pStyle w:val="CLDTableTextListText"/>
              <w:jc w:val="center"/>
            </w:pPr>
            <w:r w:rsidRPr="00212203">
              <w:t>intravenously once daily</w:t>
            </w:r>
          </w:p>
        </w:tc>
      </w:tr>
      <w:tr w:rsidR="009330C4" w:rsidRPr="00212203" w14:paraId="17E1A77A" w14:textId="77777777" w:rsidTr="005A2454">
        <w:tc>
          <w:tcPr>
            <w:tcW w:w="3005" w:type="dxa"/>
            <w:shd w:val="clear" w:color="auto" w:fill="auto"/>
          </w:tcPr>
          <w:p w14:paraId="2EA6B424" w14:textId="77777777" w:rsidR="009330C4" w:rsidRPr="00212203" w:rsidRDefault="009330C4" w:rsidP="009330C4">
            <w:pPr>
              <w:pStyle w:val="CLDTableTextListText"/>
            </w:pPr>
            <w:r w:rsidRPr="00212203">
              <w:t xml:space="preserve">CRESEMBA Capsules (100 mg of </w:t>
            </w:r>
            <w:proofErr w:type="spellStart"/>
            <w:r w:rsidRPr="00212203">
              <w:t>isavuconazole</w:t>
            </w:r>
            <w:proofErr w:type="spellEnd"/>
            <w:r w:rsidRPr="00212203">
              <w:t xml:space="preserve"> per capsule)</w:t>
            </w:r>
          </w:p>
        </w:tc>
        <w:tc>
          <w:tcPr>
            <w:tcW w:w="3005" w:type="dxa"/>
            <w:shd w:val="clear" w:color="auto" w:fill="auto"/>
          </w:tcPr>
          <w:p w14:paraId="4C598AF1" w14:textId="77777777" w:rsidR="009330C4" w:rsidRPr="00212203" w:rsidRDefault="009330C4" w:rsidP="001D73D4">
            <w:pPr>
              <w:pStyle w:val="CLDTableTextListText"/>
              <w:jc w:val="center"/>
              <w:rPr>
                <w:sz w:val="22"/>
                <w:szCs w:val="22"/>
                <w:lang w:val="en-AU"/>
              </w:rPr>
            </w:pPr>
            <w:r w:rsidRPr="00212203">
              <w:rPr>
                <w:sz w:val="22"/>
                <w:szCs w:val="22"/>
                <w:lang w:val="en-AU"/>
              </w:rPr>
              <w:t>2 capsules (200 mg)</w:t>
            </w:r>
          </w:p>
          <w:p w14:paraId="22340C6E" w14:textId="77777777" w:rsidR="009330C4" w:rsidRPr="00212203" w:rsidRDefault="009330C4" w:rsidP="001D73D4">
            <w:pPr>
              <w:pStyle w:val="CLDTableTextListText"/>
              <w:jc w:val="center"/>
            </w:pPr>
            <w:r w:rsidRPr="00212203">
              <w:rPr>
                <w:sz w:val="22"/>
                <w:szCs w:val="22"/>
                <w:lang w:val="en-AU"/>
              </w:rPr>
              <w:t>orally every 8 hours for 6 doses (48 hours)</w:t>
            </w:r>
          </w:p>
        </w:tc>
        <w:tc>
          <w:tcPr>
            <w:tcW w:w="3006" w:type="dxa"/>
            <w:shd w:val="clear" w:color="auto" w:fill="auto"/>
          </w:tcPr>
          <w:p w14:paraId="41CD9960" w14:textId="77777777" w:rsidR="009330C4" w:rsidRPr="00212203" w:rsidRDefault="009330C4" w:rsidP="001D73D4">
            <w:pPr>
              <w:pStyle w:val="CLDTableTextListText"/>
              <w:jc w:val="center"/>
              <w:rPr>
                <w:sz w:val="22"/>
                <w:szCs w:val="22"/>
                <w:lang w:val="en-AU"/>
              </w:rPr>
            </w:pPr>
            <w:r w:rsidRPr="00212203">
              <w:rPr>
                <w:sz w:val="22"/>
                <w:szCs w:val="22"/>
                <w:lang w:val="en-AU"/>
              </w:rPr>
              <w:t>2 capsules (200 mg)</w:t>
            </w:r>
          </w:p>
          <w:p w14:paraId="0781C14F" w14:textId="77777777" w:rsidR="009330C4" w:rsidRPr="00212203" w:rsidRDefault="009330C4" w:rsidP="001D73D4">
            <w:pPr>
              <w:pStyle w:val="CLDTableTextListText"/>
              <w:jc w:val="center"/>
            </w:pPr>
            <w:r w:rsidRPr="00212203">
              <w:rPr>
                <w:sz w:val="22"/>
                <w:szCs w:val="22"/>
                <w:lang w:val="en-AU"/>
              </w:rPr>
              <w:t>orally once daily</w:t>
            </w:r>
          </w:p>
        </w:tc>
      </w:tr>
    </w:tbl>
    <w:p w14:paraId="46E2BA81" w14:textId="77777777" w:rsidR="009330C4" w:rsidRDefault="009330C4" w:rsidP="009330C4">
      <w:pPr>
        <w:pStyle w:val="CLDTableFootnote"/>
        <w:rPr>
          <w:lang w:val="en-AU"/>
        </w:rPr>
      </w:pPr>
      <w:r w:rsidRPr="00212203">
        <w:rPr>
          <w:vertAlign w:val="superscript"/>
        </w:rPr>
        <w:t>a</w:t>
      </w:r>
      <w:r w:rsidRPr="00212203">
        <w:rPr>
          <w:sz w:val="18"/>
          <w:lang w:val="en-AU"/>
        </w:rPr>
        <w:t xml:space="preserve"> </w:t>
      </w:r>
      <w:r w:rsidRPr="00212203">
        <w:rPr>
          <w:lang w:val="en-AU"/>
        </w:rPr>
        <w:t>Start maintenance doses 12 to 24 hours after the last loading dose</w:t>
      </w:r>
    </w:p>
    <w:p w14:paraId="0319AFC6" w14:textId="77777777" w:rsidR="00C82FF2" w:rsidRDefault="00C82FF2" w:rsidP="009330C4">
      <w:pPr>
        <w:pStyle w:val="CLDTableFootnote"/>
        <w:rPr>
          <w:lang w:val="en-AU"/>
        </w:rPr>
      </w:pPr>
    </w:p>
    <w:p w14:paraId="0B78E84B" w14:textId="77777777" w:rsidR="009330C4" w:rsidRPr="00C82FF2" w:rsidRDefault="009330C4" w:rsidP="00C82FF2">
      <w:pPr>
        <w:pStyle w:val="CLDNormal"/>
      </w:pPr>
      <w:r w:rsidRPr="00C82FF2">
        <w:t xml:space="preserve">Duration of therapy should be determined by the clinical response (see </w:t>
      </w:r>
      <w:r w:rsidRPr="00832E58">
        <w:t xml:space="preserve">Section 5.1 </w:t>
      </w:r>
      <w:proofErr w:type="spellStart"/>
      <w:r w:rsidRPr="00832E58">
        <w:t>Pharmacodynamic</w:t>
      </w:r>
      <w:proofErr w:type="spellEnd"/>
      <w:r w:rsidRPr="00832E58">
        <w:t xml:space="preserve"> properties</w:t>
      </w:r>
      <w:r w:rsidRPr="00C82FF2">
        <w:t xml:space="preserve">). </w:t>
      </w:r>
    </w:p>
    <w:p w14:paraId="387442EA" w14:textId="77777777" w:rsidR="009330C4" w:rsidRPr="00212203" w:rsidRDefault="009330C4" w:rsidP="009330C4">
      <w:pPr>
        <w:pStyle w:val="CLDNormal"/>
      </w:pPr>
      <w:r w:rsidRPr="00212203">
        <w:t xml:space="preserve">For long-term treatment beyond 6 months, the benefit-risk balance should be carefully considered (see </w:t>
      </w:r>
      <w:r w:rsidRPr="00EF1DAA">
        <w:t xml:space="preserve">Section 5.1 </w:t>
      </w:r>
      <w:proofErr w:type="spellStart"/>
      <w:r w:rsidRPr="00EF1DAA">
        <w:t>Pharmacodynamic</w:t>
      </w:r>
      <w:proofErr w:type="spellEnd"/>
      <w:r w:rsidRPr="00EF1DAA">
        <w:t xml:space="preserve"> properties</w:t>
      </w:r>
      <w:r w:rsidRPr="00212203">
        <w:t xml:space="preserve"> and Section </w:t>
      </w:r>
      <w:r w:rsidRPr="00EF1DAA">
        <w:t>5.3 Preclinical safety data</w:t>
      </w:r>
      <w:r w:rsidRPr="00212203">
        <w:t>).</w:t>
      </w:r>
    </w:p>
    <w:p w14:paraId="5F37E848" w14:textId="77777777" w:rsidR="009330C4" w:rsidRPr="009330C4" w:rsidRDefault="009330C4" w:rsidP="009330C4">
      <w:pPr>
        <w:pStyle w:val="CLDNormal"/>
        <w:rPr>
          <w:b/>
          <w:bCs/>
        </w:rPr>
      </w:pPr>
      <w:r w:rsidRPr="009330C4">
        <w:rPr>
          <w:b/>
          <w:bCs/>
        </w:rPr>
        <w:t>Switching between powder for injection and capsule formulations</w:t>
      </w:r>
    </w:p>
    <w:p w14:paraId="7ED7088A" w14:textId="77777777" w:rsidR="009330C4" w:rsidRPr="00212203" w:rsidRDefault="009330C4" w:rsidP="009330C4">
      <w:pPr>
        <w:pStyle w:val="CLDNormal"/>
      </w:pPr>
      <w:r w:rsidRPr="00212203">
        <w:t xml:space="preserve">On the basis of the high oral bioavailability (98%, see </w:t>
      </w:r>
      <w:r w:rsidRPr="00EF1DAA">
        <w:t>Section 5.2 Pharmacokinetic properties</w:t>
      </w:r>
      <w:r w:rsidRPr="00212203">
        <w:t>), switching between intravenous and oral administration is appropriate when clinically indicated.</w:t>
      </w:r>
    </w:p>
    <w:p w14:paraId="1A6F960A" w14:textId="77777777" w:rsidR="009330C4" w:rsidRPr="009330C4" w:rsidRDefault="009330C4" w:rsidP="009330C4">
      <w:pPr>
        <w:pStyle w:val="CLDNormal"/>
        <w:rPr>
          <w:b/>
          <w:bCs/>
        </w:rPr>
      </w:pPr>
      <w:r w:rsidRPr="009330C4">
        <w:rPr>
          <w:b/>
          <w:bCs/>
        </w:rPr>
        <w:t>Elderly</w:t>
      </w:r>
    </w:p>
    <w:p w14:paraId="45DBB382" w14:textId="77777777" w:rsidR="009330C4" w:rsidRPr="00212203" w:rsidRDefault="009330C4" w:rsidP="009330C4">
      <w:pPr>
        <w:pStyle w:val="CLDNormal"/>
      </w:pPr>
      <w:r w:rsidRPr="00212203">
        <w:t>No dose adjustment is necessary for elderly patients; however the clinical experience in elderly patients is limited.</w:t>
      </w:r>
    </w:p>
    <w:p w14:paraId="18824CB5" w14:textId="77777777" w:rsidR="009330C4" w:rsidRPr="009330C4" w:rsidRDefault="009330C4" w:rsidP="009330C4">
      <w:pPr>
        <w:pStyle w:val="CLDNormal"/>
        <w:rPr>
          <w:b/>
          <w:bCs/>
        </w:rPr>
      </w:pPr>
      <w:r w:rsidRPr="009330C4">
        <w:rPr>
          <w:b/>
          <w:bCs/>
        </w:rPr>
        <w:t>Renal impairment</w:t>
      </w:r>
    </w:p>
    <w:p w14:paraId="59C5845C" w14:textId="77777777" w:rsidR="009330C4" w:rsidRPr="00212203" w:rsidRDefault="009330C4" w:rsidP="009330C4">
      <w:pPr>
        <w:pStyle w:val="CLDNormal"/>
      </w:pPr>
      <w:r w:rsidRPr="00212203">
        <w:t xml:space="preserve">No dose adjustment is necessary in patients with renal impairment, including patients with end-stage renal disease (see </w:t>
      </w:r>
      <w:r w:rsidRPr="00C82FF2">
        <w:t>Section 5.2 Pharmacokinetic properties</w:t>
      </w:r>
      <w:r w:rsidRPr="00212203">
        <w:t>).</w:t>
      </w:r>
    </w:p>
    <w:p w14:paraId="097397A4" w14:textId="77777777" w:rsidR="009330C4" w:rsidRPr="009330C4" w:rsidRDefault="009330C4" w:rsidP="009330C4">
      <w:pPr>
        <w:pStyle w:val="CLDNormal"/>
        <w:rPr>
          <w:b/>
          <w:bCs/>
        </w:rPr>
      </w:pPr>
      <w:r w:rsidRPr="009330C4">
        <w:rPr>
          <w:b/>
          <w:bCs/>
        </w:rPr>
        <w:t>Hepatic impairment</w:t>
      </w:r>
    </w:p>
    <w:p w14:paraId="328D165E" w14:textId="77777777" w:rsidR="009330C4" w:rsidRPr="00212203" w:rsidRDefault="009330C4" w:rsidP="00FC14F2">
      <w:pPr>
        <w:pStyle w:val="CLDNormal"/>
      </w:pPr>
      <w:r w:rsidRPr="00212203">
        <w:lastRenderedPageBreak/>
        <w:t xml:space="preserve">No dose adjustment is necessary in patients with mild or moderate hepatic impairment (Child-Pugh Classes A and B) (see </w:t>
      </w:r>
      <w:r w:rsidRPr="00C82FF2">
        <w:t>Section 4.4 Special warnings and precautions for use</w:t>
      </w:r>
      <w:r w:rsidRPr="00212203">
        <w:t xml:space="preserve"> and </w:t>
      </w:r>
      <w:r w:rsidRPr="00C82FF2">
        <w:t>Section 5.2 Pharmacokinetic properties</w:t>
      </w:r>
      <w:r w:rsidRPr="00212203">
        <w:t xml:space="preserve">). </w:t>
      </w:r>
    </w:p>
    <w:p w14:paraId="699FD8EE" w14:textId="77777777" w:rsidR="009330C4" w:rsidRPr="00212203" w:rsidRDefault="009330C4" w:rsidP="00FC14F2">
      <w:pPr>
        <w:pStyle w:val="CLDNormal"/>
      </w:pPr>
      <w:r w:rsidRPr="00212203">
        <w:t xml:space="preserve">CRESEMBA has not been studied in patients with severe hepatic impairment (Child-Pugh Class C). Use in these patients is not recommended unless the potential benefit is considered to outweigh the risks. See </w:t>
      </w:r>
      <w:r w:rsidRPr="00C82FF2">
        <w:t>Section 4.4 Special warnings and precautions for use</w:t>
      </w:r>
      <w:r w:rsidRPr="00212203">
        <w:t xml:space="preserve"> and</w:t>
      </w:r>
      <w:r w:rsidRPr="00C82FF2">
        <w:t xml:space="preserve"> Section 4.8 Adverse effects</w:t>
      </w:r>
      <w:r w:rsidRPr="00212203">
        <w:t xml:space="preserve"> and </w:t>
      </w:r>
      <w:r w:rsidRPr="00C82FF2">
        <w:t>Section 5.2 Pharmacokinetic properties</w:t>
      </w:r>
      <w:r w:rsidRPr="00212203">
        <w:t>.</w:t>
      </w:r>
    </w:p>
    <w:p w14:paraId="345218EC" w14:textId="77777777" w:rsidR="009330C4" w:rsidRPr="009330C4" w:rsidRDefault="009330C4" w:rsidP="009330C4">
      <w:pPr>
        <w:pStyle w:val="CLDNormal"/>
        <w:rPr>
          <w:b/>
          <w:bCs/>
        </w:rPr>
      </w:pPr>
      <w:r w:rsidRPr="009330C4">
        <w:rPr>
          <w:b/>
          <w:bCs/>
        </w:rPr>
        <w:t>Paediatric population</w:t>
      </w:r>
    </w:p>
    <w:p w14:paraId="4C92F63E" w14:textId="77777777" w:rsidR="009330C4" w:rsidRPr="00212203" w:rsidRDefault="009330C4" w:rsidP="00FC14F2">
      <w:pPr>
        <w:pStyle w:val="CLDNormal"/>
      </w:pPr>
      <w:r w:rsidRPr="00212203">
        <w:t>The safety and efficacy of CRESEMBA in children aged below 18 years has not yet been established. No data are available.</w:t>
      </w:r>
    </w:p>
    <w:p w14:paraId="3CFD8091" w14:textId="77777777" w:rsidR="00837C3E" w:rsidRDefault="00243A31" w:rsidP="00755FFF">
      <w:pPr>
        <w:pStyle w:val="CLDHeading3"/>
      </w:pPr>
      <w:r>
        <w:t>Method of a</w:t>
      </w:r>
      <w:r w:rsidR="00837C3E">
        <w:t xml:space="preserve">dministration </w:t>
      </w:r>
    </w:p>
    <w:p w14:paraId="6439FE8F" w14:textId="77777777" w:rsidR="00DC7C74" w:rsidRPr="00DC7C74" w:rsidRDefault="00DC7C74" w:rsidP="00DC7C74">
      <w:pPr>
        <w:pStyle w:val="CLDNormal"/>
        <w:rPr>
          <w:b/>
          <w:bCs/>
        </w:rPr>
      </w:pPr>
      <w:r w:rsidRPr="00DC7C74">
        <w:rPr>
          <w:b/>
          <w:bCs/>
        </w:rPr>
        <w:t>Powder for injection</w:t>
      </w:r>
    </w:p>
    <w:p w14:paraId="1FE7A385" w14:textId="77777777" w:rsidR="00DC7C74" w:rsidRPr="00212203" w:rsidRDefault="00DC7C74" w:rsidP="00DC7C74">
      <w:pPr>
        <w:pStyle w:val="CLDNormal"/>
      </w:pPr>
      <w:r w:rsidRPr="00212203">
        <w:t xml:space="preserve">CRESEMBA powder for injection must be reconstituted and then further diluted to a concentration corresponding to approximately 0.8 mg/mL </w:t>
      </w:r>
      <w:proofErr w:type="spellStart"/>
      <w:r w:rsidRPr="00212203">
        <w:t>isavuconazole</w:t>
      </w:r>
      <w:proofErr w:type="spellEnd"/>
      <w:r w:rsidRPr="00212203">
        <w:t xml:space="preserve"> prior to administration by intravenous infusion over a minimum of 1 hour to reduce the risk of infusion-related reactions. The infusion must be administered via an infusion set with an in-line filter with a microporous membrane made of </w:t>
      </w:r>
      <w:proofErr w:type="spellStart"/>
      <w:r w:rsidRPr="00212203">
        <w:t>polyethersulfone</w:t>
      </w:r>
      <w:proofErr w:type="spellEnd"/>
      <w:r w:rsidRPr="00212203">
        <w:t xml:space="preserve"> (PES) and with a pore size of 0.2 </w:t>
      </w:r>
      <w:proofErr w:type="spellStart"/>
      <w:r w:rsidRPr="00212203">
        <w:t>μm</w:t>
      </w:r>
      <w:proofErr w:type="spellEnd"/>
      <w:r w:rsidRPr="00212203">
        <w:t xml:space="preserve"> to 1.2 </w:t>
      </w:r>
      <w:proofErr w:type="spellStart"/>
      <w:r w:rsidRPr="00212203">
        <w:t>μm</w:t>
      </w:r>
      <w:proofErr w:type="spellEnd"/>
      <w:r w:rsidRPr="00212203">
        <w:t>. CRESEMBA powder for injection must only be given as an intravenous infusion.</w:t>
      </w:r>
    </w:p>
    <w:p w14:paraId="1478EA8E" w14:textId="77777777" w:rsidR="00DC7C74" w:rsidRPr="00832E58" w:rsidRDefault="00DC7C74" w:rsidP="00832E58">
      <w:pPr>
        <w:pStyle w:val="CLDNormal"/>
        <w:rPr>
          <w:i/>
          <w:iCs/>
        </w:rPr>
      </w:pPr>
      <w:r w:rsidRPr="00832E58">
        <w:rPr>
          <w:i/>
          <w:iCs/>
        </w:rPr>
        <w:t>Reconstitution</w:t>
      </w:r>
    </w:p>
    <w:p w14:paraId="7DCAF6C4" w14:textId="77777777" w:rsidR="00DC7C74" w:rsidRPr="00212203" w:rsidRDefault="00DC7C74" w:rsidP="00DC7C74">
      <w:pPr>
        <w:pStyle w:val="CLDNormal"/>
      </w:pPr>
      <w:r w:rsidRPr="00212203">
        <w:t>One vial of the powder for concentrate for solution for infusion should be reconstituted by addition of 5 mL water for injections to the vial. The vial should be shaken to dissolve the powder completely. The reconstituted solution should be inspected visually for particulate matter and discolo</w:t>
      </w:r>
      <w:r w:rsidR="000456CA">
        <w:t>u</w:t>
      </w:r>
      <w:r w:rsidRPr="00212203">
        <w:t xml:space="preserve">ration. Reconstituted concentrate should be clear and free of visible particulate. It must be further diluted prior to administration. </w:t>
      </w:r>
    </w:p>
    <w:p w14:paraId="6E69AB58" w14:textId="77777777" w:rsidR="00DC7C74" w:rsidRPr="00832E58" w:rsidRDefault="00DC7C74" w:rsidP="00832E58">
      <w:pPr>
        <w:pStyle w:val="CLDNormal"/>
        <w:rPr>
          <w:i/>
          <w:iCs/>
        </w:rPr>
      </w:pPr>
      <w:r w:rsidRPr="00832E58">
        <w:rPr>
          <w:i/>
          <w:iCs/>
        </w:rPr>
        <w:t>Dilution and administration</w:t>
      </w:r>
    </w:p>
    <w:p w14:paraId="66DF4FC5" w14:textId="77777777" w:rsidR="00DC7C74" w:rsidRPr="00212203" w:rsidRDefault="00DC7C74" w:rsidP="00DC7C74">
      <w:pPr>
        <w:pStyle w:val="CLDNormal"/>
      </w:pPr>
      <w:r w:rsidRPr="00212203">
        <w:t xml:space="preserve">After reconstitution, the entire content of the reconstituted concentrate should be removed from the vial and added to an infusion bag containing at least 250 mL of either sodium chloride 9 mg/mL (0.9%) solution for injection or 50 mg/mL (5%) dextrose solution. The infusion solution contains approximately 1.5 mg/mL </w:t>
      </w:r>
      <w:proofErr w:type="spellStart"/>
      <w:r w:rsidRPr="00212203">
        <w:t>isavuconazonium</w:t>
      </w:r>
      <w:proofErr w:type="spellEnd"/>
      <w:r w:rsidRPr="00212203">
        <w:t xml:space="preserve"> </w:t>
      </w:r>
      <w:proofErr w:type="spellStart"/>
      <w:r w:rsidRPr="00212203">
        <w:t>sulfate</w:t>
      </w:r>
      <w:proofErr w:type="spellEnd"/>
      <w:r w:rsidRPr="00212203">
        <w:t xml:space="preserve"> (corresponding to approximately 0.8 mg </w:t>
      </w:r>
      <w:proofErr w:type="spellStart"/>
      <w:r w:rsidRPr="00212203">
        <w:t>isavuconazole</w:t>
      </w:r>
      <w:proofErr w:type="spellEnd"/>
      <w:r w:rsidRPr="00212203">
        <w:t xml:space="preserve"> per mL). After the reconstituted concentrate is further diluted, the diluted solution may show fine white-to-translucent particulates of </w:t>
      </w:r>
      <w:proofErr w:type="spellStart"/>
      <w:r w:rsidRPr="00212203">
        <w:t>isavuconazole</w:t>
      </w:r>
      <w:proofErr w:type="spellEnd"/>
      <w:r w:rsidRPr="00212203">
        <w:t xml:space="preserve">, that do not sediment (but will be removed by in-line filtration). The diluted solution should be mixed gently, or the bag should be rolled to minimise the formation of particulates. Unnecessary vibration or vigorous shaking of the solution should be avoided. The solution for infusion must be administered via an infusion set with an in-line filter (pore size 0.2 </w:t>
      </w:r>
      <w:proofErr w:type="spellStart"/>
      <w:r w:rsidRPr="00212203">
        <w:t>μm</w:t>
      </w:r>
      <w:proofErr w:type="spellEnd"/>
      <w:r w:rsidRPr="00212203">
        <w:t xml:space="preserve"> to 1.2 </w:t>
      </w:r>
      <w:proofErr w:type="spellStart"/>
      <w:r w:rsidRPr="00212203">
        <w:t>μm</w:t>
      </w:r>
      <w:proofErr w:type="spellEnd"/>
      <w:r w:rsidRPr="00212203">
        <w:t xml:space="preserve">) made of polyether sulfone (PES). </w:t>
      </w:r>
    </w:p>
    <w:p w14:paraId="20041BB3" w14:textId="77777777" w:rsidR="00DC7C74" w:rsidRPr="00212203" w:rsidRDefault="00DC7C74" w:rsidP="00DC7C74">
      <w:pPr>
        <w:pStyle w:val="CLDNormal"/>
      </w:pPr>
      <w:proofErr w:type="spellStart"/>
      <w:r w:rsidRPr="00212203">
        <w:t>Isavuconazole</w:t>
      </w:r>
      <w:proofErr w:type="spellEnd"/>
      <w:r w:rsidRPr="00212203">
        <w:t xml:space="preserve"> should not be infused into the same line or cannula concomitantly with other </w:t>
      </w:r>
      <w:proofErr w:type="spellStart"/>
      <w:r w:rsidRPr="00212203">
        <w:t>intraveneous</w:t>
      </w:r>
      <w:proofErr w:type="spellEnd"/>
      <w:r w:rsidRPr="00212203">
        <w:t xml:space="preserve"> products. </w:t>
      </w:r>
    </w:p>
    <w:p w14:paraId="58A7616A" w14:textId="77777777" w:rsidR="00DC7C74" w:rsidRPr="00212203" w:rsidRDefault="00DC7C74" w:rsidP="00DC7C74">
      <w:pPr>
        <w:pStyle w:val="CLDNormal"/>
      </w:pPr>
      <w:r w:rsidRPr="00212203">
        <w:lastRenderedPageBreak/>
        <w:t xml:space="preserve">Storage conditions after reconstitution and dilution are provided in </w:t>
      </w:r>
      <w:r w:rsidRPr="00CB6F65">
        <w:t>Section 6.3 Shelf life</w:t>
      </w:r>
      <w:r w:rsidRPr="00212203">
        <w:t xml:space="preserve">. </w:t>
      </w:r>
    </w:p>
    <w:p w14:paraId="285112F9" w14:textId="77777777" w:rsidR="00DC7C74" w:rsidRPr="00212203" w:rsidRDefault="00DC7C74" w:rsidP="00DC7C74">
      <w:pPr>
        <w:pStyle w:val="CLDNormal"/>
      </w:pPr>
      <w:r w:rsidRPr="00212203">
        <w:t xml:space="preserve">If possible, the intravenous administration of </w:t>
      </w:r>
      <w:proofErr w:type="spellStart"/>
      <w:r w:rsidRPr="00212203">
        <w:t>isavuconazole</w:t>
      </w:r>
      <w:proofErr w:type="spellEnd"/>
      <w:r w:rsidRPr="00212203">
        <w:t xml:space="preserve"> should be completed within 6 hours after reconstitution and dilution at room temperature. If this is not possible, the infusion solution should be immediately refrigerated after dilution, and infusion should be completed within 24 hours. Further information regarding the storage conditions after reconstitution and dilution of the medicinal product is provided in </w:t>
      </w:r>
      <w:r w:rsidRPr="00CB6F65">
        <w:t>Section 6.3 Shelf life</w:t>
      </w:r>
      <w:r w:rsidRPr="00212203">
        <w:t>.</w:t>
      </w:r>
    </w:p>
    <w:p w14:paraId="4951B0C6" w14:textId="77777777" w:rsidR="00DC7C74" w:rsidRPr="00212203" w:rsidRDefault="00DC7C74" w:rsidP="00DC7C74">
      <w:pPr>
        <w:pStyle w:val="CLDNormal"/>
      </w:pPr>
      <w:r w:rsidRPr="00212203">
        <w:t>An existing intravenous line should be flushed with sodium chloride 9 mg/mL (0.9%) solution for injection or 50 mg/mL (5%) dextrose solution.</w:t>
      </w:r>
    </w:p>
    <w:p w14:paraId="5DF77F5C" w14:textId="77777777" w:rsidR="00DC7C74" w:rsidRPr="00212203" w:rsidRDefault="00DC7C74" w:rsidP="00DC7C74">
      <w:pPr>
        <w:pStyle w:val="CLDNormal"/>
      </w:pPr>
      <w:r w:rsidRPr="00212203">
        <w:t>The product is for single use in one patient only. Discard any residue.</w:t>
      </w:r>
    </w:p>
    <w:p w14:paraId="7ADDC7AE" w14:textId="77777777" w:rsidR="00DC7C74" w:rsidRPr="00DC7C74" w:rsidRDefault="00DC7C74" w:rsidP="00DC7C74">
      <w:pPr>
        <w:pStyle w:val="CLDNormal"/>
        <w:rPr>
          <w:b/>
          <w:bCs/>
        </w:rPr>
      </w:pPr>
      <w:r w:rsidRPr="00DC7C74">
        <w:rPr>
          <w:b/>
          <w:bCs/>
        </w:rPr>
        <w:t>Capsules</w:t>
      </w:r>
    </w:p>
    <w:p w14:paraId="2942678E" w14:textId="77777777" w:rsidR="00DC7C74" w:rsidRPr="00212203" w:rsidRDefault="00DC7C74" w:rsidP="00DC7C74">
      <w:pPr>
        <w:pStyle w:val="CLDNormal"/>
      </w:pPr>
      <w:r w:rsidRPr="00212203">
        <w:t>CRESEMBA capsules can be taken with or without food.</w:t>
      </w:r>
    </w:p>
    <w:p w14:paraId="738B8A79" w14:textId="77777777" w:rsidR="00DC7C74" w:rsidRPr="00212203" w:rsidRDefault="00DC7C74" w:rsidP="00DC7C74">
      <w:pPr>
        <w:pStyle w:val="CLDNormal"/>
      </w:pPr>
      <w:r w:rsidRPr="00212203">
        <w:t>CRESEMBA capsules should be swallowed whole. Do not chew, crush, dissolve or open the capsules.</w:t>
      </w:r>
    </w:p>
    <w:p w14:paraId="4B4C46A2" w14:textId="77777777" w:rsidR="0062454C" w:rsidRPr="00362C5A" w:rsidRDefault="00787D1C" w:rsidP="00755FFF">
      <w:pPr>
        <w:pStyle w:val="CLDHeading2"/>
      </w:pPr>
      <w:r>
        <w:t>4.3</w:t>
      </w:r>
      <w:r>
        <w:tab/>
      </w:r>
      <w:r w:rsidR="00520868" w:rsidRPr="00520868">
        <w:t>Contraindications</w:t>
      </w:r>
    </w:p>
    <w:p w14:paraId="483E864C" w14:textId="77777777" w:rsidR="00362D9D" w:rsidRPr="00362D9D" w:rsidRDefault="00362D9D" w:rsidP="00362D9D">
      <w:pPr>
        <w:pStyle w:val="CLDNormal"/>
      </w:pPr>
      <w:r w:rsidRPr="00362D9D">
        <w:t xml:space="preserve">Hypersensitivity to the active substance or to any of the excipients listed in </w:t>
      </w:r>
      <w:hyperlink w:anchor="_List_of_excipients" w:history="1">
        <w:r w:rsidRPr="00362D9D">
          <w:rPr>
            <w:rStyle w:val="Hyperlink"/>
            <w:color w:val="auto"/>
            <w:u w:val="none"/>
          </w:rPr>
          <w:t>Section 6.1 List of excipients</w:t>
        </w:r>
      </w:hyperlink>
      <w:r w:rsidRPr="00362D9D">
        <w:t xml:space="preserve">. </w:t>
      </w:r>
    </w:p>
    <w:p w14:paraId="21B2FC76" w14:textId="77777777" w:rsidR="00362D9D" w:rsidRPr="00362D9D" w:rsidRDefault="00362D9D" w:rsidP="00362D9D">
      <w:pPr>
        <w:pStyle w:val="CLDNormal"/>
      </w:pPr>
      <w:r w:rsidRPr="00362D9D">
        <w:t xml:space="preserve">Co administration with ketoconazole (see </w:t>
      </w:r>
      <w:hyperlink w:anchor="_Interactions_with_other" w:history="1">
        <w:r w:rsidRPr="00362D9D">
          <w:rPr>
            <w:rStyle w:val="Hyperlink"/>
            <w:color w:val="auto"/>
            <w:u w:val="none"/>
          </w:rPr>
          <w:t>Section 4.5 Interactions with other medicines and other forms of interactions</w:t>
        </w:r>
      </w:hyperlink>
      <w:r w:rsidRPr="00362D9D">
        <w:t>).</w:t>
      </w:r>
    </w:p>
    <w:p w14:paraId="6A8BEF17" w14:textId="77777777" w:rsidR="00362D9D" w:rsidRPr="00362D9D" w:rsidRDefault="00362D9D" w:rsidP="00362D9D">
      <w:pPr>
        <w:pStyle w:val="CLDNormal"/>
      </w:pPr>
      <w:r w:rsidRPr="00362D9D">
        <w:t xml:space="preserve">Co administration with high dose ritonavir (&gt;200 mg every 12 hours) (see </w:t>
      </w:r>
      <w:hyperlink w:anchor="_Interactions_with_other" w:history="1">
        <w:r w:rsidRPr="00362D9D">
          <w:rPr>
            <w:rStyle w:val="Hyperlink"/>
            <w:color w:val="auto"/>
            <w:u w:val="none"/>
          </w:rPr>
          <w:t>Section 4.5 Interactions with other medicines and other forms of interactions</w:t>
        </w:r>
      </w:hyperlink>
      <w:r w:rsidRPr="00362D9D">
        <w:t>).</w:t>
      </w:r>
    </w:p>
    <w:p w14:paraId="1560365A" w14:textId="77777777" w:rsidR="00362D9D" w:rsidRPr="00362D9D" w:rsidRDefault="00362D9D" w:rsidP="00362D9D">
      <w:pPr>
        <w:pStyle w:val="CLDNormal"/>
      </w:pPr>
      <w:r w:rsidRPr="00362D9D">
        <w:t xml:space="preserve">Co administration with strong CYP3A4/5 inducers such as rifampicin, </w:t>
      </w:r>
      <w:proofErr w:type="spellStart"/>
      <w:r w:rsidRPr="00362D9D">
        <w:t>rifabutin</w:t>
      </w:r>
      <w:proofErr w:type="spellEnd"/>
      <w:r w:rsidRPr="00362D9D">
        <w:t xml:space="preserve">, carbamazepine, long-acting barbiturates (e.g. phenobarbital), phenytoin and St. John’s </w:t>
      </w:r>
      <w:proofErr w:type="spellStart"/>
      <w:r w:rsidRPr="00362D9D">
        <w:t>wort</w:t>
      </w:r>
      <w:proofErr w:type="spellEnd"/>
      <w:r w:rsidRPr="00362D9D">
        <w:t xml:space="preserve"> or with moderate CYP3A4/5 inducers such as </w:t>
      </w:r>
      <w:proofErr w:type="spellStart"/>
      <w:r w:rsidRPr="00362D9D">
        <w:t>efavirenz</w:t>
      </w:r>
      <w:proofErr w:type="spellEnd"/>
      <w:r w:rsidRPr="00362D9D">
        <w:t xml:space="preserve">, </w:t>
      </w:r>
      <w:proofErr w:type="spellStart"/>
      <w:r w:rsidRPr="00362D9D">
        <w:t>nafcillin</w:t>
      </w:r>
      <w:proofErr w:type="spellEnd"/>
      <w:r w:rsidRPr="00362D9D">
        <w:t xml:space="preserve"> and </w:t>
      </w:r>
      <w:proofErr w:type="spellStart"/>
      <w:r w:rsidRPr="00362D9D">
        <w:t>etravirine</w:t>
      </w:r>
      <w:proofErr w:type="spellEnd"/>
      <w:r w:rsidRPr="00362D9D">
        <w:t xml:space="preserve"> (see </w:t>
      </w:r>
      <w:hyperlink w:anchor="_Interactions_with_other" w:history="1">
        <w:r w:rsidRPr="00362D9D">
          <w:rPr>
            <w:rStyle w:val="Hyperlink"/>
            <w:color w:val="auto"/>
            <w:u w:val="none"/>
          </w:rPr>
          <w:t>Section 4.5 Interactions with other medicines and other forms of interactions</w:t>
        </w:r>
      </w:hyperlink>
      <w:r w:rsidRPr="00362D9D">
        <w:t>).</w:t>
      </w:r>
    </w:p>
    <w:p w14:paraId="2711CAE0" w14:textId="77777777" w:rsidR="00362D9D" w:rsidRPr="00362D9D" w:rsidRDefault="00362D9D" w:rsidP="00362D9D">
      <w:pPr>
        <w:pStyle w:val="CLDNormal"/>
      </w:pPr>
      <w:r w:rsidRPr="00362D9D">
        <w:t xml:space="preserve">Patients with familial short QT syndrome (see </w:t>
      </w:r>
      <w:hyperlink w:anchor="_Special_warnings_and" w:history="1">
        <w:r w:rsidRPr="00362D9D">
          <w:rPr>
            <w:rStyle w:val="Hyperlink"/>
            <w:color w:val="auto"/>
            <w:u w:val="none"/>
          </w:rPr>
          <w:t>Section 4.4 Special warnings and precautions for use</w:t>
        </w:r>
      </w:hyperlink>
      <w:r w:rsidRPr="00362D9D">
        <w:t>).</w:t>
      </w:r>
    </w:p>
    <w:p w14:paraId="70A0C558" w14:textId="77777777" w:rsidR="0062454C" w:rsidRPr="00C035A6" w:rsidRDefault="00787D1C" w:rsidP="00755FFF">
      <w:pPr>
        <w:pStyle w:val="CLDHeading2"/>
        <w:rPr>
          <w:bCs/>
          <w:i/>
          <w:iCs/>
          <w:color w:val="FF0000"/>
        </w:rPr>
      </w:pPr>
      <w:r>
        <w:t>4.4</w:t>
      </w:r>
      <w:r>
        <w:tab/>
      </w:r>
      <w:r w:rsidR="00CD7E76">
        <w:t>Special w</w:t>
      </w:r>
      <w:r w:rsidR="0062454C" w:rsidRPr="0037240B">
        <w:t xml:space="preserve">arnings and </w:t>
      </w:r>
      <w:r w:rsidR="00CD7E76">
        <w:t>p</w:t>
      </w:r>
      <w:r w:rsidR="0062454C" w:rsidRPr="0037240B">
        <w:t>recautions</w:t>
      </w:r>
      <w:r w:rsidR="00315AB0">
        <w:t xml:space="preserve"> </w:t>
      </w:r>
      <w:r w:rsidR="00CD7E76">
        <w:t>for u</w:t>
      </w:r>
      <w:r w:rsidR="00C953C3">
        <w:t>se</w:t>
      </w:r>
    </w:p>
    <w:p w14:paraId="62BFB63B" w14:textId="77777777" w:rsidR="00C40E91" w:rsidRDefault="00C953C3" w:rsidP="00755FFF">
      <w:pPr>
        <w:pStyle w:val="CLDHeading3"/>
        <w:rPr>
          <w:color w:val="7030A0"/>
        </w:rPr>
      </w:pPr>
      <w:r w:rsidRPr="00212203">
        <w:t>Hypersensitivity</w:t>
      </w:r>
    </w:p>
    <w:p w14:paraId="6FBED99C" w14:textId="77777777" w:rsidR="00C953C3" w:rsidRPr="00212203" w:rsidRDefault="00C953C3" w:rsidP="00C953C3">
      <w:pPr>
        <w:pStyle w:val="CLDNormal"/>
      </w:pPr>
      <w:r w:rsidRPr="00212203">
        <w:t xml:space="preserve">Caution should be used in prescribing </w:t>
      </w:r>
      <w:proofErr w:type="spellStart"/>
      <w:r w:rsidRPr="00212203">
        <w:t>isavuconazole</w:t>
      </w:r>
      <w:proofErr w:type="spellEnd"/>
      <w:r w:rsidRPr="00212203">
        <w:t xml:space="preserve"> to patients with hypersensitivity to other azole antifungal agents. Hypersensitivity to </w:t>
      </w:r>
      <w:proofErr w:type="spellStart"/>
      <w:r w:rsidRPr="00212203">
        <w:t>isavuconazole</w:t>
      </w:r>
      <w:proofErr w:type="spellEnd"/>
      <w:r w:rsidRPr="00212203">
        <w:t xml:space="preserve"> </w:t>
      </w:r>
      <w:r w:rsidRPr="00212203">
        <w:rPr>
          <w:noProof/>
          <w:lang w:val="en-US"/>
        </w:rPr>
        <w:t>may result in adverse reactions that include</w:t>
      </w:r>
      <w:r w:rsidRPr="00212203">
        <w:t>: hypotension, respiratory failure, dyspnoea, drug eruption, pruritus, and rash.</w:t>
      </w:r>
    </w:p>
    <w:p w14:paraId="07AF3042" w14:textId="77777777" w:rsidR="00C953C3" w:rsidRPr="00212203" w:rsidRDefault="00C953C3" w:rsidP="00C953C3">
      <w:pPr>
        <w:pStyle w:val="CLDHeading3"/>
      </w:pPr>
      <w:r w:rsidRPr="00212203">
        <w:lastRenderedPageBreak/>
        <w:t xml:space="preserve">Infusion-related reactions </w:t>
      </w:r>
    </w:p>
    <w:p w14:paraId="66DB0DBF" w14:textId="77777777" w:rsidR="00C953C3" w:rsidRPr="00C953C3" w:rsidRDefault="00C953C3" w:rsidP="00C953C3">
      <w:pPr>
        <w:pStyle w:val="CLDNormal"/>
      </w:pPr>
      <w:r w:rsidRPr="00C953C3">
        <w:t xml:space="preserve">During intravenous administration of </w:t>
      </w:r>
      <w:proofErr w:type="spellStart"/>
      <w:r w:rsidRPr="00C953C3">
        <w:t>isavuconazole</w:t>
      </w:r>
      <w:proofErr w:type="spellEnd"/>
      <w:r w:rsidRPr="00C953C3">
        <w:t xml:space="preserve">, infusion-related reactions including hypotension, dyspnoea, dizziness, paraesthesia, nausea, and headache were reported (see </w:t>
      </w:r>
      <w:hyperlink w:anchor="_Adverse_effects_(Undesirable" w:history="1">
        <w:r w:rsidRPr="00C953C3">
          <w:t>Section 4.8 Adverse effects</w:t>
        </w:r>
      </w:hyperlink>
      <w:r w:rsidRPr="00C953C3">
        <w:t xml:space="preserve">). The infusion should be stopped if these reactions occur. </w:t>
      </w:r>
    </w:p>
    <w:p w14:paraId="7CAB33F2" w14:textId="77777777" w:rsidR="00C953C3" w:rsidRPr="00C953C3" w:rsidRDefault="00C953C3" w:rsidP="00C953C3">
      <w:pPr>
        <w:pStyle w:val="CLDHeading3"/>
      </w:pPr>
      <w:r w:rsidRPr="00212203">
        <w:t>Severe cutaneous adverse reactions</w:t>
      </w:r>
      <w:r w:rsidRPr="00C953C3">
        <w:t xml:space="preserve"> </w:t>
      </w:r>
    </w:p>
    <w:p w14:paraId="4EF4C9C4" w14:textId="77777777" w:rsidR="00C953C3" w:rsidRPr="00C953C3" w:rsidRDefault="00C953C3" w:rsidP="00C953C3">
      <w:pPr>
        <w:pStyle w:val="CLDNormal"/>
      </w:pPr>
      <w:r w:rsidRPr="00C953C3">
        <w:t>Severe cutaneous adverse reactions, such as Stevens-Johnson syndrome, have been reported during treatment with azole antifungal agents. If a patient develops a severe cutaneous adverse reaction, CRESEMBA should be discontinued.</w:t>
      </w:r>
    </w:p>
    <w:p w14:paraId="1FED51FA" w14:textId="77777777" w:rsidR="00C953C3" w:rsidRPr="00212203" w:rsidRDefault="00C953C3" w:rsidP="00C953C3">
      <w:pPr>
        <w:pStyle w:val="CLDHeading3"/>
      </w:pPr>
      <w:r w:rsidRPr="00212203">
        <w:t>Cardiovascular</w:t>
      </w:r>
    </w:p>
    <w:p w14:paraId="6E6E9B44" w14:textId="77777777" w:rsidR="00C953C3" w:rsidRPr="00C953C3" w:rsidRDefault="00C953C3" w:rsidP="00C953C3">
      <w:pPr>
        <w:pStyle w:val="CLDNormal"/>
        <w:rPr>
          <w:i/>
          <w:iCs/>
        </w:rPr>
      </w:pPr>
      <w:r w:rsidRPr="00C953C3">
        <w:rPr>
          <w:i/>
          <w:iCs/>
        </w:rPr>
        <w:t>QT shortening</w:t>
      </w:r>
    </w:p>
    <w:p w14:paraId="2447696E" w14:textId="77777777" w:rsidR="00C953C3" w:rsidRPr="00C953C3" w:rsidRDefault="00C953C3" w:rsidP="00C953C3">
      <w:pPr>
        <w:pStyle w:val="CLDNormal"/>
      </w:pPr>
      <w:r w:rsidRPr="00C953C3">
        <w:t xml:space="preserve">CRESEMBA is contraindicated in patients with familial short QT syndrome (see </w:t>
      </w:r>
      <w:hyperlink w:anchor="_Contraindications" w:history="1">
        <w:r w:rsidRPr="00C953C3">
          <w:t>Section 4.3 Contraindications</w:t>
        </w:r>
      </w:hyperlink>
      <w:r w:rsidRPr="00C953C3">
        <w:t>).</w:t>
      </w:r>
    </w:p>
    <w:p w14:paraId="62A45FD3" w14:textId="77777777" w:rsidR="00C953C3" w:rsidRPr="00C953C3" w:rsidRDefault="00C953C3" w:rsidP="00C953C3">
      <w:pPr>
        <w:pStyle w:val="CLDNormal"/>
      </w:pPr>
      <w:r w:rsidRPr="00C953C3">
        <w:t xml:space="preserve">In a QT study in healthy human subjects, </w:t>
      </w:r>
      <w:proofErr w:type="spellStart"/>
      <w:r w:rsidRPr="00C953C3">
        <w:t>isavuconazole</w:t>
      </w:r>
      <w:proofErr w:type="spellEnd"/>
      <w:r w:rsidRPr="00C953C3">
        <w:t xml:space="preserve"> shortened the </w:t>
      </w:r>
      <w:proofErr w:type="spellStart"/>
      <w:r w:rsidRPr="00C953C3">
        <w:t>QTc</w:t>
      </w:r>
      <w:proofErr w:type="spellEnd"/>
      <w:r w:rsidRPr="00C953C3">
        <w:t xml:space="preserve"> interval in a</w:t>
      </w:r>
      <w:r w:rsidRPr="00C953C3">
        <w:br/>
        <w:t xml:space="preserve">concentration-related manner. For the 200 mg dosing regimen, the least squares mean (LSM) difference from placebo was 13.1 </w:t>
      </w:r>
      <w:proofErr w:type="spellStart"/>
      <w:r w:rsidRPr="00C953C3">
        <w:t>ms</w:t>
      </w:r>
      <w:proofErr w:type="spellEnd"/>
      <w:r w:rsidRPr="00C953C3">
        <w:t xml:space="preserve"> at 2 hours post dose [90% CI: 17.1, 9.1 </w:t>
      </w:r>
      <w:proofErr w:type="spellStart"/>
      <w:r w:rsidRPr="00C953C3">
        <w:t>ms</w:t>
      </w:r>
      <w:proofErr w:type="spellEnd"/>
      <w:r w:rsidRPr="00C953C3">
        <w:t xml:space="preserve">]. Increasing the dose to 600 mg resulted in an LSM difference from placebo of 24.6 </w:t>
      </w:r>
      <w:proofErr w:type="spellStart"/>
      <w:r w:rsidRPr="00C953C3">
        <w:t>ms</w:t>
      </w:r>
      <w:proofErr w:type="spellEnd"/>
      <w:r w:rsidRPr="00C953C3">
        <w:t xml:space="preserve"> at 2 hours post dose [90% CI: 28.7, 20.4 </w:t>
      </w:r>
      <w:proofErr w:type="spellStart"/>
      <w:r w:rsidRPr="00C953C3">
        <w:t>ms</w:t>
      </w:r>
      <w:proofErr w:type="spellEnd"/>
      <w:r w:rsidRPr="00C953C3">
        <w:t>].</w:t>
      </w:r>
    </w:p>
    <w:p w14:paraId="56FD0AB3" w14:textId="77777777" w:rsidR="00C953C3" w:rsidRPr="00C953C3" w:rsidRDefault="00C953C3" w:rsidP="00C953C3">
      <w:pPr>
        <w:pStyle w:val="CLDNormal"/>
      </w:pPr>
      <w:r w:rsidRPr="00C953C3">
        <w:t xml:space="preserve">Caution is warranted when prescribing CRESEMBA to patients taking other medicinal products known to decrease the QT interval, such as </w:t>
      </w:r>
      <w:proofErr w:type="spellStart"/>
      <w:r w:rsidRPr="00C953C3">
        <w:t>rufinamide</w:t>
      </w:r>
      <w:proofErr w:type="spellEnd"/>
      <w:r w:rsidRPr="00C953C3">
        <w:t>.</w:t>
      </w:r>
    </w:p>
    <w:p w14:paraId="44906831" w14:textId="2A22F109" w:rsidR="00C953C3" w:rsidRPr="00212203" w:rsidRDefault="00C953C3" w:rsidP="00C953C3">
      <w:pPr>
        <w:pStyle w:val="CLDHeading3"/>
      </w:pPr>
      <w:r w:rsidRPr="00212203">
        <w:t>Elevated liver transaminases</w:t>
      </w:r>
      <w:r w:rsidR="00A40391">
        <w:t xml:space="preserve"> </w:t>
      </w:r>
      <w:r w:rsidR="00A40391" w:rsidRPr="00A40391">
        <w:t>or Hepatitis</w:t>
      </w:r>
    </w:p>
    <w:p w14:paraId="72FA009B" w14:textId="06C8D5F5" w:rsidR="00C953C3" w:rsidRPr="00C953C3" w:rsidRDefault="00C953C3" w:rsidP="00C953C3">
      <w:pPr>
        <w:pStyle w:val="CLDNormal"/>
      </w:pPr>
      <w:r w:rsidRPr="00C953C3">
        <w:t>Elevated liver transaminases have been reported in clinical studies (see Section 4.8 Adverse effects). The elevations in liver transaminases rarely required discontinuation of CRESEMBA.  Monitoring of hepatic enzymes should be considered, as clinically indicated.</w:t>
      </w:r>
      <w:r w:rsidR="00A40391" w:rsidRPr="00A40391">
        <w:t xml:space="preserve"> </w:t>
      </w:r>
      <w:r w:rsidR="00AC701C">
        <w:t>Serious hepatic reactions have been reported. Evaluate liver-related laboratory tests at the start and during the course of CRESEMBA therapy.</w:t>
      </w:r>
    </w:p>
    <w:p w14:paraId="7BF62E38" w14:textId="77777777" w:rsidR="00C953C3" w:rsidRPr="00212203" w:rsidRDefault="00C953C3" w:rsidP="00C953C3">
      <w:pPr>
        <w:pStyle w:val="CLDHeading3"/>
      </w:pPr>
      <w:r w:rsidRPr="00212203">
        <w:t>Severe hepatic impairment</w:t>
      </w:r>
    </w:p>
    <w:p w14:paraId="2E581A8C" w14:textId="77777777" w:rsidR="00C953C3" w:rsidRPr="00212203" w:rsidRDefault="00C953C3" w:rsidP="00C953C3">
      <w:pPr>
        <w:rPr>
          <w:szCs w:val="22"/>
        </w:rPr>
      </w:pPr>
      <w:r w:rsidRPr="00C953C3">
        <w:t xml:space="preserve">CRESEMBA has not been studied in patients with severe hepatic impairment (Child-Pugh Class C). Use in these patients is not recommended unless the potential benefit is considered to outweigh the risks. These patients should be carefully monitored for potential drug toxicity. See </w:t>
      </w:r>
      <w:hyperlink w:anchor="_Dose_and_method" w:history="1">
        <w:r w:rsidRPr="00C953C3">
          <w:t>Section 4.2 Dose and method of administration</w:t>
        </w:r>
      </w:hyperlink>
      <w:r w:rsidRPr="00C953C3">
        <w:t xml:space="preserve">, </w:t>
      </w:r>
      <w:hyperlink w:anchor="_Adverse_effects_(Undesirable" w:history="1">
        <w:r w:rsidRPr="00C953C3">
          <w:t>Section 4.8 Adverse effects</w:t>
        </w:r>
      </w:hyperlink>
      <w:r w:rsidRPr="00C953C3">
        <w:t xml:space="preserve"> and </w:t>
      </w:r>
      <w:hyperlink w:anchor="_Pharmacokinetic_properties" w:history="1">
        <w:r w:rsidRPr="00C953C3">
          <w:t>5.2 Pharmacokinetic properties</w:t>
        </w:r>
      </w:hyperlink>
      <w:r w:rsidRPr="00212203">
        <w:rPr>
          <w:szCs w:val="22"/>
        </w:rPr>
        <w:t>.</w:t>
      </w:r>
    </w:p>
    <w:p w14:paraId="04FF3E9C" w14:textId="77777777" w:rsidR="00C953C3" w:rsidRPr="00212203" w:rsidRDefault="00C953C3" w:rsidP="00C953C3">
      <w:pPr>
        <w:pStyle w:val="CLDHeading3"/>
      </w:pPr>
      <w:r w:rsidRPr="00212203">
        <w:t>Concomitant use with other medicinal products</w:t>
      </w:r>
    </w:p>
    <w:p w14:paraId="4F11A0AA" w14:textId="77777777" w:rsidR="00C953C3" w:rsidRPr="00C953C3" w:rsidRDefault="00C953C3" w:rsidP="00C953C3">
      <w:pPr>
        <w:pStyle w:val="CLDNormal"/>
        <w:rPr>
          <w:i/>
          <w:iCs/>
        </w:rPr>
      </w:pPr>
      <w:r w:rsidRPr="00C953C3">
        <w:rPr>
          <w:i/>
          <w:iCs/>
        </w:rPr>
        <w:t>CYP3A4/5 inhibitors</w:t>
      </w:r>
    </w:p>
    <w:p w14:paraId="724D8A39" w14:textId="77777777" w:rsidR="00C953C3" w:rsidRPr="00212203" w:rsidRDefault="00C953C3" w:rsidP="00FC14F2">
      <w:pPr>
        <w:pStyle w:val="CLDNormal"/>
        <w:rPr>
          <w:lang w:val="en-US"/>
        </w:rPr>
      </w:pPr>
      <w:r w:rsidRPr="00212203">
        <w:t xml:space="preserve">Ketoconazole is contraindicated (see </w:t>
      </w:r>
      <w:hyperlink w:anchor="_Contraindications" w:history="1">
        <w:r w:rsidRPr="00C953C3">
          <w:t>Section 4.3 Contraindications</w:t>
        </w:r>
      </w:hyperlink>
      <w:r w:rsidRPr="00212203">
        <w:t xml:space="preserve">). For the strong CYP3A4 inhibitor </w:t>
      </w:r>
      <w:proofErr w:type="spellStart"/>
      <w:r w:rsidRPr="00212203">
        <w:t>lopinavir</w:t>
      </w:r>
      <w:proofErr w:type="spellEnd"/>
      <w:r w:rsidRPr="00212203">
        <w:t xml:space="preserve">/ritonavir, a two-fold increase in </w:t>
      </w:r>
      <w:proofErr w:type="spellStart"/>
      <w:r w:rsidRPr="00212203">
        <w:t>isavuconazole</w:t>
      </w:r>
      <w:proofErr w:type="spellEnd"/>
      <w:r w:rsidRPr="00212203">
        <w:t xml:space="preserve"> exposure was observed. </w:t>
      </w:r>
      <w:r w:rsidRPr="00C953C3">
        <w:t xml:space="preserve">For other strong CYP3A4/5 inhibitors, a less pronounced effect can be expected. No dose adjustment of CRESEMBA is necessary when co-administered with strong CYP3A4/5 </w:t>
      </w:r>
      <w:r w:rsidRPr="00C953C3">
        <w:lastRenderedPageBreak/>
        <w:t xml:space="preserve">inhibitors, however caution is advised </w:t>
      </w:r>
      <w:r w:rsidRPr="00212203">
        <w:t xml:space="preserve">as adverse drug reactions may increase (see </w:t>
      </w:r>
      <w:hyperlink w:anchor="_Interactions_with_other" w:history="1">
        <w:r w:rsidRPr="00C953C3">
          <w:t>Section 4.5 Interactions with other medicines and other forms of interactions</w:t>
        </w:r>
      </w:hyperlink>
      <w:r w:rsidRPr="00212203">
        <w:t>)</w:t>
      </w:r>
      <w:r w:rsidRPr="00212203">
        <w:rPr>
          <w:lang w:val="en-US"/>
        </w:rPr>
        <w:t>.</w:t>
      </w:r>
    </w:p>
    <w:p w14:paraId="23BC9F33" w14:textId="77777777" w:rsidR="00C953C3" w:rsidRPr="00C953C3" w:rsidRDefault="00C953C3" w:rsidP="00C953C3">
      <w:pPr>
        <w:pStyle w:val="CLDNormal"/>
        <w:rPr>
          <w:i/>
          <w:iCs/>
        </w:rPr>
      </w:pPr>
      <w:r w:rsidRPr="00C953C3">
        <w:rPr>
          <w:i/>
          <w:iCs/>
        </w:rPr>
        <w:t>CYP3A4/5 inducers</w:t>
      </w:r>
    </w:p>
    <w:p w14:paraId="16342FFC" w14:textId="33C09F10" w:rsidR="00C953C3" w:rsidRDefault="00C953C3" w:rsidP="00C953C3">
      <w:pPr>
        <w:pStyle w:val="CLDNormal"/>
      </w:pPr>
      <w:r w:rsidRPr="00C953C3">
        <w:t xml:space="preserve">Co-administration with mild CYP3A4/5 inducers such as </w:t>
      </w:r>
      <w:proofErr w:type="spellStart"/>
      <w:r w:rsidRPr="00C953C3">
        <w:t>aprepitant</w:t>
      </w:r>
      <w:proofErr w:type="spellEnd"/>
      <w:r w:rsidRPr="00C953C3">
        <w:t xml:space="preserve">, prednisone, and pioglitazone, may result in mild to moderate decreases of </w:t>
      </w:r>
      <w:proofErr w:type="spellStart"/>
      <w:r w:rsidRPr="00C953C3">
        <w:t>isavuconazole</w:t>
      </w:r>
      <w:proofErr w:type="spellEnd"/>
      <w:r w:rsidRPr="00C953C3">
        <w:t xml:space="preserve"> plasma levels; co-administration with mild CYP3A4/5 inducers should be avoided unless the potential benefit is considered to outweigh the risk (see </w:t>
      </w:r>
      <w:hyperlink w:anchor="_Interactions_with_other" w:history="1">
        <w:r w:rsidRPr="00C953C3">
          <w:t>Section 4.5 Interactions with other medicines and other forms of interactions</w:t>
        </w:r>
      </w:hyperlink>
      <w:r w:rsidRPr="00C953C3">
        <w:t>).</w:t>
      </w:r>
    </w:p>
    <w:p w14:paraId="7FA2F755" w14:textId="29F785DF" w:rsidR="00FC238D" w:rsidRDefault="00FC238D" w:rsidP="00C953C3">
      <w:pPr>
        <w:pStyle w:val="CLDNormal"/>
      </w:pPr>
    </w:p>
    <w:p w14:paraId="17D77795" w14:textId="77777777" w:rsidR="00FC238D" w:rsidRPr="00C953C3" w:rsidRDefault="00FC238D" w:rsidP="00C953C3">
      <w:pPr>
        <w:pStyle w:val="CLDNormal"/>
      </w:pPr>
    </w:p>
    <w:p w14:paraId="6B21A2D2" w14:textId="77777777" w:rsidR="00C953C3" w:rsidRPr="00C953C3" w:rsidRDefault="00C953C3" w:rsidP="00C953C3">
      <w:pPr>
        <w:pStyle w:val="CLDNormal"/>
        <w:rPr>
          <w:i/>
          <w:iCs/>
        </w:rPr>
      </w:pPr>
      <w:r w:rsidRPr="00C953C3">
        <w:rPr>
          <w:i/>
          <w:iCs/>
        </w:rPr>
        <w:t xml:space="preserve">CYP3A4/5 substrates including </w:t>
      </w:r>
      <w:proofErr w:type="spellStart"/>
      <w:r w:rsidRPr="00C953C3">
        <w:rPr>
          <w:i/>
          <w:iCs/>
        </w:rPr>
        <w:t>immunosuppressants</w:t>
      </w:r>
      <w:proofErr w:type="spellEnd"/>
    </w:p>
    <w:p w14:paraId="04704F0C" w14:textId="77777777" w:rsidR="00C953C3" w:rsidRPr="00C953C3" w:rsidRDefault="00C953C3" w:rsidP="00C953C3">
      <w:pPr>
        <w:pStyle w:val="CLDNormal"/>
      </w:pPr>
      <w:proofErr w:type="spellStart"/>
      <w:r w:rsidRPr="00C953C3">
        <w:t>Isavuconazole</w:t>
      </w:r>
      <w:proofErr w:type="spellEnd"/>
      <w:r w:rsidRPr="00C953C3">
        <w:t xml:space="preserve"> can be considered a moderate inhibitor of CYP3A4/5, and systemic exposure to medicinal products metabolised by CYP3A4 may be increased when co-administered with CRESEMBA.  Concomitant use of CRESEMBA with CYP3A4 substrates such as the </w:t>
      </w:r>
      <w:proofErr w:type="spellStart"/>
      <w:r w:rsidRPr="00C953C3">
        <w:t>immunosuppressants</w:t>
      </w:r>
      <w:proofErr w:type="spellEnd"/>
      <w:r w:rsidRPr="00C953C3">
        <w:t xml:space="preserve"> tacrolimus, </w:t>
      </w:r>
      <w:proofErr w:type="spellStart"/>
      <w:r w:rsidRPr="00C953C3">
        <w:t>sirolimus</w:t>
      </w:r>
      <w:proofErr w:type="spellEnd"/>
      <w:r w:rsidRPr="00C953C3">
        <w:t xml:space="preserve"> or </w:t>
      </w:r>
      <w:proofErr w:type="spellStart"/>
      <w:r w:rsidRPr="00C953C3">
        <w:t>ciclosporin</w:t>
      </w:r>
      <w:proofErr w:type="spellEnd"/>
      <w:r w:rsidRPr="00C953C3">
        <w:t xml:space="preserve"> may increase the systemic exposure to these medicinal products. Appropriate therapeutic drug monitoring and dose adjustment may be necessary during co-administration (see </w:t>
      </w:r>
      <w:hyperlink w:anchor="_Interactions_with_other" w:history="1">
        <w:r w:rsidRPr="00C953C3">
          <w:t>Section 4.5 Interactions with other medicines and other forms of interactions</w:t>
        </w:r>
      </w:hyperlink>
      <w:r w:rsidRPr="00C953C3">
        <w:t>).</w:t>
      </w:r>
    </w:p>
    <w:p w14:paraId="63954378" w14:textId="77777777" w:rsidR="00C953C3" w:rsidRPr="00C953C3" w:rsidRDefault="00C953C3" w:rsidP="00C953C3">
      <w:pPr>
        <w:pStyle w:val="CLDNormal"/>
        <w:rPr>
          <w:i/>
          <w:iCs/>
        </w:rPr>
      </w:pPr>
      <w:r w:rsidRPr="00C953C3">
        <w:rPr>
          <w:i/>
          <w:iCs/>
        </w:rPr>
        <w:t>CYP2B6 substrates</w:t>
      </w:r>
    </w:p>
    <w:p w14:paraId="704A30B3" w14:textId="77777777" w:rsidR="00C953C3" w:rsidRPr="00C953C3" w:rsidRDefault="00C953C3" w:rsidP="00C953C3">
      <w:pPr>
        <w:pStyle w:val="CLDNormal"/>
      </w:pPr>
      <w:proofErr w:type="spellStart"/>
      <w:r w:rsidRPr="00C953C3">
        <w:t>Isavuconazole</w:t>
      </w:r>
      <w:proofErr w:type="spellEnd"/>
      <w:r w:rsidRPr="00C953C3">
        <w:t xml:space="preserve"> is an inducer of CYP2B6. Systemic exposure to medicinal products metabolised by CYP2B6 may be decreased when co-administered with CRESEMBA. Therefore, caution is advised when CYP2B6 substrates, especially medicinal products with a narrow therapeutic index such as cyclophosphamide, are co-administered with CRESEMBA. The use of the CYP2B6 substrate </w:t>
      </w:r>
      <w:proofErr w:type="spellStart"/>
      <w:r w:rsidRPr="00C953C3">
        <w:t>efavirenz</w:t>
      </w:r>
      <w:proofErr w:type="spellEnd"/>
      <w:r w:rsidRPr="00C953C3">
        <w:t xml:space="preserve"> with CRESEMBA is contraindicated because </w:t>
      </w:r>
      <w:proofErr w:type="spellStart"/>
      <w:r w:rsidRPr="00C953C3">
        <w:t>efavirenz</w:t>
      </w:r>
      <w:proofErr w:type="spellEnd"/>
      <w:r w:rsidRPr="00C953C3">
        <w:t xml:space="preserve"> is a moderate inducer of CYP3A4/5 (see Section 4.3 Contraindications). </w:t>
      </w:r>
    </w:p>
    <w:p w14:paraId="693B489F" w14:textId="77777777" w:rsidR="00C953C3" w:rsidRPr="00C953C3" w:rsidRDefault="00C953C3" w:rsidP="00C953C3">
      <w:pPr>
        <w:pStyle w:val="CLDNormal"/>
        <w:rPr>
          <w:i/>
          <w:iCs/>
        </w:rPr>
      </w:pPr>
      <w:r w:rsidRPr="00C953C3">
        <w:rPr>
          <w:i/>
          <w:iCs/>
        </w:rPr>
        <w:t>P-</w:t>
      </w:r>
      <w:proofErr w:type="spellStart"/>
      <w:r w:rsidRPr="00C953C3">
        <w:rPr>
          <w:i/>
          <w:iCs/>
        </w:rPr>
        <w:t>gp</w:t>
      </w:r>
      <w:proofErr w:type="spellEnd"/>
      <w:r w:rsidRPr="00C953C3">
        <w:rPr>
          <w:i/>
          <w:iCs/>
        </w:rPr>
        <w:t xml:space="preserve"> substrates</w:t>
      </w:r>
    </w:p>
    <w:p w14:paraId="225DF6DF" w14:textId="77777777" w:rsidR="00C953C3" w:rsidRPr="00C953C3" w:rsidRDefault="00C953C3" w:rsidP="00C953C3">
      <w:pPr>
        <w:pStyle w:val="CLDNormal"/>
      </w:pPr>
      <w:proofErr w:type="spellStart"/>
      <w:r w:rsidRPr="00C953C3">
        <w:t>Isavuconazole</w:t>
      </w:r>
      <w:proofErr w:type="spellEnd"/>
      <w:r w:rsidRPr="00C953C3">
        <w:t xml:space="preserve"> may increase the exposure of medicinal products that are P-</w:t>
      </w:r>
      <w:proofErr w:type="spellStart"/>
      <w:r w:rsidRPr="00C953C3">
        <w:t>gp</w:t>
      </w:r>
      <w:proofErr w:type="spellEnd"/>
      <w:r w:rsidRPr="00C953C3">
        <w:t xml:space="preserve"> substrates. Dose adjustment of medicinal products that are P-</w:t>
      </w:r>
      <w:proofErr w:type="spellStart"/>
      <w:r w:rsidRPr="00C953C3">
        <w:t>gp</w:t>
      </w:r>
      <w:proofErr w:type="spellEnd"/>
      <w:r w:rsidRPr="00C953C3">
        <w:t xml:space="preserve"> substrates, especially medicinal products with a narrow therapeutic index such as digoxin, colchicine and dabigatran </w:t>
      </w:r>
      <w:proofErr w:type="spellStart"/>
      <w:r w:rsidRPr="00C953C3">
        <w:t>etexilate</w:t>
      </w:r>
      <w:proofErr w:type="spellEnd"/>
      <w:r w:rsidRPr="00C953C3">
        <w:t>, may be needed when concomitantly administered with CRESEMBA (see Section 4.5 Interactions with other medicines and other forms of interactions).</w:t>
      </w:r>
    </w:p>
    <w:p w14:paraId="09D48D33" w14:textId="77777777" w:rsidR="00C953C3" w:rsidRPr="00212203" w:rsidRDefault="00C953C3" w:rsidP="00C953C3">
      <w:pPr>
        <w:pStyle w:val="CLDHeading3"/>
      </w:pPr>
      <w:r w:rsidRPr="00212203">
        <w:t>Limitations of the clinical data</w:t>
      </w:r>
    </w:p>
    <w:p w14:paraId="3A399C3E" w14:textId="77777777" w:rsidR="00C953C3" w:rsidRPr="00C953C3" w:rsidRDefault="00C953C3" w:rsidP="00C953C3">
      <w:pPr>
        <w:pStyle w:val="CLDNormal"/>
      </w:pPr>
      <w:r w:rsidRPr="00C953C3">
        <w:t xml:space="preserve">The clinical data for </w:t>
      </w:r>
      <w:proofErr w:type="spellStart"/>
      <w:r w:rsidRPr="00C953C3">
        <w:t>isavuconazole</w:t>
      </w:r>
      <w:proofErr w:type="spellEnd"/>
      <w:r w:rsidRPr="00C953C3">
        <w:t xml:space="preserve"> in the treatment of </w:t>
      </w:r>
      <w:proofErr w:type="spellStart"/>
      <w:r w:rsidRPr="00C953C3">
        <w:t>mucormycosis</w:t>
      </w:r>
      <w:proofErr w:type="spellEnd"/>
      <w:r w:rsidRPr="00C953C3">
        <w:t xml:space="preserve"> are limited to one prospective non-controlled clinical study in 37 patients with proven or probable </w:t>
      </w:r>
      <w:proofErr w:type="spellStart"/>
      <w:r w:rsidRPr="00C953C3">
        <w:t>mucormycosis</w:t>
      </w:r>
      <w:proofErr w:type="spellEnd"/>
      <w:r w:rsidRPr="00C953C3">
        <w:t xml:space="preserve"> who received </w:t>
      </w:r>
      <w:proofErr w:type="spellStart"/>
      <w:r w:rsidRPr="00C953C3">
        <w:t>isavuconazole</w:t>
      </w:r>
      <w:proofErr w:type="spellEnd"/>
      <w:r w:rsidRPr="00C953C3">
        <w:t xml:space="preserve"> for primary treatment, or because other antifungal treatments (predominantly amphotericin B) were inappropriate. </w:t>
      </w:r>
    </w:p>
    <w:p w14:paraId="4F2BD1A3" w14:textId="77777777" w:rsidR="00C953C3" w:rsidRPr="00C953C3" w:rsidRDefault="00C953C3" w:rsidP="00C953C3">
      <w:pPr>
        <w:pStyle w:val="CLDNormal"/>
      </w:pPr>
      <w:r w:rsidRPr="00C953C3">
        <w:lastRenderedPageBreak/>
        <w:t xml:space="preserve">For individual </w:t>
      </w:r>
      <w:proofErr w:type="spellStart"/>
      <w:r w:rsidRPr="00FD08D0">
        <w:rPr>
          <w:i/>
        </w:rPr>
        <w:t>Mucorales</w:t>
      </w:r>
      <w:proofErr w:type="spellEnd"/>
      <w:r w:rsidRPr="00C953C3">
        <w:t xml:space="preserve"> species, the clinical efficacy data are very limited, often to one or two patients (see Section 5.1 </w:t>
      </w:r>
      <w:proofErr w:type="spellStart"/>
      <w:r w:rsidRPr="00C953C3">
        <w:t>Pharmacodynamic</w:t>
      </w:r>
      <w:proofErr w:type="spellEnd"/>
      <w:r w:rsidRPr="00C953C3">
        <w:t xml:space="preserve"> properties).  Susceptibility data were available in only a small subset of cases. These data indicate that concentrations of </w:t>
      </w:r>
      <w:proofErr w:type="spellStart"/>
      <w:r w:rsidRPr="00C953C3">
        <w:t>isavuconazole</w:t>
      </w:r>
      <w:proofErr w:type="spellEnd"/>
      <w:r w:rsidRPr="00C953C3">
        <w:t xml:space="preserve"> required for inhibition in vitro are very variable between genera/species within the order of </w:t>
      </w:r>
      <w:proofErr w:type="spellStart"/>
      <w:r w:rsidRPr="00C953C3">
        <w:rPr>
          <w:i/>
        </w:rPr>
        <w:t>Mucorales</w:t>
      </w:r>
      <w:proofErr w:type="spellEnd"/>
      <w:r w:rsidRPr="00C953C3">
        <w:t xml:space="preserve">, and generally higher than concentrations required to inhibit </w:t>
      </w:r>
      <w:r w:rsidRPr="00C953C3">
        <w:rPr>
          <w:i/>
        </w:rPr>
        <w:t>Aspergillus</w:t>
      </w:r>
      <w:r w:rsidRPr="00C953C3">
        <w:t xml:space="preserve"> species. It should be noted that there was no dose-finding study in </w:t>
      </w:r>
      <w:proofErr w:type="spellStart"/>
      <w:r w:rsidRPr="00C953C3">
        <w:t>mucormycosis</w:t>
      </w:r>
      <w:proofErr w:type="spellEnd"/>
      <w:r w:rsidRPr="00C953C3">
        <w:t xml:space="preserve">, and patients were administered the same dose of </w:t>
      </w:r>
      <w:proofErr w:type="spellStart"/>
      <w:r w:rsidRPr="00C953C3">
        <w:t>isavuconazole</w:t>
      </w:r>
      <w:proofErr w:type="spellEnd"/>
      <w:r w:rsidRPr="00C953C3">
        <w:t xml:space="preserve"> as was used for the treatment of invasive </w:t>
      </w:r>
      <w:proofErr w:type="spellStart"/>
      <w:r w:rsidRPr="00C953C3">
        <w:t>aspergillosis</w:t>
      </w:r>
      <w:proofErr w:type="spellEnd"/>
      <w:r w:rsidRPr="00C953C3">
        <w:t>.</w:t>
      </w:r>
    </w:p>
    <w:p w14:paraId="5F162F42" w14:textId="77777777" w:rsidR="00C953C3" w:rsidRPr="00212203" w:rsidRDefault="00C953C3" w:rsidP="00C953C3">
      <w:pPr>
        <w:pStyle w:val="CLDHeading3"/>
      </w:pPr>
      <w:r w:rsidRPr="00212203">
        <w:t>Use in the elderly</w:t>
      </w:r>
    </w:p>
    <w:p w14:paraId="711FD708" w14:textId="77777777" w:rsidR="00C953C3" w:rsidRPr="00212203" w:rsidRDefault="00C953C3" w:rsidP="00FC14F2">
      <w:pPr>
        <w:pStyle w:val="CLDNormal"/>
      </w:pPr>
      <w:r w:rsidRPr="00212203">
        <w:t xml:space="preserve">No data available. </w:t>
      </w:r>
    </w:p>
    <w:p w14:paraId="6D8948DC" w14:textId="77777777" w:rsidR="00C953C3" w:rsidRPr="00212203" w:rsidRDefault="00C953C3" w:rsidP="00C953C3">
      <w:pPr>
        <w:pStyle w:val="CLDHeading3"/>
      </w:pPr>
      <w:r w:rsidRPr="00212203">
        <w:t>Paediatric use</w:t>
      </w:r>
    </w:p>
    <w:p w14:paraId="46BD22F9" w14:textId="77777777" w:rsidR="00C953C3" w:rsidRPr="00212203" w:rsidRDefault="00C953C3" w:rsidP="00FC14F2">
      <w:pPr>
        <w:pStyle w:val="CLDNormal"/>
      </w:pPr>
      <w:r w:rsidRPr="00212203">
        <w:t xml:space="preserve">No data available. </w:t>
      </w:r>
    </w:p>
    <w:p w14:paraId="60F37875" w14:textId="77777777" w:rsidR="00C953C3" w:rsidRPr="00212203" w:rsidRDefault="00C953C3" w:rsidP="00C953C3">
      <w:pPr>
        <w:pStyle w:val="CLDHeading3"/>
      </w:pPr>
      <w:r w:rsidRPr="00212203">
        <w:t>Effects on laboratory tests</w:t>
      </w:r>
    </w:p>
    <w:p w14:paraId="7760FDB6" w14:textId="77777777" w:rsidR="00C953C3" w:rsidRPr="00212203" w:rsidRDefault="00C953C3" w:rsidP="00FC14F2">
      <w:pPr>
        <w:pStyle w:val="CLDNormal"/>
      </w:pPr>
      <w:r w:rsidRPr="00212203">
        <w:t xml:space="preserve">See </w:t>
      </w:r>
      <w:r w:rsidRPr="00CB6F65">
        <w:t>Section 4.8 Adverse effects – Laboratory effects</w:t>
      </w:r>
      <w:r w:rsidRPr="00212203">
        <w:t>.</w:t>
      </w:r>
    </w:p>
    <w:p w14:paraId="5EF22DD2" w14:textId="77777777" w:rsidR="00EC2C85" w:rsidRPr="00112E5B" w:rsidRDefault="00787D1C" w:rsidP="00755FFF">
      <w:pPr>
        <w:pStyle w:val="CLDHeading2"/>
      </w:pPr>
      <w:r>
        <w:t>4.5</w:t>
      </w:r>
      <w:r>
        <w:tab/>
      </w:r>
      <w:r w:rsidR="00112E5B">
        <w:t>Interaction</w:t>
      </w:r>
      <w:r w:rsidR="00CD7E76">
        <w:t>s with other m</w:t>
      </w:r>
      <w:r w:rsidR="00112E5B">
        <w:t>ed</w:t>
      </w:r>
      <w:r w:rsidR="00591258">
        <w:t>i</w:t>
      </w:r>
      <w:r w:rsidR="00112E5B">
        <w:t>cines</w:t>
      </w:r>
      <w:r w:rsidR="00CD7E76">
        <w:t xml:space="preserve"> and other forms of i</w:t>
      </w:r>
      <w:r w:rsidR="004A5EA8">
        <w:t>nteraction</w:t>
      </w:r>
      <w:r w:rsidR="00C40E91">
        <w:t>s</w:t>
      </w:r>
    </w:p>
    <w:p w14:paraId="0BD4B120" w14:textId="77777777" w:rsidR="00C019CA" w:rsidRPr="00212203" w:rsidRDefault="00C019CA" w:rsidP="00FC14F2">
      <w:pPr>
        <w:pStyle w:val="CLDHeading3"/>
        <w:rPr>
          <w:noProof/>
        </w:rPr>
      </w:pPr>
      <w:r w:rsidRPr="00212203">
        <w:rPr>
          <w:noProof/>
        </w:rPr>
        <w:t>Potential of medicinal products to affect the pharmacokinetics of isavuconazole</w:t>
      </w:r>
    </w:p>
    <w:p w14:paraId="799BD850" w14:textId="77777777" w:rsidR="00C019CA" w:rsidRPr="00212203" w:rsidRDefault="00C019CA" w:rsidP="00C019CA">
      <w:pPr>
        <w:pStyle w:val="CLDNormal"/>
        <w:rPr>
          <w:noProof/>
        </w:rPr>
      </w:pPr>
      <w:r w:rsidRPr="00212203">
        <w:rPr>
          <w:noProof/>
        </w:rPr>
        <w:t xml:space="preserve">Isavuconazole is a substrate of CYP3A4 and CYP3A5 (see </w:t>
      </w:r>
      <w:r w:rsidRPr="00CB6F65">
        <w:rPr>
          <w:noProof/>
          <w:szCs w:val="22"/>
        </w:rPr>
        <w:t>Section 5.2 Pharmacokinetic properties</w:t>
      </w:r>
      <w:r w:rsidRPr="00212203">
        <w:rPr>
          <w:noProof/>
        </w:rPr>
        <w:t>). Co</w:t>
      </w:r>
      <w:r w:rsidRPr="00212203">
        <w:rPr>
          <w:noProof/>
        </w:rPr>
        <w:noBreakHyphen/>
        <w:t>administration of medicinal products which are inhibitors of CYP3A4 and/or CYP3A5 may increase the plasma concentrations of isavuconazole. Co-administration of medicinal products which are inducers of CYP3A4 and/or CYP3A5 may decrease the plasma concentrations of isavuconazole.</w:t>
      </w:r>
    </w:p>
    <w:p w14:paraId="6AC65E09" w14:textId="77777777" w:rsidR="00C019CA" w:rsidRPr="00212203" w:rsidRDefault="00C019CA" w:rsidP="00FC14F2">
      <w:pPr>
        <w:pStyle w:val="CLDHeading4"/>
        <w:rPr>
          <w:noProof/>
        </w:rPr>
      </w:pPr>
      <w:r w:rsidRPr="00212203">
        <w:rPr>
          <w:noProof/>
        </w:rPr>
        <w:t>Medicinal products that inhibit CYP3A4/5</w:t>
      </w:r>
    </w:p>
    <w:p w14:paraId="57126B8A" w14:textId="77777777" w:rsidR="00C019CA" w:rsidRPr="00C019CA" w:rsidRDefault="00C019CA" w:rsidP="00C019CA">
      <w:pPr>
        <w:pStyle w:val="CLDNormal"/>
        <w:rPr>
          <w:noProof/>
        </w:rPr>
      </w:pPr>
      <w:r w:rsidRPr="00C019CA">
        <w:rPr>
          <w:noProof/>
        </w:rPr>
        <w:t xml:space="preserve">Co-administration of CRESEMBA with the strong CYP3A4/5 inhibitor ketoconazole is contraindicated, since this medicinal product can significantly increase plasma concentrations of isavuconazole (see </w:t>
      </w:r>
      <w:r w:rsidRPr="00C019CA">
        <w:t>Section 4.3 Contraindications</w:t>
      </w:r>
      <w:r w:rsidRPr="00C019CA">
        <w:rPr>
          <w:noProof/>
        </w:rPr>
        <w:t xml:space="preserve"> and Section 4.5 Interactions with other medicines and other forms of interactions).</w:t>
      </w:r>
    </w:p>
    <w:p w14:paraId="78B4791A" w14:textId="77777777" w:rsidR="00C019CA" w:rsidRPr="00C019CA" w:rsidRDefault="00C019CA" w:rsidP="00C019CA">
      <w:pPr>
        <w:pStyle w:val="CLDNormal"/>
        <w:rPr>
          <w:noProof/>
        </w:rPr>
      </w:pPr>
      <w:r w:rsidRPr="00212203">
        <w:rPr>
          <w:noProof/>
        </w:rPr>
        <w:t xml:space="preserve">For the strong CYP3A4 inhibitor lopinavir/ritonavir, a two-fold increase in isavuconazole exposure was observed. </w:t>
      </w:r>
      <w:r w:rsidRPr="00C019CA">
        <w:rPr>
          <w:noProof/>
        </w:rPr>
        <w:t xml:space="preserve">For other strong CYP3A4 inhibitors, such as </w:t>
      </w:r>
      <w:r w:rsidRPr="00212203">
        <w:rPr>
          <w:noProof/>
        </w:rPr>
        <w:t>clarithromycin, indinavir and saquinavir</w:t>
      </w:r>
      <w:r w:rsidRPr="00C019CA">
        <w:rPr>
          <w:noProof/>
        </w:rPr>
        <w:t xml:space="preserve">, a less pronounced effect can be expected, </w:t>
      </w:r>
      <w:r w:rsidRPr="00212203">
        <w:rPr>
          <w:noProof/>
        </w:rPr>
        <w:t>based on their relative potency</w:t>
      </w:r>
      <w:r w:rsidRPr="00C019CA">
        <w:rPr>
          <w:noProof/>
        </w:rPr>
        <w:t xml:space="preserve">. No dose adjustment of CRESEMBA is necessary when co-administered with strong CYP3A4/5 inhibitors, however caution is advised </w:t>
      </w:r>
      <w:r w:rsidRPr="00212203">
        <w:rPr>
          <w:noProof/>
        </w:rPr>
        <w:t xml:space="preserve">as adverse drug reactions may increase (see </w:t>
      </w:r>
      <w:r w:rsidRPr="00C019CA">
        <w:rPr>
          <w:noProof/>
        </w:rPr>
        <w:t>Section 4.4 Special warnings and precautions for use</w:t>
      </w:r>
      <w:r w:rsidRPr="00212203">
        <w:rPr>
          <w:noProof/>
        </w:rPr>
        <w:t>)</w:t>
      </w:r>
      <w:r w:rsidRPr="00C019CA">
        <w:rPr>
          <w:noProof/>
        </w:rPr>
        <w:t>.</w:t>
      </w:r>
    </w:p>
    <w:p w14:paraId="3E96D0D5" w14:textId="77777777" w:rsidR="00C019CA" w:rsidRPr="00C019CA" w:rsidRDefault="00C019CA" w:rsidP="00C019CA">
      <w:pPr>
        <w:pStyle w:val="CLDNormal"/>
        <w:rPr>
          <w:noProof/>
        </w:rPr>
      </w:pPr>
      <w:r w:rsidRPr="00C019CA">
        <w:rPr>
          <w:noProof/>
        </w:rPr>
        <w:t>No dose adjustment is warranted for moderate to mild CYP3A4/5 inhibitors.</w:t>
      </w:r>
    </w:p>
    <w:p w14:paraId="3AD654EB" w14:textId="77777777" w:rsidR="00C019CA" w:rsidRPr="00212203" w:rsidRDefault="00C019CA" w:rsidP="00A712CB">
      <w:pPr>
        <w:pStyle w:val="CLDHeading4"/>
        <w:rPr>
          <w:noProof/>
        </w:rPr>
      </w:pPr>
      <w:r w:rsidRPr="00212203">
        <w:rPr>
          <w:noProof/>
        </w:rPr>
        <w:t>Medicinal products that induce CYP3A4/5</w:t>
      </w:r>
    </w:p>
    <w:p w14:paraId="4B849788" w14:textId="77777777" w:rsidR="00C019CA" w:rsidRPr="00C019CA" w:rsidRDefault="00C019CA" w:rsidP="00C019CA">
      <w:pPr>
        <w:pStyle w:val="CLDNormal"/>
        <w:rPr>
          <w:noProof/>
        </w:rPr>
      </w:pPr>
      <w:r w:rsidRPr="00C019CA">
        <w:rPr>
          <w:noProof/>
        </w:rPr>
        <w:t xml:space="preserve">Co-administration of CRESEMBA with potent CYP3A4/5 inducers such as rifampicin, rifabutin, carbamazepine, long-acting barbiturates (e.g., phenobarbital), phenytoin and St. John’s wort, or with moderate CYP3A4/5 inducers such as efavirenz, nafcillin and etravirine, </w:t>
      </w:r>
      <w:r w:rsidRPr="00C019CA">
        <w:rPr>
          <w:noProof/>
        </w:rPr>
        <w:lastRenderedPageBreak/>
        <w:t xml:space="preserve">is contraindicated, since these medicinal products can significantly decrease plasma concentrations of isavuconazole (see </w:t>
      </w:r>
      <w:r w:rsidRPr="00C019CA">
        <w:t>Section 4.3 Contraindications</w:t>
      </w:r>
      <w:r w:rsidRPr="00C019CA">
        <w:rPr>
          <w:noProof/>
        </w:rPr>
        <w:t>).</w:t>
      </w:r>
    </w:p>
    <w:p w14:paraId="38B62648" w14:textId="77777777" w:rsidR="00C019CA" w:rsidRPr="00C019CA" w:rsidRDefault="00C019CA" w:rsidP="00C019CA">
      <w:pPr>
        <w:pStyle w:val="CLDNormal"/>
        <w:rPr>
          <w:noProof/>
        </w:rPr>
      </w:pPr>
      <w:r w:rsidRPr="00C019CA">
        <w:rPr>
          <w:noProof/>
        </w:rPr>
        <w:t>Co-administration with mild CYP3A4/5 inducers such as aprepitant, prednisone and pioglitazone, may result in mild to moderate decreases of isavuconazole plasma levels; co</w:t>
      </w:r>
      <w:r w:rsidRPr="00C019CA">
        <w:rPr>
          <w:noProof/>
        </w:rPr>
        <w:noBreakHyphen/>
        <w:t xml:space="preserve">administration with mild CYP3A4/5 inducers should be avoided unless the potential benefit is considered to outweigh the risk (see </w:t>
      </w:r>
      <w:r w:rsidRPr="00C019CA">
        <w:t xml:space="preserve">Section 4.4 </w:t>
      </w:r>
      <w:r w:rsidRPr="00C019CA">
        <w:rPr>
          <w:noProof/>
        </w:rPr>
        <w:t>Special warnings and precautions for use).</w:t>
      </w:r>
    </w:p>
    <w:p w14:paraId="3EE764E2" w14:textId="77777777" w:rsidR="00C019CA" w:rsidRPr="00C019CA" w:rsidRDefault="00C019CA" w:rsidP="00C019CA">
      <w:pPr>
        <w:pStyle w:val="CLDNormal"/>
        <w:rPr>
          <w:noProof/>
        </w:rPr>
      </w:pPr>
      <w:r w:rsidRPr="00C019CA">
        <w:rPr>
          <w:noProof/>
        </w:rPr>
        <w:t xml:space="preserve">Co-administration with high-dose ritonavir (&gt;200 mg twice daily) is contraindicated, as at high doses ritonavir may induce CYP3A4/5 and decrease isavuconazole plasma concentrations (see </w:t>
      </w:r>
      <w:r w:rsidRPr="00C019CA">
        <w:t>Section 4.3 Contraindications</w:t>
      </w:r>
      <w:r w:rsidRPr="00C019CA">
        <w:rPr>
          <w:noProof/>
        </w:rPr>
        <w:t>).</w:t>
      </w:r>
    </w:p>
    <w:p w14:paraId="4E160BF1" w14:textId="77777777" w:rsidR="00C019CA" w:rsidRPr="00212203" w:rsidRDefault="00C019CA" w:rsidP="00A712CB">
      <w:pPr>
        <w:pStyle w:val="CLDHeading3"/>
      </w:pPr>
      <w:r w:rsidRPr="00212203">
        <w:t>Potential for CRESEMBA to affect exposures of other medicines</w:t>
      </w:r>
    </w:p>
    <w:p w14:paraId="3ED4EE39" w14:textId="77777777" w:rsidR="00C019CA" w:rsidRPr="00212203" w:rsidRDefault="00C019CA" w:rsidP="00A712CB">
      <w:pPr>
        <w:pStyle w:val="CLDHeading4"/>
      </w:pPr>
      <w:r w:rsidRPr="00212203">
        <w:t>Medicinal products metabolised by CYP3A4/5</w:t>
      </w:r>
    </w:p>
    <w:p w14:paraId="09C3DA1A" w14:textId="77777777" w:rsidR="00C019CA" w:rsidRPr="00212203" w:rsidRDefault="00C019CA" w:rsidP="00A712CB">
      <w:pPr>
        <w:pStyle w:val="CLDNormal"/>
        <w:rPr>
          <w:noProof/>
        </w:rPr>
      </w:pPr>
      <w:r w:rsidRPr="00212203">
        <w:rPr>
          <w:noProof/>
        </w:rPr>
        <w:t xml:space="preserve">Isavuconazole is a moderate inhibitor of CYP3A4/5; co-administration of CRESEMBA with medicinal products which are substrates of CYP3A4/5 may result in increased plasma concentrations of these medicinal products. </w:t>
      </w:r>
    </w:p>
    <w:p w14:paraId="3992BF4F" w14:textId="77777777" w:rsidR="00C019CA" w:rsidRPr="00212203" w:rsidRDefault="00C019CA" w:rsidP="00A712CB">
      <w:pPr>
        <w:pStyle w:val="CLDHeading4"/>
      </w:pPr>
      <w:r w:rsidRPr="00212203">
        <w:t>Medicinal products metabolised by CYP2B6</w:t>
      </w:r>
    </w:p>
    <w:p w14:paraId="4DC20574" w14:textId="77777777" w:rsidR="00C019CA" w:rsidRPr="00212203" w:rsidRDefault="00C019CA" w:rsidP="00A712CB">
      <w:pPr>
        <w:pStyle w:val="CLDNormal"/>
        <w:rPr>
          <w:noProof/>
        </w:rPr>
      </w:pPr>
      <w:r w:rsidRPr="00212203">
        <w:rPr>
          <w:noProof/>
        </w:rPr>
        <w:t xml:space="preserve">Isavuconazole is a mild CYP2B6 inducer; co-administration of CRESEMBA may result in decreased plasma concentrations of CYP2B6 substrates. </w:t>
      </w:r>
    </w:p>
    <w:p w14:paraId="2757FF1F" w14:textId="77777777" w:rsidR="00C019CA" w:rsidRPr="00212203" w:rsidRDefault="00C019CA" w:rsidP="00A712CB">
      <w:pPr>
        <w:pStyle w:val="CLDHeading4"/>
      </w:pPr>
      <w:r w:rsidRPr="00212203">
        <w:t>Medicinal products transported by P-</w:t>
      </w:r>
      <w:proofErr w:type="spellStart"/>
      <w:r w:rsidRPr="00212203">
        <w:t>gp</w:t>
      </w:r>
      <w:proofErr w:type="spellEnd"/>
      <w:r w:rsidRPr="00212203">
        <w:t xml:space="preserve"> in the intestine</w:t>
      </w:r>
    </w:p>
    <w:p w14:paraId="75E302C7" w14:textId="77777777" w:rsidR="00C019CA" w:rsidRPr="00212203" w:rsidRDefault="00C019CA" w:rsidP="00A712CB">
      <w:pPr>
        <w:pStyle w:val="CLDNormal"/>
        <w:rPr>
          <w:noProof/>
        </w:rPr>
      </w:pPr>
      <w:r w:rsidRPr="00212203">
        <w:rPr>
          <w:noProof/>
        </w:rPr>
        <w:t>Isavuconazole is a mild inhibitor of P-glycoprotein (P-gp); co-administration with CRESEMBA may result in increased plasma concentrations of P-gp substrates.</w:t>
      </w:r>
    </w:p>
    <w:p w14:paraId="20EE872D" w14:textId="77777777" w:rsidR="00C019CA" w:rsidRPr="00212203" w:rsidRDefault="00C019CA" w:rsidP="00A712CB">
      <w:pPr>
        <w:pStyle w:val="CLDHeading4"/>
      </w:pPr>
      <w:r w:rsidRPr="00212203">
        <w:t>Medicinal products transported by BCRP</w:t>
      </w:r>
    </w:p>
    <w:p w14:paraId="79C49EFD" w14:textId="77777777" w:rsidR="00C019CA" w:rsidRPr="00212203" w:rsidRDefault="00C019CA" w:rsidP="00A712CB">
      <w:pPr>
        <w:pStyle w:val="CLDNormal"/>
        <w:rPr>
          <w:noProof/>
          <w:lang w:val="en-US"/>
        </w:rPr>
      </w:pPr>
      <w:r w:rsidRPr="00212203">
        <w:rPr>
          <w:noProof/>
          <w:lang w:val="en-US"/>
        </w:rPr>
        <w:t xml:space="preserve">Isavuconazole is an inhibitor </w:t>
      </w:r>
      <w:r w:rsidRPr="00212203">
        <w:rPr>
          <w:i/>
          <w:noProof/>
          <w:lang w:val="en-US"/>
        </w:rPr>
        <w:t>in vitro</w:t>
      </w:r>
      <w:r w:rsidRPr="00212203">
        <w:rPr>
          <w:noProof/>
          <w:lang w:val="en-US"/>
        </w:rPr>
        <w:t xml:space="preserve"> of BCRP, and plasma concentrations of substrates of BCRP may therefore be increased. Caution is advised when CRESEMBA is given concomitantly with substrates of BCRP.  </w:t>
      </w:r>
    </w:p>
    <w:p w14:paraId="0714415B" w14:textId="77777777" w:rsidR="00C019CA" w:rsidRPr="00212203" w:rsidRDefault="00C019CA" w:rsidP="00A712CB">
      <w:pPr>
        <w:pStyle w:val="CLDHeading4"/>
      </w:pPr>
      <w:r w:rsidRPr="00212203">
        <w:t xml:space="preserve">Medicinal products </w:t>
      </w:r>
      <w:proofErr w:type="spellStart"/>
      <w:r w:rsidRPr="00212203">
        <w:t>renally</w:t>
      </w:r>
      <w:proofErr w:type="spellEnd"/>
      <w:r w:rsidRPr="00212203">
        <w:t xml:space="preserve"> excreted via transport proteins</w:t>
      </w:r>
    </w:p>
    <w:p w14:paraId="2F1BF3D6" w14:textId="77777777" w:rsidR="00C019CA" w:rsidRPr="00212203" w:rsidRDefault="00C019CA" w:rsidP="00A712CB">
      <w:pPr>
        <w:pStyle w:val="CLDNormal"/>
        <w:rPr>
          <w:noProof/>
        </w:rPr>
      </w:pPr>
      <w:r w:rsidRPr="00212203">
        <w:rPr>
          <w:noProof/>
        </w:rPr>
        <w:t>Isavuconazole is a mild inhibitor of the organic cation transporter 2 (OCT2). Co-administration of CRESEMBA with medicinal products which are substrates of OCT2 may result in increased plasma concentrations of these medicinal products.</w:t>
      </w:r>
    </w:p>
    <w:p w14:paraId="5E661FEC" w14:textId="77777777" w:rsidR="00C019CA" w:rsidRPr="00212203" w:rsidRDefault="00C019CA" w:rsidP="00A712CB">
      <w:pPr>
        <w:pStyle w:val="CLDHeading4"/>
      </w:pPr>
      <w:r w:rsidRPr="00212203">
        <w:t>Uridine diphosphate-glucuronosyltransferases (UGT) substrates</w:t>
      </w:r>
    </w:p>
    <w:p w14:paraId="0EE39002" w14:textId="77777777" w:rsidR="00C019CA" w:rsidRPr="00212203" w:rsidRDefault="00C019CA" w:rsidP="00A712CB">
      <w:pPr>
        <w:pStyle w:val="CLDNormal"/>
      </w:pPr>
      <w:proofErr w:type="spellStart"/>
      <w:r w:rsidRPr="00212203">
        <w:t>Isavuconazole</w:t>
      </w:r>
      <w:proofErr w:type="spellEnd"/>
      <w:r w:rsidRPr="00212203">
        <w:t xml:space="preserve"> is a mild inhibitor of UGT. Co-administration of CRESEMBA with medicinal products which are substrates of UGT may result in mildly increased plasma concentrations of these medicinal products.</w:t>
      </w:r>
    </w:p>
    <w:p w14:paraId="4B184616" w14:textId="77777777" w:rsidR="00C019CA" w:rsidRPr="00212203" w:rsidRDefault="00C019CA" w:rsidP="00A712CB">
      <w:pPr>
        <w:pStyle w:val="CLDHeading4"/>
      </w:pPr>
      <w:r w:rsidRPr="00212203">
        <w:t xml:space="preserve">Interaction table </w:t>
      </w:r>
    </w:p>
    <w:p w14:paraId="7D459E05" w14:textId="5468FD1F" w:rsidR="00C019CA" w:rsidRPr="00212203" w:rsidRDefault="00C019CA" w:rsidP="00A712CB">
      <w:pPr>
        <w:pStyle w:val="CLDNormal"/>
      </w:pPr>
      <w:r w:rsidRPr="00212203">
        <w:t xml:space="preserve">Interactions between </w:t>
      </w:r>
      <w:proofErr w:type="spellStart"/>
      <w:r w:rsidRPr="00212203">
        <w:t>isavuconazole</w:t>
      </w:r>
      <w:proofErr w:type="spellEnd"/>
      <w:r w:rsidRPr="00212203">
        <w:t xml:space="preserve"> and co-administered medicinal products are listed in Table </w:t>
      </w:r>
      <w:r w:rsidR="00A26D6C">
        <w:t>2</w:t>
      </w:r>
      <w:r w:rsidRPr="00212203">
        <w:t xml:space="preserve"> (increase is indicated as “↑”, decrease as “↓”), ordered by therapeutic class. Unless </w:t>
      </w:r>
      <w:r w:rsidRPr="00212203">
        <w:lastRenderedPageBreak/>
        <w:t>otherwise stated, studies detailed in Table 2 have been performed with the recommended dose of CRESEMBA.</w:t>
      </w:r>
    </w:p>
    <w:p w14:paraId="72CC1276" w14:textId="42725E72" w:rsidR="00C019CA" w:rsidRPr="00212203" w:rsidRDefault="00C019CA" w:rsidP="00A712CB">
      <w:pPr>
        <w:pStyle w:val="CLDTableTitle"/>
      </w:pPr>
      <w:r w:rsidRPr="00212203">
        <w:t xml:space="preserve">Table </w:t>
      </w:r>
      <w:r w:rsidRPr="00212203">
        <w:fldChar w:fldCharType="begin"/>
      </w:r>
      <w:r w:rsidRPr="00212203">
        <w:instrText xml:space="preserve"> SEQ Table \* ARABIC </w:instrText>
      </w:r>
      <w:r w:rsidRPr="00212203">
        <w:fldChar w:fldCharType="separate"/>
      </w:r>
      <w:r w:rsidR="00437C19">
        <w:rPr>
          <w:noProof/>
        </w:rPr>
        <w:t>2</w:t>
      </w:r>
      <w:r w:rsidRPr="00212203">
        <w:fldChar w:fldCharType="end"/>
      </w:r>
      <w:r w:rsidR="001F72B3">
        <w:t>.</w:t>
      </w:r>
      <w:r w:rsidRPr="00212203">
        <w:t xml:space="preserve"> </w:t>
      </w:r>
      <w:r w:rsidR="004060B7">
        <w:rPr>
          <w:lang w:val="en-AU"/>
        </w:rPr>
        <w:t xml:space="preserve">Established or potential drug-drug </w:t>
      </w:r>
      <w:r w:rsidR="004060B7">
        <w:t>i</w:t>
      </w:r>
      <w:r w:rsidRPr="00212203">
        <w:t>nteractions</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C019CA" w:rsidRPr="006C013A" w14:paraId="6CF89BFE" w14:textId="77777777" w:rsidTr="005A2454">
        <w:trPr>
          <w:tblHeader/>
        </w:trPr>
        <w:tc>
          <w:tcPr>
            <w:tcW w:w="2892" w:type="dxa"/>
            <w:shd w:val="clear" w:color="auto" w:fill="auto"/>
          </w:tcPr>
          <w:p w14:paraId="19ED2165" w14:textId="77777777" w:rsidR="00C019CA" w:rsidRPr="00452430" w:rsidRDefault="00C019CA" w:rsidP="00166ABF">
            <w:pPr>
              <w:pStyle w:val="Default"/>
              <w:rPr>
                <w:b/>
              </w:rPr>
            </w:pPr>
            <w:r w:rsidRPr="00452430">
              <w:rPr>
                <w:rFonts w:ascii="Times New Roman" w:hAnsi="Times New Roman" w:cs="Times New Roman"/>
                <w:b/>
              </w:rPr>
              <w:t>Co-administered medicinal product by therapeutic area</w:t>
            </w:r>
          </w:p>
        </w:tc>
        <w:tc>
          <w:tcPr>
            <w:tcW w:w="3270" w:type="dxa"/>
            <w:shd w:val="clear" w:color="auto" w:fill="auto"/>
          </w:tcPr>
          <w:p w14:paraId="3926E227" w14:textId="77777777" w:rsidR="00C019CA" w:rsidRPr="00452430" w:rsidRDefault="00C019CA" w:rsidP="00166ABF">
            <w:pPr>
              <w:pStyle w:val="Default"/>
              <w:rPr>
                <w:rFonts w:ascii="Times New Roman" w:hAnsi="Times New Roman" w:cs="Times New Roman"/>
                <w:b/>
              </w:rPr>
            </w:pPr>
            <w:r w:rsidRPr="00452430">
              <w:rPr>
                <w:rFonts w:ascii="Times New Roman" w:hAnsi="Times New Roman" w:cs="Times New Roman"/>
                <w:b/>
              </w:rPr>
              <w:t>Effects on drug concentrations /</w:t>
            </w:r>
            <w:r w:rsidR="00166ABF">
              <w:rPr>
                <w:rFonts w:ascii="Times New Roman" w:hAnsi="Times New Roman" w:cs="Times New Roman"/>
                <w:b/>
              </w:rPr>
              <w:t xml:space="preserve"> </w:t>
            </w:r>
            <w:r w:rsidRPr="00452430">
              <w:rPr>
                <w:rFonts w:ascii="Times New Roman" w:hAnsi="Times New Roman" w:cs="Times New Roman"/>
                <w:b/>
              </w:rPr>
              <w:t xml:space="preserve">Geometric Mean Change (%) in AUC, </w:t>
            </w:r>
            <w:proofErr w:type="spellStart"/>
            <w:r w:rsidRPr="00452430">
              <w:rPr>
                <w:rFonts w:ascii="Times New Roman" w:hAnsi="Times New Roman" w:cs="Times New Roman"/>
                <w:b/>
              </w:rPr>
              <w:t>Cmax</w:t>
            </w:r>
            <w:proofErr w:type="spellEnd"/>
          </w:p>
          <w:p w14:paraId="23BED06E" w14:textId="77777777" w:rsidR="00C019CA" w:rsidRPr="00452430" w:rsidRDefault="00C019CA" w:rsidP="00166ABF">
            <w:pPr>
              <w:pStyle w:val="Default"/>
            </w:pPr>
            <w:r w:rsidRPr="00452430">
              <w:rPr>
                <w:rFonts w:ascii="Times New Roman" w:hAnsi="Times New Roman" w:cs="Times New Roman"/>
                <w:b/>
              </w:rPr>
              <w:t>(Mode of action)</w:t>
            </w:r>
          </w:p>
        </w:tc>
        <w:tc>
          <w:tcPr>
            <w:tcW w:w="3081" w:type="dxa"/>
            <w:shd w:val="clear" w:color="auto" w:fill="auto"/>
          </w:tcPr>
          <w:p w14:paraId="6A4ED2C4" w14:textId="77777777" w:rsidR="00C019CA" w:rsidRPr="00452430" w:rsidRDefault="00C019CA" w:rsidP="00166ABF">
            <w:pPr>
              <w:pStyle w:val="Default"/>
              <w:rPr>
                <w:b/>
              </w:rPr>
            </w:pPr>
            <w:r w:rsidRPr="00452430">
              <w:rPr>
                <w:rFonts w:ascii="Times New Roman" w:hAnsi="Times New Roman" w:cs="Times New Roman"/>
                <w:b/>
              </w:rPr>
              <w:t xml:space="preserve">Recommendation concerning co-administration </w:t>
            </w:r>
          </w:p>
        </w:tc>
      </w:tr>
      <w:tr w:rsidR="00C019CA" w:rsidRPr="006C013A" w14:paraId="4B7F4D2D" w14:textId="77777777" w:rsidTr="005A2454">
        <w:tc>
          <w:tcPr>
            <w:tcW w:w="9243" w:type="dxa"/>
            <w:gridSpan w:val="3"/>
            <w:shd w:val="clear" w:color="auto" w:fill="auto"/>
          </w:tcPr>
          <w:p w14:paraId="1885439B"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Anticonvulsants</w:t>
            </w:r>
            <w:proofErr w:type="spellEnd"/>
          </w:p>
        </w:tc>
      </w:tr>
      <w:tr w:rsidR="00C019CA" w:rsidRPr="006C013A" w14:paraId="1D53EE80" w14:textId="77777777" w:rsidTr="005A2454">
        <w:tc>
          <w:tcPr>
            <w:tcW w:w="2892" w:type="dxa"/>
            <w:shd w:val="clear" w:color="auto" w:fill="auto"/>
          </w:tcPr>
          <w:p w14:paraId="6DC09634"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Carbamazepine, phenobarbital and phenytoin</w:t>
            </w:r>
          </w:p>
          <w:p w14:paraId="104F4773" w14:textId="77777777" w:rsidR="00C019CA" w:rsidRPr="00452430" w:rsidRDefault="00C019CA" w:rsidP="005A2454">
            <w:pPr>
              <w:pStyle w:val="Default"/>
              <w:rPr>
                <w:rFonts w:ascii="Times New Roman" w:hAnsi="Times New Roman" w:cs="Times New Roman"/>
                <w:b/>
                <w:bCs/>
                <w:i/>
                <w:iCs/>
                <w:spacing w:val="-11"/>
              </w:rPr>
            </w:pPr>
            <w:r w:rsidRPr="00452430">
              <w:rPr>
                <w:rFonts w:ascii="Times New Roman" w:hAnsi="Times New Roman" w:cs="Times New Roman"/>
              </w:rPr>
              <w:t>(strong CYP3A4/5 inducers)</w:t>
            </w:r>
          </w:p>
        </w:tc>
        <w:tc>
          <w:tcPr>
            <w:tcW w:w="3270" w:type="dxa"/>
            <w:shd w:val="clear" w:color="auto" w:fill="auto"/>
          </w:tcPr>
          <w:p w14:paraId="4C74B24F" w14:textId="77777777" w:rsidR="00C019CA" w:rsidRPr="00452430" w:rsidRDefault="00C019CA" w:rsidP="005A2454">
            <w:pPr>
              <w:pStyle w:val="Default"/>
              <w:rPr>
                <w:rFonts w:ascii="Times New Roman" w:hAnsi="Times New Roman" w:cs="Times New Roman"/>
                <w:b/>
                <w:bCs/>
                <w:i/>
                <w:iCs/>
                <w:color w:val="auto"/>
                <w:spacing w:val="-11"/>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decrease (CYP3A induction by carbamazepine, phenytoin and long</w:t>
            </w:r>
            <w:r w:rsidRPr="00452430">
              <w:rPr>
                <w:rFonts w:ascii="Times New Roman" w:hAnsi="Times New Roman" w:cs="Times New Roman"/>
              </w:rPr>
              <w:noBreakHyphen/>
              <w:t>acting barbiturates such as phenobarbital).</w:t>
            </w:r>
          </w:p>
        </w:tc>
        <w:tc>
          <w:tcPr>
            <w:tcW w:w="3081" w:type="dxa"/>
            <w:shd w:val="clear" w:color="auto" w:fill="auto"/>
          </w:tcPr>
          <w:p w14:paraId="33E96EFF" w14:textId="77777777" w:rsidR="00C019CA" w:rsidRPr="00452430" w:rsidRDefault="00C019CA" w:rsidP="005A2454">
            <w:pPr>
              <w:pStyle w:val="Default"/>
              <w:rPr>
                <w:rFonts w:ascii="Times New Roman" w:hAnsi="Times New Roman" w:cs="Times New Roman"/>
                <w:color w:val="auto"/>
                <w:spacing w:val="-11"/>
              </w:rPr>
            </w:pPr>
            <w:r w:rsidRPr="00452430">
              <w:rPr>
                <w:rFonts w:ascii="Times New Roman" w:hAnsi="Times New Roman" w:cs="Times New Roman"/>
              </w:rPr>
              <w:t>The concomitant administration of CRESEMBA and carbamazepine, phenytoin and long-acting barbiturates such as phenobarbital is contraindicated.</w:t>
            </w:r>
          </w:p>
        </w:tc>
      </w:tr>
      <w:tr w:rsidR="00C019CA" w:rsidRPr="006C013A" w14:paraId="13BB7839" w14:textId="77777777" w:rsidTr="005A2454">
        <w:tc>
          <w:tcPr>
            <w:tcW w:w="2892" w:type="dxa"/>
            <w:shd w:val="clear" w:color="auto" w:fill="auto"/>
          </w:tcPr>
          <w:p w14:paraId="37F17161"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Antibacterials</w:t>
            </w:r>
            <w:proofErr w:type="spellEnd"/>
          </w:p>
        </w:tc>
        <w:tc>
          <w:tcPr>
            <w:tcW w:w="3270" w:type="dxa"/>
            <w:shd w:val="clear" w:color="auto" w:fill="auto"/>
          </w:tcPr>
          <w:p w14:paraId="449757A7" w14:textId="77777777" w:rsidR="00C019CA" w:rsidRPr="00452430" w:rsidRDefault="00C019CA" w:rsidP="005A2454">
            <w:pPr>
              <w:spacing w:after="0"/>
              <w:rPr>
                <w:b/>
                <w:i/>
                <w:spacing w:val="-11"/>
                <w:szCs w:val="24"/>
                <w:lang w:val="fr-FR"/>
              </w:rPr>
            </w:pPr>
          </w:p>
        </w:tc>
        <w:tc>
          <w:tcPr>
            <w:tcW w:w="3081" w:type="dxa"/>
            <w:shd w:val="clear" w:color="auto" w:fill="auto"/>
          </w:tcPr>
          <w:p w14:paraId="7D0A6B18" w14:textId="77777777" w:rsidR="00C019CA" w:rsidRPr="00452430" w:rsidRDefault="00C019CA" w:rsidP="005A2454">
            <w:pPr>
              <w:spacing w:after="0"/>
              <w:rPr>
                <w:b/>
                <w:i/>
                <w:spacing w:val="-11"/>
                <w:szCs w:val="24"/>
                <w:lang w:val="fr-FR"/>
              </w:rPr>
            </w:pPr>
          </w:p>
        </w:tc>
      </w:tr>
      <w:tr w:rsidR="00C019CA" w:rsidRPr="006C013A" w14:paraId="6BCEFA7A" w14:textId="77777777" w:rsidTr="005A2454">
        <w:tc>
          <w:tcPr>
            <w:tcW w:w="2892" w:type="dxa"/>
            <w:shd w:val="clear" w:color="auto" w:fill="auto"/>
          </w:tcPr>
          <w:p w14:paraId="19FFE9F7"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Rifampicin</w:t>
            </w:r>
          </w:p>
          <w:p w14:paraId="09BF789C"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(strong CYP3A4/5 inducer)</w:t>
            </w:r>
          </w:p>
        </w:tc>
        <w:tc>
          <w:tcPr>
            <w:tcW w:w="3270" w:type="dxa"/>
            <w:shd w:val="clear" w:color="auto" w:fill="auto"/>
          </w:tcPr>
          <w:p w14:paraId="11829DEA" w14:textId="77777777" w:rsidR="00C019CA" w:rsidRPr="00452430" w:rsidRDefault="00C019CA" w:rsidP="005A2454">
            <w:pPr>
              <w:spacing w:after="0"/>
              <w:rPr>
                <w:rFonts w:eastAsia="SimSun"/>
                <w:color w:val="000000"/>
                <w:szCs w:val="24"/>
                <w:lang w:val="fr-FR" w:eastAsia="zh-CN"/>
              </w:rPr>
            </w:pPr>
            <w:proofErr w:type="spellStart"/>
            <w:r w:rsidRPr="00452430">
              <w:rPr>
                <w:rFonts w:eastAsia="SimSun"/>
                <w:color w:val="000000"/>
                <w:szCs w:val="24"/>
                <w:lang w:val="fr-FR" w:eastAsia="zh-CN"/>
              </w:rPr>
              <w:t>Isavuconazole</w:t>
            </w:r>
            <w:proofErr w:type="spellEnd"/>
            <w:r w:rsidRPr="00452430">
              <w:rPr>
                <w:rFonts w:eastAsia="SimSun"/>
                <w:color w:val="000000"/>
                <w:szCs w:val="24"/>
                <w:lang w:val="fr-FR" w:eastAsia="zh-CN"/>
              </w:rPr>
              <w:t>:</w:t>
            </w:r>
          </w:p>
          <w:p w14:paraId="5AF0D80C" w14:textId="77777777" w:rsidR="00C019CA" w:rsidRPr="00452430" w:rsidRDefault="00C019CA" w:rsidP="005A2454">
            <w:pPr>
              <w:kinsoku w:val="0"/>
              <w:overflowPunct w:val="0"/>
              <w:autoSpaceDE w:val="0"/>
              <w:autoSpaceDN w:val="0"/>
              <w:adjustRightInd w:val="0"/>
              <w:spacing w:after="0"/>
              <w:rPr>
                <w:rFonts w:eastAsia="SimSun"/>
                <w:color w:val="000000"/>
                <w:szCs w:val="24"/>
                <w:lang w:val="fr-FR" w:eastAsia="zh-CN"/>
              </w:rPr>
            </w:pPr>
            <w:proofErr w:type="spellStart"/>
            <w:r w:rsidRPr="00452430">
              <w:rPr>
                <w:rFonts w:eastAsia="SimSun"/>
                <w:color w:val="000000"/>
                <w:szCs w:val="24"/>
                <w:lang w:val="fr-FR" w:eastAsia="zh-CN"/>
              </w:rPr>
              <w:t>AUC</w:t>
            </w:r>
            <w:r w:rsidRPr="00452430">
              <w:rPr>
                <w:rFonts w:eastAsia="SimSun"/>
                <w:color w:val="000000"/>
                <w:szCs w:val="24"/>
                <w:vertAlign w:val="subscript"/>
                <w:lang w:val="fr-FR" w:eastAsia="zh-CN"/>
              </w:rPr>
              <w:t>tau</w:t>
            </w:r>
            <w:proofErr w:type="spellEnd"/>
            <w:r w:rsidRPr="00452430">
              <w:rPr>
                <w:rFonts w:eastAsia="SimSun"/>
                <w:color w:val="000000"/>
                <w:szCs w:val="24"/>
                <w:lang w:val="fr-FR" w:eastAsia="zh-CN"/>
              </w:rPr>
              <w:t xml:space="preserve">: </w:t>
            </w:r>
            <w:r w:rsidRPr="00452430">
              <w:rPr>
                <w:rFonts w:eastAsia="SimSun" w:hint="eastAsia"/>
                <w:color w:val="000000"/>
                <w:szCs w:val="24"/>
                <w:lang w:val="fr-FR" w:eastAsia="zh-CN"/>
              </w:rPr>
              <w:t>↓</w:t>
            </w:r>
            <w:r w:rsidRPr="00452430">
              <w:rPr>
                <w:rFonts w:eastAsia="SimSun"/>
                <w:color w:val="000000"/>
                <w:szCs w:val="24"/>
                <w:lang w:val="fr-FR" w:eastAsia="zh-CN"/>
              </w:rPr>
              <w:t xml:space="preserve"> 90%</w:t>
            </w:r>
          </w:p>
          <w:p w14:paraId="649D2D7B" w14:textId="77777777" w:rsidR="00C019CA" w:rsidRPr="00452430" w:rsidRDefault="00C019CA" w:rsidP="005A2454">
            <w:pPr>
              <w:kinsoku w:val="0"/>
              <w:overflowPunct w:val="0"/>
              <w:autoSpaceDE w:val="0"/>
              <w:autoSpaceDN w:val="0"/>
              <w:adjustRightInd w:val="0"/>
              <w:spacing w:after="0"/>
              <w:rPr>
                <w:rFonts w:eastAsia="SimSun"/>
                <w:color w:val="000000"/>
                <w:szCs w:val="24"/>
                <w:lang w:val="fr-FR" w:eastAsia="zh-CN"/>
              </w:rPr>
            </w:pPr>
            <w:proofErr w:type="spellStart"/>
            <w:r w:rsidRPr="00452430">
              <w:rPr>
                <w:rFonts w:eastAsia="SimSun"/>
                <w:color w:val="000000"/>
                <w:szCs w:val="24"/>
                <w:lang w:val="fr-FR" w:eastAsia="zh-CN"/>
              </w:rPr>
              <w:t>C</w:t>
            </w:r>
            <w:r w:rsidRPr="00452430">
              <w:rPr>
                <w:rFonts w:eastAsia="SimSun"/>
                <w:color w:val="000000"/>
                <w:szCs w:val="24"/>
                <w:vertAlign w:val="subscript"/>
                <w:lang w:val="fr-FR" w:eastAsia="zh-CN"/>
              </w:rPr>
              <w:t>max</w:t>
            </w:r>
            <w:proofErr w:type="spellEnd"/>
            <w:r w:rsidRPr="00452430">
              <w:rPr>
                <w:rFonts w:eastAsia="SimSun"/>
                <w:color w:val="000000"/>
                <w:szCs w:val="24"/>
                <w:lang w:val="fr-FR" w:eastAsia="zh-CN"/>
              </w:rPr>
              <w:t xml:space="preserve">: </w:t>
            </w:r>
            <w:r w:rsidRPr="00452430">
              <w:rPr>
                <w:rFonts w:eastAsia="SimSun" w:hint="eastAsia"/>
                <w:color w:val="000000"/>
                <w:szCs w:val="24"/>
                <w:lang w:val="fr-FR" w:eastAsia="zh-CN"/>
              </w:rPr>
              <w:t>↓</w:t>
            </w:r>
            <w:r w:rsidRPr="00452430">
              <w:rPr>
                <w:rFonts w:eastAsia="SimSun"/>
                <w:color w:val="000000"/>
                <w:szCs w:val="24"/>
                <w:lang w:val="fr-FR" w:eastAsia="zh-CN"/>
              </w:rPr>
              <w:t xml:space="preserve"> 75%</w:t>
            </w:r>
          </w:p>
          <w:p w14:paraId="7CE6C1D0" w14:textId="77777777" w:rsidR="00C019CA" w:rsidRPr="00452430" w:rsidRDefault="00C019CA" w:rsidP="005A2454">
            <w:pPr>
              <w:kinsoku w:val="0"/>
              <w:overflowPunct w:val="0"/>
              <w:autoSpaceDE w:val="0"/>
              <w:autoSpaceDN w:val="0"/>
              <w:adjustRightInd w:val="0"/>
              <w:spacing w:after="0"/>
              <w:rPr>
                <w:rFonts w:eastAsia="SimSun"/>
                <w:color w:val="000000"/>
                <w:szCs w:val="24"/>
                <w:lang w:val="fr-FR" w:eastAsia="zh-CN"/>
              </w:rPr>
            </w:pPr>
          </w:p>
          <w:p w14:paraId="3BA64B9D" w14:textId="77777777" w:rsidR="00C019CA" w:rsidRPr="00452430" w:rsidRDefault="00C019CA" w:rsidP="005A2454">
            <w:pPr>
              <w:kinsoku w:val="0"/>
              <w:overflowPunct w:val="0"/>
              <w:autoSpaceDE w:val="0"/>
              <w:autoSpaceDN w:val="0"/>
              <w:adjustRightInd w:val="0"/>
              <w:spacing w:after="0"/>
              <w:rPr>
                <w:rFonts w:eastAsia="SimSun"/>
                <w:color w:val="000000"/>
                <w:szCs w:val="24"/>
                <w:lang w:val="fr-FR" w:eastAsia="zh-CN"/>
              </w:rPr>
            </w:pPr>
            <w:r w:rsidRPr="00452430">
              <w:rPr>
                <w:rFonts w:eastAsia="SimSun"/>
                <w:color w:val="000000"/>
                <w:szCs w:val="24"/>
                <w:lang w:val="fr-FR" w:eastAsia="zh-CN"/>
              </w:rPr>
              <w:t>(CYP3A4/5 induction)</w:t>
            </w:r>
          </w:p>
        </w:tc>
        <w:tc>
          <w:tcPr>
            <w:tcW w:w="3081" w:type="dxa"/>
            <w:shd w:val="clear" w:color="auto" w:fill="auto"/>
          </w:tcPr>
          <w:p w14:paraId="75AF9408" w14:textId="77777777" w:rsidR="00C019CA" w:rsidRPr="00452430" w:rsidRDefault="00C019CA" w:rsidP="00FA448F">
            <w:pPr>
              <w:pStyle w:val="Default"/>
              <w:rPr>
                <w:rFonts w:eastAsia="SimSun"/>
                <w:lang w:eastAsia="zh-CN"/>
              </w:rPr>
            </w:pPr>
            <w:r w:rsidRPr="00452430">
              <w:rPr>
                <w:rFonts w:ascii="Times New Roman" w:hAnsi="Times New Roman" w:cs="Times New Roman"/>
              </w:rPr>
              <w:t>The concomitant administration of CRESEMBA and rifampicin is contraindicated.</w:t>
            </w:r>
          </w:p>
        </w:tc>
      </w:tr>
      <w:tr w:rsidR="00C019CA" w:rsidRPr="006C013A" w14:paraId="343F34FF" w14:textId="77777777" w:rsidTr="005A2454">
        <w:tc>
          <w:tcPr>
            <w:tcW w:w="2892" w:type="dxa"/>
            <w:shd w:val="clear" w:color="auto" w:fill="auto"/>
          </w:tcPr>
          <w:p w14:paraId="7E6C1905"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Rifabutin</w:t>
            </w:r>
            <w:proofErr w:type="spellEnd"/>
          </w:p>
          <w:p w14:paraId="1408DB04"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(strong CYP3A4/5 inducer)</w:t>
            </w:r>
          </w:p>
        </w:tc>
        <w:tc>
          <w:tcPr>
            <w:tcW w:w="3270" w:type="dxa"/>
            <w:shd w:val="clear" w:color="auto" w:fill="auto"/>
          </w:tcPr>
          <w:p w14:paraId="32C6E838"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Not studied.</w:t>
            </w:r>
          </w:p>
          <w:p w14:paraId="13C775ED"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significantly decrease.</w:t>
            </w:r>
          </w:p>
          <w:p w14:paraId="6603C6CF" w14:textId="77777777" w:rsidR="00C019CA" w:rsidRPr="00452430" w:rsidRDefault="00C019CA" w:rsidP="005A2454">
            <w:pPr>
              <w:pStyle w:val="Default"/>
              <w:rPr>
                <w:rFonts w:ascii="Times New Roman" w:hAnsi="Times New Roman" w:cs="Times New Roman"/>
              </w:rPr>
            </w:pPr>
          </w:p>
          <w:p w14:paraId="39EED88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induction)</w:t>
            </w:r>
          </w:p>
        </w:tc>
        <w:tc>
          <w:tcPr>
            <w:tcW w:w="3081" w:type="dxa"/>
            <w:shd w:val="clear" w:color="auto" w:fill="auto"/>
          </w:tcPr>
          <w:p w14:paraId="1AF49685"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The concomitant administration of CRESEMBA and </w:t>
            </w:r>
            <w:proofErr w:type="spellStart"/>
            <w:r w:rsidRPr="00452430">
              <w:rPr>
                <w:rFonts w:ascii="Times New Roman" w:hAnsi="Times New Roman" w:cs="Times New Roman"/>
              </w:rPr>
              <w:t>rifabutin</w:t>
            </w:r>
            <w:proofErr w:type="spellEnd"/>
            <w:r w:rsidRPr="00452430">
              <w:rPr>
                <w:rFonts w:ascii="Times New Roman" w:hAnsi="Times New Roman" w:cs="Times New Roman"/>
              </w:rPr>
              <w:t xml:space="preserve"> is contraindicated.</w:t>
            </w:r>
          </w:p>
        </w:tc>
      </w:tr>
      <w:tr w:rsidR="00C019CA" w:rsidRPr="006C013A" w14:paraId="1DD613E1" w14:textId="77777777" w:rsidTr="005A2454">
        <w:tc>
          <w:tcPr>
            <w:tcW w:w="2892" w:type="dxa"/>
            <w:shd w:val="clear" w:color="auto" w:fill="auto"/>
          </w:tcPr>
          <w:p w14:paraId="77E0FBD1"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Nafcillin</w:t>
            </w:r>
            <w:proofErr w:type="spellEnd"/>
          </w:p>
          <w:p w14:paraId="0D297152" w14:textId="77777777" w:rsidR="00C019CA" w:rsidRPr="00452430" w:rsidRDefault="00C019CA" w:rsidP="00452430">
            <w:pPr>
              <w:pStyle w:val="Default"/>
              <w:rPr>
                <w:rFonts w:eastAsia="SimSun"/>
                <w:lang w:eastAsia="zh-CN"/>
              </w:rPr>
            </w:pPr>
            <w:r w:rsidRPr="00452430">
              <w:rPr>
                <w:rFonts w:ascii="Times New Roman" w:hAnsi="Times New Roman" w:cs="Times New Roman"/>
              </w:rPr>
              <w:t>(moderate CY3A4/5 inducer)</w:t>
            </w:r>
          </w:p>
        </w:tc>
        <w:tc>
          <w:tcPr>
            <w:tcW w:w="3270" w:type="dxa"/>
            <w:shd w:val="clear" w:color="auto" w:fill="auto"/>
          </w:tcPr>
          <w:p w14:paraId="09ED1BF4"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Not studied.</w:t>
            </w:r>
          </w:p>
          <w:p w14:paraId="685605DA"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significantly decrease. </w:t>
            </w:r>
          </w:p>
          <w:p w14:paraId="472B6E76" w14:textId="77777777" w:rsidR="00C019CA" w:rsidRPr="00452430" w:rsidRDefault="00C019CA" w:rsidP="005A2454">
            <w:pPr>
              <w:pStyle w:val="Default"/>
              <w:rPr>
                <w:rFonts w:ascii="Times New Roman" w:hAnsi="Times New Roman" w:cs="Times New Roman"/>
              </w:rPr>
            </w:pPr>
          </w:p>
          <w:p w14:paraId="68397EC7"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induction)</w:t>
            </w:r>
          </w:p>
        </w:tc>
        <w:tc>
          <w:tcPr>
            <w:tcW w:w="3081" w:type="dxa"/>
            <w:shd w:val="clear" w:color="auto" w:fill="auto"/>
          </w:tcPr>
          <w:p w14:paraId="00C1974D" w14:textId="77777777" w:rsidR="00C019CA" w:rsidRPr="00452430" w:rsidRDefault="00C019CA" w:rsidP="00FA448F">
            <w:pPr>
              <w:pStyle w:val="Default"/>
              <w:rPr>
                <w:rFonts w:eastAsia="SimSun"/>
                <w:lang w:eastAsia="zh-CN"/>
              </w:rPr>
            </w:pPr>
            <w:r w:rsidRPr="00452430">
              <w:rPr>
                <w:rFonts w:ascii="Times New Roman" w:hAnsi="Times New Roman" w:cs="Times New Roman"/>
              </w:rPr>
              <w:t xml:space="preserve">The concomitant administration of CRESEMBA and </w:t>
            </w:r>
            <w:proofErr w:type="spellStart"/>
            <w:r w:rsidRPr="00452430">
              <w:rPr>
                <w:rFonts w:ascii="Times New Roman" w:hAnsi="Times New Roman" w:cs="Times New Roman"/>
              </w:rPr>
              <w:t>nafcillin</w:t>
            </w:r>
            <w:proofErr w:type="spellEnd"/>
            <w:r w:rsidRPr="00452430">
              <w:rPr>
                <w:rFonts w:ascii="Times New Roman" w:hAnsi="Times New Roman" w:cs="Times New Roman"/>
              </w:rPr>
              <w:t xml:space="preserve"> is contraindicated.</w:t>
            </w:r>
          </w:p>
        </w:tc>
      </w:tr>
      <w:tr w:rsidR="00C019CA" w:rsidRPr="006C013A" w14:paraId="5BFA7AF7" w14:textId="77777777" w:rsidTr="005A2454">
        <w:tc>
          <w:tcPr>
            <w:tcW w:w="2892" w:type="dxa"/>
            <w:shd w:val="clear" w:color="auto" w:fill="auto"/>
          </w:tcPr>
          <w:p w14:paraId="38C56D57" w14:textId="77777777" w:rsidR="00C019CA" w:rsidRPr="00452430" w:rsidRDefault="00C019CA" w:rsidP="005A2454">
            <w:pPr>
              <w:autoSpaceDE w:val="0"/>
              <w:autoSpaceDN w:val="0"/>
              <w:adjustRightInd w:val="0"/>
              <w:spacing w:after="0"/>
              <w:rPr>
                <w:color w:val="000000"/>
                <w:szCs w:val="24"/>
              </w:rPr>
            </w:pPr>
            <w:r w:rsidRPr="00452430">
              <w:rPr>
                <w:rFonts w:eastAsia="SimSun"/>
                <w:color w:val="000000"/>
                <w:szCs w:val="24"/>
                <w:lang w:val="en-US" w:eastAsia="zh-CN"/>
              </w:rPr>
              <w:t>Clarithromycin</w:t>
            </w:r>
          </w:p>
          <w:p w14:paraId="09007657" w14:textId="77777777" w:rsidR="00C019CA" w:rsidRPr="00452430" w:rsidRDefault="00C019CA" w:rsidP="005A2454">
            <w:pPr>
              <w:autoSpaceDE w:val="0"/>
              <w:autoSpaceDN w:val="0"/>
              <w:adjustRightInd w:val="0"/>
              <w:spacing w:after="0"/>
              <w:rPr>
                <w:color w:val="000000"/>
                <w:szCs w:val="24"/>
              </w:rPr>
            </w:pPr>
            <w:r w:rsidRPr="00452430">
              <w:rPr>
                <w:rFonts w:eastAsia="SimSun"/>
                <w:color w:val="000000"/>
                <w:szCs w:val="24"/>
                <w:lang w:val="en-US" w:eastAsia="zh-CN"/>
              </w:rPr>
              <w:t>(strong CYP3A4/5 inhibitor)</w:t>
            </w:r>
          </w:p>
        </w:tc>
        <w:tc>
          <w:tcPr>
            <w:tcW w:w="3270" w:type="dxa"/>
            <w:shd w:val="clear" w:color="auto" w:fill="auto"/>
          </w:tcPr>
          <w:p w14:paraId="71C8AD96" w14:textId="77777777" w:rsidR="00C019CA" w:rsidRPr="00452430" w:rsidRDefault="00C019CA" w:rsidP="00265DCB">
            <w:pPr>
              <w:pStyle w:val="Default"/>
              <w:rPr>
                <w:rFonts w:ascii="Times New Roman" w:hAnsi="Times New Roman" w:cs="Times New Roman"/>
              </w:rPr>
            </w:pPr>
            <w:r w:rsidRPr="00452430">
              <w:rPr>
                <w:rFonts w:ascii="Times New Roman" w:hAnsi="Times New Roman" w:cs="Times New Roman"/>
              </w:rPr>
              <w:t>Not studied.</w:t>
            </w:r>
          </w:p>
          <w:p w14:paraId="3AB8465C" w14:textId="77777777" w:rsidR="00C019CA" w:rsidRPr="00452430" w:rsidRDefault="00C019CA" w:rsidP="00265DCB">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increase.</w:t>
            </w:r>
          </w:p>
          <w:p w14:paraId="4A6FFC6E" w14:textId="77777777" w:rsidR="00C019CA" w:rsidRPr="00452430" w:rsidRDefault="00C019CA" w:rsidP="005A2454">
            <w:pPr>
              <w:autoSpaceDE w:val="0"/>
              <w:autoSpaceDN w:val="0"/>
              <w:adjustRightInd w:val="0"/>
              <w:spacing w:after="0"/>
              <w:rPr>
                <w:color w:val="000000"/>
                <w:szCs w:val="24"/>
              </w:rPr>
            </w:pPr>
          </w:p>
          <w:p w14:paraId="4533ECF7" w14:textId="77777777" w:rsidR="00C019CA" w:rsidRPr="00452430" w:rsidRDefault="00C019CA" w:rsidP="005A2454">
            <w:pPr>
              <w:autoSpaceDE w:val="0"/>
              <w:autoSpaceDN w:val="0"/>
              <w:adjustRightInd w:val="0"/>
              <w:spacing w:after="0"/>
              <w:rPr>
                <w:color w:val="000000"/>
                <w:szCs w:val="24"/>
              </w:rPr>
            </w:pPr>
            <w:r w:rsidRPr="00452430">
              <w:rPr>
                <w:rFonts w:eastAsia="SimSun"/>
                <w:color w:val="000000"/>
                <w:szCs w:val="24"/>
                <w:lang w:val="en-US" w:eastAsia="zh-CN"/>
              </w:rPr>
              <w:t>(CYP3A4/5 inhibition)</w:t>
            </w:r>
          </w:p>
        </w:tc>
        <w:tc>
          <w:tcPr>
            <w:tcW w:w="3081" w:type="dxa"/>
            <w:shd w:val="clear" w:color="auto" w:fill="auto"/>
          </w:tcPr>
          <w:p w14:paraId="741693DF"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 caution is advised as adverse drug reactions may increase.</w:t>
            </w:r>
          </w:p>
          <w:p w14:paraId="2133D18B" w14:textId="77777777" w:rsidR="00C019CA" w:rsidRPr="00452430" w:rsidRDefault="00C019CA" w:rsidP="005A2454">
            <w:pPr>
              <w:autoSpaceDE w:val="0"/>
              <w:autoSpaceDN w:val="0"/>
              <w:adjustRightInd w:val="0"/>
              <w:spacing w:after="0"/>
              <w:rPr>
                <w:rFonts w:eastAsia="SimSun"/>
                <w:color w:val="000000"/>
                <w:szCs w:val="24"/>
                <w:lang w:val="en-US" w:eastAsia="zh-CN"/>
              </w:rPr>
            </w:pPr>
          </w:p>
        </w:tc>
      </w:tr>
      <w:tr w:rsidR="00C019CA" w:rsidRPr="006C013A" w14:paraId="0E9E50A2" w14:textId="77777777" w:rsidTr="005A2454">
        <w:tc>
          <w:tcPr>
            <w:tcW w:w="9243" w:type="dxa"/>
            <w:gridSpan w:val="3"/>
            <w:shd w:val="clear" w:color="auto" w:fill="auto"/>
          </w:tcPr>
          <w:p w14:paraId="334C3BC9"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Antifungals</w:t>
            </w:r>
            <w:proofErr w:type="spellEnd"/>
          </w:p>
        </w:tc>
      </w:tr>
      <w:tr w:rsidR="00C019CA" w:rsidRPr="006C013A" w14:paraId="40C0725D" w14:textId="77777777" w:rsidTr="005A2454">
        <w:tc>
          <w:tcPr>
            <w:tcW w:w="2892" w:type="dxa"/>
            <w:shd w:val="clear" w:color="auto" w:fill="auto"/>
          </w:tcPr>
          <w:p w14:paraId="6A881CAF"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Ketoconazole</w:t>
            </w:r>
          </w:p>
          <w:p w14:paraId="02C14A82"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(strong CYP3A4/5 inhibitor)</w:t>
            </w:r>
          </w:p>
        </w:tc>
        <w:tc>
          <w:tcPr>
            <w:tcW w:w="3270" w:type="dxa"/>
            <w:shd w:val="clear" w:color="auto" w:fill="auto"/>
          </w:tcPr>
          <w:p w14:paraId="4C54040A"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Isavuconazole</w:t>
            </w:r>
            <w:proofErr w:type="spellEnd"/>
            <w:r w:rsidRPr="00452430">
              <w:rPr>
                <w:rFonts w:eastAsia="SimSun"/>
                <w:color w:val="000000"/>
                <w:szCs w:val="24"/>
                <w:lang w:val="en-US" w:eastAsia="zh-CN"/>
              </w:rPr>
              <w:t>:</w:t>
            </w:r>
          </w:p>
          <w:p w14:paraId="4E2BD0EC"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tau</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422%</w:t>
            </w:r>
          </w:p>
          <w:p w14:paraId="01FABDB0"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9%</w:t>
            </w:r>
          </w:p>
          <w:p w14:paraId="0B4BB526"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72712CB9"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(CYP3A4/5 inhibition)</w:t>
            </w:r>
          </w:p>
        </w:tc>
        <w:tc>
          <w:tcPr>
            <w:tcW w:w="3081" w:type="dxa"/>
            <w:shd w:val="clear" w:color="auto" w:fill="auto"/>
          </w:tcPr>
          <w:p w14:paraId="7ACDB5B2" w14:textId="77777777" w:rsidR="00C019CA" w:rsidRPr="00452430" w:rsidRDefault="00C019CA" w:rsidP="00FA448F">
            <w:pPr>
              <w:pStyle w:val="Default"/>
              <w:rPr>
                <w:rFonts w:eastAsia="SimSun"/>
                <w:lang w:eastAsia="zh-CN"/>
              </w:rPr>
            </w:pPr>
            <w:r w:rsidRPr="00452430">
              <w:rPr>
                <w:rFonts w:ascii="Times New Roman" w:hAnsi="Times New Roman" w:cs="Times New Roman"/>
              </w:rPr>
              <w:t>The concomitant administration of CRESEMBA and ketoconazole is contraindicated.</w:t>
            </w:r>
          </w:p>
        </w:tc>
      </w:tr>
      <w:tr w:rsidR="00C019CA" w:rsidRPr="006C013A" w14:paraId="652D677D" w14:textId="77777777" w:rsidTr="005A2454">
        <w:tc>
          <w:tcPr>
            <w:tcW w:w="9243" w:type="dxa"/>
            <w:gridSpan w:val="3"/>
            <w:shd w:val="clear" w:color="auto" w:fill="auto"/>
          </w:tcPr>
          <w:p w14:paraId="31F027A3"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Herbal</w:t>
            </w:r>
            <w:proofErr w:type="spellEnd"/>
            <w:r w:rsidRPr="00452430">
              <w:rPr>
                <w:b/>
                <w:i/>
                <w:spacing w:val="-11"/>
                <w:szCs w:val="24"/>
                <w:lang w:val="fr-FR"/>
              </w:rPr>
              <w:t xml:space="preserve"> </w:t>
            </w:r>
            <w:proofErr w:type="spellStart"/>
            <w:r w:rsidRPr="00452430">
              <w:rPr>
                <w:b/>
                <w:i/>
                <w:spacing w:val="-11"/>
                <w:szCs w:val="24"/>
                <w:lang w:val="fr-FR"/>
              </w:rPr>
              <w:t>medicines</w:t>
            </w:r>
            <w:proofErr w:type="spellEnd"/>
          </w:p>
        </w:tc>
      </w:tr>
      <w:tr w:rsidR="00C019CA" w:rsidRPr="006C013A" w14:paraId="38BC68E3" w14:textId="77777777" w:rsidTr="005A2454">
        <w:tc>
          <w:tcPr>
            <w:tcW w:w="2892" w:type="dxa"/>
            <w:shd w:val="clear" w:color="auto" w:fill="auto"/>
          </w:tcPr>
          <w:p w14:paraId="19E806FF"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 xml:space="preserve">St John’s </w:t>
            </w:r>
            <w:proofErr w:type="spellStart"/>
            <w:r w:rsidRPr="00452430">
              <w:rPr>
                <w:rFonts w:eastAsia="SimSun"/>
                <w:color w:val="000000"/>
                <w:szCs w:val="24"/>
                <w:lang w:val="en-US" w:eastAsia="zh-CN"/>
              </w:rPr>
              <w:t>wort</w:t>
            </w:r>
            <w:proofErr w:type="spellEnd"/>
          </w:p>
          <w:p w14:paraId="75611D48"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(strong CYP3A4/5 inducer)</w:t>
            </w:r>
          </w:p>
        </w:tc>
        <w:tc>
          <w:tcPr>
            <w:tcW w:w="3270" w:type="dxa"/>
            <w:shd w:val="clear" w:color="auto" w:fill="auto"/>
          </w:tcPr>
          <w:p w14:paraId="29AD3949" w14:textId="77777777" w:rsidR="00C019CA" w:rsidRPr="00452430" w:rsidRDefault="00C019CA" w:rsidP="00265DCB">
            <w:pPr>
              <w:pStyle w:val="Default"/>
              <w:rPr>
                <w:rFonts w:ascii="Times New Roman" w:hAnsi="Times New Roman" w:cs="Times New Roman"/>
              </w:rPr>
            </w:pPr>
            <w:r w:rsidRPr="00452430">
              <w:rPr>
                <w:rFonts w:ascii="Times New Roman" w:hAnsi="Times New Roman" w:cs="Times New Roman"/>
              </w:rPr>
              <w:t>Not studied.</w:t>
            </w:r>
          </w:p>
          <w:p w14:paraId="757B6F2C" w14:textId="77777777" w:rsidR="00C019CA" w:rsidRPr="00452430" w:rsidRDefault="00C019CA" w:rsidP="00265DCB">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significantly decrease.</w:t>
            </w:r>
          </w:p>
          <w:p w14:paraId="1B64DA08" w14:textId="77777777" w:rsidR="00C019CA" w:rsidRPr="00452430" w:rsidRDefault="00C019CA" w:rsidP="00265DCB">
            <w:pPr>
              <w:pStyle w:val="Default"/>
              <w:rPr>
                <w:rFonts w:ascii="Times New Roman" w:hAnsi="Times New Roman" w:cs="Times New Roman"/>
              </w:rPr>
            </w:pPr>
          </w:p>
          <w:p w14:paraId="070D1FE1"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(CYP3A4 induction).</w:t>
            </w:r>
          </w:p>
        </w:tc>
        <w:tc>
          <w:tcPr>
            <w:tcW w:w="3081" w:type="dxa"/>
            <w:shd w:val="clear" w:color="auto" w:fill="auto"/>
          </w:tcPr>
          <w:p w14:paraId="1D8CAC58" w14:textId="77777777" w:rsidR="00C019CA" w:rsidRPr="00452430" w:rsidRDefault="00C019CA" w:rsidP="00FA448F">
            <w:pPr>
              <w:pStyle w:val="Default"/>
              <w:rPr>
                <w:rFonts w:eastAsia="SimSun"/>
                <w:lang w:eastAsia="zh-CN"/>
              </w:rPr>
            </w:pPr>
            <w:r w:rsidRPr="00452430">
              <w:rPr>
                <w:rFonts w:ascii="Times New Roman" w:hAnsi="Times New Roman" w:cs="Times New Roman"/>
              </w:rPr>
              <w:lastRenderedPageBreak/>
              <w:t xml:space="preserve">The concomitant administration of CRESEMBA and St John’s </w:t>
            </w:r>
            <w:proofErr w:type="spellStart"/>
            <w:r w:rsidRPr="00452430">
              <w:rPr>
                <w:rFonts w:ascii="Times New Roman" w:hAnsi="Times New Roman" w:cs="Times New Roman"/>
              </w:rPr>
              <w:lastRenderedPageBreak/>
              <w:t>wort</w:t>
            </w:r>
            <w:proofErr w:type="spellEnd"/>
            <w:r w:rsidRPr="00452430">
              <w:rPr>
                <w:rFonts w:ascii="Times New Roman" w:hAnsi="Times New Roman" w:cs="Times New Roman"/>
              </w:rPr>
              <w:t xml:space="preserve"> is contraindicated.</w:t>
            </w:r>
          </w:p>
        </w:tc>
      </w:tr>
      <w:tr w:rsidR="00C019CA" w:rsidRPr="006C013A" w14:paraId="2AE8C59B" w14:textId="77777777" w:rsidTr="005A2454">
        <w:tc>
          <w:tcPr>
            <w:tcW w:w="9243" w:type="dxa"/>
            <w:gridSpan w:val="3"/>
            <w:shd w:val="clear" w:color="auto" w:fill="auto"/>
          </w:tcPr>
          <w:p w14:paraId="2F1099CB"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lastRenderedPageBreak/>
              <w:t>Immunosuppresants</w:t>
            </w:r>
            <w:proofErr w:type="spellEnd"/>
          </w:p>
        </w:tc>
      </w:tr>
      <w:tr w:rsidR="00C019CA" w:rsidRPr="006C013A" w14:paraId="25E14E8A" w14:textId="77777777" w:rsidTr="005A2454">
        <w:tc>
          <w:tcPr>
            <w:tcW w:w="2892" w:type="dxa"/>
            <w:shd w:val="clear" w:color="auto" w:fill="auto"/>
          </w:tcPr>
          <w:p w14:paraId="3EF1A260" w14:textId="77777777" w:rsidR="00C019CA" w:rsidRPr="00452430" w:rsidRDefault="00C019CA" w:rsidP="00433361">
            <w:pPr>
              <w:pStyle w:val="Default"/>
              <w:rPr>
                <w:rFonts w:ascii="Times New Roman" w:hAnsi="Times New Roman" w:cs="Times New Roman"/>
              </w:rPr>
            </w:pPr>
            <w:proofErr w:type="spellStart"/>
            <w:r w:rsidRPr="00452430">
              <w:rPr>
                <w:rFonts w:ascii="Times New Roman" w:hAnsi="Times New Roman" w:cs="Times New Roman"/>
              </w:rPr>
              <w:t>Ciclosporin</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sirolimus</w:t>
            </w:r>
            <w:proofErr w:type="spellEnd"/>
            <w:r w:rsidRPr="00452430">
              <w:rPr>
                <w:rFonts w:ascii="Times New Roman" w:hAnsi="Times New Roman" w:cs="Times New Roman"/>
              </w:rPr>
              <w:t>, tacrolimus</w:t>
            </w:r>
          </w:p>
          <w:p w14:paraId="56EF1943" w14:textId="77777777" w:rsidR="00C019CA" w:rsidRPr="00452430" w:rsidRDefault="00C019CA" w:rsidP="00433361">
            <w:pPr>
              <w:pStyle w:val="Default"/>
              <w:rPr>
                <w:rFonts w:eastAsia="SimSun"/>
                <w:lang w:eastAsia="zh-CN"/>
              </w:rPr>
            </w:pPr>
            <w:r w:rsidRPr="00452430">
              <w:rPr>
                <w:rFonts w:ascii="Times New Roman" w:hAnsi="Times New Roman" w:cs="Times New Roman"/>
              </w:rPr>
              <w:t>(CYP3A4/5 substrates)</w:t>
            </w:r>
          </w:p>
        </w:tc>
        <w:tc>
          <w:tcPr>
            <w:tcW w:w="3270" w:type="dxa"/>
            <w:shd w:val="clear" w:color="auto" w:fill="auto"/>
          </w:tcPr>
          <w:p w14:paraId="2DA8F7C2"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Ciclosporin</w:t>
            </w:r>
            <w:proofErr w:type="spellEnd"/>
            <w:r w:rsidRPr="00452430">
              <w:rPr>
                <w:rFonts w:eastAsia="SimSun"/>
                <w:color w:val="000000"/>
                <w:szCs w:val="24"/>
                <w:lang w:val="en-US" w:eastAsia="zh-CN"/>
              </w:rPr>
              <w:t>:</w:t>
            </w:r>
          </w:p>
          <w:p w14:paraId="46358DD7"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inf</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29%</w:t>
            </w:r>
          </w:p>
          <w:p w14:paraId="0F8F4C12"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6%</w:t>
            </w:r>
          </w:p>
          <w:p w14:paraId="076615A6"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7259433D"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Sirolimus</w:t>
            </w:r>
            <w:proofErr w:type="spellEnd"/>
            <w:r w:rsidRPr="00452430">
              <w:rPr>
                <w:rFonts w:eastAsia="SimSun"/>
                <w:color w:val="000000"/>
                <w:szCs w:val="24"/>
                <w:lang w:val="en-US" w:eastAsia="zh-CN"/>
              </w:rPr>
              <w:t>:</w:t>
            </w:r>
          </w:p>
          <w:p w14:paraId="6575755E"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inf</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84%</w:t>
            </w:r>
          </w:p>
          <w:p w14:paraId="66247AE0"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65%</w:t>
            </w:r>
          </w:p>
          <w:p w14:paraId="208ADA83"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09EDA617"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Tacrolimus:</w:t>
            </w:r>
          </w:p>
          <w:p w14:paraId="7D09734E"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inf</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125%</w:t>
            </w:r>
          </w:p>
          <w:p w14:paraId="6E9964F4"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42%</w:t>
            </w:r>
          </w:p>
          <w:p w14:paraId="0DC2DAF5"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0756954A"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(CYP3A4 inhibition)</w:t>
            </w:r>
          </w:p>
        </w:tc>
        <w:tc>
          <w:tcPr>
            <w:tcW w:w="3081" w:type="dxa"/>
            <w:shd w:val="clear" w:color="auto" w:fill="auto"/>
          </w:tcPr>
          <w:p w14:paraId="1FA9F8C6"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 xml:space="preserve">No CRESEMBA dose adjustment necessary. </w:t>
            </w:r>
          </w:p>
          <w:p w14:paraId="56B982F1" w14:textId="77777777" w:rsidR="00C019CA" w:rsidRPr="00452430" w:rsidRDefault="00C019CA" w:rsidP="00FA448F">
            <w:pPr>
              <w:pStyle w:val="Default"/>
              <w:rPr>
                <w:rFonts w:eastAsia="SimSun"/>
                <w:lang w:eastAsia="zh-CN"/>
              </w:rPr>
            </w:pPr>
            <w:proofErr w:type="spellStart"/>
            <w:r w:rsidRPr="00452430">
              <w:rPr>
                <w:rFonts w:ascii="Times New Roman" w:hAnsi="Times New Roman" w:cs="Times New Roman"/>
              </w:rPr>
              <w:t>Ciclosporin</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sirolimus</w:t>
            </w:r>
            <w:proofErr w:type="spellEnd"/>
            <w:r w:rsidRPr="00452430">
              <w:rPr>
                <w:rFonts w:ascii="Times New Roman" w:hAnsi="Times New Roman" w:cs="Times New Roman"/>
              </w:rPr>
              <w:t>, tacrolimus: monitoring of plasma levels and appropriate dose adjustment if required.</w:t>
            </w:r>
          </w:p>
        </w:tc>
      </w:tr>
      <w:tr w:rsidR="00C019CA" w:rsidRPr="006C013A" w14:paraId="0EE98F9D" w14:textId="77777777" w:rsidTr="005A2454">
        <w:tc>
          <w:tcPr>
            <w:tcW w:w="2892" w:type="dxa"/>
            <w:shd w:val="clear" w:color="auto" w:fill="auto"/>
          </w:tcPr>
          <w:p w14:paraId="4F8EC8B1" w14:textId="77777777" w:rsidR="00C019CA" w:rsidRPr="00452430" w:rsidRDefault="00C019CA" w:rsidP="00433361">
            <w:pPr>
              <w:pStyle w:val="Default"/>
              <w:rPr>
                <w:rFonts w:ascii="Times New Roman" w:hAnsi="Times New Roman" w:cs="Times New Roman"/>
              </w:rPr>
            </w:pPr>
            <w:proofErr w:type="spellStart"/>
            <w:r w:rsidRPr="00452430">
              <w:rPr>
                <w:rFonts w:ascii="Times New Roman" w:hAnsi="Times New Roman" w:cs="Times New Roman"/>
              </w:rPr>
              <w:t>Mycophenolate</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mofetil</w:t>
            </w:r>
            <w:proofErr w:type="spellEnd"/>
            <w:r w:rsidRPr="00452430">
              <w:rPr>
                <w:rFonts w:ascii="Times New Roman" w:hAnsi="Times New Roman" w:cs="Times New Roman"/>
              </w:rPr>
              <w:t xml:space="preserve"> (MMF)</w:t>
            </w:r>
          </w:p>
          <w:p w14:paraId="33B60FDC" w14:textId="77777777" w:rsidR="00C019CA" w:rsidRPr="00452430" w:rsidRDefault="00C019CA" w:rsidP="00433361">
            <w:pPr>
              <w:pStyle w:val="Default"/>
              <w:rPr>
                <w:rFonts w:eastAsia="SimSun"/>
                <w:lang w:eastAsia="zh-CN"/>
              </w:rPr>
            </w:pPr>
            <w:r w:rsidRPr="00452430">
              <w:rPr>
                <w:rFonts w:ascii="Times New Roman" w:hAnsi="Times New Roman" w:cs="Times New Roman"/>
              </w:rPr>
              <w:t>(UGT substrate)</w:t>
            </w:r>
          </w:p>
        </w:tc>
        <w:tc>
          <w:tcPr>
            <w:tcW w:w="3270" w:type="dxa"/>
            <w:shd w:val="clear" w:color="auto" w:fill="auto"/>
          </w:tcPr>
          <w:p w14:paraId="6A8B316D"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Mycophenolic acid (MPA, active metabolite) :</w:t>
            </w:r>
          </w:p>
          <w:p w14:paraId="78F41FE0" w14:textId="77777777" w:rsidR="00C019CA" w:rsidRPr="00452430" w:rsidRDefault="00C019CA" w:rsidP="00FA448F">
            <w:pPr>
              <w:pStyle w:val="Default"/>
              <w:rPr>
                <w:rFonts w:ascii="Times New Roman" w:hAnsi="Times New Roman" w:cs="Times New Roman"/>
              </w:rPr>
            </w:pPr>
            <w:proofErr w:type="spellStart"/>
            <w:r w:rsidRPr="00452430">
              <w:rPr>
                <w:rFonts w:ascii="Times New Roman" w:hAnsi="Times New Roman" w:cs="Times New Roman"/>
              </w:rPr>
              <w:t>AUCinf</w:t>
            </w:r>
            <w:proofErr w:type="spellEnd"/>
            <w:r w:rsidRPr="00452430">
              <w:rPr>
                <w:rFonts w:ascii="Times New Roman" w:hAnsi="Times New Roman" w:cs="Times New Roman"/>
              </w:rPr>
              <w:t xml:space="preserve">: </w:t>
            </w:r>
            <w:r w:rsidRPr="00452430">
              <w:rPr>
                <w:rFonts w:ascii="Times New Roman" w:hAnsi="Times New Roman" w:cs="Times New Roman" w:hint="eastAsia"/>
              </w:rPr>
              <w:t>↑</w:t>
            </w:r>
            <w:r w:rsidRPr="00452430">
              <w:rPr>
                <w:rFonts w:ascii="Times New Roman" w:hAnsi="Times New Roman" w:cs="Times New Roman"/>
              </w:rPr>
              <w:t xml:space="preserve"> 35%</w:t>
            </w:r>
          </w:p>
          <w:p w14:paraId="4877C930" w14:textId="77777777" w:rsidR="00C019CA" w:rsidRPr="00452430" w:rsidRDefault="00C019CA" w:rsidP="00FA448F">
            <w:pPr>
              <w:pStyle w:val="Default"/>
              <w:rPr>
                <w:rFonts w:ascii="Times New Roman" w:hAnsi="Times New Roman" w:cs="Times New Roman"/>
              </w:rPr>
            </w:pPr>
            <w:proofErr w:type="spellStart"/>
            <w:r w:rsidRPr="00452430">
              <w:rPr>
                <w:rFonts w:ascii="Times New Roman" w:hAnsi="Times New Roman" w:cs="Times New Roman"/>
              </w:rPr>
              <w:t>Cmax</w:t>
            </w:r>
            <w:proofErr w:type="spellEnd"/>
            <w:r w:rsidRPr="00452430">
              <w:rPr>
                <w:rFonts w:ascii="Times New Roman" w:hAnsi="Times New Roman" w:cs="Times New Roman"/>
              </w:rPr>
              <w:t xml:space="preserve">: </w:t>
            </w:r>
            <w:r w:rsidRPr="00452430">
              <w:rPr>
                <w:rFonts w:ascii="Times New Roman" w:hAnsi="Times New Roman" w:cs="Times New Roman" w:hint="eastAsia"/>
              </w:rPr>
              <w:t>↓</w:t>
            </w:r>
            <w:r w:rsidRPr="00452430">
              <w:rPr>
                <w:rFonts w:ascii="Times New Roman" w:hAnsi="Times New Roman" w:cs="Times New Roman"/>
              </w:rPr>
              <w:t xml:space="preserve"> 11%</w:t>
            </w:r>
          </w:p>
          <w:p w14:paraId="366E172C"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387BB991"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(UGT inhibition)</w:t>
            </w:r>
          </w:p>
        </w:tc>
        <w:tc>
          <w:tcPr>
            <w:tcW w:w="3081" w:type="dxa"/>
            <w:shd w:val="clear" w:color="auto" w:fill="auto"/>
          </w:tcPr>
          <w:p w14:paraId="7D8ACD8F"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 xml:space="preserve">No CRESEMBA dose adjustment necessary. </w:t>
            </w:r>
          </w:p>
          <w:p w14:paraId="50FCD7A4" w14:textId="77777777" w:rsidR="00C019CA" w:rsidRPr="00452430" w:rsidRDefault="00C019CA" w:rsidP="00FA448F">
            <w:pPr>
              <w:pStyle w:val="Default"/>
              <w:rPr>
                <w:rFonts w:eastAsia="SimSun"/>
                <w:lang w:eastAsia="zh-CN"/>
              </w:rPr>
            </w:pPr>
            <w:r w:rsidRPr="00452430">
              <w:rPr>
                <w:rFonts w:ascii="Times New Roman" w:hAnsi="Times New Roman" w:cs="Times New Roman"/>
              </w:rPr>
              <w:t>MMF: monitoring for MPA-related toxicities is advised.</w:t>
            </w:r>
          </w:p>
        </w:tc>
      </w:tr>
      <w:tr w:rsidR="00C019CA" w:rsidRPr="006C013A" w14:paraId="6DB76053" w14:textId="77777777" w:rsidTr="005A2454">
        <w:tc>
          <w:tcPr>
            <w:tcW w:w="2892" w:type="dxa"/>
            <w:shd w:val="clear" w:color="auto" w:fill="auto"/>
          </w:tcPr>
          <w:p w14:paraId="31373621"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Prednisone</w:t>
            </w:r>
          </w:p>
          <w:p w14:paraId="2E245D64"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(CYP3A4 substrate)</w:t>
            </w:r>
          </w:p>
        </w:tc>
        <w:tc>
          <w:tcPr>
            <w:tcW w:w="3270" w:type="dxa"/>
            <w:shd w:val="clear" w:color="auto" w:fill="auto"/>
          </w:tcPr>
          <w:p w14:paraId="441F9128" w14:textId="77777777" w:rsidR="00C019CA" w:rsidRPr="00452430" w:rsidRDefault="00C019CA" w:rsidP="00265DCB">
            <w:pPr>
              <w:pStyle w:val="Default"/>
              <w:rPr>
                <w:rFonts w:ascii="Times New Roman" w:hAnsi="Times New Roman" w:cs="Times New Roman"/>
              </w:rPr>
            </w:pPr>
            <w:r w:rsidRPr="00452430">
              <w:rPr>
                <w:rFonts w:ascii="Times New Roman" w:hAnsi="Times New Roman" w:cs="Times New Roman"/>
              </w:rPr>
              <w:t>Prednisolone (active metabolite):</w:t>
            </w:r>
          </w:p>
          <w:p w14:paraId="0A107E7B" w14:textId="77777777" w:rsidR="00C019CA" w:rsidRPr="00452430" w:rsidRDefault="00C019CA" w:rsidP="00265DCB">
            <w:pPr>
              <w:pStyle w:val="Default"/>
              <w:rPr>
                <w:rFonts w:ascii="Times New Roman" w:hAnsi="Times New Roman" w:cs="Times New Roman"/>
              </w:rPr>
            </w:pPr>
            <w:proofErr w:type="spellStart"/>
            <w:r w:rsidRPr="00452430">
              <w:rPr>
                <w:rFonts w:ascii="Times New Roman" w:hAnsi="Times New Roman" w:cs="Times New Roman"/>
              </w:rPr>
              <w:t>AUCinf</w:t>
            </w:r>
            <w:proofErr w:type="spellEnd"/>
            <w:r w:rsidRPr="00452430">
              <w:rPr>
                <w:rFonts w:ascii="Times New Roman" w:hAnsi="Times New Roman" w:cs="Times New Roman"/>
              </w:rPr>
              <w:t xml:space="preserve">: </w:t>
            </w:r>
            <w:r w:rsidRPr="00452430">
              <w:rPr>
                <w:rFonts w:ascii="Times New Roman" w:hAnsi="Times New Roman" w:cs="Times New Roman" w:hint="eastAsia"/>
              </w:rPr>
              <w:t>↑</w:t>
            </w:r>
            <w:r w:rsidRPr="00452430">
              <w:rPr>
                <w:rFonts w:ascii="Times New Roman" w:hAnsi="Times New Roman" w:cs="Times New Roman"/>
              </w:rPr>
              <w:t xml:space="preserve"> 8%</w:t>
            </w:r>
          </w:p>
          <w:p w14:paraId="35D0EB15" w14:textId="77777777" w:rsidR="00C019CA" w:rsidRPr="00452430" w:rsidRDefault="00C019CA" w:rsidP="00265DCB">
            <w:pPr>
              <w:pStyle w:val="Default"/>
              <w:rPr>
                <w:rFonts w:ascii="Times New Roman" w:hAnsi="Times New Roman" w:cs="Times New Roman"/>
              </w:rPr>
            </w:pPr>
            <w:proofErr w:type="spellStart"/>
            <w:r w:rsidRPr="00452430">
              <w:rPr>
                <w:rFonts w:ascii="Times New Roman" w:hAnsi="Times New Roman" w:cs="Times New Roman"/>
              </w:rPr>
              <w:t>Cmax</w:t>
            </w:r>
            <w:proofErr w:type="spellEnd"/>
            <w:r w:rsidRPr="00452430">
              <w:rPr>
                <w:rFonts w:ascii="Times New Roman" w:hAnsi="Times New Roman" w:cs="Times New Roman"/>
              </w:rPr>
              <w:t xml:space="preserve">: </w:t>
            </w:r>
            <w:r w:rsidRPr="00452430">
              <w:rPr>
                <w:rFonts w:ascii="Times New Roman" w:hAnsi="Times New Roman" w:cs="Times New Roman" w:hint="eastAsia"/>
              </w:rPr>
              <w:t>↓</w:t>
            </w:r>
            <w:r w:rsidRPr="00452430">
              <w:rPr>
                <w:rFonts w:ascii="Times New Roman" w:hAnsi="Times New Roman" w:cs="Times New Roman"/>
              </w:rPr>
              <w:t xml:space="preserve"> 4%</w:t>
            </w:r>
          </w:p>
          <w:p w14:paraId="2AD75986" w14:textId="77777777" w:rsidR="00C019CA" w:rsidRPr="00452430" w:rsidRDefault="00C019CA" w:rsidP="00265DCB">
            <w:pPr>
              <w:pStyle w:val="Default"/>
              <w:rPr>
                <w:rFonts w:ascii="Times New Roman" w:hAnsi="Times New Roman" w:cs="Times New Roman"/>
              </w:rPr>
            </w:pPr>
          </w:p>
          <w:p w14:paraId="22923BCE" w14:textId="77777777" w:rsidR="00C019CA" w:rsidRPr="00452430" w:rsidRDefault="00C019CA" w:rsidP="00265DCB">
            <w:pPr>
              <w:pStyle w:val="Default"/>
              <w:rPr>
                <w:rFonts w:ascii="Times New Roman" w:hAnsi="Times New Roman" w:cs="Times New Roman"/>
              </w:rPr>
            </w:pPr>
            <w:r w:rsidRPr="00452430">
              <w:rPr>
                <w:rFonts w:ascii="Times New Roman" w:hAnsi="Times New Roman" w:cs="Times New Roman"/>
              </w:rPr>
              <w:t>(CYP3A4 inhibition)</w:t>
            </w:r>
          </w:p>
          <w:p w14:paraId="5F0D044F" w14:textId="77777777" w:rsidR="00C019CA" w:rsidRPr="00452430" w:rsidRDefault="00C019CA" w:rsidP="00265DCB">
            <w:pPr>
              <w:pStyle w:val="Default"/>
              <w:rPr>
                <w:rFonts w:ascii="Times New Roman" w:hAnsi="Times New Roman" w:cs="Times New Roman"/>
              </w:rPr>
            </w:pPr>
          </w:p>
          <w:p w14:paraId="116B2691" w14:textId="77777777" w:rsidR="00C019CA" w:rsidRPr="00452430" w:rsidRDefault="00C019CA" w:rsidP="00265DCB">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decrease.</w:t>
            </w:r>
          </w:p>
          <w:p w14:paraId="56B33050" w14:textId="77777777" w:rsidR="00C019CA" w:rsidRPr="00452430" w:rsidRDefault="00C019CA" w:rsidP="00265DCB">
            <w:pPr>
              <w:pStyle w:val="Default"/>
              <w:rPr>
                <w:rFonts w:ascii="Times New Roman" w:hAnsi="Times New Roman" w:cs="Times New Roman"/>
              </w:rPr>
            </w:pPr>
          </w:p>
          <w:p w14:paraId="33514A46" w14:textId="77777777" w:rsidR="00C019CA" w:rsidRPr="00452430" w:rsidRDefault="00C019CA" w:rsidP="00265DCB">
            <w:pPr>
              <w:pStyle w:val="Default"/>
              <w:rPr>
                <w:rFonts w:eastAsia="SimSun"/>
                <w:lang w:eastAsia="zh-CN"/>
              </w:rPr>
            </w:pPr>
            <w:r w:rsidRPr="00452430">
              <w:rPr>
                <w:rFonts w:ascii="Times New Roman" w:hAnsi="Times New Roman" w:cs="Times New Roman"/>
              </w:rPr>
              <w:t>(CYP3A4/5 induction)</w:t>
            </w:r>
          </w:p>
        </w:tc>
        <w:tc>
          <w:tcPr>
            <w:tcW w:w="3081" w:type="dxa"/>
            <w:shd w:val="clear" w:color="auto" w:fill="auto"/>
          </w:tcPr>
          <w:p w14:paraId="509B37C5" w14:textId="77777777" w:rsidR="00C019CA" w:rsidRPr="00452430" w:rsidRDefault="00C019CA" w:rsidP="00FA448F">
            <w:pPr>
              <w:pStyle w:val="Default"/>
            </w:pPr>
            <w:r w:rsidRPr="00452430">
              <w:rPr>
                <w:rFonts w:ascii="Times New Roman" w:hAnsi="Times New Roman" w:cs="Times New Roman"/>
              </w:rPr>
              <w:t>Co-administration should be avoided unless the potential benefit is considered to outweigh the risk.</w:t>
            </w:r>
          </w:p>
        </w:tc>
      </w:tr>
      <w:tr w:rsidR="00C019CA" w:rsidRPr="006C013A" w14:paraId="5BDBFDF7" w14:textId="77777777" w:rsidTr="005A2454">
        <w:tc>
          <w:tcPr>
            <w:tcW w:w="9243" w:type="dxa"/>
            <w:gridSpan w:val="3"/>
            <w:shd w:val="clear" w:color="auto" w:fill="auto"/>
          </w:tcPr>
          <w:p w14:paraId="2EF72F3D"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Opioids</w:t>
            </w:r>
            <w:proofErr w:type="spellEnd"/>
          </w:p>
        </w:tc>
      </w:tr>
      <w:tr w:rsidR="00C019CA" w:rsidRPr="006C013A" w14:paraId="1995C0ED" w14:textId="77777777" w:rsidTr="005A2454">
        <w:tc>
          <w:tcPr>
            <w:tcW w:w="2892" w:type="dxa"/>
            <w:shd w:val="clear" w:color="auto" w:fill="auto"/>
          </w:tcPr>
          <w:p w14:paraId="21AADF86" w14:textId="77777777" w:rsidR="00C019CA" w:rsidRPr="00452430" w:rsidRDefault="00C019CA" w:rsidP="00433361">
            <w:pPr>
              <w:pStyle w:val="Default"/>
              <w:rPr>
                <w:rFonts w:ascii="Times New Roman" w:hAnsi="Times New Roman" w:cs="Times New Roman"/>
              </w:rPr>
            </w:pPr>
            <w:r w:rsidRPr="00452430">
              <w:rPr>
                <w:rFonts w:ascii="Times New Roman" w:hAnsi="Times New Roman" w:cs="Times New Roman"/>
              </w:rPr>
              <w:t>Short</w:t>
            </w:r>
            <w:r w:rsidRPr="00452430">
              <w:rPr>
                <w:rFonts w:ascii="Times New Roman" w:hAnsi="Times New Roman" w:cs="Times New Roman"/>
              </w:rPr>
              <w:noBreakHyphen/>
              <w:t>acting opiates (</w:t>
            </w:r>
            <w:proofErr w:type="spellStart"/>
            <w:r w:rsidRPr="00452430">
              <w:rPr>
                <w:rFonts w:ascii="Times New Roman" w:hAnsi="Times New Roman" w:cs="Times New Roman"/>
              </w:rPr>
              <w:t>alfentanyl</w:t>
            </w:r>
            <w:proofErr w:type="spellEnd"/>
            <w:r w:rsidRPr="00452430">
              <w:rPr>
                <w:rFonts w:ascii="Times New Roman" w:hAnsi="Times New Roman" w:cs="Times New Roman"/>
              </w:rPr>
              <w:t>, fentanyl)</w:t>
            </w:r>
          </w:p>
          <w:p w14:paraId="334DD5A6" w14:textId="77777777" w:rsidR="00C019CA" w:rsidRPr="00452430" w:rsidRDefault="00C019CA" w:rsidP="00433361">
            <w:pPr>
              <w:pStyle w:val="Default"/>
              <w:rPr>
                <w:rFonts w:eastAsia="SimSun"/>
                <w:lang w:eastAsia="zh-CN"/>
              </w:rPr>
            </w:pPr>
            <w:r w:rsidRPr="00452430">
              <w:rPr>
                <w:rFonts w:ascii="Times New Roman" w:hAnsi="Times New Roman" w:cs="Times New Roman"/>
              </w:rPr>
              <w:t>(CYP3A4/5 substrate)</w:t>
            </w:r>
          </w:p>
        </w:tc>
        <w:tc>
          <w:tcPr>
            <w:tcW w:w="3270" w:type="dxa"/>
            <w:shd w:val="clear" w:color="auto" w:fill="auto"/>
          </w:tcPr>
          <w:p w14:paraId="4C09FD19" w14:textId="77777777" w:rsidR="00C019CA" w:rsidRPr="00452430" w:rsidRDefault="00C019CA" w:rsidP="00C00650">
            <w:pPr>
              <w:pStyle w:val="Default"/>
              <w:rPr>
                <w:rFonts w:ascii="Times New Roman" w:hAnsi="Times New Roman" w:cs="Times New Roman"/>
              </w:rPr>
            </w:pPr>
            <w:r w:rsidRPr="00452430">
              <w:rPr>
                <w:rFonts w:ascii="Times New Roman" w:hAnsi="Times New Roman" w:cs="Times New Roman"/>
              </w:rPr>
              <w:t xml:space="preserve">Not studied. </w:t>
            </w:r>
          </w:p>
          <w:p w14:paraId="363F7FF9" w14:textId="77777777" w:rsidR="00C019CA" w:rsidRPr="00452430" w:rsidRDefault="00C019CA" w:rsidP="00C00650">
            <w:pPr>
              <w:pStyle w:val="Default"/>
              <w:rPr>
                <w:rFonts w:ascii="Times New Roman" w:hAnsi="Times New Roman" w:cs="Times New Roman"/>
              </w:rPr>
            </w:pPr>
            <w:r w:rsidRPr="00452430">
              <w:rPr>
                <w:rFonts w:ascii="Times New Roman" w:hAnsi="Times New Roman" w:cs="Times New Roman"/>
              </w:rPr>
              <w:t xml:space="preserve">Short-acting opiate concentrations may increase. </w:t>
            </w:r>
          </w:p>
          <w:p w14:paraId="3D1D4FC5"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288A0A04"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(CYP3A4/5 inhibition).</w:t>
            </w:r>
          </w:p>
        </w:tc>
        <w:tc>
          <w:tcPr>
            <w:tcW w:w="3081" w:type="dxa"/>
            <w:shd w:val="clear" w:color="auto" w:fill="auto"/>
          </w:tcPr>
          <w:p w14:paraId="52AEFFF0"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w:t>
            </w:r>
          </w:p>
          <w:p w14:paraId="1E9D74C7" w14:textId="77777777" w:rsidR="00C019CA" w:rsidRPr="00452430" w:rsidRDefault="00C019CA" w:rsidP="00FA448F">
            <w:pPr>
              <w:pStyle w:val="Default"/>
              <w:rPr>
                <w:rFonts w:eastAsia="SimSun"/>
                <w:lang w:eastAsia="zh-CN"/>
              </w:rPr>
            </w:pPr>
            <w:r w:rsidRPr="00452430">
              <w:rPr>
                <w:rFonts w:ascii="Times New Roman" w:hAnsi="Times New Roman" w:cs="Times New Roman"/>
              </w:rPr>
              <w:t>Short-acting opiates (</w:t>
            </w:r>
            <w:proofErr w:type="spellStart"/>
            <w:r w:rsidRPr="00452430">
              <w:rPr>
                <w:rFonts w:ascii="Times New Roman" w:hAnsi="Times New Roman" w:cs="Times New Roman"/>
              </w:rPr>
              <w:t>alfentanyl</w:t>
            </w:r>
            <w:proofErr w:type="spellEnd"/>
            <w:r w:rsidRPr="00452430">
              <w:rPr>
                <w:rFonts w:ascii="Times New Roman" w:hAnsi="Times New Roman" w:cs="Times New Roman"/>
              </w:rPr>
              <w:t xml:space="preserve">, fentanyl): careful monitoring for any occurrence of drug toxicity, and dose reduction if required. </w:t>
            </w:r>
          </w:p>
        </w:tc>
      </w:tr>
      <w:tr w:rsidR="00C019CA" w:rsidRPr="006C013A" w14:paraId="5243AB5E" w14:textId="77777777" w:rsidTr="005A2454">
        <w:tc>
          <w:tcPr>
            <w:tcW w:w="2892" w:type="dxa"/>
            <w:shd w:val="clear" w:color="auto" w:fill="auto"/>
          </w:tcPr>
          <w:p w14:paraId="2116F447" w14:textId="77777777" w:rsidR="00C019CA" w:rsidRPr="00452430" w:rsidRDefault="00C019CA" w:rsidP="00452430">
            <w:pPr>
              <w:pStyle w:val="Default"/>
            </w:pPr>
            <w:r w:rsidRPr="00452430">
              <w:rPr>
                <w:rFonts w:ascii="Times New Roman" w:hAnsi="Times New Roman" w:cs="Times New Roman"/>
              </w:rPr>
              <w:t>Methadone</w:t>
            </w:r>
          </w:p>
          <w:p w14:paraId="08A619C5" w14:textId="77777777" w:rsidR="00C019CA" w:rsidRPr="00452430" w:rsidRDefault="00C019CA" w:rsidP="00452430">
            <w:pPr>
              <w:pStyle w:val="Default"/>
            </w:pPr>
            <w:r w:rsidRPr="00452430">
              <w:rPr>
                <w:rFonts w:ascii="Times New Roman" w:hAnsi="Times New Roman" w:cs="Times New Roman"/>
              </w:rPr>
              <w:t xml:space="preserve">(CYP3A4/5, 2B6 and 2C9 </w:t>
            </w:r>
            <w:r w:rsidRPr="00452430">
              <w:rPr>
                <w:rFonts w:ascii="Times New Roman" w:hAnsi="Times New Roman" w:cs="Times New Roman"/>
              </w:rPr>
              <w:lastRenderedPageBreak/>
              <w:t>substrate)</w:t>
            </w:r>
          </w:p>
          <w:p w14:paraId="6737431A" w14:textId="77777777" w:rsidR="00C019CA" w:rsidRPr="00452430" w:rsidRDefault="00C019CA" w:rsidP="005A2454">
            <w:pPr>
              <w:autoSpaceDE w:val="0"/>
              <w:autoSpaceDN w:val="0"/>
              <w:adjustRightInd w:val="0"/>
              <w:spacing w:after="0"/>
              <w:rPr>
                <w:rFonts w:eastAsia="SimSun"/>
                <w:color w:val="000000"/>
                <w:szCs w:val="24"/>
                <w:lang w:val="en-US" w:eastAsia="zh-CN"/>
              </w:rPr>
            </w:pPr>
          </w:p>
        </w:tc>
        <w:tc>
          <w:tcPr>
            <w:tcW w:w="3270" w:type="dxa"/>
            <w:shd w:val="clear" w:color="auto" w:fill="auto"/>
          </w:tcPr>
          <w:p w14:paraId="4E16208D" w14:textId="77777777" w:rsidR="00C019CA" w:rsidRPr="00452430" w:rsidRDefault="00C019CA" w:rsidP="00433361">
            <w:pPr>
              <w:pStyle w:val="Default"/>
              <w:rPr>
                <w:rFonts w:ascii="Times New Roman" w:hAnsi="Times New Roman" w:cs="Times New Roman"/>
              </w:rPr>
            </w:pPr>
            <w:r w:rsidRPr="00452430">
              <w:rPr>
                <w:rFonts w:ascii="Times New Roman" w:hAnsi="Times New Roman" w:cs="Times New Roman"/>
              </w:rPr>
              <w:lastRenderedPageBreak/>
              <w:t>S-methadone (inactive opiate isomer)</w:t>
            </w:r>
          </w:p>
          <w:p w14:paraId="41EB8E79" w14:textId="77777777" w:rsidR="00C019CA" w:rsidRPr="00452430" w:rsidRDefault="00C019CA" w:rsidP="00433361">
            <w:pPr>
              <w:pStyle w:val="Default"/>
              <w:rPr>
                <w:rFonts w:ascii="Times New Roman" w:hAnsi="Times New Roman" w:cs="Times New Roman"/>
              </w:rPr>
            </w:pPr>
            <w:proofErr w:type="spellStart"/>
            <w:r w:rsidRPr="00452430">
              <w:rPr>
                <w:rFonts w:ascii="Times New Roman" w:hAnsi="Times New Roman" w:cs="Times New Roman"/>
              </w:rPr>
              <w:lastRenderedPageBreak/>
              <w:t>AUCinf</w:t>
            </w:r>
            <w:proofErr w:type="spellEnd"/>
            <w:r w:rsidRPr="00452430">
              <w:rPr>
                <w:rFonts w:ascii="Times New Roman" w:hAnsi="Times New Roman" w:cs="Times New Roman"/>
              </w:rPr>
              <w:t xml:space="preserve">: </w:t>
            </w:r>
            <w:r w:rsidRPr="00452430">
              <w:rPr>
                <w:rFonts w:ascii="Times New Roman" w:hAnsi="Times New Roman" w:cs="Times New Roman" w:hint="eastAsia"/>
              </w:rPr>
              <w:t>↓</w:t>
            </w:r>
            <w:r w:rsidRPr="00452430">
              <w:rPr>
                <w:rFonts w:ascii="Times New Roman" w:hAnsi="Times New Roman" w:cs="Times New Roman"/>
              </w:rPr>
              <w:t xml:space="preserve"> 35%</w:t>
            </w:r>
          </w:p>
          <w:p w14:paraId="04C59C37" w14:textId="77777777" w:rsidR="00C019CA" w:rsidRPr="00452430" w:rsidRDefault="00C019CA" w:rsidP="00433361">
            <w:pPr>
              <w:pStyle w:val="Default"/>
              <w:rPr>
                <w:rFonts w:ascii="Times New Roman" w:hAnsi="Times New Roman" w:cs="Times New Roman"/>
              </w:rPr>
            </w:pPr>
            <w:proofErr w:type="spellStart"/>
            <w:r w:rsidRPr="00452430">
              <w:rPr>
                <w:rFonts w:ascii="Times New Roman" w:hAnsi="Times New Roman" w:cs="Times New Roman"/>
              </w:rPr>
              <w:t>Cmax</w:t>
            </w:r>
            <w:proofErr w:type="spellEnd"/>
            <w:r w:rsidRPr="00452430">
              <w:rPr>
                <w:rFonts w:ascii="Times New Roman" w:hAnsi="Times New Roman" w:cs="Times New Roman"/>
              </w:rPr>
              <w:t xml:space="preserve">: </w:t>
            </w:r>
            <w:r w:rsidRPr="00452430">
              <w:rPr>
                <w:rFonts w:ascii="Times New Roman" w:hAnsi="Times New Roman" w:cs="Times New Roman" w:hint="eastAsia"/>
              </w:rPr>
              <w:t>↑</w:t>
            </w:r>
            <w:r w:rsidRPr="00452430">
              <w:rPr>
                <w:rFonts w:ascii="Times New Roman" w:hAnsi="Times New Roman" w:cs="Times New Roman"/>
              </w:rPr>
              <w:t xml:space="preserve"> 1%</w:t>
            </w:r>
          </w:p>
          <w:p w14:paraId="2C069ECE" w14:textId="77777777" w:rsidR="00C019CA" w:rsidRPr="00452430" w:rsidRDefault="00C019CA" w:rsidP="00433361">
            <w:pPr>
              <w:pStyle w:val="Default"/>
              <w:rPr>
                <w:rFonts w:ascii="Times New Roman" w:hAnsi="Times New Roman" w:cs="Times New Roman"/>
              </w:rPr>
            </w:pPr>
            <w:r w:rsidRPr="00452430">
              <w:rPr>
                <w:rFonts w:ascii="Times New Roman" w:hAnsi="Times New Roman" w:cs="Times New Roman"/>
              </w:rPr>
              <w:t>40% reduction in terminal half-life</w:t>
            </w:r>
          </w:p>
          <w:p w14:paraId="150720DA" w14:textId="77777777" w:rsidR="00C019CA" w:rsidRPr="00452430" w:rsidRDefault="00C019CA" w:rsidP="00433361">
            <w:pPr>
              <w:pStyle w:val="Default"/>
              <w:rPr>
                <w:rFonts w:ascii="Times New Roman" w:hAnsi="Times New Roman" w:cs="Times New Roman"/>
              </w:rPr>
            </w:pPr>
            <w:r w:rsidRPr="00452430">
              <w:rPr>
                <w:rFonts w:ascii="Times New Roman" w:hAnsi="Times New Roman" w:cs="Times New Roman"/>
              </w:rPr>
              <w:t>R-methadone (active opiate isomer).</w:t>
            </w:r>
          </w:p>
          <w:p w14:paraId="4D8400C5" w14:textId="77777777" w:rsidR="00C019CA" w:rsidRPr="00452430" w:rsidRDefault="00C019CA" w:rsidP="00433361">
            <w:pPr>
              <w:pStyle w:val="Default"/>
              <w:rPr>
                <w:rFonts w:ascii="Times New Roman" w:hAnsi="Times New Roman" w:cs="Times New Roman"/>
              </w:rPr>
            </w:pPr>
            <w:proofErr w:type="spellStart"/>
            <w:r w:rsidRPr="00452430">
              <w:rPr>
                <w:rFonts w:ascii="Times New Roman" w:hAnsi="Times New Roman" w:cs="Times New Roman"/>
              </w:rPr>
              <w:t>AUCinf</w:t>
            </w:r>
            <w:proofErr w:type="spellEnd"/>
            <w:r w:rsidRPr="00452430">
              <w:rPr>
                <w:rFonts w:ascii="Times New Roman" w:hAnsi="Times New Roman" w:cs="Times New Roman"/>
              </w:rPr>
              <w:t xml:space="preserve">: </w:t>
            </w:r>
            <w:r w:rsidRPr="00452430">
              <w:rPr>
                <w:rFonts w:ascii="Times New Roman" w:hAnsi="Times New Roman" w:cs="Times New Roman" w:hint="eastAsia"/>
              </w:rPr>
              <w:t>↓</w:t>
            </w:r>
            <w:r w:rsidRPr="00452430">
              <w:rPr>
                <w:rFonts w:ascii="Times New Roman" w:hAnsi="Times New Roman" w:cs="Times New Roman"/>
              </w:rPr>
              <w:t xml:space="preserve"> 10%</w:t>
            </w:r>
          </w:p>
          <w:p w14:paraId="5C1E5A89" w14:textId="77777777" w:rsidR="00C019CA" w:rsidRPr="00452430" w:rsidRDefault="00C019CA" w:rsidP="00433361">
            <w:pPr>
              <w:pStyle w:val="Default"/>
              <w:rPr>
                <w:rFonts w:ascii="Times New Roman" w:hAnsi="Times New Roman" w:cs="Times New Roman"/>
              </w:rPr>
            </w:pPr>
            <w:proofErr w:type="spellStart"/>
            <w:r w:rsidRPr="00452430">
              <w:rPr>
                <w:rFonts w:ascii="Times New Roman" w:hAnsi="Times New Roman" w:cs="Times New Roman"/>
              </w:rPr>
              <w:t>Cmax</w:t>
            </w:r>
            <w:proofErr w:type="spellEnd"/>
            <w:r w:rsidRPr="00452430">
              <w:rPr>
                <w:rFonts w:ascii="Times New Roman" w:hAnsi="Times New Roman" w:cs="Times New Roman"/>
              </w:rPr>
              <w:t xml:space="preserve">: </w:t>
            </w:r>
            <w:r w:rsidRPr="00452430">
              <w:rPr>
                <w:rFonts w:ascii="Times New Roman" w:hAnsi="Times New Roman" w:cs="Times New Roman" w:hint="eastAsia"/>
              </w:rPr>
              <w:t>↑</w:t>
            </w:r>
            <w:r w:rsidRPr="00452430">
              <w:rPr>
                <w:rFonts w:ascii="Times New Roman" w:hAnsi="Times New Roman" w:cs="Times New Roman"/>
              </w:rPr>
              <w:t xml:space="preserve"> 4%</w:t>
            </w:r>
          </w:p>
          <w:p w14:paraId="138412DD" w14:textId="77777777" w:rsidR="00C019CA" w:rsidRPr="00452430" w:rsidRDefault="00C019CA" w:rsidP="00433361">
            <w:pPr>
              <w:pStyle w:val="Default"/>
              <w:rPr>
                <w:rFonts w:ascii="Times New Roman" w:hAnsi="Times New Roman" w:cs="Times New Roman"/>
              </w:rPr>
            </w:pPr>
          </w:p>
          <w:p w14:paraId="4CD45AA3"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(CYP2B6 induction)</w:t>
            </w:r>
          </w:p>
        </w:tc>
        <w:tc>
          <w:tcPr>
            <w:tcW w:w="3081" w:type="dxa"/>
            <w:shd w:val="clear" w:color="auto" w:fill="auto"/>
          </w:tcPr>
          <w:p w14:paraId="09A5FB75"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lastRenderedPageBreak/>
              <w:t>No CRESEMBA dose adjustment necessary.</w:t>
            </w:r>
          </w:p>
          <w:p w14:paraId="3FAC5B9F" w14:textId="77777777" w:rsidR="00C019CA" w:rsidRPr="00452430" w:rsidRDefault="00C019CA" w:rsidP="00FA448F">
            <w:pPr>
              <w:pStyle w:val="Default"/>
              <w:rPr>
                <w:rFonts w:eastAsia="SimSun"/>
                <w:lang w:eastAsia="zh-CN"/>
              </w:rPr>
            </w:pPr>
            <w:r w:rsidRPr="00452430">
              <w:rPr>
                <w:rFonts w:ascii="Times New Roman" w:hAnsi="Times New Roman" w:cs="Times New Roman"/>
              </w:rPr>
              <w:lastRenderedPageBreak/>
              <w:t>Methadone: no dose adjustment required.</w:t>
            </w:r>
          </w:p>
        </w:tc>
      </w:tr>
      <w:tr w:rsidR="00C019CA" w:rsidRPr="006C013A" w14:paraId="14E430F0" w14:textId="77777777" w:rsidTr="005A2454">
        <w:tc>
          <w:tcPr>
            <w:tcW w:w="9243" w:type="dxa"/>
            <w:gridSpan w:val="3"/>
            <w:shd w:val="clear" w:color="auto" w:fill="auto"/>
          </w:tcPr>
          <w:p w14:paraId="09120F5E" w14:textId="77777777" w:rsidR="00C019CA" w:rsidRPr="00452430" w:rsidRDefault="00C019CA" w:rsidP="005A2454">
            <w:pPr>
              <w:spacing w:after="0"/>
              <w:rPr>
                <w:b/>
                <w:i/>
                <w:spacing w:val="-11"/>
                <w:szCs w:val="24"/>
                <w:lang w:val="fr-FR"/>
              </w:rPr>
            </w:pPr>
            <w:r w:rsidRPr="00452430">
              <w:rPr>
                <w:b/>
                <w:i/>
                <w:spacing w:val="-11"/>
                <w:szCs w:val="24"/>
                <w:lang w:val="fr-FR"/>
              </w:rPr>
              <w:lastRenderedPageBreak/>
              <w:t>Anti-cancer</w:t>
            </w:r>
          </w:p>
        </w:tc>
      </w:tr>
      <w:tr w:rsidR="00C019CA" w:rsidRPr="006C013A" w14:paraId="3E7E54A3" w14:textId="77777777" w:rsidTr="005A2454">
        <w:tc>
          <w:tcPr>
            <w:tcW w:w="2892" w:type="dxa"/>
            <w:shd w:val="clear" w:color="auto" w:fill="auto"/>
          </w:tcPr>
          <w:p w14:paraId="11362BFA" w14:textId="77777777" w:rsidR="00C019CA" w:rsidRPr="00452430" w:rsidRDefault="00C019CA" w:rsidP="005A2454">
            <w:pPr>
              <w:autoSpaceDE w:val="0"/>
              <w:autoSpaceDN w:val="0"/>
              <w:adjustRightInd w:val="0"/>
              <w:spacing w:after="0"/>
              <w:rPr>
                <w:rFonts w:eastAsia="SimSun"/>
                <w:color w:val="000000"/>
                <w:szCs w:val="24"/>
                <w:lang w:val="fr-FR" w:eastAsia="zh-CN"/>
              </w:rPr>
            </w:pPr>
            <w:proofErr w:type="spellStart"/>
            <w:r w:rsidRPr="00452430">
              <w:rPr>
                <w:rFonts w:eastAsia="SimSun"/>
                <w:color w:val="000000"/>
                <w:szCs w:val="24"/>
                <w:lang w:val="fr-FR" w:eastAsia="zh-CN"/>
              </w:rPr>
              <w:t>Vinca</w:t>
            </w:r>
            <w:proofErr w:type="spellEnd"/>
            <w:r w:rsidRPr="00452430">
              <w:rPr>
                <w:rFonts w:eastAsia="SimSun"/>
                <w:color w:val="000000"/>
                <w:szCs w:val="24"/>
                <w:lang w:val="fr-FR" w:eastAsia="zh-CN"/>
              </w:rPr>
              <w:t xml:space="preserve"> </w:t>
            </w:r>
            <w:proofErr w:type="spellStart"/>
            <w:r w:rsidRPr="00452430">
              <w:rPr>
                <w:rFonts w:eastAsia="SimSun"/>
                <w:color w:val="000000"/>
                <w:szCs w:val="24"/>
                <w:lang w:val="fr-FR" w:eastAsia="zh-CN"/>
              </w:rPr>
              <w:t>alkaloids</w:t>
            </w:r>
            <w:proofErr w:type="spellEnd"/>
            <w:r w:rsidRPr="00452430">
              <w:rPr>
                <w:rFonts w:eastAsia="SimSun"/>
                <w:color w:val="000000"/>
                <w:szCs w:val="24"/>
                <w:lang w:val="fr-FR" w:eastAsia="zh-CN"/>
              </w:rPr>
              <w:t xml:space="preserve"> (vincristine, vinblastine)</w:t>
            </w:r>
          </w:p>
          <w:p w14:paraId="6641BF8E" w14:textId="77777777" w:rsidR="00C019CA" w:rsidRPr="00452430" w:rsidRDefault="00C019CA" w:rsidP="005A2454">
            <w:pPr>
              <w:autoSpaceDE w:val="0"/>
              <w:autoSpaceDN w:val="0"/>
              <w:adjustRightInd w:val="0"/>
              <w:spacing w:after="0"/>
              <w:rPr>
                <w:rFonts w:eastAsia="SimSun"/>
                <w:color w:val="000000"/>
                <w:szCs w:val="24"/>
                <w:lang w:val="fr-FR" w:eastAsia="zh-CN"/>
              </w:rPr>
            </w:pPr>
            <w:r w:rsidRPr="00452430">
              <w:rPr>
                <w:rFonts w:eastAsia="SimSun"/>
                <w:color w:val="000000"/>
                <w:szCs w:val="24"/>
                <w:lang w:val="fr-FR" w:eastAsia="zh-CN"/>
              </w:rPr>
              <w:t xml:space="preserve">(P-gp </w:t>
            </w:r>
            <w:proofErr w:type="spellStart"/>
            <w:r w:rsidRPr="00452430">
              <w:rPr>
                <w:rFonts w:eastAsia="SimSun"/>
                <w:color w:val="000000"/>
                <w:szCs w:val="24"/>
                <w:lang w:val="fr-FR" w:eastAsia="zh-CN"/>
              </w:rPr>
              <w:t>substrates</w:t>
            </w:r>
            <w:proofErr w:type="spellEnd"/>
            <w:r w:rsidRPr="00452430">
              <w:rPr>
                <w:rFonts w:eastAsia="SimSun"/>
                <w:color w:val="000000"/>
                <w:szCs w:val="24"/>
                <w:lang w:val="fr-FR" w:eastAsia="zh-CN"/>
              </w:rPr>
              <w:t>)</w:t>
            </w:r>
          </w:p>
        </w:tc>
        <w:tc>
          <w:tcPr>
            <w:tcW w:w="3270" w:type="dxa"/>
            <w:shd w:val="clear" w:color="auto" w:fill="auto"/>
          </w:tcPr>
          <w:p w14:paraId="035E8B19" w14:textId="77777777" w:rsidR="00C019CA" w:rsidRPr="00452430" w:rsidRDefault="00C019CA" w:rsidP="00C00650">
            <w:pPr>
              <w:pStyle w:val="Default"/>
              <w:rPr>
                <w:rFonts w:ascii="Times New Roman" w:hAnsi="Times New Roman" w:cs="Times New Roman"/>
              </w:rPr>
            </w:pPr>
            <w:r w:rsidRPr="00452430">
              <w:rPr>
                <w:rFonts w:ascii="Times New Roman" w:hAnsi="Times New Roman" w:cs="Times New Roman"/>
              </w:rPr>
              <w:t>Not studied.</w:t>
            </w:r>
          </w:p>
          <w:p w14:paraId="5D0AEFC2" w14:textId="77777777" w:rsidR="00C019CA" w:rsidRPr="00452430" w:rsidRDefault="00C019CA" w:rsidP="00C00650">
            <w:pPr>
              <w:pStyle w:val="Default"/>
              <w:rPr>
                <w:rFonts w:ascii="Times New Roman" w:hAnsi="Times New Roman" w:cs="Times New Roman"/>
              </w:rPr>
            </w:pPr>
            <w:proofErr w:type="spellStart"/>
            <w:r w:rsidRPr="00452430">
              <w:rPr>
                <w:rFonts w:ascii="Times New Roman" w:hAnsi="Times New Roman" w:cs="Times New Roman"/>
              </w:rPr>
              <w:t>Vinca</w:t>
            </w:r>
            <w:proofErr w:type="spellEnd"/>
            <w:r w:rsidRPr="00452430">
              <w:rPr>
                <w:rFonts w:ascii="Times New Roman" w:hAnsi="Times New Roman" w:cs="Times New Roman"/>
              </w:rPr>
              <w:t xml:space="preserve"> alkaloid concentrations may increase. </w:t>
            </w:r>
          </w:p>
          <w:p w14:paraId="079CCFBB" w14:textId="77777777" w:rsidR="00C019CA" w:rsidRPr="00452430" w:rsidRDefault="00C019CA" w:rsidP="00C00650">
            <w:pPr>
              <w:pStyle w:val="Default"/>
              <w:rPr>
                <w:rFonts w:ascii="Times New Roman" w:hAnsi="Times New Roman" w:cs="Times New Roman"/>
              </w:rPr>
            </w:pPr>
          </w:p>
          <w:p w14:paraId="25D9DBC7" w14:textId="77777777" w:rsidR="00C019CA" w:rsidRPr="00452430" w:rsidRDefault="00C019CA" w:rsidP="00C00650">
            <w:pPr>
              <w:pStyle w:val="Default"/>
              <w:rPr>
                <w:rFonts w:eastAsia="SimSun"/>
                <w:lang w:eastAsia="zh-CN"/>
              </w:rPr>
            </w:pPr>
            <w:r w:rsidRPr="00452430">
              <w:rPr>
                <w:rFonts w:ascii="Times New Roman" w:hAnsi="Times New Roman" w:cs="Times New Roman"/>
              </w:rPr>
              <w:t>(P-</w:t>
            </w:r>
            <w:proofErr w:type="spellStart"/>
            <w:r w:rsidRPr="00452430">
              <w:rPr>
                <w:rFonts w:ascii="Times New Roman" w:hAnsi="Times New Roman" w:cs="Times New Roman"/>
              </w:rPr>
              <w:t>gp</w:t>
            </w:r>
            <w:proofErr w:type="spellEnd"/>
            <w:r w:rsidRPr="00452430">
              <w:rPr>
                <w:rFonts w:ascii="Times New Roman" w:hAnsi="Times New Roman" w:cs="Times New Roman"/>
              </w:rPr>
              <w:t xml:space="preserve"> inhibition)</w:t>
            </w:r>
          </w:p>
        </w:tc>
        <w:tc>
          <w:tcPr>
            <w:tcW w:w="3081" w:type="dxa"/>
            <w:shd w:val="clear" w:color="auto" w:fill="auto"/>
          </w:tcPr>
          <w:p w14:paraId="31D12687"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w:t>
            </w:r>
          </w:p>
          <w:p w14:paraId="3FBFDC97" w14:textId="77777777" w:rsidR="00C019CA" w:rsidRPr="00452430" w:rsidRDefault="00C019CA" w:rsidP="00FA448F">
            <w:pPr>
              <w:pStyle w:val="Default"/>
              <w:rPr>
                <w:rFonts w:eastAsia="SimSun"/>
                <w:lang w:eastAsia="zh-CN"/>
              </w:rPr>
            </w:pPr>
            <w:proofErr w:type="spellStart"/>
            <w:r w:rsidRPr="00452430">
              <w:rPr>
                <w:rFonts w:ascii="Times New Roman" w:hAnsi="Times New Roman" w:cs="Times New Roman"/>
              </w:rPr>
              <w:t>Vinca</w:t>
            </w:r>
            <w:proofErr w:type="spellEnd"/>
            <w:r w:rsidRPr="00452430">
              <w:rPr>
                <w:rFonts w:ascii="Times New Roman" w:hAnsi="Times New Roman" w:cs="Times New Roman"/>
              </w:rPr>
              <w:t xml:space="preserve"> alkaloids: careful monitoring for any occurrence of drug toxicity, and dose reduction if required.</w:t>
            </w:r>
          </w:p>
        </w:tc>
      </w:tr>
      <w:tr w:rsidR="00C019CA" w:rsidRPr="00FA448F" w14:paraId="50589936" w14:textId="77777777" w:rsidTr="005A2454">
        <w:tc>
          <w:tcPr>
            <w:tcW w:w="2892" w:type="dxa"/>
            <w:shd w:val="clear" w:color="auto" w:fill="auto"/>
          </w:tcPr>
          <w:p w14:paraId="0F81CB82"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Cyclophosphamide</w:t>
            </w:r>
          </w:p>
          <w:p w14:paraId="0168E8FC"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(CYP2B6 substrate)</w:t>
            </w:r>
          </w:p>
        </w:tc>
        <w:tc>
          <w:tcPr>
            <w:tcW w:w="3270" w:type="dxa"/>
            <w:shd w:val="clear" w:color="auto" w:fill="auto"/>
          </w:tcPr>
          <w:p w14:paraId="30BECC36"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Not studied.</w:t>
            </w:r>
          </w:p>
          <w:p w14:paraId="22AD0418"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Cyclophosphamide concentrations may decrease.</w:t>
            </w:r>
          </w:p>
          <w:p w14:paraId="6282CED7"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4F46068D"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 xml:space="preserve"> (CYP2B6 induction)</w:t>
            </w:r>
          </w:p>
        </w:tc>
        <w:tc>
          <w:tcPr>
            <w:tcW w:w="3081" w:type="dxa"/>
            <w:shd w:val="clear" w:color="auto" w:fill="auto"/>
          </w:tcPr>
          <w:p w14:paraId="4C763BB8"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w:t>
            </w:r>
          </w:p>
          <w:p w14:paraId="6EDDDC48"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Cyclophosphamide: careful monitoring for any occurrence of lack of efficacy, and dose increase if required..</w:t>
            </w:r>
          </w:p>
        </w:tc>
      </w:tr>
      <w:tr w:rsidR="00C019CA" w:rsidRPr="006C013A" w14:paraId="7B6425DD" w14:textId="77777777" w:rsidTr="005A2454">
        <w:tc>
          <w:tcPr>
            <w:tcW w:w="2892" w:type="dxa"/>
            <w:shd w:val="clear" w:color="auto" w:fill="auto"/>
          </w:tcPr>
          <w:p w14:paraId="71FA8B8C"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Methotrexate</w:t>
            </w:r>
          </w:p>
          <w:p w14:paraId="33C87F62" w14:textId="77777777" w:rsidR="00C019CA" w:rsidRPr="00452430" w:rsidRDefault="00C019CA" w:rsidP="00452430">
            <w:pPr>
              <w:pStyle w:val="Default"/>
              <w:rPr>
                <w:rFonts w:eastAsia="SimSun"/>
                <w:lang w:eastAsia="zh-CN"/>
              </w:rPr>
            </w:pPr>
            <w:r w:rsidRPr="00452430">
              <w:rPr>
                <w:rFonts w:ascii="Times New Roman" w:hAnsi="Times New Roman" w:cs="Times New Roman"/>
              </w:rPr>
              <w:t>(BCRP, OAT1, OAT3 substrate)</w:t>
            </w:r>
          </w:p>
        </w:tc>
        <w:tc>
          <w:tcPr>
            <w:tcW w:w="3270" w:type="dxa"/>
            <w:shd w:val="clear" w:color="auto" w:fill="auto"/>
          </w:tcPr>
          <w:p w14:paraId="2DCBA074"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Methotrexate:</w:t>
            </w:r>
          </w:p>
          <w:p w14:paraId="77D75169"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inf</w:t>
            </w:r>
            <w:proofErr w:type="spellEnd"/>
            <w:r w:rsidRPr="00452430">
              <w:rPr>
                <w:rFonts w:eastAsia="SimSun"/>
                <w:color w:val="000000"/>
                <w:szCs w:val="24"/>
                <w:lang w:val="en-US" w:eastAsia="zh-CN"/>
              </w:rPr>
              <w:t xml:space="preserve">: </w:t>
            </w:r>
            <w:r w:rsidRPr="00452430">
              <w:rPr>
                <w:szCs w:val="24"/>
                <w:lang w:val="en-US"/>
              </w:rPr>
              <w:t>↓</w:t>
            </w:r>
            <w:r w:rsidRPr="00452430">
              <w:rPr>
                <w:rFonts w:eastAsia="SimSun"/>
                <w:color w:val="000000"/>
                <w:szCs w:val="24"/>
                <w:lang w:val="en-US" w:eastAsia="zh-CN"/>
              </w:rPr>
              <w:t xml:space="preserve"> 3%</w:t>
            </w:r>
          </w:p>
          <w:p w14:paraId="1A5B3018"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szCs w:val="24"/>
                <w:lang w:val="en-US"/>
              </w:rPr>
              <w:t>↓</w:t>
            </w:r>
            <w:r w:rsidRPr="00452430">
              <w:rPr>
                <w:rFonts w:eastAsia="SimSun"/>
                <w:color w:val="000000"/>
                <w:szCs w:val="24"/>
                <w:lang w:val="en-US" w:eastAsia="zh-CN"/>
              </w:rPr>
              <w:t xml:space="preserve"> 11%</w:t>
            </w:r>
          </w:p>
          <w:p w14:paraId="3750C171"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3019D2C9"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 xml:space="preserve">7-hydroxymetabolite: </w:t>
            </w:r>
          </w:p>
          <w:p w14:paraId="69B82E7A"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inf</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29%</w:t>
            </w:r>
          </w:p>
          <w:p w14:paraId="59DBE6C5"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w:t>
            </w:r>
            <w:r w:rsidRPr="00452430">
              <w:rPr>
                <w:rFonts w:eastAsia="SimSun"/>
                <w:color w:val="000000"/>
                <w:szCs w:val="24"/>
                <w:vertAlign w:val="subscript"/>
                <w:lang w:val="fr-FR" w:eastAsia="zh-CN"/>
              </w:rPr>
              <w:t>max</w:t>
            </w:r>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15%</w:t>
            </w:r>
          </w:p>
          <w:p w14:paraId="6430F559"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454132BF"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(Mechanism unknown)</w:t>
            </w:r>
          </w:p>
        </w:tc>
        <w:tc>
          <w:tcPr>
            <w:tcW w:w="3081" w:type="dxa"/>
            <w:shd w:val="clear" w:color="auto" w:fill="auto"/>
          </w:tcPr>
          <w:p w14:paraId="714493F0"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w:t>
            </w:r>
          </w:p>
          <w:p w14:paraId="6EEC541F" w14:textId="77777777" w:rsidR="00C019CA" w:rsidRPr="00452430" w:rsidRDefault="00C019CA" w:rsidP="00FA448F">
            <w:pPr>
              <w:pStyle w:val="Default"/>
              <w:rPr>
                <w:rFonts w:eastAsia="SimSun"/>
                <w:lang w:eastAsia="zh-CN"/>
              </w:rPr>
            </w:pPr>
            <w:r w:rsidRPr="00452430">
              <w:rPr>
                <w:rFonts w:ascii="Times New Roman" w:hAnsi="Times New Roman" w:cs="Times New Roman"/>
              </w:rPr>
              <w:t xml:space="preserve">Methotrexate: no dose adjustment required. </w:t>
            </w:r>
          </w:p>
        </w:tc>
      </w:tr>
      <w:tr w:rsidR="00C019CA" w:rsidRPr="006C013A" w14:paraId="713877AE" w14:textId="77777777" w:rsidTr="005A2454">
        <w:tc>
          <w:tcPr>
            <w:tcW w:w="2892" w:type="dxa"/>
            <w:shd w:val="clear" w:color="auto" w:fill="auto"/>
          </w:tcPr>
          <w:p w14:paraId="4C0D922F"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Other anticancer agents (</w:t>
            </w:r>
            <w:proofErr w:type="spellStart"/>
            <w:r w:rsidRPr="00452430">
              <w:rPr>
                <w:rFonts w:ascii="Times New Roman" w:hAnsi="Times New Roman" w:cs="Times New Roman"/>
              </w:rPr>
              <w:t>daunorubicin</w:t>
            </w:r>
            <w:proofErr w:type="spellEnd"/>
            <w:r w:rsidRPr="00452430">
              <w:rPr>
                <w:rFonts w:ascii="Times New Roman" w:hAnsi="Times New Roman" w:cs="Times New Roman"/>
              </w:rPr>
              <w:t xml:space="preserve">, doxorubicin, </w:t>
            </w:r>
            <w:proofErr w:type="spellStart"/>
            <w:r w:rsidRPr="00452430">
              <w:rPr>
                <w:rFonts w:ascii="Times New Roman" w:hAnsi="Times New Roman" w:cs="Times New Roman"/>
              </w:rPr>
              <w:t>imatinib</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irinotecan</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lapatinib</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mitoxantrone</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topotecan</w:t>
            </w:r>
            <w:proofErr w:type="spellEnd"/>
            <w:r w:rsidRPr="00452430">
              <w:rPr>
                <w:rFonts w:ascii="Times New Roman" w:hAnsi="Times New Roman" w:cs="Times New Roman"/>
              </w:rPr>
              <w:t>)</w:t>
            </w:r>
          </w:p>
          <w:p w14:paraId="3FADFB80" w14:textId="77777777" w:rsidR="00C019CA" w:rsidRPr="00452430" w:rsidRDefault="00C019CA" w:rsidP="00FA448F">
            <w:pPr>
              <w:pStyle w:val="Default"/>
              <w:rPr>
                <w:rFonts w:eastAsia="SimSun"/>
                <w:lang w:eastAsia="zh-CN"/>
              </w:rPr>
            </w:pPr>
            <w:r w:rsidRPr="00452430">
              <w:rPr>
                <w:rFonts w:ascii="Times New Roman" w:hAnsi="Times New Roman" w:cs="Times New Roman"/>
              </w:rPr>
              <w:t>(BCRP substrates)</w:t>
            </w:r>
          </w:p>
        </w:tc>
        <w:tc>
          <w:tcPr>
            <w:tcW w:w="3270" w:type="dxa"/>
            <w:shd w:val="clear" w:color="auto" w:fill="auto"/>
          </w:tcPr>
          <w:p w14:paraId="109642F5"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Not studied.</w:t>
            </w:r>
          </w:p>
          <w:p w14:paraId="6F93623B" w14:textId="77777777" w:rsidR="00C019CA" w:rsidRPr="00452430" w:rsidRDefault="00C019CA" w:rsidP="00FA448F">
            <w:pPr>
              <w:pStyle w:val="Default"/>
              <w:rPr>
                <w:rFonts w:ascii="Times New Roman" w:hAnsi="Times New Roman" w:cs="Times New Roman"/>
              </w:rPr>
            </w:pPr>
            <w:proofErr w:type="spellStart"/>
            <w:r w:rsidRPr="00452430">
              <w:rPr>
                <w:rFonts w:ascii="Times New Roman" w:hAnsi="Times New Roman" w:cs="Times New Roman"/>
              </w:rPr>
              <w:t>Daunorubicin</w:t>
            </w:r>
            <w:proofErr w:type="spellEnd"/>
            <w:r w:rsidRPr="00452430">
              <w:rPr>
                <w:rFonts w:ascii="Times New Roman" w:hAnsi="Times New Roman" w:cs="Times New Roman"/>
              </w:rPr>
              <w:t xml:space="preserve">, doxorubicin, </w:t>
            </w:r>
            <w:proofErr w:type="spellStart"/>
            <w:r w:rsidRPr="00452430">
              <w:rPr>
                <w:rFonts w:ascii="Times New Roman" w:hAnsi="Times New Roman" w:cs="Times New Roman"/>
              </w:rPr>
              <w:t>imatinib</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irinotecan</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lapatinib</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mitoxantrone</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topotecan</w:t>
            </w:r>
            <w:proofErr w:type="spellEnd"/>
            <w:r w:rsidRPr="00452430">
              <w:rPr>
                <w:rFonts w:ascii="Times New Roman" w:hAnsi="Times New Roman" w:cs="Times New Roman"/>
              </w:rPr>
              <w:t xml:space="preserve"> concentrations may increase.</w:t>
            </w:r>
          </w:p>
          <w:p w14:paraId="042C583D" w14:textId="77777777" w:rsidR="00C019CA" w:rsidRPr="00452430" w:rsidRDefault="00C019CA" w:rsidP="00FA448F">
            <w:pPr>
              <w:pStyle w:val="Default"/>
              <w:rPr>
                <w:rFonts w:ascii="Times New Roman" w:hAnsi="Times New Roman" w:cs="Times New Roman"/>
              </w:rPr>
            </w:pPr>
          </w:p>
          <w:p w14:paraId="3441D7BB" w14:textId="77777777" w:rsidR="00C019CA" w:rsidRPr="00452430" w:rsidRDefault="00C019CA" w:rsidP="00FA448F">
            <w:pPr>
              <w:pStyle w:val="Default"/>
              <w:rPr>
                <w:rFonts w:eastAsia="SimSun"/>
                <w:lang w:eastAsia="zh-CN"/>
              </w:rPr>
            </w:pPr>
            <w:r w:rsidRPr="00452430">
              <w:rPr>
                <w:rFonts w:ascii="Times New Roman" w:hAnsi="Times New Roman" w:cs="Times New Roman"/>
              </w:rPr>
              <w:t>(BCRP inhibition)</w:t>
            </w:r>
          </w:p>
        </w:tc>
        <w:tc>
          <w:tcPr>
            <w:tcW w:w="3081" w:type="dxa"/>
            <w:shd w:val="clear" w:color="auto" w:fill="auto"/>
          </w:tcPr>
          <w:p w14:paraId="5CFDE3EB"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 xml:space="preserve">No CRESEMBA dose adjustment necessary. </w:t>
            </w:r>
          </w:p>
          <w:p w14:paraId="131D970D" w14:textId="77777777" w:rsidR="00C019CA" w:rsidRPr="00452430" w:rsidRDefault="00C019CA" w:rsidP="00FA448F">
            <w:pPr>
              <w:pStyle w:val="Default"/>
              <w:rPr>
                <w:rFonts w:eastAsia="SimSun"/>
                <w:lang w:eastAsia="zh-CN"/>
              </w:rPr>
            </w:pPr>
            <w:proofErr w:type="spellStart"/>
            <w:r w:rsidRPr="00452430">
              <w:rPr>
                <w:rFonts w:ascii="Times New Roman" w:hAnsi="Times New Roman" w:cs="Times New Roman"/>
              </w:rPr>
              <w:t>Daunorubicin</w:t>
            </w:r>
            <w:proofErr w:type="spellEnd"/>
            <w:r w:rsidRPr="00452430">
              <w:rPr>
                <w:rFonts w:ascii="Times New Roman" w:hAnsi="Times New Roman" w:cs="Times New Roman"/>
              </w:rPr>
              <w:t xml:space="preserve">, doxorubicin, </w:t>
            </w:r>
            <w:proofErr w:type="spellStart"/>
            <w:r w:rsidRPr="00452430">
              <w:rPr>
                <w:rFonts w:ascii="Times New Roman" w:hAnsi="Times New Roman" w:cs="Times New Roman"/>
              </w:rPr>
              <w:t>imatinib</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irinotecan</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lapatinib</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mitoxantrone</w:t>
            </w:r>
            <w:proofErr w:type="spellEnd"/>
            <w:r w:rsidRPr="00452430">
              <w:rPr>
                <w:rFonts w:ascii="Times New Roman" w:hAnsi="Times New Roman" w:cs="Times New Roman"/>
              </w:rPr>
              <w:t xml:space="preserve"> or </w:t>
            </w:r>
            <w:proofErr w:type="spellStart"/>
            <w:r w:rsidRPr="00452430">
              <w:rPr>
                <w:rFonts w:ascii="Times New Roman" w:hAnsi="Times New Roman" w:cs="Times New Roman"/>
              </w:rPr>
              <w:t>topotecan</w:t>
            </w:r>
            <w:proofErr w:type="spellEnd"/>
            <w:r w:rsidRPr="00452430">
              <w:rPr>
                <w:rFonts w:ascii="Times New Roman" w:hAnsi="Times New Roman" w:cs="Times New Roman"/>
              </w:rPr>
              <w:t>: careful monitoring for any occurrence of drug toxicity, and dose reduction if required.</w:t>
            </w:r>
          </w:p>
        </w:tc>
      </w:tr>
      <w:tr w:rsidR="00C019CA" w:rsidRPr="006C013A" w14:paraId="21B31CE1" w14:textId="77777777" w:rsidTr="005A2454">
        <w:tc>
          <w:tcPr>
            <w:tcW w:w="9243" w:type="dxa"/>
            <w:gridSpan w:val="3"/>
            <w:shd w:val="clear" w:color="auto" w:fill="auto"/>
          </w:tcPr>
          <w:p w14:paraId="1E5443A0"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Antiemetics</w:t>
            </w:r>
            <w:proofErr w:type="spellEnd"/>
          </w:p>
        </w:tc>
      </w:tr>
      <w:tr w:rsidR="00C019CA" w:rsidRPr="006C013A" w14:paraId="0FA68A0D" w14:textId="77777777" w:rsidTr="005A2454">
        <w:tc>
          <w:tcPr>
            <w:tcW w:w="2892" w:type="dxa"/>
            <w:shd w:val="clear" w:color="auto" w:fill="auto"/>
          </w:tcPr>
          <w:p w14:paraId="6F67AFB7"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Aprepitant</w:t>
            </w:r>
            <w:proofErr w:type="spellEnd"/>
          </w:p>
          <w:p w14:paraId="77CCE05C"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(mild CYP3A4/5 inducer)</w:t>
            </w:r>
          </w:p>
        </w:tc>
        <w:tc>
          <w:tcPr>
            <w:tcW w:w="3270" w:type="dxa"/>
            <w:shd w:val="clear" w:color="auto" w:fill="auto"/>
          </w:tcPr>
          <w:p w14:paraId="09C82462"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Not studied.</w:t>
            </w:r>
          </w:p>
          <w:p w14:paraId="5E2879EC" w14:textId="77777777" w:rsidR="00C019CA" w:rsidRPr="00452430" w:rsidRDefault="00C019CA" w:rsidP="00166ABF">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w:t>
            </w:r>
            <w:r w:rsidRPr="00452430">
              <w:rPr>
                <w:rFonts w:ascii="Times New Roman" w:hAnsi="Times New Roman" w:cs="Times New Roman"/>
              </w:rPr>
              <w:lastRenderedPageBreak/>
              <w:t>may decrease.</w:t>
            </w:r>
          </w:p>
          <w:p w14:paraId="51DA4706"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3DE3876C"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(CYP3A4/5 induction)</w:t>
            </w:r>
          </w:p>
        </w:tc>
        <w:tc>
          <w:tcPr>
            <w:tcW w:w="3081" w:type="dxa"/>
            <w:shd w:val="clear" w:color="auto" w:fill="auto"/>
          </w:tcPr>
          <w:p w14:paraId="5CCF16B2" w14:textId="77777777" w:rsidR="00C019CA" w:rsidRPr="00452430" w:rsidRDefault="00C019CA" w:rsidP="005A2454">
            <w:pPr>
              <w:autoSpaceDE w:val="0"/>
              <w:autoSpaceDN w:val="0"/>
              <w:adjustRightInd w:val="0"/>
              <w:spacing w:after="0"/>
              <w:rPr>
                <w:szCs w:val="24"/>
              </w:rPr>
            </w:pPr>
            <w:r w:rsidRPr="00452430">
              <w:rPr>
                <w:rFonts w:eastAsia="SimSun"/>
                <w:color w:val="000000"/>
                <w:szCs w:val="24"/>
                <w:lang w:val="en-US" w:eastAsia="zh-CN"/>
              </w:rPr>
              <w:lastRenderedPageBreak/>
              <w:t xml:space="preserve">Co-administration should be avoided unless the potential </w:t>
            </w:r>
            <w:r w:rsidRPr="00452430">
              <w:rPr>
                <w:rFonts w:eastAsia="SimSun"/>
                <w:color w:val="000000"/>
                <w:szCs w:val="24"/>
                <w:lang w:val="en-US" w:eastAsia="zh-CN"/>
              </w:rPr>
              <w:lastRenderedPageBreak/>
              <w:t>benefit is considered to outweigh the risk.</w:t>
            </w:r>
          </w:p>
        </w:tc>
      </w:tr>
      <w:tr w:rsidR="00C019CA" w:rsidRPr="006C013A" w14:paraId="50FF6F11" w14:textId="77777777" w:rsidTr="005A2454">
        <w:tc>
          <w:tcPr>
            <w:tcW w:w="9243" w:type="dxa"/>
            <w:gridSpan w:val="3"/>
            <w:shd w:val="clear" w:color="auto" w:fill="auto"/>
          </w:tcPr>
          <w:p w14:paraId="030AD0F8"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lastRenderedPageBreak/>
              <w:t>Antidiabetics</w:t>
            </w:r>
            <w:proofErr w:type="spellEnd"/>
          </w:p>
        </w:tc>
      </w:tr>
      <w:tr w:rsidR="00C019CA" w:rsidRPr="006C013A" w14:paraId="45243125" w14:textId="77777777" w:rsidTr="005A2454">
        <w:tc>
          <w:tcPr>
            <w:tcW w:w="2892" w:type="dxa"/>
            <w:shd w:val="clear" w:color="auto" w:fill="auto"/>
          </w:tcPr>
          <w:p w14:paraId="7254C920" w14:textId="77777777" w:rsidR="00C019CA" w:rsidRPr="00452430" w:rsidRDefault="00C019CA" w:rsidP="00452430">
            <w:pPr>
              <w:pStyle w:val="Default"/>
            </w:pPr>
            <w:r w:rsidRPr="00452430">
              <w:rPr>
                <w:rFonts w:ascii="Times New Roman" w:hAnsi="Times New Roman" w:cs="Times New Roman"/>
              </w:rPr>
              <w:t>Metformin</w:t>
            </w:r>
          </w:p>
          <w:p w14:paraId="39B4BB53" w14:textId="77777777" w:rsidR="00C019CA" w:rsidRPr="00452430" w:rsidRDefault="00C019CA" w:rsidP="00452430">
            <w:pPr>
              <w:pStyle w:val="Default"/>
              <w:rPr>
                <w:rFonts w:eastAsia="SimSun"/>
                <w:lang w:eastAsia="zh-CN"/>
              </w:rPr>
            </w:pPr>
            <w:r w:rsidRPr="00452430">
              <w:rPr>
                <w:rFonts w:ascii="Times New Roman" w:hAnsi="Times New Roman" w:cs="Times New Roman"/>
              </w:rPr>
              <w:t>(OCT1, OCT2 and MATE1 substrate)</w:t>
            </w:r>
          </w:p>
        </w:tc>
        <w:tc>
          <w:tcPr>
            <w:tcW w:w="3270" w:type="dxa"/>
            <w:shd w:val="clear" w:color="auto" w:fill="auto"/>
          </w:tcPr>
          <w:p w14:paraId="65832BCD"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Metformin:</w:t>
            </w:r>
          </w:p>
          <w:p w14:paraId="743450B4"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inf</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52%</w:t>
            </w:r>
          </w:p>
          <w:p w14:paraId="1609058D"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23%</w:t>
            </w:r>
          </w:p>
          <w:p w14:paraId="7326A4F2"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2C92D6FE"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(OCT2 inhibition)</w:t>
            </w:r>
          </w:p>
        </w:tc>
        <w:tc>
          <w:tcPr>
            <w:tcW w:w="3081" w:type="dxa"/>
            <w:shd w:val="clear" w:color="auto" w:fill="auto"/>
          </w:tcPr>
          <w:p w14:paraId="184EAA83"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w:t>
            </w:r>
          </w:p>
          <w:p w14:paraId="1CF02E12" w14:textId="77777777" w:rsidR="00C019CA" w:rsidRPr="00452430" w:rsidRDefault="00C019CA" w:rsidP="00FA448F">
            <w:pPr>
              <w:pStyle w:val="Default"/>
              <w:rPr>
                <w:rFonts w:eastAsia="SimSun"/>
                <w:lang w:eastAsia="zh-CN"/>
              </w:rPr>
            </w:pPr>
            <w:r w:rsidRPr="00452430">
              <w:rPr>
                <w:rFonts w:ascii="Times New Roman" w:hAnsi="Times New Roman" w:cs="Times New Roman"/>
              </w:rPr>
              <w:t xml:space="preserve">Metformin:  dose reduction may be required. </w:t>
            </w:r>
          </w:p>
        </w:tc>
      </w:tr>
      <w:tr w:rsidR="00C019CA" w:rsidRPr="006C013A" w14:paraId="711CE5ED" w14:textId="77777777" w:rsidTr="005A2454">
        <w:tc>
          <w:tcPr>
            <w:tcW w:w="2892" w:type="dxa"/>
            <w:shd w:val="clear" w:color="auto" w:fill="auto"/>
          </w:tcPr>
          <w:p w14:paraId="187E32A8" w14:textId="77777777" w:rsidR="00C019CA" w:rsidRPr="00452430" w:rsidRDefault="00C019CA" w:rsidP="00452430">
            <w:pPr>
              <w:pStyle w:val="Default"/>
            </w:pPr>
            <w:proofErr w:type="spellStart"/>
            <w:r w:rsidRPr="00452430">
              <w:rPr>
                <w:rFonts w:ascii="Times New Roman" w:hAnsi="Times New Roman" w:cs="Times New Roman"/>
              </w:rPr>
              <w:t>Repaglinide</w:t>
            </w:r>
            <w:proofErr w:type="spellEnd"/>
          </w:p>
          <w:p w14:paraId="3C6A252F" w14:textId="77777777" w:rsidR="00C019CA" w:rsidRPr="00452430" w:rsidRDefault="00C019CA" w:rsidP="00452430">
            <w:pPr>
              <w:pStyle w:val="Default"/>
              <w:rPr>
                <w:rFonts w:eastAsia="SimSun"/>
                <w:lang w:eastAsia="zh-CN"/>
              </w:rPr>
            </w:pPr>
            <w:r w:rsidRPr="00452430">
              <w:rPr>
                <w:rFonts w:ascii="Times New Roman" w:hAnsi="Times New Roman" w:cs="Times New Roman"/>
              </w:rPr>
              <w:t>(CYP2C8 and OATP1B1 substrate)</w:t>
            </w:r>
          </w:p>
        </w:tc>
        <w:tc>
          <w:tcPr>
            <w:tcW w:w="3270" w:type="dxa"/>
            <w:shd w:val="clear" w:color="auto" w:fill="auto"/>
          </w:tcPr>
          <w:p w14:paraId="4F2140DC"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Repaglinide</w:t>
            </w:r>
            <w:proofErr w:type="spellEnd"/>
            <w:r w:rsidRPr="00452430">
              <w:rPr>
                <w:rFonts w:eastAsia="SimSun"/>
                <w:color w:val="000000"/>
                <w:szCs w:val="24"/>
                <w:lang w:val="en-US" w:eastAsia="zh-CN"/>
              </w:rPr>
              <w:t>:</w:t>
            </w:r>
          </w:p>
          <w:p w14:paraId="49C20805"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AUC</w:t>
            </w:r>
            <w:proofErr w:type="spellStart"/>
            <w:r w:rsidRPr="00452430">
              <w:rPr>
                <w:rFonts w:eastAsia="SimSun"/>
                <w:color w:val="000000"/>
                <w:szCs w:val="24"/>
                <w:vertAlign w:val="subscript"/>
                <w:lang w:val="fr-FR" w:eastAsia="zh-CN"/>
              </w:rPr>
              <w:t>inf</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8%</w:t>
            </w:r>
          </w:p>
          <w:p w14:paraId="33BA8853"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w:t>
            </w:r>
            <w:r w:rsidRPr="00452430">
              <w:rPr>
                <w:rFonts w:eastAsia="SimSun"/>
                <w:color w:val="000000"/>
                <w:szCs w:val="24"/>
                <w:vertAlign w:val="subscript"/>
                <w:lang w:val="fr-FR" w:eastAsia="zh-CN"/>
              </w:rPr>
              <w:t>max</w:t>
            </w:r>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14%</w:t>
            </w:r>
          </w:p>
        </w:tc>
        <w:tc>
          <w:tcPr>
            <w:tcW w:w="3081" w:type="dxa"/>
            <w:shd w:val="clear" w:color="auto" w:fill="auto"/>
          </w:tcPr>
          <w:p w14:paraId="160CB032"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w:t>
            </w:r>
          </w:p>
          <w:p w14:paraId="7FD0320C" w14:textId="77777777" w:rsidR="00C019CA" w:rsidRPr="00452430" w:rsidRDefault="00C019CA" w:rsidP="00FA448F">
            <w:pPr>
              <w:pStyle w:val="Default"/>
              <w:rPr>
                <w:rFonts w:eastAsia="SimSun"/>
                <w:lang w:eastAsia="zh-CN"/>
              </w:rPr>
            </w:pPr>
            <w:proofErr w:type="spellStart"/>
            <w:r w:rsidRPr="00452430">
              <w:rPr>
                <w:rFonts w:ascii="Times New Roman" w:hAnsi="Times New Roman" w:cs="Times New Roman"/>
              </w:rPr>
              <w:t>Repaglinide</w:t>
            </w:r>
            <w:proofErr w:type="spellEnd"/>
            <w:r w:rsidRPr="00452430">
              <w:rPr>
                <w:rFonts w:ascii="Times New Roman" w:hAnsi="Times New Roman" w:cs="Times New Roman"/>
              </w:rPr>
              <w:t>: no dose adjustment required.</w:t>
            </w:r>
          </w:p>
        </w:tc>
      </w:tr>
      <w:tr w:rsidR="00C019CA" w:rsidRPr="006C013A" w14:paraId="2BFD8028" w14:textId="77777777" w:rsidTr="005A2454">
        <w:tc>
          <w:tcPr>
            <w:tcW w:w="9243" w:type="dxa"/>
            <w:gridSpan w:val="3"/>
            <w:shd w:val="clear" w:color="auto" w:fill="auto"/>
          </w:tcPr>
          <w:p w14:paraId="7CADA0C4" w14:textId="77777777" w:rsidR="00C019CA" w:rsidRPr="00452430" w:rsidRDefault="00C019CA" w:rsidP="005A2454">
            <w:pPr>
              <w:spacing w:after="0"/>
              <w:rPr>
                <w:b/>
                <w:i/>
                <w:spacing w:val="-11"/>
                <w:szCs w:val="24"/>
                <w:lang w:val="fr-FR"/>
              </w:rPr>
            </w:pPr>
            <w:r w:rsidRPr="00452430">
              <w:rPr>
                <w:b/>
                <w:i/>
                <w:spacing w:val="-11"/>
                <w:szCs w:val="24"/>
                <w:lang w:val="fr-FR"/>
              </w:rPr>
              <w:t>Anticoagulants</w:t>
            </w:r>
          </w:p>
        </w:tc>
      </w:tr>
      <w:tr w:rsidR="00C019CA" w:rsidRPr="006C013A" w14:paraId="235C6FFE" w14:textId="77777777" w:rsidTr="005A2454">
        <w:tc>
          <w:tcPr>
            <w:tcW w:w="2892" w:type="dxa"/>
            <w:shd w:val="clear" w:color="auto" w:fill="auto"/>
          </w:tcPr>
          <w:p w14:paraId="372A493C" w14:textId="77777777" w:rsidR="00C019CA" w:rsidRPr="00452430" w:rsidRDefault="00C019CA" w:rsidP="005A2454">
            <w:pPr>
              <w:autoSpaceDE w:val="0"/>
              <w:autoSpaceDN w:val="0"/>
              <w:adjustRightInd w:val="0"/>
              <w:spacing w:after="0"/>
              <w:rPr>
                <w:rFonts w:eastAsia="SimSun"/>
                <w:color w:val="000000"/>
                <w:szCs w:val="24"/>
                <w:lang w:val="fr-FR" w:eastAsia="zh-CN"/>
              </w:rPr>
            </w:pPr>
            <w:proofErr w:type="spellStart"/>
            <w:r w:rsidRPr="00452430">
              <w:rPr>
                <w:rFonts w:eastAsia="SimSun"/>
                <w:color w:val="000000"/>
                <w:szCs w:val="24"/>
                <w:lang w:val="fr-FR" w:eastAsia="zh-CN"/>
              </w:rPr>
              <w:t>Dabigatran</w:t>
            </w:r>
            <w:proofErr w:type="spellEnd"/>
            <w:r w:rsidRPr="00452430">
              <w:rPr>
                <w:rFonts w:eastAsia="SimSun"/>
                <w:color w:val="000000"/>
                <w:szCs w:val="24"/>
                <w:lang w:val="fr-FR" w:eastAsia="zh-CN"/>
              </w:rPr>
              <w:t xml:space="preserve"> </w:t>
            </w:r>
            <w:proofErr w:type="spellStart"/>
            <w:r w:rsidRPr="00452430">
              <w:rPr>
                <w:rFonts w:eastAsia="SimSun"/>
                <w:color w:val="000000"/>
                <w:szCs w:val="24"/>
                <w:lang w:val="fr-FR" w:eastAsia="zh-CN"/>
              </w:rPr>
              <w:t>etexilate</w:t>
            </w:r>
            <w:proofErr w:type="spellEnd"/>
          </w:p>
          <w:p w14:paraId="6C48604E" w14:textId="77777777" w:rsidR="00C019CA" w:rsidRPr="00452430" w:rsidRDefault="00C019CA" w:rsidP="005A2454">
            <w:pPr>
              <w:autoSpaceDE w:val="0"/>
              <w:autoSpaceDN w:val="0"/>
              <w:adjustRightInd w:val="0"/>
              <w:spacing w:after="0"/>
              <w:rPr>
                <w:rFonts w:eastAsia="SimSun"/>
                <w:color w:val="000000"/>
                <w:szCs w:val="24"/>
                <w:lang w:val="fr-FR" w:eastAsia="zh-CN"/>
              </w:rPr>
            </w:pPr>
            <w:r w:rsidRPr="00452430">
              <w:rPr>
                <w:rFonts w:eastAsia="SimSun"/>
                <w:color w:val="000000"/>
                <w:szCs w:val="24"/>
                <w:lang w:val="fr-FR" w:eastAsia="zh-CN"/>
              </w:rPr>
              <w:t xml:space="preserve">(P-gp </w:t>
            </w:r>
            <w:proofErr w:type="spellStart"/>
            <w:r w:rsidRPr="00452430">
              <w:rPr>
                <w:rFonts w:eastAsia="SimSun"/>
                <w:color w:val="000000"/>
                <w:szCs w:val="24"/>
                <w:lang w:val="fr-FR" w:eastAsia="zh-CN"/>
              </w:rPr>
              <w:t>substrate</w:t>
            </w:r>
            <w:proofErr w:type="spellEnd"/>
            <w:r w:rsidRPr="00452430">
              <w:rPr>
                <w:rFonts w:eastAsia="SimSun"/>
                <w:color w:val="000000"/>
                <w:szCs w:val="24"/>
                <w:lang w:val="fr-FR" w:eastAsia="zh-CN"/>
              </w:rPr>
              <w:t>)</w:t>
            </w:r>
          </w:p>
        </w:tc>
        <w:tc>
          <w:tcPr>
            <w:tcW w:w="3270" w:type="dxa"/>
            <w:shd w:val="clear" w:color="auto" w:fill="auto"/>
          </w:tcPr>
          <w:p w14:paraId="2FA3848D" w14:textId="77777777" w:rsidR="00C019CA" w:rsidRPr="00452430" w:rsidRDefault="00C019CA" w:rsidP="00C00650">
            <w:pPr>
              <w:pStyle w:val="Default"/>
              <w:rPr>
                <w:rFonts w:ascii="Times New Roman" w:hAnsi="Times New Roman" w:cs="Times New Roman"/>
              </w:rPr>
            </w:pPr>
            <w:r w:rsidRPr="00452430">
              <w:rPr>
                <w:rFonts w:ascii="Times New Roman" w:hAnsi="Times New Roman" w:cs="Times New Roman"/>
              </w:rPr>
              <w:t xml:space="preserve">Not studied. </w:t>
            </w:r>
          </w:p>
          <w:p w14:paraId="2F20E493" w14:textId="77777777" w:rsidR="00C019CA" w:rsidRPr="00452430" w:rsidRDefault="00C019CA" w:rsidP="00C00650">
            <w:pPr>
              <w:pStyle w:val="Default"/>
              <w:rPr>
                <w:rFonts w:ascii="Times New Roman" w:hAnsi="Times New Roman" w:cs="Times New Roman"/>
              </w:rPr>
            </w:pPr>
            <w:r w:rsidRPr="00452430">
              <w:rPr>
                <w:rFonts w:ascii="Times New Roman" w:hAnsi="Times New Roman" w:cs="Times New Roman"/>
              </w:rPr>
              <w:t xml:space="preserve">Dabigatran </w:t>
            </w:r>
            <w:proofErr w:type="spellStart"/>
            <w:r w:rsidRPr="00452430">
              <w:rPr>
                <w:rFonts w:ascii="Times New Roman" w:hAnsi="Times New Roman" w:cs="Times New Roman"/>
              </w:rPr>
              <w:t>etexilate</w:t>
            </w:r>
            <w:proofErr w:type="spellEnd"/>
            <w:r w:rsidRPr="00452430">
              <w:rPr>
                <w:rFonts w:ascii="Times New Roman" w:hAnsi="Times New Roman" w:cs="Times New Roman"/>
              </w:rPr>
              <w:t xml:space="preserve"> concentrations may increase. </w:t>
            </w:r>
          </w:p>
          <w:p w14:paraId="1BED9C98" w14:textId="77777777" w:rsidR="00C019CA" w:rsidRPr="00452430" w:rsidRDefault="00C019CA" w:rsidP="00C00650">
            <w:pPr>
              <w:pStyle w:val="Default"/>
              <w:rPr>
                <w:rFonts w:ascii="Times New Roman" w:hAnsi="Times New Roman" w:cs="Times New Roman"/>
              </w:rPr>
            </w:pPr>
          </w:p>
          <w:p w14:paraId="059D27BF" w14:textId="77777777" w:rsidR="00C019CA" w:rsidRPr="00452430" w:rsidRDefault="00C019CA" w:rsidP="00C00650">
            <w:pPr>
              <w:pStyle w:val="Default"/>
              <w:rPr>
                <w:rFonts w:eastAsia="SimSun"/>
                <w:lang w:eastAsia="zh-CN"/>
              </w:rPr>
            </w:pPr>
            <w:r w:rsidRPr="00452430">
              <w:rPr>
                <w:rFonts w:ascii="Times New Roman" w:hAnsi="Times New Roman" w:cs="Times New Roman"/>
              </w:rPr>
              <w:t>(P-</w:t>
            </w:r>
            <w:proofErr w:type="spellStart"/>
            <w:r w:rsidRPr="00452430">
              <w:rPr>
                <w:rFonts w:ascii="Times New Roman" w:hAnsi="Times New Roman" w:cs="Times New Roman"/>
              </w:rPr>
              <w:t>gp</w:t>
            </w:r>
            <w:proofErr w:type="spellEnd"/>
            <w:r w:rsidRPr="00452430">
              <w:rPr>
                <w:rFonts w:ascii="Times New Roman" w:hAnsi="Times New Roman" w:cs="Times New Roman"/>
              </w:rPr>
              <w:t xml:space="preserve"> inhibition).</w:t>
            </w:r>
          </w:p>
        </w:tc>
        <w:tc>
          <w:tcPr>
            <w:tcW w:w="3081" w:type="dxa"/>
            <w:shd w:val="clear" w:color="auto" w:fill="auto"/>
          </w:tcPr>
          <w:p w14:paraId="790A8A86"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 xml:space="preserve">No CRESEMBA dose adjustment necessary. </w:t>
            </w:r>
          </w:p>
          <w:p w14:paraId="2471231A" w14:textId="77777777" w:rsidR="00C019CA" w:rsidRPr="00452430" w:rsidRDefault="00C019CA" w:rsidP="00FA448F">
            <w:pPr>
              <w:pStyle w:val="Default"/>
              <w:rPr>
                <w:rFonts w:eastAsia="SimSun"/>
                <w:lang w:eastAsia="zh-CN"/>
              </w:rPr>
            </w:pPr>
            <w:r w:rsidRPr="00452430">
              <w:rPr>
                <w:rFonts w:ascii="Times New Roman" w:hAnsi="Times New Roman" w:cs="Times New Roman"/>
              </w:rPr>
              <w:t xml:space="preserve">Dabigatran </w:t>
            </w:r>
            <w:proofErr w:type="spellStart"/>
            <w:r w:rsidRPr="00452430">
              <w:rPr>
                <w:rFonts w:ascii="Times New Roman" w:hAnsi="Times New Roman" w:cs="Times New Roman"/>
              </w:rPr>
              <w:t>etexilate</w:t>
            </w:r>
            <w:proofErr w:type="spellEnd"/>
            <w:r w:rsidRPr="00452430">
              <w:rPr>
                <w:rFonts w:ascii="Times New Roman" w:hAnsi="Times New Roman" w:cs="Times New Roman"/>
              </w:rPr>
              <w:t xml:space="preserve"> has a narrow therapeutic index and should be monitored, and dose reduction if required.</w:t>
            </w:r>
          </w:p>
        </w:tc>
      </w:tr>
      <w:tr w:rsidR="00C019CA" w:rsidRPr="006C013A" w14:paraId="7B8F8223" w14:textId="77777777" w:rsidTr="005A2454">
        <w:tc>
          <w:tcPr>
            <w:tcW w:w="2892" w:type="dxa"/>
            <w:shd w:val="clear" w:color="auto" w:fill="auto"/>
          </w:tcPr>
          <w:p w14:paraId="2C412B0E"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Warfarin</w:t>
            </w:r>
          </w:p>
          <w:p w14:paraId="5B1D9260"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(CYP2C9 substrate)</w:t>
            </w:r>
          </w:p>
        </w:tc>
        <w:tc>
          <w:tcPr>
            <w:tcW w:w="3270" w:type="dxa"/>
            <w:shd w:val="clear" w:color="auto" w:fill="auto"/>
          </w:tcPr>
          <w:p w14:paraId="188541FF"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S-warfarin</w:t>
            </w:r>
          </w:p>
          <w:p w14:paraId="4B41944D"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inf</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11%</w:t>
            </w:r>
          </w:p>
          <w:p w14:paraId="2DE31E72"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12%</w:t>
            </w:r>
          </w:p>
          <w:p w14:paraId="7D13D866"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R-warfarin</w:t>
            </w:r>
          </w:p>
          <w:p w14:paraId="7D61AADA"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AUC</w:t>
            </w:r>
            <w:proofErr w:type="spellStart"/>
            <w:r w:rsidRPr="00452430">
              <w:rPr>
                <w:rFonts w:eastAsia="SimSun"/>
                <w:color w:val="000000"/>
                <w:szCs w:val="24"/>
                <w:vertAlign w:val="subscript"/>
                <w:lang w:val="fr-FR" w:eastAsia="zh-CN"/>
              </w:rPr>
              <w:t>inf</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20%</w:t>
            </w:r>
          </w:p>
          <w:p w14:paraId="26E45952"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w:t>
            </w:r>
            <w:r w:rsidRPr="00452430">
              <w:rPr>
                <w:rFonts w:eastAsia="SimSun"/>
                <w:color w:val="000000"/>
                <w:szCs w:val="24"/>
                <w:vertAlign w:val="subscript"/>
                <w:lang w:val="fr-FR" w:eastAsia="zh-CN"/>
              </w:rPr>
              <w:t>max</w:t>
            </w:r>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7%</w:t>
            </w:r>
          </w:p>
        </w:tc>
        <w:tc>
          <w:tcPr>
            <w:tcW w:w="3081" w:type="dxa"/>
            <w:shd w:val="clear" w:color="auto" w:fill="auto"/>
          </w:tcPr>
          <w:p w14:paraId="21435677"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w:t>
            </w:r>
          </w:p>
          <w:p w14:paraId="2F58C522" w14:textId="77777777" w:rsidR="00C019CA" w:rsidRPr="00452430" w:rsidRDefault="00C019CA" w:rsidP="00FA448F">
            <w:pPr>
              <w:pStyle w:val="Default"/>
              <w:rPr>
                <w:rFonts w:eastAsia="SimSun"/>
                <w:lang w:eastAsia="zh-CN"/>
              </w:rPr>
            </w:pPr>
            <w:r w:rsidRPr="00452430">
              <w:rPr>
                <w:rFonts w:ascii="Times New Roman" w:hAnsi="Times New Roman" w:cs="Times New Roman"/>
              </w:rPr>
              <w:t>Warfarin: no dose adjustment required.</w:t>
            </w:r>
          </w:p>
        </w:tc>
      </w:tr>
      <w:tr w:rsidR="00C019CA" w:rsidRPr="006C013A" w14:paraId="1C12F0E1" w14:textId="77777777" w:rsidTr="005A2454">
        <w:tc>
          <w:tcPr>
            <w:tcW w:w="9243" w:type="dxa"/>
            <w:gridSpan w:val="3"/>
            <w:shd w:val="clear" w:color="auto" w:fill="auto"/>
          </w:tcPr>
          <w:p w14:paraId="4B808248"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Antiretroviral</w:t>
            </w:r>
            <w:proofErr w:type="spellEnd"/>
            <w:r w:rsidRPr="00452430">
              <w:rPr>
                <w:b/>
                <w:i/>
                <w:spacing w:val="-11"/>
                <w:szCs w:val="24"/>
                <w:lang w:val="fr-FR"/>
              </w:rPr>
              <w:t xml:space="preserve"> agents</w:t>
            </w:r>
          </w:p>
        </w:tc>
      </w:tr>
      <w:tr w:rsidR="00C019CA" w:rsidRPr="006C013A" w14:paraId="517E0A3B" w14:textId="77777777" w:rsidTr="005A2454">
        <w:tc>
          <w:tcPr>
            <w:tcW w:w="2892" w:type="dxa"/>
            <w:shd w:val="clear" w:color="auto" w:fill="auto"/>
          </w:tcPr>
          <w:p w14:paraId="1DAFB0B9" w14:textId="77777777" w:rsidR="00C019CA" w:rsidRPr="00452430" w:rsidRDefault="00C019CA" w:rsidP="00452430">
            <w:pPr>
              <w:pStyle w:val="Default"/>
            </w:pPr>
            <w:proofErr w:type="spellStart"/>
            <w:r w:rsidRPr="00452430">
              <w:rPr>
                <w:rFonts w:ascii="Times New Roman" w:hAnsi="Times New Roman" w:cs="Times New Roman"/>
              </w:rPr>
              <w:t>Lopinavir</w:t>
            </w:r>
            <w:proofErr w:type="spellEnd"/>
            <w:r w:rsidRPr="00452430">
              <w:rPr>
                <w:rFonts w:ascii="Times New Roman" w:hAnsi="Times New Roman" w:cs="Times New Roman"/>
              </w:rPr>
              <w:t xml:space="preserve"> 400 mg / Ritonavir 100 mg</w:t>
            </w:r>
          </w:p>
          <w:p w14:paraId="781B5988" w14:textId="77777777" w:rsidR="00C019CA" w:rsidRPr="00452430" w:rsidRDefault="00C019CA" w:rsidP="00452430">
            <w:pPr>
              <w:pStyle w:val="Default"/>
              <w:rPr>
                <w:rFonts w:eastAsia="SimSun"/>
                <w:lang w:eastAsia="zh-CN"/>
              </w:rPr>
            </w:pPr>
            <w:r w:rsidRPr="00452430">
              <w:rPr>
                <w:rFonts w:ascii="Times New Roman" w:hAnsi="Times New Roman" w:cs="Times New Roman"/>
              </w:rPr>
              <w:t>(CYP3A4/5 strong inhibitors and substrates)</w:t>
            </w:r>
          </w:p>
        </w:tc>
        <w:tc>
          <w:tcPr>
            <w:tcW w:w="3270" w:type="dxa"/>
            <w:shd w:val="clear" w:color="auto" w:fill="auto"/>
          </w:tcPr>
          <w:p w14:paraId="4C46BCAD"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Lopinavir</w:t>
            </w:r>
            <w:proofErr w:type="spellEnd"/>
            <w:r w:rsidRPr="00452430">
              <w:rPr>
                <w:rFonts w:eastAsia="SimSun"/>
                <w:color w:val="000000"/>
                <w:szCs w:val="24"/>
                <w:lang w:val="en-US" w:eastAsia="zh-CN"/>
              </w:rPr>
              <w:t>:</w:t>
            </w:r>
          </w:p>
          <w:p w14:paraId="50C125DE"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tau</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27%</w:t>
            </w:r>
          </w:p>
          <w:p w14:paraId="1CD69A81"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23%</w:t>
            </w:r>
          </w:p>
          <w:p w14:paraId="6FF20D12"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min</w:t>
            </w:r>
            <w:proofErr w:type="spellEnd"/>
            <w:r w:rsidRPr="00452430">
              <w:rPr>
                <w:rFonts w:eastAsia="SimSun"/>
                <w:color w:val="000000"/>
                <w:szCs w:val="24"/>
                <w:lang w:val="en-US" w:eastAsia="zh-CN"/>
              </w:rPr>
              <w:t xml:space="preserve">, </w:t>
            </w:r>
            <w:proofErr w:type="spellStart"/>
            <w:r w:rsidRPr="00452430">
              <w:rPr>
                <w:rFonts w:eastAsia="SimSun"/>
                <w:color w:val="000000"/>
                <w:szCs w:val="24"/>
                <w:lang w:val="en-US" w:eastAsia="zh-CN"/>
              </w:rPr>
              <w:t>ss</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16%a)</w:t>
            </w:r>
          </w:p>
          <w:p w14:paraId="33EC4CF2"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 xml:space="preserve">Ritonavir: </w:t>
            </w:r>
          </w:p>
          <w:p w14:paraId="0B50BEDA"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tau</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31%</w:t>
            </w:r>
          </w:p>
          <w:p w14:paraId="33B669FE"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33%</w:t>
            </w:r>
          </w:p>
          <w:p w14:paraId="780D02F9"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
          <w:p w14:paraId="2637F229"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(Mechanism unknown)</w:t>
            </w:r>
          </w:p>
          <w:p w14:paraId="4B51D15B"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1CD96E52"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Isavuconazole</w:t>
            </w:r>
            <w:proofErr w:type="spellEnd"/>
            <w:r w:rsidRPr="00452430">
              <w:rPr>
                <w:rFonts w:eastAsia="SimSun"/>
                <w:color w:val="000000"/>
                <w:szCs w:val="24"/>
                <w:lang w:val="en-US" w:eastAsia="zh-CN"/>
              </w:rPr>
              <w:t>:</w:t>
            </w:r>
          </w:p>
          <w:p w14:paraId="5C6A0698"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AUC</w:t>
            </w:r>
            <w:r w:rsidRPr="00452430">
              <w:rPr>
                <w:rFonts w:eastAsia="SimSun"/>
                <w:color w:val="000000"/>
                <w:szCs w:val="24"/>
                <w:vertAlign w:val="subscript"/>
                <w:lang w:val="en-US" w:eastAsia="zh-CN"/>
              </w:rPr>
              <w:t>tau</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96%</w:t>
            </w:r>
          </w:p>
          <w:p w14:paraId="6A8BE802"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C</w:t>
            </w:r>
            <w:r w:rsidRPr="00452430">
              <w:rPr>
                <w:rFonts w:eastAsia="SimSun"/>
                <w:color w:val="000000"/>
                <w:szCs w:val="24"/>
                <w:vertAlign w:val="subscript"/>
                <w:lang w:val="en-US" w:eastAsia="zh-CN"/>
              </w:rPr>
              <w:t>max</w:t>
            </w:r>
            <w:proofErr w:type="spellEnd"/>
            <w:r w:rsidRPr="00452430">
              <w:rPr>
                <w:rFonts w:eastAsia="SimSun"/>
                <w:color w:val="000000"/>
                <w:szCs w:val="24"/>
                <w:lang w:val="en-US" w:eastAsia="zh-CN"/>
              </w:rPr>
              <w:t xml:space="preserve">: </w:t>
            </w:r>
            <w:r w:rsidRPr="00452430">
              <w:rPr>
                <w:rFonts w:eastAsia="SimSun" w:hint="eastAsia"/>
                <w:color w:val="000000"/>
                <w:szCs w:val="24"/>
                <w:lang w:val="en-US" w:eastAsia="zh-CN"/>
              </w:rPr>
              <w:t>↑</w:t>
            </w:r>
            <w:r w:rsidRPr="00452430">
              <w:rPr>
                <w:rFonts w:eastAsia="SimSun"/>
                <w:color w:val="000000"/>
                <w:szCs w:val="24"/>
                <w:lang w:val="en-US" w:eastAsia="zh-CN"/>
              </w:rPr>
              <w:t xml:space="preserve"> 74%</w:t>
            </w:r>
          </w:p>
          <w:p w14:paraId="1450790F"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
          <w:p w14:paraId="6E40F03D"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(CYP3A4/5 inhibition)</w:t>
            </w:r>
          </w:p>
        </w:tc>
        <w:tc>
          <w:tcPr>
            <w:tcW w:w="3081" w:type="dxa"/>
            <w:shd w:val="clear" w:color="auto" w:fill="auto"/>
          </w:tcPr>
          <w:p w14:paraId="4C4D526A"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 caution is advised as adverse drug reactions may increase.</w:t>
            </w:r>
          </w:p>
          <w:p w14:paraId="4D5F88E5" w14:textId="77777777" w:rsidR="00C019CA" w:rsidRPr="00452430" w:rsidRDefault="00C019CA" w:rsidP="005A2454">
            <w:pPr>
              <w:pStyle w:val="Default"/>
              <w:rPr>
                <w:rFonts w:ascii="Times New Roman" w:hAnsi="Times New Roman" w:cs="Times New Roman"/>
              </w:rPr>
            </w:pPr>
          </w:p>
          <w:p w14:paraId="6513919B"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Lopinavir</w:t>
            </w:r>
            <w:proofErr w:type="spellEnd"/>
            <w:r w:rsidRPr="00452430">
              <w:rPr>
                <w:rFonts w:ascii="Times New Roman" w:hAnsi="Times New Roman" w:cs="Times New Roman"/>
              </w:rPr>
              <w:t xml:space="preserve">/ritonavir: no dose adjustment for </w:t>
            </w:r>
            <w:proofErr w:type="spellStart"/>
            <w:r w:rsidRPr="00452430">
              <w:rPr>
                <w:rFonts w:ascii="Times New Roman" w:hAnsi="Times New Roman" w:cs="Times New Roman"/>
              </w:rPr>
              <w:t>lopinavir</w:t>
            </w:r>
            <w:proofErr w:type="spellEnd"/>
            <w:r w:rsidRPr="00452430">
              <w:rPr>
                <w:rFonts w:ascii="Times New Roman" w:hAnsi="Times New Roman" w:cs="Times New Roman"/>
              </w:rPr>
              <w:t xml:space="preserve"> 400 mg / ritonavir 100 mg every 12 hours required, but careful monitoring for any occurrence of lack of anti-viral efficacy.</w:t>
            </w:r>
          </w:p>
          <w:p w14:paraId="3AC5CE09" w14:textId="77777777" w:rsidR="00C019CA" w:rsidRPr="00452430" w:rsidRDefault="00C019CA" w:rsidP="005A2454">
            <w:pPr>
              <w:pStyle w:val="Default"/>
              <w:rPr>
                <w:rFonts w:ascii="Times New Roman" w:hAnsi="Times New Roman" w:cs="Times New Roman"/>
              </w:rPr>
            </w:pPr>
          </w:p>
        </w:tc>
      </w:tr>
      <w:tr w:rsidR="00C019CA" w:rsidRPr="006C013A" w14:paraId="022B9601" w14:textId="77777777" w:rsidTr="005A2454">
        <w:tc>
          <w:tcPr>
            <w:tcW w:w="2892" w:type="dxa"/>
            <w:shd w:val="clear" w:color="auto" w:fill="auto"/>
          </w:tcPr>
          <w:p w14:paraId="6B5B66E7"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lastRenderedPageBreak/>
              <w:t>Ritonavir (at doses &gt;200 mg every 12 hours)</w:t>
            </w:r>
          </w:p>
          <w:p w14:paraId="2C879438"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(strong CYP3A4/5 inducer)</w:t>
            </w:r>
          </w:p>
        </w:tc>
        <w:tc>
          <w:tcPr>
            <w:tcW w:w="3270" w:type="dxa"/>
            <w:shd w:val="clear" w:color="auto" w:fill="auto"/>
          </w:tcPr>
          <w:p w14:paraId="684DFC30" w14:textId="77777777" w:rsidR="00C019CA" w:rsidRPr="00452430" w:rsidRDefault="00C019CA" w:rsidP="00C00650">
            <w:pPr>
              <w:pStyle w:val="Default"/>
              <w:rPr>
                <w:rFonts w:ascii="Times New Roman" w:hAnsi="Times New Roman" w:cs="Times New Roman"/>
              </w:rPr>
            </w:pPr>
            <w:r w:rsidRPr="00452430">
              <w:rPr>
                <w:rFonts w:ascii="Times New Roman" w:hAnsi="Times New Roman" w:cs="Times New Roman"/>
              </w:rPr>
              <w:t xml:space="preserve">Not studied. </w:t>
            </w:r>
          </w:p>
          <w:p w14:paraId="12D0A118" w14:textId="77777777" w:rsidR="00C019CA" w:rsidRPr="00452430" w:rsidRDefault="00C019CA" w:rsidP="00C00650">
            <w:pPr>
              <w:pStyle w:val="Default"/>
              <w:rPr>
                <w:rFonts w:ascii="Times New Roman" w:hAnsi="Times New Roman" w:cs="Times New Roman"/>
              </w:rPr>
            </w:pPr>
            <w:r w:rsidRPr="00452430">
              <w:rPr>
                <w:rFonts w:ascii="Times New Roman" w:hAnsi="Times New Roman" w:cs="Times New Roman"/>
              </w:rPr>
              <w:t xml:space="preserve">Ritonavir at high doses may significantly decrease </w:t>
            </w: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w:t>
            </w:r>
          </w:p>
          <w:p w14:paraId="68C0DF85"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p>
          <w:p w14:paraId="4A4BEE4C" w14:textId="77777777" w:rsidR="00C019CA" w:rsidRPr="00452430" w:rsidRDefault="00C019CA" w:rsidP="005A2454">
            <w:pPr>
              <w:kinsoku w:val="0"/>
              <w:overflowPunct w:val="0"/>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(CYP3A4/5 induction)</w:t>
            </w:r>
          </w:p>
        </w:tc>
        <w:tc>
          <w:tcPr>
            <w:tcW w:w="3081" w:type="dxa"/>
            <w:shd w:val="clear" w:color="auto" w:fill="auto"/>
          </w:tcPr>
          <w:p w14:paraId="5E01B28C"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The concomitant administration of CRESEMBA and high doses of ritonavir (&gt;200 mg every 12 hours) is contraindicated.</w:t>
            </w:r>
          </w:p>
        </w:tc>
      </w:tr>
      <w:tr w:rsidR="00C019CA" w:rsidRPr="006C013A" w14:paraId="2A07DB6E" w14:textId="77777777" w:rsidTr="005A2454">
        <w:tc>
          <w:tcPr>
            <w:tcW w:w="2892" w:type="dxa"/>
            <w:shd w:val="clear" w:color="auto" w:fill="auto"/>
          </w:tcPr>
          <w:p w14:paraId="5D26627A" w14:textId="77777777" w:rsidR="00C019CA" w:rsidRPr="00452430" w:rsidRDefault="00C019CA" w:rsidP="00FA448F">
            <w:pPr>
              <w:pStyle w:val="Default"/>
              <w:rPr>
                <w:rFonts w:ascii="Times New Roman" w:hAnsi="Times New Roman" w:cs="Times New Roman"/>
              </w:rPr>
            </w:pPr>
            <w:proofErr w:type="spellStart"/>
            <w:r w:rsidRPr="00452430">
              <w:rPr>
                <w:rFonts w:ascii="Times New Roman" w:hAnsi="Times New Roman" w:cs="Times New Roman"/>
              </w:rPr>
              <w:t>Efavirenz</w:t>
            </w:r>
            <w:proofErr w:type="spellEnd"/>
            <w:r w:rsidRPr="00452430">
              <w:rPr>
                <w:rFonts w:ascii="Times New Roman" w:hAnsi="Times New Roman" w:cs="Times New Roman"/>
              </w:rPr>
              <w:t xml:space="preserve"> </w:t>
            </w:r>
          </w:p>
          <w:p w14:paraId="249CD26B" w14:textId="77777777" w:rsidR="00C019CA" w:rsidRPr="00452430" w:rsidRDefault="00C019CA" w:rsidP="00FA448F">
            <w:pPr>
              <w:pStyle w:val="Default"/>
              <w:rPr>
                <w:rFonts w:eastAsia="SimSun"/>
                <w:lang w:eastAsia="zh-CN"/>
              </w:rPr>
            </w:pPr>
            <w:r w:rsidRPr="00452430">
              <w:rPr>
                <w:rFonts w:ascii="Times New Roman" w:hAnsi="Times New Roman" w:cs="Times New Roman"/>
              </w:rPr>
              <w:t>(CYP3A4/5 moderate inducer and CYP2B6 substrate)</w:t>
            </w:r>
          </w:p>
        </w:tc>
        <w:tc>
          <w:tcPr>
            <w:tcW w:w="3270" w:type="dxa"/>
            <w:shd w:val="clear" w:color="auto" w:fill="auto"/>
          </w:tcPr>
          <w:p w14:paraId="2F411329" w14:textId="77777777" w:rsidR="00C019CA" w:rsidRPr="00452430" w:rsidRDefault="00C019CA" w:rsidP="005A2454">
            <w:pPr>
              <w:autoSpaceDE w:val="0"/>
              <w:autoSpaceDN w:val="0"/>
              <w:adjustRightInd w:val="0"/>
              <w:spacing w:after="0"/>
              <w:rPr>
                <w:color w:val="000000"/>
                <w:szCs w:val="24"/>
                <w:lang w:val="en-US"/>
              </w:rPr>
            </w:pPr>
            <w:r w:rsidRPr="00452430">
              <w:rPr>
                <w:color w:val="000000"/>
                <w:szCs w:val="24"/>
                <w:lang w:val="en-US"/>
              </w:rPr>
              <w:t>Not studied.</w:t>
            </w:r>
          </w:p>
          <w:p w14:paraId="6E88DFE3" w14:textId="77777777" w:rsidR="00C019CA" w:rsidRPr="00452430" w:rsidRDefault="00C019CA" w:rsidP="005A2454">
            <w:pPr>
              <w:autoSpaceDE w:val="0"/>
              <w:autoSpaceDN w:val="0"/>
              <w:adjustRightInd w:val="0"/>
              <w:spacing w:after="0"/>
              <w:rPr>
                <w:color w:val="000000"/>
                <w:szCs w:val="24"/>
                <w:lang w:val="en-US"/>
              </w:rPr>
            </w:pPr>
            <w:proofErr w:type="spellStart"/>
            <w:r w:rsidRPr="00452430">
              <w:rPr>
                <w:color w:val="000000"/>
                <w:szCs w:val="24"/>
                <w:lang w:val="en-US"/>
              </w:rPr>
              <w:t>Efavirenz</w:t>
            </w:r>
            <w:proofErr w:type="spellEnd"/>
            <w:r w:rsidRPr="00452430">
              <w:rPr>
                <w:color w:val="000000"/>
                <w:szCs w:val="24"/>
                <w:lang w:val="en-US"/>
              </w:rPr>
              <w:t xml:space="preserve"> concentrations may decrease.</w:t>
            </w:r>
          </w:p>
          <w:p w14:paraId="1401F90F"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2ABC7603"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 xml:space="preserve">(CYP2B6 induction) </w:t>
            </w:r>
          </w:p>
          <w:p w14:paraId="1B082875"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2304E267" w14:textId="77777777" w:rsidR="00C019CA" w:rsidRPr="00452430" w:rsidRDefault="00C019CA" w:rsidP="00C00650">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drug concentrations  may significantly decrease.</w:t>
            </w:r>
          </w:p>
          <w:p w14:paraId="0D6E515A" w14:textId="77777777" w:rsidR="00C019CA" w:rsidRPr="00452430" w:rsidRDefault="00C019CA" w:rsidP="005A2454">
            <w:pPr>
              <w:autoSpaceDE w:val="0"/>
              <w:autoSpaceDN w:val="0"/>
              <w:adjustRightInd w:val="0"/>
              <w:spacing w:after="0"/>
              <w:rPr>
                <w:rFonts w:eastAsia="SimSun"/>
                <w:color w:val="000000"/>
                <w:szCs w:val="24"/>
                <w:lang w:val="en-US" w:eastAsia="zh-CN"/>
              </w:rPr>
            </w:pPr>
          </w:p>
          <w:p w14:paraId="5C33AB8E" w14:textId="77777777" w:rsidR="00C019CA" w:rsidRPr="00452430" w:rsidRDefault="00C019CA" w:rsidP="005A2454">
            <w:pPr>
              <w:autoSpaceDE w:val="0"/>
              <w:autoSpaceDN w:val="0"/>
              <w:adjustRightInd w:val="0"/>
              <w:spacing w:after="0"/>
              <w:rPr>
                <w:rFonts w:eastAsia="SimSun"/>
                <w:color w:val="000000"/>
                <w:szCs w:val="24"/>
                <w:lang w:val="en-US" w:eastAsia="zh-CN"/>
              </w:rPr>
            </w:pPr>
            <w:r w:rsidRPr="00452430">
              <w:rPr>
                <w:rFonts w:eastAsia="SimSun"/>
                <w:color w:val="000000"/>
                <w:szCs w:val="24"/>
                <w:lang w:val="en-US" w:eastAsia="zh-CN"/>
              </w:rPr>
              <w:t>(CYP3A4/5 induction)</w:t>
            </w:r>
          </w:p>
        </w:tc>
        <w:tc>
          <w:tcPr>
            <w:tcW w:w="3081" w:type="dxa"/>
            <w:shd w:val="clear" w:color="auto" w:fill="auto"/>
          </w:tcPr>
          <w:p w14:paraId="454959D3" w14:textId="77777777" w:rsidR="00C019CA" w:rsidRPr="00452430" w:rsidRDefault="00C019CA" w:rsidP="00FA448F">
            <w:pPr>
              <w:pStyle w:val="Default"/>
              <w:rPr>
                <w:rFonts w:eastAsia="SimSun"/>
                <w:lang w:eastAsia="zh-CN"/>
              </w:rPr>
            </w:pPr>
            <w:r w:rsidRPr="00452430">
              <w:rPr>
                <w:rFonts w:ascii="Times New Roman" w:hAnsi="Times New Roman" w:cs="Times New Roman"/>
              </w:rPr>
              <w:t xml:space="preserve">The concomitant administration of CRESEMBA and </w:t>
            </w:r>
            <w:proofErr w:type="spellStart"/>
            <w:r w:rsidRPr="00452430">
              <w:rPr>
                <w:rFonts w:ascii="Times New Roman" w:hAnsi="Times New Roman" w:cs="Times New Roman"/>
              </w:rPr>
              <w:t>efavirenz</w:t>
            </w:r>
            <w:proofErr w:type="spellEnd"/>
            <w:r w:rsidRPr="00452430">
              <w:rPr>
                <w:rFonts w:ascii="Times New Roman" w:hAnsi="Times New Roman" w:cs="Times New Roman"/>
              </w:rPr>
              <w:t xml:space="preserve"> is contraindicated. .</w:t>
            </w:r>
          </w:p>
        </w:tc>
      </w:tr>
      <w:tr w:rsidR="00C019CA" w:rsidRPr="006C013A" w14:paraId="204098BD" w14:textId="77777777" w:rsidTr="005A2454">
        <w:tc>
          <w:tcPr>
            <w:tcW w:w="2892" w:type="dxa"/>
            <w:shd w:val="clear" w:color="auto" w:fill="auto"/>
          </w:tcPr>
          <w:p w14:paraId="0A79D465" w14:textId="77777777" w:rsidR="00C019CA" w:rsidRPr="00452430" w:rsidRDefault="00C019CA" w:rsidP="005A2454">
            <w:pPr>
              <w:autoSpaceDE w:val="0"/>
              <w:autoSpaceDN w:val="0"/>
              <w:adjustRightInd w:val="0"/>
              <w:spacing w:after="0"/>
              <w:rPr>
                <w:rFonts w:eastAsia="SimSun"/>
                <w:color w:val="000000"/>
                <w:szCs w:val="24"/>
                <w:lang w:val="en-US" w:eastAsia="zh-CN"/>
              </w:rPr>
            </w:pPr>
            <w:proofErr w:type="spellStart"/>
            <w:r w:rsidRPr="00452430">
              <w:rPr>
                <w:rFonts w:eastAsia="SimSun"/>
                <w:color w:val="000000"/>
                <w:szCs w:val="24"/>
                <w:lang w:val="en-US" w:eastAsia="zh-CN"/>
              </w:rPr>
              <w:t>Etravirine</w:t>
            </w:r>
            <w:proofErr w:type="spellEnd"/>
          </w:p>
          <w:p w14:paraId="7ED5DA77"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(moderate CYP3A4/5 inducer)</w:t>
            </w:r>
          </w:p>
        </w:tc>
        <w:tc>
          <w:tcPr>
            <w:tcW w:w="3270" w:type="dxa"/>
            <w:shd w:val="clear" w:color="auto" w:fill="auto"/>
          </w:tcPr>
          <w:p w14:paraId="6D2AF4C6"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Not studied.</w:t>
            </w:r>
            <w:r w:rsidRPr="00452430">
              <w:rPr>
                <w:rFonts w:ascii="Times New Roman" w:hAnsi="Times New Roman" w:cs="Times New Roman"/>
              </w:rPr>
              <w:br/>
            </w: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significantly decrease. </w:t>
            </w:r>
          </w:p>
          <w:p w14:paraId="23FD3F5A" w14:textId="77777777" w:rsidR="00C019CA" w:rsidRPr="00452430" w:rsidRDefault="00C019CA" w:rsidP="005A2454">
            <w:pPr>
              <w:pStyle w:val="Default"/>
              <w:rPr>
                <w:rFonts w:ascii="Times New Roman" w:hAnsi="Times New Roman" w:cs="Times New Roman"/>
              </w:rPr>
            </w:pPr>
          </w:p>
          <w:p w14:paraId="4574171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induction)</w:t>
            </w:r>
          </w:p>
        </w:tc>
        <w:tc>
          <w:tcPr>
            <w:tcW w:w="3081" w:type="dxa"/>
            <w:shd w:val="clear" w:color="auto" w:fill="auto"/>
          </w:tcPr>
          <w:p w14:paraId="11A5C9EF"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The concomitant administration of CRESEMBA and </w:t>
            </w:r>
            <w:proofErr w:type="spellStart"/>
            <w:r w:rsidRPr="00452430">
              <w:rPr>
                <w:rFonts w:ascii="Times New Roman" w:hAnsi="Times New Roman" w:cs="Times New Roman"/>
              </w:rPr>
              <w:t>etravirine</w:t>
            </w:r>
            <w:proofErr w:type="spellEnd"/>
            <w:r w:rsidRPr="00452430">
              <w:rPr>
                <w:rFonts w:ascii="Times New Roman" w:hAnsi="Times New Roman" w:cs="Times New Roman"/>
              </w:rPr>
              <w:t xml:space="preserve"> is contraindicated. </w:t>
            </w:r>
          </w:p>
        </w:tc>
      </w:tr>
      <w:tr w:rsidR="00C019CA" w:rsidRPr="006C013A" w14:paraId="422C3389" w14:textId="77777777" w:rsidTr="005A2454">
        <w:tc>
          <w:tcPr>
            <w:tcW w:w="2892" w:type="dxa"/>
            <w:shd w:val="clear" w:color="auto" w:fill="auto"/>
          </w:tcPr>
          <w:p w14:paraId="69304600"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Indinavir</w:t>
            </w:r>
            <w:proofErr w:type="spellEnd"/>
          </w:p>
          <w:p w14:paraId="7BFA68CE"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strong inhibitor and substrate)</w:t>
            </w:r>
          </w:p>
        </w:tc>
        <w:tc>
          <w:tcPr>
            <w:tcW w:w="3270" w:type="dxa"/>
            <w:shd w:val="clear" w:color="auto" w:fill="auto"/>
          </w:tcPr>
          <w:p w14:paraId="50939BE0"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Indinavir:b</w:t>
            </w:r>
            <w:proofErr w:type="spellEnd"/>
            <w:r w:rsidRPr="00452430">
              <w:rPr>
                <w:rFonts w:ascii="Times New Roman" w:hAnsi="Times New Roman" w:cs="Times New Roman"/>
              </w:rPr>
              <w:t>)</w:t>
            </w:r>
          </w:p>
          <w:p w14:paraId="49CFAFB9"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AUC</w:t>
            </w:r>
            <w:r w:rsidRPr="00452430">
              <w:rPr>
                <w:rFonts w:ascii="Times New Roman" w:hAnsi="Times New Roman" w:cs="Times New Roman"/>
                <w:vertAlign w:val="subscript"/>
              </w:rPr>
              <w:t>inf</w:t>
            </w:r>
            <w:proofErr w:type="spellEnd"/>
            <w:r w:rsidRPr="00452430">
              <w:rPr>
                <w:rFonts w:ascii="Times New Roman" w:hAnsi="Times New Roman" w:cs="Times New Roman"/>
              </w:rPr>
              <w:t>: ↓ 36%</w:t>
            </w:r>
          </w:p>
          <w:p w14:paraId="3F9533C2"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C</w:t>
            </w:r>
            <w:r w:rsidRPr="00452430">
              <w:rPr>
                <w:rFonts w:ascii="Times New Roman" w:hAnsi="Times New Roman" w:cs="Times New Roman"/>
                <w:vertAlign w:val="subscript"/>
              </w:rPr>
              <w:t>ma</w:t>
            </w:r>
            <w:r w:rsidRPr="00452430">
              <w:rPr>
                <w:rFonts w:ascii="Times New Roman" w:hAnsi="Times New Roman" w:cs="Times New Roman"/>
              </w:rPr>
              <w:t>x</w:t>
            </w:r>
            <w:proofErr w:type="spellEnd"/>
            <w:r w:rsidRPr="00452430">
              <w:rPr>
                <w:rFonts w:ascii="Times New Roman" w:hAnsi="Times New Roman" w:cs="Times New Roman"/>
              </w:rPr>
              <w:t>: ↓ 52%</w:t>
            </w:r>
          </w:p>
          <w:p w14:paraId="59EF745D" w14:textId="77777777" w:rsidR="00C019CA" w:rsidRPr="00452430" w:rsidRDefault="00C019CA" w:rsidP="005A2454">
            <w:pPr>
              <w:pStyle w:val="Default"/>
              <w:rPr>
                <w:rFonts w:ascii="Times New Roman" w:hAnsi="Times New Roman" w:cs="Times New Roman"/>
              </w:rPr>
            </w:pPr>
          </w:p>
          <w:p w14:paraId="524FFA49"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(Mechanism unknown)</w:t>
            </w:r>
          </w:p>
          <w:p w14:paraId="6141AEF0" w14:textId="77777777" w:rsidR="00C019CA" w:rsidRPr="00452430" w:rsidRDefault="00C019CA" w:rsidP="005A2454">
            <w:pPr>
              <w:pStyle w:val="Default"/>
              <w:rPr>
                <w:rFonts w:ascii="Times New Roman" w:hAnsi="Times New Roman" w:cs="Times New Roman"/>
              </w:rPr>
            </w:pPr>
          </w:p>
          <w:p w14:paraId="2FE12706"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increase.</w:t>
            </w:r>
          </w:p>
          <w:p w14:paraId="6BA2D1FE" w14:textId="77777777" w:rsidR="00C019CA" w:rsidRPr="00452430" w:rsidRDefault="00C019CA" w:rsidP="005A2454">
            <w:pPr>
              <w:pStyle w:val="Default"/>
              <w:rPr>
                <w:rFonts w:ascii="Times New Roman" w:hAnsi="Times New Roman" w:cs="Times New Roman"/>
              </w:rPr>
            </w:pPr>
          </w:p>
          <w:p w14:paraId="605EDBAE"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inhibition)</w:t>
            </w:r>
          </w:p>
        </w:tc>
        <w:tc>
          <w:tcPr>
            <w:tcW w:w="3081" w:type="dxa"/>
            <w:shd w:val="clear" w:color="auto" w:fill="auto"/>
          </w:tcPr>
          <w:p w14:paraId="321E9D52"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 caution is advised as adverse drug reactions may increase.</w:t>
            </w:r>
          </w:p>
          <w:p w14:paraId="5B8616F9"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Indinavir</w:t>
            </w:r>
            <w:proofErr w:type="spellEnd"/>
            <w:r w:rsidRPr="00452430">
              <w:rPr>
                <w:rFonts w:ascii="Times New Roman" w:hAnsi="Times New Roman" w:cs="Times New Roman"/>
              </w:rPr>
              <w:t>: careful monitoring for any occurrence of lack of anti-viral efficacy, and dose increase if required.</w:t>
            </w:r>
          </w:p>
        </w:tc>
      </w:tr>
      <w:tr w:rsidR="00C019CA" w:rsidRPr="006C013A" w14:paraId="4B00AFED" w14:textId="77777777" w:rsidTr="005A2454">
        <w:trPr>
          <w:trHeight w:val="2307"/>
        </w:trPr>
        <w:tc>
          <w:tcPr>
            <w:tcW w:w="2892" w:type="dxa"/>
            <w:shd w:val="clear" w:color="auto" w:fill="auto"/>
          </w:tcPr>
          <w:p w14:paraId="34C1E9E2"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Saquinavir</w:t>
            </w:r>
            <w:proofErr w:type="spellEnd"/>
          </w:p>
          <w:p w14:paraId="0E365826"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(strong CYP3A4 inhibitor)</w:t>
            </w:r>
          </w:p>
        </w:tc>
        <w:tc>
          <w:tcPr>
            <w:tcW w:w="3270" w:type="dxa"/>
            <w:shd w:val="clear" w:color="auto" w:fill="auto"/>
          </w:tcPr>
          <w:p w14:paraId="55E06380"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Not studied. </w:t>
            </w:r>
          </w:p>
          <w:p w14:paraId="1C55FA19"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Saquinavir</w:t>
            </w:r>
            <w:proofErr w:type="spellEnd"/>
            <w:r w:rsidRPr="00452430">
              <w:rPr>
                <w:rFonts w:ascii="Times New Roman" w:hAnsi="Times New Roman" w:cs="Times New Roman"/>
              </w:rPr>
              <w:t xml:space="preserve"> concentrations may decrease (as observed with </w:t>
            </w:r>
            <w:proofErr w:type="spellStart"/>
            <w:r w:rsidRPr="00452430">
              <w:rPr>
                <w:rFonts w:ascii="Times New Roman" w:hAnsi="Times New Roman" w:cs="Times New Roman"/>
              </w:rPr>
              <w:t>lopinavir</w:t>
            </w:r>
            <w:proofErr w:type="spellEnd"/>
            <w:r w:rsidRPr="00452430">
              <w:rPr>
                <w:rFonts w:ascii="Times New Roman" w:hAnsi="Times New Roman" w:cs="Times New Roman"/>
              </w:rPr>
              <w:t>/ritonavir) or increase (CYP3A4 inhibition).</w:t>
            </w:r>
          </w:p>
          <w:p w14:paraId="29684755" w14:textId="77777777" w:rsidR="00C019CA" w:rsidRPr="00452430" w:rsidRDefault="00C019CA" w:rsidP="005A2454">
            <w:pPr>
              <w:pStyle w:val="Default"/>
              <w:rPr>
                <w:rFonts w:ascii="Times New Roman" w:hAnsi="Times New Roman" w:cs="Times New Roman"/>
              </w:rPr>
            </w:pPr>
          </w:p>
          <w:p w14:paraId="20854ED7"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increase.</w:t>
            </w:r>
          </w:p>
          <w:p w14:paraId="352E421B" w14:textId="77777777" w:rsidR="00C019CA" w:rsidRPr="00452430" w:rsidRDefault="00C019CA" w:rsidP="005A2454">
            <w:pPr>
              <w:pStyle w:val="Default"/>
              <w:rPr>
                <w:rFonts w:ascii="Times New Roman" w:hAnsi="Times New Roman" w:cs="Times New Roman"/>
              </w:rPr>
            </w:pPr>
          </w:p>
          <w:p w14:paraId="4AAAE1E5"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inhibition).</w:t>
            </w:r>
          </w:p>
        </w:tc>
        <w:tc>
          <w:tcPr>
            <w:tcW w:w="3081" w:type="dxa"/>
            <w:shd w:val="clear" w:color="auto" w:fill="auto"/>
          </w:tcPr>
          <w:p w14:paraId="18A8F119" w14:textId="77777777" w:rsidR="00C019CA" w:rsidRPr="00452430" w:rsidRDefault="00C019CA" w:rsidP="00FA448F">
            <w:pPr>
              <w:pStyle w:val="Default"/>
              <w:rPr>
                <w:rFonts w:ascii="Times New Roman" w:hAnsi="Times New Roman" w:cs="Times New Roman"/>
              </w:rPr>
            </w:pPr>
            <w:r w:rsidRPr="00452430">
              <w:rPr>
                <w:rFonts w:ascii="Times New Roman" w:hAnsi="Times New Roman" w:cs="Times New Roman"/>
              </w:rPr>
              <w:t>No CRESEMBA dose adjustment necessary; caution is advised as adverse drug reactions may increase.</w:t>
            </w:r>
          </w:p>
          <w:p w14:paraId="24361CEF"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Saquinavir</w:t>
            </w:r>
            <w:proofErr w:type="spellEnd"/>
            <w:r w:rsidRPr="00452430">
              <w:rPr>
                <w:rFonts w:ascii="Times New Roman" w:hAnsi="Times New Roman" w:cs="Times New Roman"/>
              </w:rPr>
              <w:t>: careful monitoring for any occurrence of drug toxicity and /or lack of anti-viral efficacy, and dose adjustment if required</w:t>
            </w:r>
          </w:p>
        </w:tc>
      </w:tr>
      <w:tr w:rsidR="00C019CA" w:rsidRPr="006C013A" w14:paraId="1F4FA770" w14:textId="77777777" w:rsidTr="005A2454">
        <w:tc>
          <w:tcPr>
            <w:tcW w:w="2892" w:type="dxa"/>
            <w:shd w:val="clear" w:color="auto" w:fill="auto"/>
          </w:tcPr>
          <w:p w14:paraId="7469EC4A"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Other protease inhibitors (e.g.,  </w:t>
            </w:r>
            <w:proofErr w:type="spellStart"/>
            <w:r w:rsidRPr="00452430">
              <w:rPr>
                <w:rFonts w:ascii="Times New Roman" w:hAnsi="Times New Roman" w:cs="Times New Roman"/>
              </w:rPr>
              <w:t>amprenavir</w:t>
            </w:r>
            <w:proofErr w:type="spellEnd"/>
            <w:r w:rsidRPr="00452430">
              <w:rPr>
                <w:rFonts w:ascii="Times New Roman" w:hAnsi="Times New Roman" w:cs="Times New Roman"/>
              </w:rPr>
              <w:t xml:space="preserve">, </w:t>
            </w:r>
            <w:r w:rsidRPr="00452430">
              <w:rPr>
                <w:rFonts w:ascii="Times New Roman" w:hAnsi="Times New Roman" w:cs="Times New Roman"/>
              </w:rPr>
              <w:lastRenderedPageBreak/>
              <w:t>nelfinavir)</w:t>
            </w:r>
          </w:p>
          <w:p w14:paraId="1E9AC0E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strong or moderate inhibitors and substrates)</w:t>
            </w:r>
          </w:p>
        </w:tc>
        <w:tc>
          <w:tcPr>
            <w:tcW w:w="3270" w:type="dxa"/>
            <w:shd w:val="clear" w:color="auto" w:fill="auto"/>
          </w:tcPr>
          <w:p w14:paraId="31E64417"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lastRenderedPageBreak/>
              <w:t xml:space="preserve">Not studied. </w:t>
            </w:r>
          </w:p>
          <w:p w14:paraId="69CF03B7"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Protease inhibitor </w:t>
            </w:r>
            <w:r w:rsidRPr="00452430">
              <w:rPr>
                <w:rFonts w:ascii="Times New Roman" w:hAnsi="Times New Roman" w:cs="Times New Roman"/>
              </w:rPr>
              <w:lastRenderedPageBreak/>
              <w:t xml:space="preserve">concentrations may decrease (as observed with </w:t>
            </w:r>
            <w:proofErr w:type="spellStart"/>
            <w:r w:rsidRPr="00452430">
              <w:rPr>
                <w:rFonts w:ascii="Times New Roman" w:hAnsi="Times New Roman" w:cs="Times New Roman"/>
              </w:rPr>
              <w:t>lopinavir</w:t>
            </w:r>
            <w:proofErr w:type="spellEnd"/>
            <w:r w:rsidRPr="00452430">
              <w:rPr>
                <w:rFonts w:ascii="Times New Roman" w:hAnsi="Times New Roman" w:cs="Times New Roman"/>
              </w:rPr>
              <w:t xml:space="preserve">/ritonavir) or increase. </w:t>
            </w:r>
          </w:p>
          <w:p w14:paraId="45CE69C2" w14:textId="77777777" w:rsidR="00C019CA" w:rsidRPr="00452430" w:rsidRDefault="00C019CA" w:rsidP="005A2454">
            <w:pPr>
              <w:pStyle w:val="Default"/>
              <w:rPr>
                <w:rFonts w:ascii="Times New Roman" w:hAnsi="Times New Roman" w:cs="Times New Roman"/>
              </w:rPr>
            </w:pPr>
          </w:p>
          <w:p w14:paraId="1ABC0EFF"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 inhibition)</w:t>
            </w:r>
          </w:p>
          <w:p w14:paraId="3B98061B" w14:textId="77777777" w:rsidR="00C019CA" w:rsidRPr="00452430" w:rsidRDefault="00C019CA" w:rsidP="005A2454">
            <w:pPr>
              <w:pStyle w:val="Default"/>
              <w:rPr>
                <w:rFonts w:ascii="Times New Roman" w:hAnsi="Times New Roman" w:cs="Times New Roman"/>
              </w:rPr>
            </w:pPr>
          </w:p>
          <w:p w14:paraId="522F1FDC"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increase.</w:t>
            </w:r>
          </w:p>
          <w:p w14:paraId="74E623E5" w14:textId="77777777" w:rsidR="00C019CA" w:rsidRPr="00452430" w:rsidRDefault="00C019CA" w:rsidP="005A2454">
            <w:pPr>
              <w:pStyle w:val="Default"/>
              <w:rPr>
                <w:rFonts w:ascii="Times New Roman" w:hAnsi="Times New Roman" w:cs="Times New Roman"/>
              </w:rPr>
            </w:pPr>
          </w:p>
          <w:p w14:paraId="3BFBF463"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inhibition).</w:t>
            </w:r>
          </w:p>
        </w:tc>
        <w:tc>
          <w:tcPr>
            <w:tcW w:w="3081" w:type="dxa"/>
            <w:shd w:val="clear" w:color="auto" w:fill="auto"/>
          </w:tcPr>
          <w:p w14:paraId="4BDB5EE5"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lastRenderedPageBreak/>
              <w:t>No CRESEMBA dose adjustment necessary.</w:t>
            </w:r>
          </w:p>
          <w:p w14:paraId="39D4445E"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lastRenderedPageBreak/>
              <w:t>Protease inhibitors: careful monitoring for any occurrence of drug toxicity and /or lack of anti-viral efficacy, and dose adjustment if required.</w:t>
            </w:r>
          </w:p>
        </w:tc>
      </w:tr>
      <w:tr w:rsidR="00C019CA" w:rsidRPr="006C013A" w14:paraId="117D5D28" w14:textId="77777777" w:rsidTr="005A2454">
        <w:tc>
          <w:tcPr>
            <w:tcW w:w="2892" w:type="dxa"/>
            <w:shd w:val="clear" w:color="auto" w:fill="auto"/>
          </w:tcPr>
          <w:p w14:paraId="4DD72CA2"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lastRenderedPageBreak/>
              <w:t xml:space="preserve">Other NNRTI (e.g., </w:t>
            </w:r>
            <w:proofErr w:type="spellStart"/>
            <w:r w:rsidRPr="00452430">
              <w:rPr>
                <w:rFonts w:ascii="Times New Roman" w:hAnsi="Times New Roman" w:cs="Times New Roman"/>
              </w:rPr>
              <w:t>delavirdine</w:t>
            </w:r>
            <w:proofErr w:type="spellEnd"/>
            <w:r w:rsidRPr="00452430">
              <w:rPr>
                <w:rFonts w:ascii="Times New Roman" w:hAnsi="Times New Roman" w:cs="Times New Roman"/>
              </w:rPr>
              <w:t xml:space="preserve">, and </w:t>
            </w:r>
            <w:proofErr w:type="spellStart"/>
            <w:r w:rsidRPr="00452430">
              <w:rPr>
                <w:rFonts w:ascii="Times New Roman" w:hAnsi="Times New Roman" w:cs="Times New Roman"/>
              </w:rPr>
              <w:t>nevaripine</w:t>
            </w:r>
            <w:proofErr w:type="spellEnd"/>
            <w:r w:rsidRPr="00452430">
              <w:rPr>
                <w:rFonts w:ascii="Times New Roman" w:hAnsi="Times New Roman" w:cs="Times New Roman"/>
              </w:rPr>
              <w:t>)</w:t>
            </w:r>
          </w:p>
          <w:p w14:paraId="52D81E7D"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and 2B6 inducers and substrates)</w:t>
            </w:r>
          </w:p>
        </w:tc>
        <w:tc>
          <w:tcPr>
            <w:tcW w:w="3270" w:type="dxa"/>
            <w:shd w:val="clear" w:color="auto" w:fill="auto"/>
          </w:tcPr>
          <w:p w14:paraId="481680DE"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Not studied.</w:t>
            </w:r>
          </w:p>
          <w:p w14:paraId="225AAE39"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NNRTI concentrations may decrease (CYP2B6 induction by </w:t>
            </w: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or increase. </w:t>
            </w:r>
          </w:p>
          <w:p w14:paraId="0BDA97ED" w14:textId="77777777" w:rsidR="00C019CA" w:rsidRPr="00452430" w:rsidRDefault="00C019CA" w:rsidP="005A2454">
            <w:pPr>
              <w:pStyle w:val="Default"/>
              <w:rPr>
                <w:rFonts w:ascii="Times New Roman" w:hAnsi="Times New Roman" w:cs="Times New Roman"/>
              </w:rPr>
            </w:pPr>
          </w:p>
          <w:p w14:paraId="5C03230E"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inhibition)</w:t>
            </w:r>
          </w:p>
        </w:tc>
        <w:tc>
          <w:tcPr>
            <w:tcW w:w="3081" w:type="dxa"/>
            <w:shd w:val="clear" w:color="auto" w:fill="auto"/>
          </w:tcPr>
          <w:p w14:paraId="7F64C69E"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t>No CRESEMBA dose adjustment necessary.</w:t>
            </w:r>
          </w:p>
          <w:p w14:paraId="5824A93D"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NNRTIs: careful monitoring for any occurrence of drug toxicity and/or lack of anti-viral efficacy, and dose adjustment if required.</w:t>
            </w:r>
          </w:p>
        </w:tc>
      </w:tr>
      <w:tr w:rsidR="00C019CA" w:rsidRPr="006C013A" w14:paraId="66EA0466" w14:textId="77777777" w:rsidTr="005A2454">
        <w:tc>
          <w:tcPr>
            <w:tcW w:w="9243" w:type="dxa"/>
            <w:gridSpan w:val="3"/>
            <w:shd w:val="clear" w:color="auto" w:fill="auto"/>
          </w:tcPr>
          <w:p w14:paraId="116B92C3"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Antiacids</w:t>
            </w:r>
            <w:proofErr w:type="spellEnd"/>
          </w:p>
        </w:tc>
      </w:tr>
      <w:tr w:rsidR="00C019CA" w:rsidRPr="006C013A" w14:paraId="6464C75B" w14:textId="77777777" w:rsidTr="005A2454">
        <w:tc>
          <w:tcPr>
            <w:tcW w:w="2892" w:type="dxa"/>
            <w:shd w:val="clear" w:color="auto" w:fill="auto"/>
          </w:tcPr>
          <w:p w14:paraId="3AB7BAC9"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Esomeprazole</w:t>
            </w:r>
          </w:p>
          <w:p w14:paraId="358582EB"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(CYP2C19 substrate and gastric pH </w:t>
            </w:r>
            <w:r w:rsidRPr="00452430">
              <w:rPr>
                <w:rFonts w:ascii="Times New Roman" w:hAnsi="Times New Roman" w:cs="Times New Roman"/>
              </w:rPr>
              <w:sym w:font="Symbol" w:char="F0AD"/>
            </w:r>
            <w:r w:rsidRPr="00452430">
              <w:rPr>
                <w:rFonts w:ascii="Times New Roman" w:hAnsi="Times New Roman" w:cs="Times New Roman"/>
              </w:rPr>
              <w:t>)</w:t>
            </w:r>
          </w:p>
        </w:tc>
        <w:tc>
          <w:tcPr>
            <w:tcW w:w="3270" w:type="dxa"/>
            <w:shd w:val="clear" w:color="auto" w:fill="auto"/>
          </w:tcPr>
          <w:p w14:paraId="5DFC394D"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w:t>
            </w:r>
          </w:p>
          <w:p w14:paraId="302F2733"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AUC</w:t>
            </w:r>
            <w:r w:rsidRPr="00452430">
              <w:rPr>
                <w:rFonts w:ascii="Times New Roman" w:hAnsi="Times New Roman" w:cs="Times New Roman"/>
                <w:vertAlign w:val="subscript"/>
                <w:lang w:val="fr-FR"/>
              </w:rPr>
              <w:t>tau</w:t>
            </w:r>
            <w:r w:rsidRPr="00452430">
              <w:rPr>
                <w:rFonts w:ascii="Times New Roman" w:hAnsi="Times New Roman" w:cs="Times New Roman"/>
              </w:rPr>
              <w:t>: ↑ 8%</w:t>
            </w:r>
          </w:p>
          <w:p w14:paraId="1BFF9C68"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w:t>
            </w:r>
            <w:r w:rsidRPr="00452430">
              <w:rPr>
                <w:rFonts w:ascii="Times New Roman" w:hAnsi="Times New Roman" w:cs="Times New Roman"/>
                <w:vertAlign w:val="subscript"/>
                <w:lang w:val="fr-FR"/>
              </w:rPr>
              <w:t>max</w:t>
            </w:r>
            <w:r w:rsidRPr="00452430">
              <w:rPr>
                <w:rFonts w:ascii="Times New Roman" w:hAnsi="Times New Roman" w:cs="Times New Roman"/>
              </w:rPr>
              <w:t>: ↑ 5%</w:t>
            </w:r>
          </w:p>
        </w:tc>
        <w:tc>
          <w:tcPr>
            <w:tcW w:w="3081" w:type="dxa"/>
            <w:shd w:val="clear" w:color="auto" w:fill="auto"/>
          </w:tcPr>
          <w:p w14:paraId="38200332"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t>No CRESEMBA dose adjustment necessary.</w:t>
            </w:r>
          </w:p>
          <w:p w14:paraId="3F275E98"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Esomeprazole: no dose adjustment required.</w:t>
            </w:r>
          </w:p>
        </w:tc>
      </w:tr>
      <w:tr w:rsidR="00C019CA" w:rsidRPr="006C013A" w14:paraId="000B340E" w14:textId="77777777" w:rsidTr="005A2454">
        <w:tc>
          <w:tcPr>
            <w:tcW w:w="2892" w:type="dxa"/>
            <w:shd w:val="clear" w:color="auto" w:fill="auto"/>
          </w:tcPr>
          <w:p w14:paraId="0940DB9B"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Omeprazole</w:t>
            </w:r>
          </w:p>
          <w:p w14:paraId="18359237"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(CYP2C19 substrate and gastric pH </w:t>
            </w:r>
            <w:r w:rsidRPr="00452430">
              <w:rPr>
                <w:rFonts w:ascii="Times New Roman" w:hAnsi="Times New Roman" w:cs="Times New Roman"/>
              </w:rPr>
              <w:sym w:font="Symbol" w:char="F0AD"/>
            </w:r>
            <w:r w:rsidRPr="00452430">
              <w:rPr>
                <w:rFonts w:ascii="Times New Roman" w:hAnsi="Times New Roman" w:cs="Times New Roman"/>
              </w:rPr>
              <w:t>)</w:t>
            </w:r>
          </w:p>
        </w:tc>
        <w:tc>
          <w:tcPr>
            <w:tcW w:w="3270" w:type="dxa"/>
            <w:shd w:val="clear" w:color="auto" w:fill="auto"/>
          </w:tcPr>
          <w:p w14:paraId="5A3717B4"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Omeprazole:</w:t>
            </w:r>
          </w:p>
          <w:p w14:paraId="0E95386C"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AUC</w:t>
            </w:r>
            <w:proofErr w:type="spellStart"/>
            <w:r w:rsidRPr="00452430">
              <w:rPr>
                <w:rFonts w:ascii="Times New Roman" w:hAnsi="Times New Roman" w:cs="Times New Roman"/>
                <w:vertAlign w:val="subscript"/>
                <w:lang w:val="fr-FR"/>
              </w:rPr>
              <w:t>inf</w:t>
            </w:r>
            <w:proofErr w:type="spellEnd"/>
            <w:r w:rsidRPr="00452430">
              <w:rPr>
                <w:rFonts w:ascii="Times New Roman" w:hAnsi="Times New Roman" w:cs="Times New Roman"/>
              </w:rPr>
              <w:t>: ↓ 11%</w:t>
            </w:r>
          </w:p>
          <w:p w14:paraId="0DA24D85"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w:t>
            </w:r>
            <w:r w:rsidRPr="00452430">
              <w:rPr>
                <w:rFonts w:ascii="Times New Roman" w:hAnsi="Times New Roman" w:cs="Times New Roman"/>
                <w:vertAlign w:val="subscript"/>
                <w:lang w:val="fr-FR"/>
              </w:rPr>
              <w:t>max</w:t>
            </w:r>
            <w:r w:rsidRPr="00452430">
              <w:rPr>
                <w:rFonts w:ascii="Times New Roman" w:hAnsi="Times New Roman" w:cs="Times New Roman"/>
              </w:rPr>
              <w:t>: ↓ 23%</w:t>
            </w:r>
          </w:p>
        </w:tc>
        <w:tc>
          <w:tcPr>
            <w:tcW w:w="3081" w:type="dxa"/>
            <w:shd w:val="clear" w:color="auto" w:fill="auto"/>
          </w:tcPr>
          <w:p w14:paraId="2684A955"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t>No CRESEMBA dose adjustment necessary.</w:t>
            </w:r>
          </w:p>
          <w:p w14:paraId="4A60D654"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Omeprazole: no dose adjustment required.</w:t>
            </w:r>
          </w:p>
        </w:tc>
      </w:tr>
      <w:tr w:rsidR="00C019CA" w:rsidRPr="006C013A" w14:paraId="39A19104" w14:textId="77777777" w:rsidTr="005A2454">
        <w:tc>
          <w:tcPr>
            <w:tcW w:w="9243" w:type="dxa"/>
            <w:gridSpan w:val="3"/>
            <w:shd w:val="clear" w:color="auto" w:fill="auto"/>
          </w:tcPr>
          <w:p w14:paraId="48D8A0E7"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Lipid-lowering</w:t>
            </w:r>
            <w:proofErr w:type="spellEnd"/>
            <w:r w:rsidRPr="00452430">
              <w:rPr>
                <w:b/>
                <w:i/>
                <w:spacing w:val="-11"/>
                <w:szCs w:val="24"/>
                <w:lang w:val="fr-FR"/>
              </w:rPr>
              <w:t xml:space="preserve"> agents </w:t>
            </w:r>
          </w:p>
        </w:tc>
      </w:tr>
      <w:tr w:rsidR="00C019CA" w:rsidRPr="006C013A" w14:paraId="458FB140" w14:textId="77777777" w:rsidTr="005A2454">
        <w:tc>
          <w:tcPr>
            <w:tcW w:w="2892" w:type="dxa"/>
            <w:shd w:val="clear" w:color="auto" w:fill="auto"/>
          </w:tcPr>
          <w:p w14:paraId="0645186E"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Atorvastatin and other statins (CYP3A4 substrates e.g.,  simvastatin, lovastatin, </w:t>
            </w:r>
            <w:proofErr w:type="spellStart"/>
            <w:r w:rsidRPr="00452430">
              <w:rPr>
                <w:rFonts w:ascii="Times New Roman" w:hAnsi="Times New Roman" w:cs="Times New Roman"/>
              </w:rPr>
              <w:t>rosuvastatin</w:t>
            </w:r>
            <w:proofErr w:type="spellEnd"/>
            <w:r w:rsidRPr="00452430">
              <w:rPr>
                <w:rFonts w:ascii="Times New Roman" w:hAnsi="Times New Roman" w:cs="Times New Roman"/>
              </w:rPr>
              <w:t>)</w:t>
            </w:r>
          </w:p>
          <w:p w14:paraId="23C6DC80"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and/or BCRP substrates))</w:t>
            </w:r>
          </w:p>
        </w:tc>
        <w:tc>
          <w:tcPr>
            <w:tcW w:w="3270" w:type="dxa"/>
            <w:shd w:val="clear" w:color="auto" w:fill="auto"/>
          </w:tcPr>
          <w:p w14:paraId="1F05D83E"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Atorvastatin :</w:t>
            </w:r>
          </w:p>
          <w:p w14:paraId="3E458FC6"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AUC</w:t>
            </w:r>
            <w:r w:rsidRPr="00452430">
              <w:rPr>
                <w:rFonts w:ascii="Times New Roman" w:hAnsi="Times New Roman" w:cs="Times New Roman"/>
                <w:vertAlign w:val="subscript"/>
              </w:rPr>
              <w:t>inf</w:t>
            </w:r>
            <w:proofErr w:type="spellEnd"/>
            <w:r w:rsidRPr="00452430">
              <w:rPr>
                <w:rFonts w:ascii="Times New Roman" w:hAnsi="Times New Roman" w:cs="Times New Roman"/>
              </w:rPr>
              <w:t>: ↑ 37%</w:t>
            </w:r>
          </w:p>
          <w:p w14:paraId="0DA98330"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C</w:t>
            </w:r>
            <w:r w:rsidRPr="00452430">
              <w:rPr>
                <w:rFonts w:ascii="Times New Roman" w:hAnsi="Times New Roman" w:cs="Times New Roman"/>
                <w:vertAlign w:val="subscript"/>
              </w:rPr>
              <w:t>max</w:t>
            </w:r>
            <w:proofErr w:type="spellEnd"/>
            <w:r w:rsidRPr="00452430">
              <w:rPr>
                <w:rFonts w:ascii="Times New Roman" w:hAnsi="Times New Roman" w:cs="Times New Roman"/>
              </w:rPr>
              <w:t>: ↑ 3%</w:t>
            </w:r>
          </w:p>
          <w:p w14:paraId="3B1A7D43"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Other statins were not studied.</w:t>
            </w:r>
          </w:p>
          <w:p w14:paraId="02444F5B"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Statins concentrations may increase.</w:t>
            </w:r>
          </w:p>
          <w:p w14:paraId="11A50BA3"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or BCRP inhibition)</w:t>
            </w:r>
          </w:p>
        </w:tc>
        <w:tc>
          <w:tcPr>
            <w:tcW w:w="3081" w:type="dxa"/>
            <w:shd w:val="clear" w:color="auto" w:fill="auto"/>
          </w:tcPr>
          <w:p w14:paraId="03BC1AD4"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t xml:space="preserve">No CRESEMBA dose adjustment necessary. </w:t>
            </w:r>
          </w:p>
          <w:p w14:paraId="625DDA6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Based on results with atorvastatin, no statin dose adjustment required. Monitoring of adverse reactions typical of statins is advised.</w:t>
            </w:r>
          </w:p>
        </w:tc>
      </w:tr>
      <w:tr w:rsidR="00C019CA" w:rsidRPr="006C013A" w14:paraId="38159DA4" w14:textId="77777777" w:rsidTr="005A2454">
        <w:tc>
          <w:tcPr>
            <w:tcW w:w="2892" w:type="dxa"/>
            <w:shd w:val="clear" w:color="auto" w:fill="auto"/>
          </w:tcPr>
          <w:p w14:paraId="348FC150"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Pioglitazone</w:t>
            </w:r>
          </w:p>
          <w:p w14:paraId="09F7E478"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(mild CYP3A4/5 inducer)</w:t>
            </w:r>
          </w:p>
        </w:tc>
        <w:tc>
          <w:tcPr>
            <w:tcW w:w="3270" w:type="dxa"/>
            <w:shd w:val="clear" w:color="auto" w:fill="auto"/>
          </w:tcPr>
          <w:p w14:paraId="0604913C"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Not studied.</w:t>
            </w:r>
          </w:p>
          <w:p w14:paraId="784462C4"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Isavuconazole</w:t>
            </w:r>
            <w:proofErr w:type="spellEnd"/>
            <w:r w:rsidRPr="00452430">
              <w:rPr>
                <w:rFonts w:ascii="Times New Roman" w:hAnsi="Times New Roman" w:cs="Times New Roman"/>
              </w:rPr>
              <w:t xml:space="preserve"> concentrations may decrease.</w:t>
            </w:r>
          </w:p>
          <w:p w14:paraId="728DED57" w14:textId="77777777" w:rsidR="00C019CA" w:rsidRPr="00452430" w:rsidRDefault="00C019CA" w:rsidP="005A2454">
            <w:pPr>
              <w:pStyle w:val="Default"/>
              <w:rPr>
                <w:rFonts w:ascii="Times New Roman" w:hAnsi="Times New Roman" w:cs="Times New Roman"/>
              </w:rPr>
            </w:pPr>
          </w:p>
          <w:p w14:paraId="49D7116D"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induction)</w:t>
            </w:r>
          </w:p>
        </w:tc>
        <w:tc>
          <w:tcPr>
            <w:tcW w:w="3081" w:type="dxa"/>
            <w:shd w:val="clear" w:color="auto" w:fill="auto"/>
          </w:tcPr>
          <w:p w14:paraId="5AC44EF3" w14:textId="77777777" w:rsidR="00C019CA" w:rsidRPr="00452430" w:rsidRDefault="00C019CA" w:rsidP="005A2454">
            <w:pPr>
              <w:spacing w:after="0"/>
              <w:rPr>
                <w:rFonts w:eastAsia="SimSun"/>
                <w:color w:val="000000"/>
                <w:szCs w:val="24"/>
                <w:lang w:val="en-US" w:eastAsia="zh-CN"/>
              </w:rPr>
            </w:pPr>
            <w:r w:rsidRPr="00452430">
              <w:rPr>
                <w:szCs w:val="24"/>
              </w:rPr>
              <w:t>Co-administration should be avoided unless the potential benefit is considered to outweigh the risk.</w:t>
            </w:r>
          </w:p>
        </w:tc>
      </w:tr>
      <w:tr w:rsidR="00C019CA" w:rsidRPr="006C013A" w14:paraId="22E2254B" w14:textId="77777777" w:rsidTr="005A2454">
        <w:tc>
          <w:tcPr>
            <w:tcW w:w="9243" w:type="dxa"/>
            <w:gridSpan w:val="3"/>
            <w:shd w:val="clear" w:color="auto" w:fill="auto"/>
          </w:tcPr>
          <w:p w14:paraId="304D5C7E"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Antiarrhythmics</w:t>
            </w:r>
            <w:proofErr w:type="spellEnd"/>
            <w:r w:rsidRPr="00452430">
              <w:rPr>
                <w:b/>
                <w:i/>
                <w:spacing w:val="-11"/>
                <w:szCs w:val="24"/>
                <w:lang w:val="fr-FR"/>
              </w:rPr>
              <w:t xml:space="preserve"> </w:t>
            </w:r>
          </w:p>
        </w:tc>
      </w:tr>
      <w:tr w:rsidR="00C019CA" w:rsidRPr="006C013A" w14:paraId="53148A32" w14:textId="77777777" w:rsidTr="005A2454">
        <w:tc>
          <w:tcPr>
            <w:tcW w:w="2892" w:type="dxa"/>
            <w:shd w:val="clear" w:color="auto" w:fill="auto"/>
          </w:tcPr>
          <w:p w14:paraId="58BD67B7"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Digoxin</w:t>
            </w:r>
          </w:p>
          <w:p w14:paraId="7540BD88"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(P-</w:t>
            </w:r>
            <w:proofErr w:type="spellStart"/>
            <w:r w:rsidRPr="00452430">
              <w:rPr>
                <w:rFonts w:ascii="Times New Roman" w:hAnsi="Times New Roman" w:cs="Times New Roman"/>
              </w:rPr>
              <w:t>gp</w:t>
            </w:r>
            <w:proofErr w:type="spellEnd"/>
            <w:r w:rsidRPr="00452430">
              <w:rPr>
                <w:rFonts w:ascii="Times New Roman" w:hAnsi="Times New Roman" w:cs="Times New Roman"/>
              </w:rPr>
              <w:t xml:space="preserve"> substrate)</w:t>
            </w:r>
          </w:p>
        </w:tc>
        <w:tc>
          <w:tcPr>
            <w:tcW w:w="3270" w:type="dxa"/>
            <w:shd w:val="clear" w:color="auto" w:fill="auto"/>
          </w:tcPr>
          <w:p w14:paraId="4FB3F36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Digoxin:</w:t>
            </w:r>
          </w:p>
          <w:p w14:paraId="458CBC82"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AUC</w:t>
            </w:r>
            <w:r w:rsidRPr="00452430">
              <w:rPr>
                <w:rFonts w:ascii="Times New Roman" w:hAnsi="Times New Roman" w:cs="Times New Roman"/>
                <w:vertAlign w:val="subscript"/>
              </w:rPr>
              <w:t>inf</w:t>
            </w:r>
            <w:proofErr w:type="spellEnd"/>
            <w:r w:rsidRPr="00452430">
              <w:rPr>
                <w:rFonts w:ascii="Times New Roman" w:hAnsi="Times New Roman" w:cs="Times New Roman"/>
              </w:rPr>
              <w:t>: ↑ 25%</w:t>
            </w:r>
          </w:p>
          <w:p w14:paraId="4328B320"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C</w:t>
            </w:r>
            <w:r w:rsidRPr="00452430">
              <w:rPr>
                <w:rFonts w:ascii="Times New Roman" w:hAnsi="Times New Roman" w:cs="Times New Roman"/>
                <w:vertAlign w:val="subscript"/>
              </w:rPr>
              <w:t>max</w:t>
            </w:r>
            <w:proofErr w:type="spellEnd"/>
            <w:r w:rsidRPr="00452430">
              <w:rPr>
                <w:rFonts w:ascii="Times New Roman" w:hAnsi="Times New Roman" w:cs="Times New Roman"/>
              </w:rPr>
              <w:t>: ↑ 33%</w:t>
            </w:r>
          </w:p>
          <w:p w14:paraId="0B6C9BAF" w14:textId="77777777" w:rsidR="00C019CA" w:rsidRPr="00452430" w:rsidRDefault="00C019CA" w:rsidP="005A2454">
            <w:pPr>
              <w:pStyle w:val="Default"/>
              <w:rPr>
                <w:rFonts w:ascii="Times New Roman" w:hAnsi="Times New Roman" w:cs="Times New Roman"/>
              </w:rPr>
            </w:pPr>
          </w:p>
          <w:p w14:paraId="609D3FDF"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(P-</w:t>
            </w:r>
            <w:proofErr w:type="spellStart"/>
            <w:r w:rsidRPr="00452430">
              <w:rPr>
                <w:rFonts w:ascii="Times New Roman" w:hAnsi="Times New Roman" w:cs="Times New Roman"/>
              </w:rPr>
              <w:t>gp</w:t>
            </w:r>
            <w:proofErr w:type="spellEnd"/>
            <w:r w:rsidRPr="00452430">
              <w:rPr>
                <w:rFonts w:ascii="Times New Roman" w:hAnsi="Times New Roman" w:cs="Times New Roman"/>
              </w:rPr>
              <w:t xml:space="preserve"> inhibition)</w:t>
            </w:r>
          </w:p>
        </w:tc>
        <w:tc>
          <w:tcPr>
            <w:tcW w:w="3081" w:type="dxa"/>
            <w:shd w:val="clear" w:color="auto" w:fill="auto"/>
          </w:tcPr>
          <w:p w14:paraId="0BA829CD"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lastRenderedPageBreak/>
              <w:t>No CRESEMBA dose adjustment necessary.</w:t>
            </w:r>
          </w:p>
          <w:p w14:paraId="4D58648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Digoxin: serum digoxin </w:t>
            </w:r>
            <w:r w:rsidRPr="00452430">
              <w:rPr>
                <w:rFonts w:ascii="Times New Roman" w:hAnsi="Times New Roman" w:cs="Times New Roman"/>
              </w:rPr>
              <w:lastRenderedPageBreak/>
              <w:t xml:space="preserve">concentrations should be monitored and used for titration of the digoxin dose. </w:t>
            </w:r>
          </w:p>
        </w:tc>
      </w:tr>
      <w:tr w:rsidR="00C019CA" w:rsidRPr="006C013A" w14:paraId="513B6D44" w14:textId="77777777" w:rsidTr="005A2454">
        <w:tc>
          <w:tcPr>
            <w:tcW w:w="9243" w:type="dxa"/>
            <w:gridSpan w:val="3"/>
            <w:shd w:val="clear" w:color="auto" w:fill="auto"/>
          </w:tcPr>
          <w:p w14:paraId="56067821" w14:textId="77777777" w:rsidR="00C019CA" w:rsidRPr="00452430" w:rsidRDefault="00C019CA" w:rsidP="005A2454">
            <w:pPr>
              <w:spacing w:after="0"/>
              <w:rPr>
                <w:b/>
                <w:i/>
                <w:spacing w:val="-11"/>
                <w:szCs w:val="24"/>
                <w:lang w:val="fr-FR"/>
              </w:rPr>
            </w:pPr>
            <w:r w:rsidRPr="00452430">
              <w:rPr>
                <w:b/>
                <w:i/>
                <w:spacing w:val="-11"/>
                <w:szCs w:val="24"/>
                <w:lang w:val="fr-FR"/>
              </w:rPr>
              <w:lastRenderedPageBreak/>
              <w:t xml:space="preserve">Oral contraceptives </w:t>
            </w:r>
          </w:p>
        </w:tc>
      </w:tr>
      <w:tr w:rsidR="00C019CA" w:rsidRPr="006C013A" w14:paraId="1E0E28C4" w14:textId="77777777" w:rsidTr="005A2454">
        <w:tc>
          <w:tcPr>
            <w:tcW w:w="2892" w:type="dxa"/>
            <w:shd w:val="clear" w:color="auto" w:fill="auto"/>
          </w:tcPr>
          <w:p w14:paraId="6FDBBD64"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Ethinyl</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oestradiol</w:t>
            </w:r>
            <w:proofErr w:type="spellEnd"/>
            <w:r w:rsidRPr="00452430">
              <w:rPr>
                <w:rFonts w:ascii="Times New Roman" w:hAnsi="Times New Roman" w:cs="Times New Roman"/>
              </w:rPr>
              <w:t xml:space="preserve"> and </w:t>
            </w:r>
            <w:proofErr w:type="spellStart"/>
            <w:r w:rsidRPr="00452430">
              <w:rPr>
                <w:rFonts w:ascii="Times New Roman" w:hAnsi="Times New Roman" w:cs="Times New Roman"/>
              </w:rPr>
              <w:t>norenthrindone</w:t>
            </w:r>
            <w:proofErr w:type="spellEnd"/>
          </w:p>
          <w:p w14:paraId="5BFD908D"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substrates)</w:t>
            </w:r>
          </w:p>
        </w:tc>
        <w:tc>
          <w:tcPr>
            <w:tcW w:w="3270" w:type="dxa"/>
            <w:shd w:val="clear" w:color="auto" w:fill="auto"/>
          </w:tcPr>
          <w:p w14:paraId="299F485E"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Ethinyl</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oestradiol</w:t>
            </w:r>
            <w:proofErr w:type="spellEnd"/>
            <w:r w:rsidRPr="00452430">
              <w:rPr>
                <w:rFonts w:ascii="Times New Roman" w:hAnsi="Times New Roman" w:cs="Times New Roman"/>
              </w:rPr>
              <w:t xml:space="preserve"> </w:t>
            </w:r>
          </w:p>
          <w:p w14:paraId="5EA7FB23"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AUC</w:t>
            </w:r>
            <w:r w:rsidRPr="00452430">
              <w:rPr>
                <w:rFonts w:ascii="Times New Roman" w:hAnsi="Times New Roman" w:cs="Times New Roman"/>
                <w:vertAlign w:val="subscript"/>
              </w:rPr>
              <w:t>inf</w:t>
            </w:r>
            <w:proofErr w:type="spellEnd"/>
            <w:r w:rsidRPr="00452430">
              <w:rPr>
                <w:rFonts w:ascii="Times New Roman" w:hAnsi="Times New Roman" w:cs="Times New Roman"/>
              </w:rPr>
              <w:t>: ↑ 8%</w:t>
            </w:r>
          </w:p>
          <w:p w14:paraId="6D5A685F"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C</w:t>
            </w:r>
            <w:r w:rsidRPr="00452430">
              <w:rPr>
                <w:rFonts w:ascii="Times New Roman" w:hAnsi="Times New Roman" w:cs="Times New Roman"/>
                <w:vertAlign w:val="subscript"/>
              </w:rPr>
              <w:t>max</w:t>
            </w:r>
            <w:proofErr w:type="spellEnd"/>
            <w:r w:rsidRPr="00452430">
              <w:rPr>
                <w:rFonts w:ascii="Times New Roman" w:hAnsi="Times New Roman" w:cs="Times New Roman"/>
              </w:rPr>
              <w:t>: ↑ 14%</w:t>
            </w:r>
          </w:p>
          <w:p w14:paraId="4062EB9D"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Norenthrindone</w:t>
            </w:r>
            <w:proofErr w:type="spellEnd"/>
            <w:r w:rsidRPr="00452430">
              <w:rPr>
                <w:rFonts w:ascii="Times New Roman" w:hAnsi="Times New Roman" w:cs="Times New Roman"/>
              </w:rPr>
              <w:t xml:space="preserve"> </w:t>
            </w:r>
          </w:p>
          <w:p w14:paraId="2DF5BD7A"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AUC</w:t>
            </w:r>
            <w:r w:rsidRPr="00452430">
              <w:rPr>
                <w:rFonts w:ascii="Times New Roman" w:hAnsi="Times New Roman" w:cs="Times New Roman"/>
                <w:vertAlign w:val="subscript"/>
              </w:rPr>
              <w:t>inf</w:t>
            </w:r>
            <w:proofErr w:type="spellEnd"/>
            <w:r w:rsidRPr="00452430">
              <w:rPr>
                <w:rFonts w:ascii="Times New Roman" w:hAnsi="Times New Roman" w:cs="Times New Roman"/>
              </w:rPr>
              <w:t>: ↑ 16%</w:t>
            </w:r>
          </w:p>
          <w:p w14:paraId="4772CA2F"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w:t>
            </w:r>
            <w:r w:rsidRPr="00452430">
              <w:rPr>
                <w:rFonts w:ascii="Times New Roman" w:hAnsi="Times New Roman" w:cs="Times New Roman"/>
                <w:vertAlign w:val="subscript"/>
                <w:lang w:val="fr-FR"/>
              </w:rPr>
              <w:t>max</w:t>
            </w:r>
            <w:r w:rsidRPr="00452430">
              <w:rPr>
                <w:rFonts w:ascii="Times New Roman" w:hAnsi="Times New Roman" w:cs="Times New Roman"/>
              </w:rPr>
              <w:t>: ↑ 6%</w:t>
            </w:r>
          </w:p>
        </w:tc>
        <w:tc>
          <w:tcPr>
            <w:tcW w:w="3081" w:type="dxa"/>
            <w:shd w:val="clear" w:color="auto" w:fill="auto"/>
          </w:tcPr>
          <w:p w14:paraId="19C35740"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t xml:space="preserve">No CRESEMBA dose adjustment necessary. </w:t>
            </w:r>
          </w:p>
          <w:p w14:paraId="75F6F47C"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Ethinyl</w:t>
            </w:r>
            <w:proofErr w:type="spellEnd"/>
            <w:r w:rsidRPr="00452430">
              <w:rPr>
                <w:rFonts w:ascii="Times New Roman" w:hAnsi="Times New Roman" w:cs="Times New Roman"/>
              </w:rPr>
              <w:t xml:space="preserve"> </w:t>
            </w:r>
            <w:proofErr w:type="spellStart"/>
            <w:r w:rsidRPr="00452430">
              <w:rPr>
                <w:rFonts w:ascii="Times New Roman" w:hAnsi="Times New Roman" w:cs="Times New Roman"/>
              </w:rPr>
              <w:t>oestradiol</w:t>
            </w:r>
            <w:proofErr w:type="spellEnd"/>
            <w:r w:rsidRPr="00452430">
              <w:rPr>
                <w:rFonts w:ascii="Times New Roman" w:hAnsi="Times New Roman" w:cs="Times New Roman"/>
              </w:rPr>
              <w:t xml:space="preserve"> and </w:t>
            </w:r>
            <w:proofErr w:type="spellStart"/>
            <w:r w:rsidRPr="00452430">
              <w:rPr>
                <w:rFonts w:ascii="Times New Roman" w:hAnsi="Times New Roman" w:cs="Times New Roman"/>
              </w:rPr>
              <w:t>norenthrindone</w:t>
            </w:r>
            <w:proofErr w:type="spellEnd"/>
            <w:r w:rsidRPr="00452430">
              <w:rPr>
                <w:rFonts w:ascii="Times New Roman" w:hAnsi="Times New Roman" w:cs="Times New Roman"/>
              </w:rPr>
              <w:t>: no dose adjustment required.</w:t>
            </w:r>
          </w:p>
        </w:tc>
      </w:tr>
      <w:tr w:rsidR="00C019CA" w:rsidRPr="006C013A" w14:paraId="2183A00D" w14:textId="77777777" w:rsidTr="005A2454">
        <w:tc>
          <w:tcPr>
            <w:tcW w:w="9243" w:type="dxa"/>
            <w:gridSpan w:val="3"/>
            <w:shd w:val="clear" w:color="auto" w:fill="auto"/>
          </w:tcPr>
          <w:p w14:paraId="203EBA73" w14:textId="77777777" w:rsidR="00C019CA" w:rsidRPr="00452430" w:rsidRDefault="00C019CA" w:rsidP="005A2454">
            <w:pPr>
              <w:spacing w:after="0"/>
              <w:rPr>
                <w:b/>
                <w:i/>
                <w:spacing w:val="-11"/>
                <w:szCs w:val="24"/>
                <w:lang w:val="fr-FR"/>
              </w:rPr>
            </w:pPr>
            <w:r w:rsidRPr="00452430">
              <w:rPr>
                <w:b/>
                <w:i/>
                <w:spacing w:val="-11"/>
                <w:szCs w:val="24"/>
                <w:lang w:val="fr-FR"/>
              </w:rPr>
              <w:t>Antitussives</w:t>
            </w:r>
          </w:p>
        </w:tc>
      </w:tr>
      <w:tr w:rsidR="00C019CA" w:rsidRPr="006C013A" w14:paraId="09FA3F25" w14:textId="77777777" w:rsidTr="005A2454">
        <w:tc>
          <w:tcPr>
            <w:tcW w:w="2892" w:type="dxa"/>
            <w:shd w:val="clear" w:color="auto" w:fill="auto"/>
          </w:tcPr>
          <w:p w14:paraId="519FD722"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Dextromethorphan</w:t>
            </w:r>
          </w:p>
          <w:p w14:paraId="7C0D06F8"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(CYP2D6 substrate)</w:t>
            </w:r>
          </w:p>
        </w:tc>
        <w:tc>
          <w:tcPr>
            <w:tcW w:w="3270" w:type="dxa"/>
            <w:shd w:val="clear" w:color="auto" w:fill="auto"/>
          </w:tcPr>
          <w:p w14:paraId="1AD14D36"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Dextromethorphan:</w:t>
            </w:r>
          </w:p>
          <w:p w14:paraId="6A8BC07E"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AUC</w:t>
            </w:r>
            <w:r w:rsidRPr="00452430">
              <w:rPr>
                <w:rFonts w:ascii="Times New Roman" w:hAnsi="Times New Roman" w:cs="Times New Roman"/>
                <w:vertAlign w:val="subscript"/>
              </w:rPr>
              <w:t>inf</w:t>
            </w:r>
            <w:proofErr w:type="spellEnd"/>
            <w:r w:rsidRPr="00452430">
              <w:rPr>
                <w:rFonts w:ascii="Times New Roman" w:hAnsi="Times New Roman" w:cs="Times New Roman"/>
              </w:rPr>
              <w:t>: ↑ 18%</w:t>
            </w:r>
          </w:p>
          <w:p w14:paraId="0E64A49A"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C</w:t>
            </w:r>
            <w:r w:rsidRPr="00452430">
              <w:rPr>
                <w:rFonts w:ascii="Times New Roman" w:hAnsi="Times New Roman" w:cs="Times New Roman"/>
                <w:vertAlign w:val="subscript"/>
              </w:rPr>
              <w:t>max</w:t>
            </w:r>
            <w:proofErr w:type="spellEnd"/>
            <w:r w:rsidRPr="00452430">
              <w:rPr>
                <w:rFonts w:ascii="Times New Roman" w:hAnsi="Times New Roman" w:cs="Times New Roman"/>
              </w:rPr>
              <w:t>: ↑ 17%</w:t>
            </w:r>
          </w:p>
          <w:p w14:paraId="460B60F7"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Dextrorphan</w:t>
            </w:r>
            <w:proofErr w:type="spellEnd"/>
            <w:r w:rsidRPr="00452430">
              <w:rPr>
                <w:rFonts w:ascii="Times New Roman" w:hAnsi="Times New Roman" w:cs="Times New Roman"/>
              </w:rPr>
              <w:t xml:space="preserve"> (active metabolite):</w:t>
            </w:r>
          </w:p>
          <w:p w14:paraId="3D93C656"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AUC</w:t>
            </w:r>
            <w:proofErr w:type="spellStart"/>
            <w:r w:rsidRPr="00452430">
              <w:rPr>
                <w:rFonts w:ascii="Times New Roman" w:hAnsi="Times New Roman" w:cs="Times New Roman"/>
                <w:vertAlign w:val="subscript"/>
                <w:lang w:val="fr-FR"/>
              </w:rPr>
              <w:t>inf</w:t>
            </w:r>
            <w:proofErr w:type="spellEnd"/>
            <w:r w:rsidRPr="00452430">
              <w:rPr>
                <w:rFonts w:ascii="Times New Roman" w:hAnsi="Times New Roman" w:cs="Times New Roman"/>
              </w:rPr>
              <w:t>: ↑ 4%</w:t>
            </w:r>
          </w:p>
          <w:p w14:paraId="692CAC94"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w:t>
            </w:r>
            <w:r w:rsidRPr="00452430">
              <w:rPr>
                <w:rFonts w:ascii="Times New Roman" w:hAnsi="Times New Roman" w:cs="Times New Roman"/>
                <w:vertAlign w:val="subscript"/>
                <w:lang w:val="fr-FR"/>
              </w:rPr>
              <w:t>max</w:t>
            </w:r>
            <w:r w:rsidRPr="00452430">
              <w:rPr>
                <w:rFonts w:ascii="Times New Roman" w:hAnsi="Times New Roman" w:cs="Times New Roman"/>
              </w:rPr>
              <w:t>: ↓ 2%</w:t>
            </w:r>
          </w:p>
        </w:tc>
        <w:tc>
          <w:tcPr>
            <w:tcW w:w="3081" w:type="dxa"/>
            <w:shd w:val="clear" w:color="auto" w:fill="auto"/>
          </w:tcPr>
          <w:p w14:paraId="71E593B6"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t>No CRESEMBA dose adjustment necessary.</w:t>
            </w:r>
          </w:p>
          <w:p w14:paraId="0F60A72E"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Dextromethorphan: no dose adjustment required.</w:t>
            </w:r>
          </w:p>
        </w:tc>
      </w:tr>
      <w:tr w:rsidR="00C019CA" w:rsidRPr="006C013A" w14:paraId="3CE36777" w14:textId="77777777" w:rsidTr="005A2454">
        <w:tc>
          <w:tcPr>
            <w:tcW w:w="9243" w:type="dxa"/>
            <w:gridSpan w:val="3"/>
            <w:shd w:val="clear" w:color="auto" w:fill="auto"/>
          </w:tcPr>
          <w:p w14:paraId="60552117"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Benzodiazepines</w:t>
            </w:r>
            <w:proofErr w:type="spellEnd"/>
          </w:p>
        </w:tc>
      </w:tr>
      <w:tr w:rsidR="00C019CA" w:rsidRPr="006C013A" w14:paraId="701EE9BF" w14:textId="77777777" w:rsidTr="005A2454">
        <w:tc>
          <w:tcPr>
            <w:tcW w:w="2892" w:type="dxa"/>
            <w:shd w:val="clear" w:color="auto" w:fill="auto"/>
          </w:tcPr>
          <w:p w14:paraId="7B052096"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Midazolam</w:t>
            </w:r>
          </w:p>
          <w:p w14:paraId="0EC00AF6"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(CYP3A4/5 substrate)</w:t>
            </w:r>
          </w:p>
        </w:tc>
        <w:tc>
          <w:tcPr>
            <w:tcW w:w="3270" w:type="dxa"/>
            <w:shd w:val="clear" w:color="auto" w:fill="auto"/>
          </w:tcPr>
          <w:p w14:paraId="78714B9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Oral midazolam:</w:t>
            </w:r>
          </w:p>
          <w:p w14:paraId="2D6CEF77"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AUC</w:t>
            </w:r>
            <w:r w:rsidRPr="00452430">
              <w:rPr>
                <w:rFonts w:ascii="Times New Roman" w:hAnsi="Times New Roman" w:cs="Times New Roman"/>
                <w:vertAlign w:val="subscript"/>
              </w:rPr>
              <w:t>inf</w:t>
            </w:r>
            <w:proofErr w:type="spellEnd"/>
            <w:r w:rsidRPr="00452430">
              <w:rPr>
                <w:rFonts w:ascii="Times New Roman" w:hAnsi="Times New Roman" w:cs="Times New Roman"/>
              </w:rPr>
              <w:t>: ↑ 103%</w:t>
            </w:r>
          </w:p>
          <w:p w14:paraId="472B7063"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C</w:t>
            </w:r>
            <w:r w:rsidRPr="00452430">
              <w:rPr>
                <w:rFonts w:ascii="Times New Roman" w:hAnsi="Times New Roman" w:cs="Times New Roman"/>
                <w:vertAlign w:val="subscript"/>
              </w:rPr>
              <w:t>max</w:t>
            </w:r>
            <w:proofErr w:type="spellEnd"/>
            <w:r w:rsidRPr="00452430">
              <w:rPr>
                <w:rFonts w:ascii="Times New Roman" w:hAnsi="Times New Roman" w:cs="Times New Roman"/>
              </w:rPr>
              <w:t>: ↑ 72%</w:t>
            </w:r>
          </w:p>
          <w:p w14:paraId="68835CBB" w14:textId="77777777" w:rsidR="00C019CA" w:rsidRPr="00452430" w:rsidRDefault="00C019CA" w:rsidP="005A2454">
            <w:pPr>
              <w:pStyle w:val="Default"/>
              <w:rPr>
                <w:rFonts w:ascii="Times New Roman" w:hAnsi="Times New Roman" w:cs="Times New Roman"/>
              </w:rPr>
            </w:pPr>
          </w:p>
          <w:p w14:paraId="128958D0"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(CYP3A4 inhibition)</w:t>
            </w:r>
          </w:p>
        </w:tc>
        <w:tc>
          <w:tcPr>
            <w:tcW w:w="3081" w:type="dxa"/>
            <w:shd w:val="clear" w:color="auto" w:fill="auto"/>
          </w:tcPr>
          <w:p w14:paraId="3A20E619"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t xml:space="preserve">No CRESEMBA dose adjustment necessary. </w:t>
            </w:r>
          </w:p>
          <w:p w14:paraId="1B283250"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Midazolam: careful monitoring of clinical signs and symptoms recommended, and dose reduction if required.</w:t>
            </w:r>
          </w:p>
        </w:tc>
      </w:tr>
      <w:tr w:rsidR="00C019CA" w:rsidRPr="006C013A" w14:paraId="5631FD1B" w14:textId="77777777" w:rsidTr="005A2454">
        <w:tc>
          <w:tcPr>
            <w:tcW w:w="9243" w:type="dxa"/>
            <w:gridSpan w:val="3"/>
            <w:shd w:val="clear" w:color="auto" w:fill="auto"/>
          </w:tcPr>
          <w:p w14:paraId="6CFA378D" w14:textId="77777777" w:rsidR="00C019CA" w:rsidRPr="00452430" w:rsidRDefault="00C019CA" w:rsidP="005A2454">
            <w:pPr>
              <w:spacing w:after="0"/>
              <w:rPr>
                <w:b/>
                <w:i/>
                <w:spacing w:val="-11"/>
                <w:szCs w:val="24"/>
                <w:lang w:val="fr-FR"/>
              </w:rPr>
            </w:pPr>
            <w:proofErr w:type="spellStart"/>
            <w:r w:rsidRPr="00452430">
              <w:rPr>
                <w:b/>
                <w:i/>
                <w:spacing w:val="-11"/>
                <w:szCs w:val="24"/>
                <w:lang w:val="fr-FR"/>
              </w:rPr>
              <w:t>Antigout</w:t>
            </w:r>
            <w:proofErr w:type="spellEnd"/>
            <w:r w:rsidRPr="00452430">
              <w:rPr>
                <w:b/>
                <w:i/>
                <w:spacing w:val="-11"/>
                <w:szCs w:val="24"/>
                <w:lang w:val="fr-FR"/>
              </w:rPr>
              <w:t xml:space="preserve"> agent</w:t>
            </w:r>
          </w:p>
        </w:tc>
      </w:tr>
      <w:tr w:rsidR="00C019CA" w:rsidRPr="006C013A" w14:paraId="35EEA232" w14:textId="77777777" w:rsidTr="005A2454">
        <w:tc>
          <w:tcPr>
            <w:tcW w:w="2892" w:type="dxa"/>
            <w:shd w:val="clear" w:color="auto" w:fill="auto"/>
          </w:tcPr>
          <w:p w14:paraId="56C7C967"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Colchicine</w:t>
            </w:r>
          </w:p>
          <w:p w14:paraId="49865107"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(P-</w:t>
            </w:r>
            <w:proofErr w:type="spellStart"/>
            <w:r w:rsidRPr="00452430">
              <w:rPr>
                <w:rFonts w:ascii="Times New Roman" w:hAnsi="Times New Roman" w:cs="Times New Roman"/>
              </w:rPr>
              <w:t>gp</w:t>
            </w:r>
            <w:proofErr w:type="spellEnd"/>
            <w:r w:rsidRPr="00452430">
              <w:rPr>
                <w:rFonts w:ascii="Times New Roman" w:hAnsi="Times New Roman" w:cs="Times New Roman"/>
              </w:rPr>
              <w:t xml:space="preserve"> substrate)</w:t>
            </w:r>
          </w:p>
        </w:tc>
        <w:tc>
          <w:tcPr>
            <w:tcW w:w="3270" w:type="dxa"/>
            <w:shd w:val="clear" w:color="auto" w:fill="auto"/>
          </w:tcPr>
          <w:p w14:paraId="40DF66DD"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Not studied. </w:t>
            </w:r>
          </w:p>
          <w:p w14:paraId="557A06A6"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Colchicine concentrations may increase.</w:t>
            </w:r>
          </w:p>
          <w:p w14:paraId="455DEA64" w14:textId="77777777" w:rsidR="00C019CA" w:rsidRPr="00452430" w:rsidRDefault="00C019CA" w:rsidP="005A2454">
            <w:pPr>
              <w:pStyle w:val="Default"/>
              <w:rPr>
                <w:rFonts w:ascii="Times New Roman" w:hAnsi="Times New Roman" w:cs="Times New Roman"/>
              </w:rPr>
            </w:pPr>
          </w:p>
          <w:p w14:paraId="3EF5E13C"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(P-</w:t>
            </w:r>
            <w:proofErr w:type="spellStart"/>
            <w:r w:rsidRPr="00452430">
              <w:rPr>
                <w:rFonts w:ascii="Times New Roman" w:hAnsi="Times New Roman" w:cs="Times New Roman"/>
              </w:rPr>
              <w:t>gp</w:t>
            </w:r>
            <w:proofErr w:type="spellEnd"/>
            <w:r w:rsidRPr="00452430">
              <w:rPr>
                <w:rFonts w:ascii="Times New Roman" w:hAnsi="Times New Roman" w:cs="Times New Roman"/>
              </w:rPr>
              <w:t xml:space="preserve"> inhibition)</w:t>
            </w:r>
          </w:p>
        </w:tc>
        <w:tc>
          <w:tcPr>
            <w:tcW w:w="3081" w:type="dxa"/>
            <w:shd w:val="clear" w:color="auto" w:fill="auto"/>
          </w:tcPr>
          <w:p w14:paraId="79CE8BA4"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t xml:space="preserve">No CRESEMBA dose adjustment necessary. </w:t>
            </w:r>
          </w:p>
          <w:p w14:paraId="03D01269"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Colchicine has a narrow</w:t>
            </w:r>
          </w:p>
          <w:p w14:paraId="605EF51F"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therapeutic index and should be monitored, dose reduction if required. </w:t>
            </w:r>
          </w:p>
        </w:tc>
      </w:tr>
      <w:tr w:rsidR="00C019CA" w:rsidRPr="006C013A" w14:paraId="5736878A" w14:textId="77777777" w:rsidTr="005A2454">
        <w:tc>
          <w:tcPr>
            <w:tcW w:w="9243" w:type="dxa"/>
            <w:gridSpan w:val="3"/>
            <w:shd w:val="clear" w:color="auto" w:fill="auto"/>
          </w:tcPr>
          <w:p w14:paraId="1ED11C47" w14:textId="77777777" w:rsidR="00C019CA" w:rsidRPr="00452430" w:rsidRDefault="00C019CA" w:rsidP="005A2454">
            <w:pPr>
              <w:spacing w:after="0"/>
              <w:rPr>
                <w:b/>
                <w:i/>
                <w:spacing w:val="-11"/>
                <w:szCs w:val="24"/>
                <w:lang w:val="fr-FR"/>
              </w:rPr>
            </w:pPr>
            <w:r w:rsidRPr="00452430">
              <w:rPr>
                <w:b/>
                <w:i/>
                <w:spacing w:val="-11"/>
                <w:szCs w:val="24"/>
                <w:lang w:val="fr-FR"/>
              </w:rPr>
              <w:t xml:space="preserve">Natural </w:t>
            </w:r>
            <w:proofErr w:type="spellStart"/>
            <w:r w:rsidRPr="00452430">
              <w:rPr>
                <w:b/>
                <w:i/>
                <w:spacing w:val="-11"/>
                <w:szCs w:val="24"/>
                <w:lang w:val="fr-FR"/>
              </w:rPr>
              <w:t>products</w:t>
            </w:r>
            <w:proofErr w:type="spellEnd"/>
          </w:p>
        </w:tc>
      </w:tr>
      <w:tr w:rsidR="00C019CA" w:rsidRPr="006C013A" w14:paraId="3C76A525" w14:textId="77777777" w:rsidTr="005A2454">
        <w:tc>
          <w:tcPr>
            <w:tcW w:w="2892" w:type="dxa"/>
            <w:shd w:val="clear" w:color="auto" w:fill="auto"/>
          </w:tcPr>
          <w:p w14:paraId="61FA985D"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Caffeine</w:t>
            </w:r>
          </w:p>
          <w:p w14:paraId="65B422D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(CYP1A2 substrate)</w:t>
            </w:r>
          </w:p>
        </w:tc>
        <w:tc>
          <w:tcPr>
            <w:tcW w:w="3270" w:type="dxa"/>
            <w:shd w:val="clear" w:color="auto" w:fill="auto"/>
          </w:tcPr>
          <w:p w14:paraId="4AA88F8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Caffeine:</w:t>
            </w:r>
          </w:p>
          <w:p w14:paraId="3F963110"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AUC</w:t>
            </w:r>
            <w:proofErr w:type="spellStart"/>
            <w:r w:rsidRPr="00452430">
              <w:rPr>
                <w:rFonts w:ascii="Times New Roman" w:hAnsi="Times New Roman" w:cs="Times New Roman"/>
                <w:vertAlign w:val="subscript"/>
                <w:lang w:val="fr-FR"/>
              </w:rPr>
              <w:t>inf</w:t>
            </w:r>
            <w:proofErr w:type="spellEnd"/>
            <w:r w:rsidRPr="00452430">
              <w:rPr>
                <w:rFonts w:ascii="Times New Roman" w:hAnsi="Times New Roman" w:cs="Times New Roman"/>
              </w:rPr>
              <w:t>: ↑ 4%</w:t>
            </w:r>
          </w:p>
          <w:p w14:paraId="7FE50D8C"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w:t>
            </w:r>
            <w:r w:rsidRPr="00452430">
              <w:rPr>
                <w:rFonts w:ascii="Times New Roman" w:hAnsi="Times New Roman" w:cs="Times New Roman"/>
                <w:vertAlign w:val="subscript"/>
                <w:lang w:val="fr-FR"/>
              </w:rPr>
              <w:t>max</w:t>
            </w:r>
            <w:r w:rsidRPr="00452430">
              <w:rPr>
                <w:rFonts w:ascii="Times New Roman" w:hAnsi="Times New Roman" w:cs="Times New Roman"/>
              </w:rPr>
              <w:t>: ↓ 1%</w:t>
            </w:r>
          </w:p>
          <w:p w14:paraId="1145B2CB" w14:textId="77777777" w:rsidR="00C019CA" w:rsidRPr="00452430" w:rsidRDefault="00C019CA" w:rsidP="005A2454">
            <w:pPr>
              <w:pStyle w:val="Default"/>
              <w:rPr>
                <w:rFonts w:ascii="Times New Roman" w:hAnsi="Times New Roman" w:cs="Times New Roman"/>
              </w:rPr>
            </w:pPr>
          </w:p>
          <w:p w14:paraId="39E8BDD5" w14:textId="77777777" w:rsidR="00C019CA" w:rsidRPr="00452430" w:rsidRDefault="00C019CA" w:rsidP="005A2454">
            <w:pPr>
              <w:pStyle w:val="Default"/>
              <w:rPr>
                <w:rFonts w:ascii="Times New Roman" w:hAnsi="Times New Roman" w:cs="Times New Roman"/>
              </w:rPr>
            </w:pPr>
          </w:p>
          <w:p w14:paraId="30C7750A" w14:textId="77777777" w:rsidR="00C019CA" w:rsidRPr="00452430" w:rsidRDefault="00C019CA" w:rsidP="005A2454">
            <w:pPr>
              <w:pStyle w:val="Default"/>
              <w:rPr>
                <w:rFonts w:ascii="Times New Roman" w:hAnsi="Times New Roman" w:cs="Times New Roman"/>
              </w:rPr>
            </w:pPr>
          </w:p>
        </w:tc>
        <w:tc>
          <w:tcPr>
            <w:tcW w:w="3081" w:type="dxa"/>
            <w:shd w:val="clear" w:color="auto" w:fill="auto"/>
          </w:tcPr>
          <w:p w14:paraId="6EE1C03F"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t xml:space="preserve">No CRESEMBA dose adjustment necessary. </w:t>
            </w:r>
          </w:p>
          <w:p w14:paraId="659912E4"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Caffeine: no dose adjustment required.</w:t>
            </w:r>
          </w:p>
        </w:tc>
      </w:tr>
      <w:tr w:rsidR="00C019CA" w:rsidRPr="006C013A" w14:paraId="5957E755" w14:textId="77777777" w:rsidTr="005A2454">
        <w:tc>
          <w:tcPr>
            <w:tcW w:w="9243" w:type="dxa"/>
            <w:gridSpan w:val="3"/>
            <w:shd w:val="clear" w:color="auto" w:fill="auto"/>
          </w:tcPr>
          <w:p w14:paraId="2EAA60FF" w14:textId="77777777" w:rsidR="00C019CA" w:rsidRPr="00452430" w:rsidRDefault="00C019CA" w:rsidP="005A2454">
            <w:pPr>
              <w:spacing w:after="0"/>
              <w:rPr>
                <w:b/>
                <w:i/>
                <w:spacing w:val="-11"/>
                <w:szCs w:val="24"/>
                <w:lang w:val="fr-FR"/>
              </w:rPr>
            </w:pPr>
            <w:r w:rsidRPr="00452430">
              <w:rPr>
                <w:b/>
                <w:i/>
                <w:spacing w:val="-11"/>
                <w:szCs w:val="24"/>
                <w:lang w:val="fr-FR"/>
              </w:rPr>
              <w:t xml:space="preserve">Smoking cessation </w:t>
            </w:r>
            <w:proofErr w:type="spellStart"/>
            <w:r w:rsidRPr="00452430">
              <w:rPr>
                <w:b/>
                <w:i/>
                <w:spacing w:val="-11"/>
                <w:szCs w:val="24"/>
                <w:lang w:val="fr-FR"/>
              </w:rPr>
              <w:t>aids</w:t>
            </w:r>
            <w:proofErr w:type="spellEnd"/>
            <w:r w:rsidRPr="00452430">
              <w:rPr>
                <w:b/>
                <w:i/>
                <w:spacing w:val="-11"/>
                <w:szCs w:val="24"/>
                <w:lang w:val="fr-FR"/>
              </w:rPr>
              <w:t xml:space="preserve"> </w:t>
            </w:r>
          </w:p>
        </w:tc>
      </w:tr>
      <w:tr w:rsidR="00C019CA" w:rsidRPr="006C013A" w14:paraId="003EC248" w14:textId="77777777" w:rsidTr="005A2454">
        <w:tc>
          <w:tcPr>
            <w:tcW w:w="2892" w:type="dxa"/>
            <w:tcBorders>
              <w:bottom w:val="single" w:sz="4" w:space="0" w:color="auto"/>
            </w:tcBorders>
            <w:shd w:val="clear" w:color="auto" w:fill="auto"/>
          </w:tcPr>
          <w:p w14:paraId="1C5299C6"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 xml:space="preserve">Bupropion </w:t>
            </w:r>
          </w:p>
          <w:p w14:paraId="27E1F80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(CYP2B6 substrate)</w:t>
            </w:r>
          </w:p>
          <w:p w14:paraId="22F4053F" w14:textId="77777777" w:rsidR="00C019CA" w:rsidRPr="00452430" w:rsidRDefault="00C019CA" w:rsidP="005A2454">
            <w:pPr>
              <w:pStyle w:val="Default"/>
              <w:rPr>
                <w:rFonts w:ascii="Times New Roman" w:hAnsi="Times New Roman" w:cs="Times New Roman"/>
              </w:rPr>
            </w:pPr>
          </w:p>
        </w:tc>
        <w:tc>
          <w:tcPr>
            <w:tcW w:w="3270" w:type="dxa"/>
            <w:tcBorders>
              <w:bottom w:val="single" w:sz="4" w:space="0" w:color="auto"/>
            </w:tcBorders>
            <w:shd w:val="clear" w:color="auto" w:fill="auto"/>
          </w:tcPr>
          <w:p w14:paraId="067A1549" w14:textId="77777777" w:rsidR="00C019CA" w:rsidRPr="00452430" w:rsidRDefault="00C019CA" w:rsidP="005A2454">
            <w:pPr>
              <w:pStyle w:val="Default"/>
              <w:rPr>
                <w:rFonts w:ascii="Times New Roman" w:hAnsi="Times New Roman" w:cs="Times New Roman"/>
              </w:rPr>
            </w:pPr>
            <w:proofErr w:type="spellStart"/>
            <w:r w:rsidRPr="00452430">
              <w:rPr>
                <w:rFonts w:ascii="Times New Roman" w:hAnsi="Times New Roman" w:cs="Times New Roman"/>
              </w:rPr>
              <w:t>Buproprion</w:t>
            </w:r>
            <w:proofErr w:type="spellEnd"/>
            <w:r w:rsidRPr="00452430">
              <w:rPr>
                <w:rFonts w:ascii="Times New Roman" w:hAnsi="Times New Roman" w:cs="Times New Roman"/>
              </w:rPr>
              <w:t xml:space="preserve">: </w:t>
            </w:r>
          </w:p>
          <w:p w14:paraId="148F4B5E"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AUC</w:t>
            </w:r>
            <w:proofErr w:type="spellStart"/>
            <w:r w:rsidRPr="00452430">
              <w:rPr>
                <w:rFonts w:ascii="Times New Roman" w:hAnsi="Times New Roman" w:cs="Times New Roman"/>
                <w:vertAlign w:val="subscript"/>
                <w:lang w:val="fr-FR"/>
              </w:rPr>
              <w:t>inf</w:t>
            </w:r>
            <w:proofErr w:type="spellEnd"/>
            <w:r w:rsidRPr="00452430">
              <w:rPr>
                <w:rFonts w:ascii="Times New Roman" w:hAnsi="Times New Roman" w:cs="Times New Roman"/>
              </w:rPr>
              <w:t>: ↓ 42%</w:t>
            </w:r>
          </w:p>
          <w:p w14:paraId="584B1151"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C</w:t>
            </w:r>
            <w:r w:rsidRPr="00452430">
              <w:rPr>
                <w:rFonts w:ascii="Times New Roman" w:hAnsi="Times New Roman" w:cs="Times New Roman"/>
                <w:vertAlign w:val="subscript"/>
                <w:lang w:val="fr-FR"/>
              </w:rPr>
              <w:t>max</w:t>
            </w:r>
            <w:r w:rsidRPr="00452430">
              <w:rPr>
                <w:rFonts w:ascii="Times New Roman" w:hAnsi="Times New Roman" w:cs="Times New Roman"/>
              </w:rPr>
              <w:t>: ↓ 31%</w:t>
            </w:r>
          </w:p>
          <w:p w14:paraId="52E424CB" w14:textId="77777777" w:rsidR="00C019CA" w:rsidRPr="00452430" w:rsidRDefault="00C019CA" w:rsidP="005A2454">
            <w:pPr>
              <w:pStyle w:val="Default"/>
              <w:rPr>
                <w:rFonts w:ascii="Times New Roman" w:hAnsi="Times New Roman" w:cs="Times New Roman"/>
              </w:rPr>
            </w:pPr>
          </w:p>
          <w:p w14:paraId="15646DD2"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lastRenderedPageBreak/>
              <w:t>(CYP2B6 induction)</w:t>
            </w:r>
          </w:p>
        </w:tc>
        <w:tc>
          <w:tcPr>
            <w:tcW w:w="3081" w:type="dxa"/>
            <w:tcBorders>
              <w:bottom w:val="single" w:sz="4" w:space="0" w:color="auto"/>
            </w:tcBorders>
            <w:shd w:val="clear" w:color="auto" w:fill="auto"/>
          </w:tcPr>
          <w:p w14:paraId="48D5BE3F" w14:textId="77777777" w:rsidR="00C019CA" w:rsidRPr="00452430" w:rsidRDefault="00C019CA" w:rsidP="005A2454">
            <w:pPr>
              <w:pStyle w:val="Default"/>
              <w:rPr>
                <w:rFonts w:ascii="Times New Roman" w:hAnsi="Times New Roman" w:cs="Times New Roman"/>
                <w:lang w:val="pt-PT"/>
              </w:rPr>
            </w:pPr>
            <w:r w:rsidRPr="00452430">
              <w:rPr>
                <w:rFonts w:ascii="Times New Roman" w:hAnsi="Times New Roman" w:cs="Times New Roman"/>
                <w:lang w:val="pt-PT"/>
              </w:rPr>
              <w:lastRenderedPageBreak/>
              <w:t>No CRESEMBA dose adjustment necessary.</w:t>
            </w:r>
          </w:p>
          <w:p w14:paraId="4AF05020" w14:textId="77777777" w:rsidR="00C019CA" w:rsidRPr="00452430" w:rsidRDefault="00C019CA" w:rsidP="005A2454">
            <w:pPr>
              <w:pStyle w:val="Default"/>
              <w:rPr>
                <w:rFonts w:ascii="Times New Roman" w:hAnsi="Times New Roman" w:cs="Times New Roman"/>
              </w:rPr>
            </w:pPr>
            <w:r w:rsidRPr="00452430">
              <w:rPr>
                <w:rFonts w:ascii="Times New Roman" w:hAnsi="Times New Roman" w:cs="Times New Roman"/>
              </w:rPr>
              <w:t>Bupropion: dose increase if required.</w:t>
            </w:r>
          </w:p>
        </w:tc>
      </w:tr>
      <w:tr w:rsidR="00C019CA" w:rsidRPr="00212203" w14:paraId="32728AA2" w14:textId="77777777" w:rsidTr="005A2454">
        <w:tc>
          <w:tcPr>
            <w:tcW w:w="9243" w:type="dxa"/>
            <w:gridSpan w:val="3"/>
            <w:tcBorders>
              <w:left w:val="nil"/>
              <w:bottom w:val="nil"/>
              <w:right w:val="nil"/>
            </w:tcBorders>
            <w:shd w:val="clear" w:color="auto" w:fill="auto"/>
          </w:tcPr>
          <w:p w14:paraId="02AFF1CB" w14:textId="77777777" w:rsidR="00C019CA" w:rsidRPr="00212203" w:rsidRDefault="00C019CA" w:rsidP="00452430">
            <w:pPr>
              <w:pStyle w:val="CLDTableFootnote"/>
              <w:rPr>
                <w:lang w:val="it-IT"/>
              </w:rPr>
            </w:pPr>
            <w:r w:rsidRPr="00212203">
              <w:rPr>
                <w:lang w:val="it-IT"/>
              </w:rPr>
              <w:t>NNRTI, non-nucleoside reverse-transcriptase inhibitor; P-gp, P-glycoprotein.</w:t>
            </w:r>
          </w:p>
          <w:p w14:paraId="32DB9D9D" w14:textId="77777777" w:rsidR="00C019CA" w:rsidRPr="00212203" w:rsidRDefault="00C019CA" w:rsidP="00452430">
            <w:pPr>
              <w:pStyle w:val="CLDTableFootnote"/>
            </w:pPr>
            <w:r w:rsidRPr="00212203">
              <w:rPr>
                <w:vertAlign w:val="superscript"/>
              </w:rPr>
              <w:t>a)</w:t>
            </w:r>
            <w:r w:rsidRPr="00212203">
              <w:t xml:space="preserve"> % decrease of the mean trough level values</w:t>
            </w:r>
          </w:p>
          <w:p w14:paraId="2E3A5FF9" w14:textId="77777777" w:rsidR="00C019CA" w:rsidRPr="00212203" w:rsidRDefault="00C019CA" w:rsidP="00452430">
            <w:pPr>
              <w:pStyle w:val="CLDTableFootnote"/>
            </w:pPr>
            <w:r w:rsidRPr="00212203">
              <w:rPr>
                <w:vertAlign w:val="superscript"/>
              </w:rPr>
              <w:t>b)</w:t>
            </w:r>
            <w:r w:rsidRPr="00212203">
              <w:t xml:space="preserve"> </w:t>
            </w:r>
            <w:proofErr w:type="spellStart"/>
            <w:r w:rsidRPr="00212203">
              <w:t>Indinavir</w:t>
            </w:r>
            <w:proofErr w:type="spellEnd"/>
            <w:r w:rsidRPr="00212203">
              <w:t xml:space="preserve"> was only studied after a single dose of 400 mg </w:t>
            </w:r>
            <w:proofErr w:type="spellStart"/>
            <w:r w:rsidRPr="00212203">
              <w:t>isavuconazole</w:t>
            </w:r>
            <w:proofErr w:type="spellEnd"/>
            <w:r w:rsidRPr="00212203">
              <w:t>.</w:t>
            </w:r>
          </w:p>
          <w:p w14:paraId="1080A625" w14:textId="77777777" w:rsidR="00C019CA" w:rsidRPr="00212203" w:rsidRDefault="00C019CA" w:rsidP="00452430">
            <w:pPr>
              <w:pStyle w:val="CLDTableFootnote"/>
            </w:pPr>
            <w:proofErr w:type="spellStart"/>
            <w:r w:rsidRPr="00212203">
              <w:t>AUC</w:t>
            </w:r>
            <w:r w:rsidRPr="00212203">
              <w:rPr>
                <w:vertAlign w:val="subscript"/>
              </w:rPr>
              <w:t>inf</w:t>
            </w:r>
            <w:proofErr w:type="spellEnd"/>
            <w:r w:rsidRPr="00212203">
              <w:t xml:space="preserve"> = area under the plasma concentration-time profiles extrapolated to infinity; </w:t>
            </w:r>
            <w:proofErr w:type="spellStart"/>
            <w:r w:rsidRPr="00212203">
              <w:t>AUC</w:t>
            </w:r>
            <w:r w:rsidRPr="00212203">
              <w:rPr>
                <w:vertAlign w:val="subscript"/>
              </w:rPr>
              <w:t>tau</w:t>
            </w:r>
            <w:proofErr w:type="spellEnd"/>
            <w:r w:rsidRPr="00212203">
              <w:t xml:space="preserve"> = area under the plasma concentration-time profiles during the 24 h interval at steady state; </w:t>
            </w:r>
            <w:proofErr w:type="spellStart"/>
            <w:r w:rsidRPr="00212203">
              <w:t>C</w:t>
            </w:r>
            <w:r w:rsidRPr="00212203">
              <w:rPr>
                <w:vertAlign w:val="subscript"/>
              </w:rPr>
              <w:t>max</w:t>
            </w:r>
            <w:proofErr w:type="spellEnd"/>
            <w:r w:rsidRPr="00212203">
              <w:t xml:space="preserve"> = peak plasma concentration; </w:t>
            </w:r>
            <w:proofErr w:type="spellStart"/>
            <w:r w:rsidRPr="00212203">
              <w:t>C</w:t>
            </w:r>
            <w:r w:rsidRPr="00212203">
              <w:rPr>
                <w:vertAlign w:val="subscript"/>
              </w:rPr>
              <w:t>min</w:t>
            </w:r>
            <w:r w:rsidRPr="00212203">
              <w:t>,ss</w:t>
            </w:r>
            <w:proofErr w:type="spellEnd"/>
            <w:r w:rsidRPr="00212203">
              <w:t xml:space="preserve"> = trough levels at steady state.</w:t>
            </w:r>
          </w:p>
        </w:tc>
      </w:tr>
    </w:tbl>
    <w:p w14:paraId="6F3D38FC" w14:textId="77777777" w:rsidR="00112E5B" w:rsidRDefault="00787D1C" w:rsidP="00755FFF">
      <w:pPr>
        <w:pStyle w:val="CLDHeading2"/>
      </w:pPr>
      <w:r>
        <w:t>4.6</w:t>
      </w:r>
      <w:r>
        <w:tab/>
      </w:r>
      <w:r w:rsidR="00CD7E76">
        <w:t>Fertility, pregnancy and l</w:t>
      </w:r>
      <w:r w:rsidR="00112E5B">
        <w:t xml:space="preserve">actation </w:t>
      </w:r>
    </w:p>
    <w:p w14:paraId="1AC012B9" w14:textId="77777777" w:rsidR="00807A52" w:rsidRDefault="00C40E91" w:rsidP="00755FFF">
      <w:pPr>
        <w:pStyle w:val="CLDHeading3"/>
      </w:pPr>
      <w:r>
        <w:t>Effects on f</w:t>
      </w:r>
      <w:r w:rsidR="00807A52">
        <w:t>ertility</w:t>
      </w:r>
      <w:r w:rsidR="00095635">
        <w:t xml:space="preserve"> </w:t>
      </w:r>
    </w:p>
    <w:p w14:paraId="559B061E" w14:textId="6D9C5DDB" w:rsidR="00CE7290" w:rsidRPr="00212203" w:rsidRDefault="00CE7290" w:rsidP="00CE7290">
      <w:pPr>
        <w:pStyle w:val="CLDNormal"/>
      </w:pPr>
      <w:r w:rsidRPr="00212203">
        <w:t xml:space="preserve">There are no data on the effect of </w:t>
      </w:r>
      <w:proofErr w:type="spellStart"/>
      <w:r w:rsidRPr="00212203">
        <w:t>isavuconazole</w:t>
      </w:r>
      <w:proofErr w:type="spellEnd"/>
      <w:r w:rsidRPr="00212203">
        <w:t xml:space="preserve"> on human fertility. </w:t>
      </w:r>
      <w:r w:rsidR="002C432E">
        <w:t xml:space="preserve">  </w:t>
      </w:r>
      <w:r w:rsidR="002C432E" w:rsidRPr="002C432E">
        <w:t xml:space="preserve">Oral administration of </w:t>
      </w:r>
      <w:proofErr w:type="spellStart"/>
      <w:r w:rsidR="002C432E" w:rsidRPr="002C432E">
        <w:t>isavuconazonium</w:t>
      </w:r>
      <w:proofErr w:type="spellEnd"/>
      <w:r w:rsidR="002C432E" w:rsidRPr="002C432E">
        <w:t xml:space="preserve"> </w:t>
      </w:r>
      <w:proofErr w:type="spellStart"/>
      <w:r w:rsidR="002C432E" w:rsidRPr="002C432E">
        <w:t>sulfate</w:t>
      </w:r>
      <w:proofErr w:type="spellEnd"/>
      <w:r w:rsidR="002C432E" w:rsidRPr="002C432E">
        <w:t xml:space="preserve"> did not affect the fertility in male or female rats treated at doses up to 90 mg/kg/day (less than a half the clinical dose based on AUC comparisons).</w:t>
      </w:r>
    </w:p>
    <w:p w14:paraId="37468E9B" w14:textId="77777777" w:rsidR="00CE7290" w:rsidRPr="00212203" w:rsidRDefault="00CE7290" w:rsidP="00CE7290">
      <w:pPr>
        <w:pStyle w:val="CLDNormal"/>
      </w:pPr>
      <w:r w:rsidRPr="00212203">
        <w:t>CRESEMBA is not recommended for women of childbearing potential who are not using contraception.</w:t>
      </w:r>
    </w:p>
    <w:p w14:paraId="28D9A4C1" w14:textId="22C999CA" w:rsidR="00112E5B" w:rsidRDefault="00C40E91" w:rsidP="00755FFF">
      <w:pPr>
        <w:pStyle w:val="CLDHeading3"/>
      </w:pPr>
      <w:r>
        <w:t>Use in p</w:t>
      </w:r>
      <w:r w:rsidR="00112E5B">
        <w:t>regnancy</w:t>
      </w:r>
      <w:r>
        <w:t xml:space="preserve"> – </w:t>
      </w:r>
      <w:r w:rsidR="00636841">
        <w:t>Pregnancy</w:t>
      </w:r>
      <w:r>
        <w:t xml:space="preserve"> Category </w:t>
      </w:r>
      <w:r w:rsidR="002C432E">
        <w:t>D</w:t>
      </w:r>
    </w:p>
    <w:p w14:paraId="47E56A95" w14:textId="567DCD81" w:rsidR="00CE7290" w:rsidRPr="00CE7290" w:rsidRDefault="00CE7290" w:rsidP="00CE7290">
      <w:pPr>
        <w:pStyle w:val="CLDNormal"/>
      </w:pPr>
      <w:r w:rsidRPr="00CE7290">
        <w:t>There are no data from the use of CRESEMBA in pregnant women.</w:t>
      </w:r>
      <w:r w:rsidR="002C432E">
        <w:t xml:space="preserve">   </w:t>
      </w:r>
      <w:proofErr w:type="spellStart"/>
      <w:r w:rsidR="002C432E" w:rsidRPr="002C432E">
        <w:t>Isavuconazonium</w:t>
      </w:r>
      <w:proofErr w:type="spellEnd"/>
      <w:r w:rsidR="002C432E" w:rsidRPr="002C432E">
        <w:t xml:space="preserve"> chloride administration was associated with dose-related increases in the incidences of rudimentary cervical ribs in rats and rabbits at 30 and 45 mg/kg, respectively, doses equivalent to about one fifth and one tenth of the clinical exposures based on AUC comparisons. In rats, dose-related increases in the incidences of zygomatic arch fusion and supernumerary ribs/rudimentary supernumerary ribs were also noted at 30 mg/kg and above, equivalent to one fifth the clinical dose based on AUC comparisons.</w:t>
      </w:r>
      <w:r w:rsidR="002C432E">
        <w:t xml:space="preserve">  </w:t>
      </w:r>
      <w:r w:rsidRPr="00CE7290">
        <w:t xml:space="preserve">The potential risk for humans is unknown. </w:t>
      </w:r>
    </w:p>
    <w:p w14:paraId="4736AFBE" w14:textId="3341B87D" w:rsidR="00CE7290" w:rsidRPr="00CE7290" w:rsidRDefault="00CE7290" w:rsidP="00CE7290">
      <w:pPr>
        <w:pStyle w:val="CLDNormal"/>
      </w:pPr>
      <w:r w:rsidRPr="00CE7290">
        <w:t xml:space="preserve">CRESEMBA must not be used during pregnancy except in patients with severe or potentially life-threatening fungal infections, in whom </w:t>
      </w:r>
      <w:proofErr w:type="spellStart"/>
      <w:r w:rsidRPr="00CE7290">
        <w:t>isavuconazole</w:t>
      </w:r>
      <w:proofErr w:type="spellEnd"/>
      <w:r w:rsidRPr="00CE7290">
        <w:t xml:space="preserve"> may be used if the anticipated benefits outweigh the possible risks to the </w:t>
      </w:r>
      <w:proofErr w:type="spellStart"/>
      <w:r w:rsidRPr="00CE7290">
        <w:t>fetus</w:t>
      </w:r>
      <w:proofErr w:type="spellEnd"/>
      <w:r w:rsidRPr="00CE7290">
        <w:t>.</w:t>
      </w:r>
    </w:p>
    <w:p w14:paraId="1800EF28" w14:textId="77777777" w:rsidR="00EC2C85" w:rsidRPr="00EC2C85" w:rsidRDefault="00C40E91" w:rsidP="00755FFF">
      <w:pPr>
        <w:pStyle w:val="CLDHeading3"/>
      </w:pPr>
      <w:r>
        <w:t>Use in l</w:t>
      </w:r>
      <w:r w:rsidR="00807A52">
        <w:t>actation</w:t>
      </w:r>
    </w:p>
    <w:p w14:paraId="3C1768AC" w14:textId="77777777" w:rsidR="002C432E" w:rsidRPr="00212203" w:rsidRDefault="002C432E" w:rsidP="002C432E">
      <w:pPr>
        <w:pStyle w:val="CLDNormal"/>
        <w:rPr>
          <w:lang w:val="en-US"/>
        </w:rPr>
      </w:pPr>
      <w:r w:rsidRPr="00212203">
        <w:rPr>
          <w:lang w:val="en-US"/>
        </w:rPr>
        <w:t xml:space="preserve">Intravenous administration of </w:t>
      </w:r>
      <w:r w:rsidRPr="00212203">
        <w:rPr>
          <w:vertAlign w:val="superscript"/>
          <w:lang w:val="en-US"/>
        </w:rPr>
        <w:t>14</w:t>
      </w:r>
      <w:r w:rsidRPr="00212203">
        <w:rPr>
          <w:lang w:val="en-US"/>
        </w:rPr>
        <w:t xml:space="preserve">C-labelled </w:t>
      </w:r>
      <w:proofErr w:type="spellStart"/>
      <w:r w:rsidRPr="00212203">
        <w:rPr>
          <w:lang w:val="en-US"/>
        </w:rPr>
        <w:t>isavuconazonium</w:t>
      </w:r>
      <w:proofErr w:type="spellEnd"/>
      <w:r w:rsidRPr="00212203">
        <w:rPr>
          <w:lang w:val="en-US"/>
        </w:rPr>
        <w:t xml:space="preserve"> sulfate to lactating rats resulted in the recovery of radiolabel in the milk. </w:t>
      </w:r>
    </w:p>
    <w:p w14:paraId="133B7AD7" w14:textId="77777777" w:rsidR="00CE7290" w:rsidRPr="00212203" w:rsidRDefault="00CE7290" w:rsidP="00CE7290">
      <w:pPr>
        <w:pStyle w:val="CLDNormal"/>
      </w:pPr>
      <w:r w:rsidRPr="00212203">
        <w:t xml:space="preserve">A risk to </w:t>
      </w:r>
      <w:proofErr w:type="spellStart"/>
      <w:r w:rsidRPr="00212203">
        <w:t>newborns</w:t>
      </w:r>
      <w:proofErr w:type="spellEnd"/>
      <w:r w:rsidRPr="00212203">
        <w:t xml:space="preserve"> and infants cannot be excluded. </w:t>
      </w:r>
    </w:p>
    <w:p w14:paraId="6BE43A22" w14:textId="77777777" w:rsidR="00CE7290" w:rsidRDefault="00CE7290" w:rsidP="00CE7290">
      <w:pPr>
        <w:pStyle w:val="CLDNormal"/>
      </w:pPr>
      <w:r w:rsidRPr="00212203">
        <w:t>Breast-feeding should be discontinued during treatment with CRESEMBA.</w:t>
      </w:r>
    </w:p>
    <w:p w14:paraId="2D9714C0" w14:textId="77777777" w:rsidR="00EC2C85" w:rsidRPr="00C035A6" w:rsidRDefault="002F6F96" w:rsidP="00755FFF">
      <w:pPr>
        <w:pStyle w:val="CLDHeading2"/>
        <w:rPr>
          <w:bCs/>
          <w:i/>
          <w:iCs/>
          <w:color w:val="FF0000"/>
        </w:rPr>
      </w:pPr>
      <w:r>
        <w:lastRenderedPageBreak/>
        <w:t>4.7</w:t>
      </w:r>
      <w:r>
        <w:tab/>
      </w:r>
      <w:r w:rsidR="00A52C16">
        <w:t xml:space="preserve">Effects on </w:t>
      </w:r>
      <w:r w:rsidR="00003485">
        <w:t>ability to d</w:t>
      </w:r>
      <w:r w:rsidR="009021BA">
        <w:t xml:space="preserve">rive </w:t>
      </w:r>
      <w:r w:rsidR="00003485">
        <w:t>and u</w:t>
      </w:r>
      <w:r w:rsidR="00A52C16">
        <w:t>se</w:t>
      </w:r>
      <w:r w:rsidR="00003485">
        <w:t xml:space="preserve"> m</w:t>
      </w:r>
      <w:r w:rsidR="00C40E91">
        <w:t>achines</w:t>
      </w:r>
    </w:p>
    <w:p w14:paraId="1803E0E5" w14:textId="77777777" w:rsidR="005A2454" w:rsidRPr="00212203" w:rsidRDefault="005A2454" w:rsidP="005A2454">
      <w:pPr>
        <w:pStyle w:val="CLDNormal"/>
      </w:pPr>
      <w:proofErr w:type="spellStart"/>
      <w:r w:rsidRPr="00212203">
        <w:t>Isavuconazole</w:t>
      </w:r>
      <w:proofErr w:type="spellEnd"/>
      <w:r w:rsidRPr="00212203">
        <w:t xml:space="preserve"> has a moderate potential to influence the ability to drive and use machines. Patients should avoid driving or operating machinery if symptoms of </w:t>
      </w:r>
      <w:proofErr w:type="spellStart"/>
      <w:r w:rsidRPr="00212203">
        <w:t>confusional</w:t>
      </w:r>
      <w:proofErr w:type="spellEnd"/>
      <w:r w:rsidRPr="00212203">
        <w:t xml:space="preserve"> state, somnolence, syncope, and/or dizziness are experienced.</w:t>
      </w:r>
    </w:p>
    <w:p w14:paraId="67D76E2E" w14:textId="77777777" w:rsidR="0062454C" w:rsidRPr="0037240B" w:rsidRDefault="002F6F96" w:rsidP="00755FFF">
      <w:pPr>
        <w:pStyle w:val="CLDHeading2"/>
      </w:pPr>
      <w:r>
        <w:t>4.8</w:t>
      </w:r>
      <w:r>
        <w:tab/>
      </w:r>
      <w:r w:rsidR="00003485">
        <w:t>Adverse effects (undesirable e</w:t>
      </w:r>
      <w:r w:rsidR="0062454C" w:rsidRPr="0037240B">
        <w:t>ffects</w:t>
      </w:r>
      <w:r w:rsidR="00C40E91">
        <w:t>)</w:t>
      </w:r>
      <w:r w:rsidR="00315AB0">
        <w:t xml:space="preserve"> </w:t>
      </w:r>
    </w:p>
    <w:p w14:paraId="4EAAD55E" w14:textId="77777777" w:rsidR="005A2454" w:rsidRPr="00212203" w:rsidRDefault="005A2454" w:rsidP="005A2454">
      <w:pPr>
        <w:pStyle w:val="CLDHeading3"/>
      </w:pPr>
      <w:r w:rsidRPr="00212203">
        <w:t>Summary of the safety profile</w:t>
      </w:r>
    </w:p>
    <w:p w14:paraId="0AC85E41" w14:textId="77777777" w:rsidR="005A2454" w:rsidRPr="00212203" w:rsidRDefault="005A2454" w:rsidP="005A2454">
      <w:pPr>
        <w:pStyle w:val="CLDNormal"/>
      </w:pPr>
      <w:r w:rsidRPr="00212203">
        <w:t>The frequency of adverse reactions shown in Table 3 is based on data from 403 patients with invasive fungal infections treated with</w:t>
      </w:r>
      <w:r w:rsidRPr="00212203">
        <w:rPr>
          <w:noProof/>
        </w:rPr>
        <w:t xml:space="preserve"> </w:t>
      </w:r>
      <w:r w:rsidRPr="00212203">
        <w:t xml:space="preserve">CRESEMBA in phase 3 studies. </w:t>
      </w:r>
    </w:p>
    <w:p w14:paraId="43D494B1" w14:textId="77777777" w:rsidR="005A2454" w:rsidRPr="00212203" w:rsidRDefault="005A2454" w:rsidP="005A2454">
      <w:pPr>
        <w:pStyle w:val="CLDNormal"/>
      </w:pPr>
      <w:r w:rsidRPr="00212203">
        <w:t xml:space="preserve">The most common treatment-related adverse reactions </w:t>
      </w:r>
      <w:r w:rsidRPr="00212203">
        <w:rPr>
          <w:rFonts w:eastAsia="MS Mincho"/>
        </w:rPr>
        <w:t xml:space="preserve">were elevated liver chemistry tests (7.9%), nausea (7.4%), vomiting (5.5%), dyspnoea (3.2%), abdominal pain (2.7%), diarrhoea (2.7%), injection site reaction (2.2%), headache (2.0%), hypokalaemia (1.7%) and rash (1.7%). </w:t>
      </w:r>
    </w:p>
    <w:p w14:paraId="4D59232A" w14:textId="77777777" w:rsidR="005A2454" w:rsidRDefault="005A2454" w:rsidP="005A2454">
      <w:pPr>
        <w:pStyle w:val="CLDNormal"/>
        <w:rPr>
          <w:rFonts w:eastAsia="MS Mincho"/>
        </w:rPr>
      </w:pPr>
      <w:r w:rsidRPr="00212203">
        <w:rPr>
          <w:rFonts w:eastAsia="MS Mincho"/>
        </w:rPr>
        <w:t xml:space="preserve">The adverse reactions which most often led to permanent discontinuation of </w:t>
      </w:r>
      <w:r w:rsidRPr="00212203">
        <w:t xml:space="preserve">CRESEMBA </w:t>
      </w:r>
      <w:r w:rsidRPr="00212203">
        <w:rPr>
          <w:rFonts w:eastAsia="MS Mincho"/>
        </w:rPr>
        <w:t xml:space="preserve">treatment were </w:t>
      </w:r>
      <w:proofErr w:type="spellStart"/>
      <w:r w:rsidRPr="00212203">
        <w:rPr>
          <w:rFonts w:eastAsia="MS Mincho"/>
        </w:rPr>
        <w:t>confusional</w:t>
      </w:r>
      <w:proofErr w:type="spellEnd"/>
      <w:r w:rsidRPr="00212203">
        <w:rPr>
          <w:rFonts w:eastAsia="MS Mincho"/>
        </w:rPr>
        <w:t xml:space="preserve"> state (0.7%), acute renal failure (0.7%), increased blood bilirubin (0.5%), convulsion (0.5%), dyspnoea (0.5%), epilepsy (0.5%), respiratory failure (0.5%) and vomiting (0.5%).</w:t>
      </w:r>
    </w:p>
    <w:p w14:paraId="6FA6EC6E" w14:textId="77777777" w:rsidR="005A2454" w:rsidRPr="00212203" w:rsidRDefault="005A2454" w:rsidP="005A2454">
      <w:pPr>
        <w:pStyle w:val="CLDHeading3"/>
        <w:rPr>
          <w:noProof/>
        </w:rPr>
      </w:pPr>
      <w:r w:rsidRPr="00212203">
        <w:rPr>
          <w:noProof/>
        </w:rPr>
        <w:t>Tabulated list of adverse reactions</w:t>
      </w:r>
    </w:p>
    <w:p w14:paraId="71C9208F" w14:textId="77777777" w:rsidR="005A2454" w:rsidRPr="00212203" w:rsidRDefault="005A2454" w:rsidP="005A2454">
      <w:pPr>
        <w:pStyle w:val="CLDNormal"/>
        <w:rPr>
          <w:noProof/>
        </w:rPr>
      </w:pPr>
      <w:r w:rsidRPr="00212203">
        <w:rPr>
          <w:noProof/>
        </w:rPr>
        <w:t xml:space="preserve">Table 3 presents adverse reactions with </w:t>
      </w:r>
      <w:proofErr w:type="spellStart"/>
      <w:r w:rsidRPr="00212203">
        <w:t>isavuconazole</w:t>
      </w:r>
      <w:proofErr w:type="spellEnd"/>
      <w:r w:rsidRPr="00212203">
        <w:t xml:space="preserve"> </w:t>
      </w:r>
      <w:r w:rsidRPr="00212203">
        <w:rPr>
          <w:noProof/>
        </w:rPr>
        <w:t xml:space="preserve">in the treatment of invasive fungal infections, by System Organ Class and frequency. </w:t>
      </w:r>
    </w:p>
    <w:p w14:paraId="4BF2FDAB" w14:textId="77777777" w:rsidR="005A2454" w:rsidRPr="00212203" w:rsidRDefault="005A2454" w:rsidP="005A2454">
      <w:pPr>
        <w:pStyle w:val="CLDNormal"/>
        <w:rPr>
          <w:noProof/>
        </w:rPr>
      </w:pPr>
      <w:r w:rsidRPr="00212203">
        <w:rPr>
          <w:noProof/>
        </w:rPr>
        <w:t xml:space="preserve">The frequency of adverse reactions is defined as follows: very common (≥1/10); common (≥1/100 to &lt;1/10); and uncommon (≥1/1,000 to &lt;1/100). </w:t>
      </w:r>
    </w:p>
    <w:p w14:paraId="43FA5C5E" w14:textId="77777777" w:rsidR="005A2454" w:rsidRDefault="005A2454" w:rsidP="005A2454">
      <w:pPr>
        <w:pStyle w:val="CLDNormal"/>
        <w:rPr>
          <w:noProof/>
        </w:rPr>
      </w:pPr>
      <w:r w:rsidRPr="00212203">
        <w:rPr>
          <w:noProof/>
        </w:rPr>
        <w:t xml:space="preserve">Within each frequency grouping, adverse reactions are presented in order of decreasing seriousness. </w:t>
      </w:r>
    </w:p>
    <w:p w14:paraId="76B6546B" w14:textId="389E0359" w:rsidR="005A2454" w:rsidRPr="00212203" w:rsidRDefault="005A2454" w:rsidP="002C4B66">
      <w:pPr>
        <w:pStyle w:val="CLDTableTitle"/>
      </w:pPr>
      <w:r w:rsidRPr="00212203">
        <w:t xml:space="preserve">Table </w:t>
      </w:r>
      <w:r w:rsidRPr="00212203">
        <w:fldChar w:fldCharType="begin"/>
      </w:r>
      <w:r w:rsidRPr="00212203">
        <w:instrText xml:space="preserve"> SEQ Table \* ARABIC </w:instrText>
      </w:r>
      <w:r w:rsidRPr="00212203">
        <w:fldChar w:fldCharType="separate"/>
      </w:r>
      <w:r w:rsidR="00437C19">
        <w:rPr>
          <w:noProof/>
        </w:rPr>
        <w:t>3</w:t>
      </w:r>
      <w:r w:rsidRPr="00212203">
        <w:fldChar w:fldCharType="end"/>
      </w:r>
      <w:r w:rsidR="001F72B3">
        <w:t>.</w:t>
      </w:r>
      <w:r w:rsidRPr="00212203">
        <w:t xml:space="preserve"> Summary of adverse reactions by </w:t>
      </w:r>
      <w:proofErr w:type="spellStart"/>
      <w:r w:rsidRPr="00212203">
        <w:t>MedDRA</w:t>
      </w:r>
      <w:proofErr w:type="spellEnd"/>
      <w:r w:rsidRPr="00212203">
        <w:t xml:space="preserve"> System Organ Class and frequency</w:t>
      </w:r>
    </w:p>
    <w:tbl>
      <w:tblPr>
        <w:tblW w:w="9229" w:type="dxa"/>
        <w:tblInd w:w="88" w:type="dxa"/>
        <w:tblLayout w:type="fixed"/>
        <w:tblLook w:val="04A0" w:firstRow="1" w:lastRow="0" w:firstColumn="1" w:lastColumn="0" w:noHBand="0" w:noVBand="1"/>
      </w:tblPr>
      <w:tblGrid>
        <w:gridCol w:w="2459"/>
        <w:gridCol w:w="6770"/>
      </w:tblGrid>
      <w:tr w:rsidR="005A2454" w:rsidRPr="00212203" w14:paraId="0008EAF0" w14:textId="77777777" w:rsidTr="00466724">
        <w:trPr>
          <w:cantSplit/>
          <w:trHeight w:val="536"/>
          <w:tblHeader/>
        </w:trPr>
        <w:tc>
          <w:tcPr>
            <w:tcW w:w="24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177A5" w14:textId="77777777" w:rsidR="005A2454" w:rsidRPr="002C4B66" w:rsidRDefault="005A2454" w:rsidP="002C4B66">
            <w:pPr>
              <w:pStyle w:val="CLDTableTextListText"/>
              <w:rPr>
                <w:b/>
              </w:rPr>
            </w:pPr>
            <w:r w:rsidRPr="002C4B66">
              <w:rPr>
                <w:b/>
              </w:rPr>
              <w:t>System Organ Class</w:t>
            </w:r>
          </w:p>
        </w:tc>
        <w:tc>
          <w:tcPr>
            <w:tcW w:w="67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E7C8A3" w14:textId="77777777" w:rsidR="005A2454" w:rsidRPr="002C4B66" w:rsidRDefault="005A2454" w:rsidP="002C4B66">
            <w:pPr>
              <w:pStyle w:val="CLDTableTextListText"/>
              <w:rPr>
                <w:b/>
              </w:rPr>
            </w:pPr>
            <w:r w:rsidRPr="002C4B66">
              <w:rPr>
                <w:b/>
              </w:rPr>
              <w:t>Adverse Drug Reactions</w:t>
            </w:r>
          </w:p>
        </w:tc>
      </w:tr>
      <w:tr w:rsidR="005A2454" w:rsidRPr="00212203" w14:paraId="65A6D4E1"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9A4DE" w14:textId="77777777" w:rsidR="005A2454" w:rsidRPr="002C4B66" w:rsidRDefault="005A2454" w:rsidP="002C4B66">
            <w:pPr>
              <w:pStyle w:val="CLDTableTextListText"/>
              <w:rPr>
                <w:b/>
              </w:rPr>
            </w:pPr>
            <w:r w:rsidRPr="002C4B66">
              <w:rPr>
                <w:b/>
              </w:rPr>
              <w:t>Blood and lymphatic system disorders</w:t>
            </w:r>
          </w:p>
        </w:tc>
      </w:tr>
      <w:tr w:rsidR="005A2454" w:rsidRPr="00212203" w14:paraId="335748FF"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4C41A982"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0E10BE0A" w14:textId="77777777" w:rsidR="005A2454" w:rsidRPr="00212203" w:rsidRDefault="005A2454" w:rsidP="002C4B66">
            <w:pPr>
              <w:pStyle w:val="CLDTableTextListText"/>
            </w:pPr>
            <w:r w:rsidRPr="00212203">
              <w:t>Neutropenia; Thrombocytopenia^; Pancytopenia; Leukopenia^; Anaemia^</w:t>
            </w:r>
          </w:p>
        </w:tc>
      </w:tr>
      <w:tr w:rsidR="005A2454" w:rsidRPr="00212203" w14:paraId="04ADC0AF"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981D6D" w14:textId="77777777" w:rsidR="005A2454" w:rsidRPr="002C4B66" w:rsidRDefault="005A2454" w:rsidP="002C4B66">
            <w:pPr>
              <w:pStyle w:val="CLDTableTextListText"/>
              <w:rPr>
                <w:b/>
              </w:rPr>
            </w:pPr>
            <w:r w:rsidRPr="002C4B66">
              <w:rPr>
                <w:b/>
              </w:rPr>
              <w:t>Immune system disorders</w:t>
            </w:r>
          </w:p>
        </w:tc>
      </w:tr>
      <w:tr w:rsidR="005A2454" w:rsidRPr="00212203" w14:paraId="54C3CC17"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18C5A423"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71368CC8" w14:textId="77777777" w:rsidR="005A2454" w:rsidRPr="00212203" w:rsidRDefault="005A2454" w:rsidP="002C4B66">
            <w:pPr>
              <w:pStyle w:val="CLDTableTextListText"/>
            </w:pPr>
            <w:r w:rsidRPr="00212203">
              <w:t>Hypersensitivity^</w:t>
            </w:r>
          </w:p>
        </w:tc>
      </w:tr>
      <w:tr w:rsidR="005A2454" w:rsidRPr="00212203" w14:paraId="2DB87425"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tcPr>
          <w:p w14:paraId="76797CDF" w14:textId="77777777" w:rsidR="005A2454" w:rsidRPr="002C4B66" w:rsidRDefault="005A2454" w:rsidP="002C4B66">
            <w:pPr>
              <w:pStyle w:val="CLDTableTextListText"/>
              <w:rPr>
                <w:b/>
              </w:rPr>
            </w:pPr>
            <w:r w:rsidRPr="002C4B66">
              <w:rPr>
                <w:b/>
              </w:rPr>
              <w:t>Metabolism and nutrition disorders</w:t>
            </w:r>
          </w:p>
        </w:tc>
      </w:tr>
      <w:tr w:rsidR="005A2454" w:rsidRPr="00212203" w14:paraId="03938325"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tcPr>
          <w:p w14:paraId="184C701B"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47758C48" w14:textId="77777777" w:rsidR="005A2454" w:rsidRPr="00212203" w:rsidRDefault="005A2454" w:rsidP="002C4B66">
            <w:pPr>
              <w:pStyle w:val="CLDTableTextListText"/>
            </w:pPr>
            <w:r w:rsidRPr="00212203">
              <w:t>Hypokalaemia; Decreased appetite</w:t>
            </w:r>
          </w:p>
        </w:tc>
      </w:tr>
      <w:tr w:rsidR="005A2454" w:rsidRPr="00212203" w14:paraId="21C01C19"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tcPr>
          <w:p w14:paraId="4D1AE5E0"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1BF1AE80" w14:textId="77777777" w:rsidR="005A2454" w:rsidRPr="00212203" w:rsidRDefault="005A2454" w:rsidP="002C4B66">
            <w:pPr>
              <w:pStyle w:val="CLDTableTextListText"/>
            </w:pPr>
            <w:r w:rsidRPr="00212203">
              <w:t xml:space="preserve">Hypomagnesaemia; Hypoglycaemia; </w:t>
            </w:r>
            <w:proofErr w:type="spellStart"/>
            <w:r w:rsidRPr="00212203">
              <w:t>Hypoalbuminaemia</w:t>
            </w:r>
            <w:proofErr w:type="spellEnd"/>
            <w:r w:rsidRPr="00212203">
              <w:t xml:space="preserve">; Malnutrition^; </w:t>
            </w:r>
          </w:p>
        </w:tc>
      </w:tr>
      <w:tr w:rsidR="005A2454" w:rsidRPr="00212203" w14:paraId="1E01B227"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02BC61" w14:textId="77777777" w:rsidR="005A2454" w:rsidRPr="002C4B66" w:rsidRDefault="005A2454" w:rsidP="002C4B66">
            <w:pPr>
              <w:pStyle w:val="CLDTableTextListText"/>
              <w:rPr>
                <w:b/>
              </w:rPr>
            </w:pPr>
            <w:r w:rsidRPr="002C4B66">
              <w:rPr>
                <w:b/>
              </w:rPr>
              <w:t>Psychiatric disorders</w:t>
            </w:r>
          </w:p>
        </w:tc>
      </w:tr>
      <w:tr w:rsidR="005A2454" w:rsidRPr="00212203" w14:paraId="01B21F4F"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421C3EA3"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509BBD18" w14:textId="77777777" w:rsidR="005A2454" w:rsidRPr="00212203" w:rsidRDefault="005A2454" w:rsidP="002C4B66">
            <w:pPr>
              <w:pStyle w:val="CLDTableTextListText"/>
            </w:pPr>
            <w:r w:rsidRPr="00212203">
              <w:t>Delirium^</w:t>
            </w:r>
            <w:r w:rsidRPr="00212203">
              <w:rPr>
                <w:vertAlign w:val="superscript"/>
              </w:rPr>
              <w:t>#</w:t>
            </w:r>
            <w:r w:rsidRPr="00212203">
              <w:t xml:space="preserve">; </w:t>
            </w:r>
          </w:p>
        </w:tc>
      </w:tr>
      <w:tr w:rsidR="005A2454" w:rsidRPr="00212203" w14:paraId="13F43E8A"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tcPr>
          <w:p w14:paraId="2967C828" w14:textId="77777777" w:rsidR="005A2454" w:rsidRPr="00212203" w:rsidRDefault="005A2454" w:rsidP="002C4B66">
            <w:pPr>
              <w:pStyle w:val="CLDTableTextListText"/>
            </w:pPr>
            <w:r w:rsidRPr="00212203">
              <w:lastRenderedPageBreak/>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0D7671B1" w14:textId="77777777" w:rsidR="005A2454" w:rsidRPr="00212203" w:rsidRDefault="005A2454" w:rsidP="002C4B66">
            <w:pPr>
              <w:pStyle w:val="CLDTableTextListText"/>
            </w:pPr>
            <w:r w:rsidRPr="00212203">
              <w:t>Depression; Insomnia^</w:t>
            </w:r>
          </w:p>
        </w:tc>
      </w:tr>
      <w:tr w:rsidR="005A2454" w:rsidRPr="00212203" w14:paraId="28188A26"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0FE031" w14:textId="77777777" w:rsidR="005A2454" w:rsidRPr="002C4B66" w:rsidRDefault="005A2454" w:rsidP="002C4B66">
            <w:pPr>
              <w:pStyle w:val="CLDTableTextListText"/>
              <w:rPr>
                <w:b/>
              </w:rPr>
            </w:pPr>
            <w:r w:rsidRPr="002C4B66">
              <w:rPr>
                <w:b/>
              </w:rPr>
              <w:t>Nervous system disorders</w:t>
            </w:r>
          </w:p>
        </w:tc>
      </w:tr>
      <w:tr w:rsidR="005A2454" w:rsidRPr="00212203" w14:paraId="40CCDF87"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50789F2F"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3E7F9D93" w14:textId="77777777" w:rsidR="005A2454" w:rsidRPr="00212203" w:rsidRDefault="005A2454" w:rsidP="002C4B66">
            <w:pPr>
              <w:pStyle w:val="CLDTableTextListText"/>
            </w:pPr>
            <w:r w:rsidRPr="00212203">
              <w:t>Headache; Somnolence</w:t>
            </w:r>
          </w:p>
        </w:tc>
      </w:tr>
      <w:tr w:rsidR="005A2454" w:rsidRPr="00212203" w14:paraId="52A771D1" w14:textId="77777777" w:rsidTr="00466724">
        <w:trPr>
          <w:cantSplit/>
        </w:trPr>
        <w:tc>
          <w:tcPr>
            <w:tcW w:w="2459" w:type="dxa"/>
            <w:tcBorders>
              <w:top w:val="single" w:sz="4" w:space="0" w:color="auto"/>
              <w:left w:val="single" w:sz="4" w:space="0" w:color="auto"/>
              <w:right w:val="single" w:sz="4" w:space="0" w:color="auto"/>
            </w:tcBorders>
            <w:shd w:val="clear" w:color="auto" w:fill="auto"/>
            <w:hideMark/>
          </w:tcPr>
          <w:p w14:paraId="0EA810B1"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right w:val="single" w:sz="4" w:space="0" w:color="auto"/>
            </w:tcBorders>
            <w:shd w:val="clear" w:color="auto" w:fill="auto"/>
          </w:tcPr>
          <w:p w14:paraId="60951730" w14:textId="77777777" w:rsidR="005A2454" w:rsidRPr="00212203" w:rsidRDefault="005A2454" w:rsidP="002C4B66">
            <w:pPr>
              <w:pStyle w:val="CLDTableTextListText"/>
            </w:pPr>
            <w:r w:rsidRPr="00212203">
              <w:t>Convulsion^; Syncope; Dizziness</w:t>
            </w:r>
            <w:r w:rsidRPr="00212203" w:rsidDel="006160D5">
              <w:t xml:space="preserve"> </w:t>
            </w:r>
            <w:r w:rsidRPr="00212203">
              <w:t xml:space="preserve">; Paraesthesia^; </w:t>
            </w:r>
          </w:p>
        </w:tc>
      </w:tr>
      <w:tr w:rsidR="005A2454" w:rsidRPr="00212203" w14:paraId="57C6F249" w14:textId="77777777" w:rsidTr="00466724">
        <w:trPr>
          <w:cantSplit/>
        </w:trPr>
        <w:tc>
          <w:tcPr>
            <w:tcW w:w="2459" w:type="dxa"/>
            <w:tcBorders>
              <w:left w:val="single" w:sz="4" w:space="0" w:color="auto"/>
              <w:bottom w:val="single" w:sz="4" w:space="0" w:color="auto"/>
              <w:right w:val="single" w:sz="4" w:space="0" w:color="auto"/>
            </w:tcBorders>
            <w:shd w:val="clear" w:color="auto" w:fill="auto"/>
          </w:tcPr>
          <w:p w14:paraId="7CC62F8C" w14:textId="77777777" w:rsidR="005A2454" w:rsidRPr="00212203" w:rsidRDefault="005A2454" w:rsidP="002C4B66">
            <w:pPr>
              <w:pStyle w:val="CLDTableTextListText"/>
            </w:pPr>
          </w:p>
        </w:tc>
        <w:tc>
          <w:tcPr>
            <w:tcW w:w="6770" w:type="dxa"/>
            <w:tcBorders>
              <w:left w:val="single" w:sz="4" w:space="0" w:color="auto"/>
              <w:bottom w:val="single" w:sz="4" w:space="0" w:color="auto"/>
              <w:right w:val="single" w:sz="4" w:space="0" w:color="auto"/>
            </w:tcBorders>
            <w:shd w:val="clear" w:color="auto" w:fill="auto"/>
          </w:tcPr>
          <w:p w14:paraId="5A1AF8C8" w14:textId="77777777" w:rsidR="005A2454" w:rsidRPr="00212203" w:rsidRDefault="005A2454" w:rsidP="002C4B66">
            <w:pPr>
              <w:pStyle w:val="CLDTableTextListText"/>
            </w:pPr>
            <w:r w:rsidRPr="00212203">
              <w:t xml:space="preserve">Encephalopathy; </w:t>
            </w:r>
            <w:proofErr w:type="spellStart"/>
            <w:r w:rsidRPr="00212203">
              <w:t>Presyncope</w:t>
            </w:r>
            <w:proofErr w:type="spellEnd"/>
            <w:r w:rsidRPr="00212203">
              <w:t xml:space="preserve">; Neuropathy peripheral; </w:t>
            </w:r>
            <w:proofErr w:type="spellStart"/>
            <w:r w:rsidRPr="00212203">
              <w:t>Dysgeusia</w:t>
            </w:r>
            <w:proofErr w:type="spellEnd"/>
            <w:r w:rsidRPr="00212203">
              <w:t xml:space="preserve">; </w:t>
            </w:r>
          </w:p>
        </w:tc>
      </w:tr>
      <w:tr w:rsidR="005A2454" w:rsidRPr="00212203" w14:paraId="587E7237"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49CE5D" w14:textId="77777777" w:rsidR="005A2454" w:rsidRPr="002C4B66" w:rsidRDefault="005A2454" w:rsidP="002C4B66">
            <w:pPr>
              <w:pStyle w:val="CLDTableTextListText"/>
              <w:rPr>
                <w:b/>
              </w:rPr>
            </w:pPr>
            <w:r w:rsidRPr="002C4B66">
              <w:rPr>
                <w:b/>
              </w:rPr>
              <w:t>Ear and labyrinth disorders</w:t>
            </w:r>
          </w:p>
        </w:tc>
      </w:tr>
      <w:tr w:rsidR="005A2454" w:rsidRPr="00212203" w14:paraId="3F957ED9"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05F09D2C"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7ACA57C1" w14:textId="77777777" w:rsidR="005A2454" w:rsidRPr="00212203" w:rsidRDefault="005A2454" w:rsidP="002C4B66">
            <w:pPr>
              <w:pStyle w:val="CLDTableTextListText"/>
            </w:pPr>
            <w:r w:rsidRPr="00212203">
              <w:t>Vertigo</w:t>
            </w:r>
          </w:p>
        </w:tc>
      </w:tr>
      <w:tr w:rsidR="005A2454" w:rsidRPr="00212203" w14:paraId="04829A92"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302EDC" w14:textId="77777777" w:rsidR="005A2454" w:rsidRPr="002C4B66" w:rsidRDefault="005A2454" w:rsidP="002C4B66">
            <w:pPr>
              <w:pStyle w:val="CLDTableTextListText"/>
              <w:rPr>
                <w:b/>
              </w:rPr>
            </w:pPr>
            <w:r w:rsidRPr="002C4B66">
              <w:rPr>
                <w:b/>
              </w:rPr>
              <w:t>Cardiac disorders</w:t>
            </w:r>
          </w:p>
        </w:tc>
      </w:tr>
      <w:tr w:rsidR="005A2454" w:rsidRPr="00212203" w14:paraId="2C55DD4E" w14:textId="77777777" w:rsidTr="00466724">
        <w:trPr>
          <w:cantSplit/>
        </w:trPr>
        <w:tc>
          <w:tcPr>
            <w:tcW w:w="2459" w:type="dxa"/>
            <w:tcBorders>
              <w:top w:val="single" w:sz="4" w:space="0" w:color="auto"/>
              <w:left w:val="single" w:sz="4" w:space="0" w:color="auto"/>
              <w:right w:val="single" w:sz="4" w:space="0" w:color="auto"/>
            </w:tcBorders>
            <w:shd w:val="clear" w:color="auto" w:fill="auto"/>
            <w:hideMark/>
          </w:tcPr>
          <w:p w14:paraId="2170950E"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right w:val="single" w:sz="4" w:space="0" w:color="auto"/>
            </w:tcBorders>
            <w:shd w:val="clear" w:color="auto" w:fill="auto"/>
          </w:tcPr>
          <w:p w14:paraId="7712EE88" w14:textId="77777777" w:rsidR="005A2454" w:rsidRPr="00212203" w:rsidRDefault="005A2454" w:rsidP="002C4B66">
            <w:pPr>
              <w:pStyle w:val="CLDTableTextListText"/>
            </w:pPr>
            <w:r w:rsidRPr="00212203">
              <w:t>Atrial fibrillation; Tachycardia; Bradycardia^; Palpitations</w:t>
            </w:r>
          </w:p>
        </w:tc>
      </w:tr>
      <w:tr w:rsidR="005A2454" w:rsidRPr="00212203" w14:paraId="32CE8B19" w14:textId="77777777" w:rsidTr="00466724">
        <w:trPr>
          <w:cantSplit/>
        </w:trPr>
        <w:tc>
          <w:tcPr>
            <w:tcW w:w="2459" w:type="dxa"/>
            <w:tcBorders>
              <w:left w:val="single" w:sz="4" w:space="0" w:color="auto"/>
              <w:bottom w:val="single" w:sz="4" w:space="0" w:color="auto"/>
              <w:right w:val="single" w:sz="4" w:space="0" w:color="auto"/>
            </w:tcBorders>
            <w:shd w:val="clear" w:color="auto" w:fill="auto"/>
            <w:hideMark/>
          </w:tcPr>
          <w:p w14:paraId="7517C396" w14:textId="77777777" w:rsidR="005A2454" w:rsidRPr="00212203" w:rsidRDefault="005A2454" w:rsidP="002C4B66">
            <w:pPr>
              <w:pStyle w:val="CLDTableTextListText"/>
            </w:pPr>
          </w:p>
        </w:tc>
        <w:tc>
          <w:tcPr>
            <w:tcW w:w="6770" w:type="dxa"/>
            <w:tcBorders>
              <w:left w:val="single" w:sz="4" w:space="0" w:color="auto"/>
              <w:bottom w:val="single" w:sz="4" w:space="0" w:color="auto"/>
              <w:right w:val="single" w:sz="4" w:space="0" w:color="auto"/>
            </w:tcBorders>
            <w:shd w:val="clear" w:color="auto" w:fill="auto"/>
          </w:tcPr>
          <w:p w14:paraId="2BB751EC" w14:textId="77777777" w:rsidR="005A2454" w:rsidRPr="00212203" w:rsidRDefault="005A2454" w:rsidP="002C4B66">
            <w:pPr>
              <w:pStyle w:val="CLDTableTextListText"/>
            </w:pPr>
            <w:r w:rsidRPr="00212203">
              <w:t xml:space="preserve">Atrial flutter; Electrocardiogram QT shortened; Supraventricular tachycardia; Ventricular </w:t>
            </w:r>
            <w:proofErr w:type="spellStart"/>
            <w:r w:rsidRPr="00212203">
              <w:t>extrasystoles</w:t>
            </w:r>
            <w:proofErr w:type="spellEnd"/>
            <w:r w:rsidRPr="00212203">
              <w:t xml:space="preserve"> ; Supraventricular </w:t>
            </w:r>
            <w:proofErr w:type="spellStart"/>
            <w:r w:rsidRPr="00212203">
              <w:t>extrasystoles</w:t>
            </w:r>
            <w:proofErr w:type="spellEnd"/>
          </w:p>
        </w:tc>
      </w:tr>
      <w:tr w:rsidR="005A2454" w:rsidRPr="00212203" w14:paraId="7CBCA877"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tcPr>
          <w:p w14:paraId="38BB190C" w14:textId="77777777" w:rsidR="005A2454" w:rsidRPr="002C4B66" w:rsidRDefault="005A2454" w:rsidP="002C4B66">
            <w:pPr>
              <w:pStyle w:val="CLDTableTextListText"/>
              <w:rPr>
                <w:b/>
              </w:rPr>
            </w:pPr>
            <w:r w:rsidRPr="002C4B66">
              <w:rPr>
                <w:b/>
              </w:rPr>
              <w:t>Vascular disorders</w:t>
            </w:r>
          </w:p>
        </w:tc>
      </w:tr>
      <w:tr w:rsidR="005A2454" w:rsidRPr="00212203" w14:paraId="2E9F68FB"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tcPr>
          <w:p w14:paraId="6C97C587"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1581C641" w14:textId="77777777" w:rsidR="005A2454" w:rsidRPr="00212203" w:rsidRDefault="005A2454" w:rsidP="002C4B66">
            <w:pPr>
              <w:pStyle w:val="CLDTableTextListText"/>
            </w:pPr>
            <w:r w:rsidRPr="00212203">
              <w:t>Thrombophlebitis^</w:t>
            </w:r>
          </w:p>
        </w:tc>
      </w:tr>
      <w:tr w:rsidR="005A2454" w:rsidRPr="00212203" w14:paraId="68E269D0"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tcPr>
          <w:p w14:paraId="348B35F5"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5BA1CA80" w14:textId="77777777" w:rsidR="005A2454" w:rsidRPr="00212203" w:rsidRDefault="005A2454" w:rsidP="002C4B66">
            <w:pPr>
              <w:pStyle w:val="CLDTableTextListText"/>
            </w:pPr>
            <w:r w:rsidRPr="00212203">
              <w:t>Circulatory collapse; Hypotension</w:t>
            </w:r>
          </w:p>
        </w:tc>
      </w:tr>
      <w:tr w:rsidR="005A2454" w:rsidRPr="00212203" w14:paraId="5E1860F2"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023E2F" w14:textId="77777777" w:rsidR="005A2454" w:rsidRPr="002C4B66" w:rsidRDefault="005A2454" w:rsidP="002C4B66">
            <w:pPr>
              <w:pStyle w:val="CLDTableTextListText"/>
              <w:rPr>
                <w:b/>
              </w:rPr>
            </w:pPr>
            <w:r w:rsidRPr="002C4B66">
              <w:rPr>
                <w:b/>
              </w:rPr>
              <w:t>Respiratory, thoracic and mediastinal disorders</w:t>
            </w:r>
          </w:p>
        </w:tc>
      </w:tr>
      <w:tr w:rsidR="005A2454" w:rsidRPr="00212203" w14:paraId="20667734"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tcPr>
          <w:p w14:paraId="684C15E1"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49F03D24" w14:textId="77777777" w:rsidR="005A2454" w:rsidRPr="00212203" w:rsidRDefault="005A2454" w:rsidP="002C4B66">
            <w:pPr>
              <w:pStyle w:val="CLDTableTextListText"/>
            </w:pPr>
            <w:r w:rsidRPr="00212203">
              <w:t>Dyspnoea;^ Acute respiratory failure^</w:t>
            </w:r>
          </w:p>
        </w:tc>
      </w:tr>
      <w:tr w:rsidR="005A2454" w:rsidRPr="00212203" w14:paraId="44DDC48E"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15F7D9AA"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60660514" w14:textId="77777777" w:rsidR="005A2454" w:rsidRPr="00212203" w:rsidRDefault="005A2454" w:rsidP="002C4B66">
            <w:pPr>
              <w:pStyle w:val="CLDTableTextListText"/>
            </w:pPr>
            <w:r w:rsidRPr="00212203">
              <w:t xml:space="preserve">Bronchospasm; </w:t>
            </w:r>
            <w:proofErr w:type="spellStart"/>
            <w:r w:rsidRPr="00212203">
              <w:t>Tachypnoea</w:t>
            </w:r>
            <w:proofErr w:type="spellEnd"/>
            <w:r w:rsidRPr="00212203">
              <w:t>; Haemoptysis; Epistaxis</w:t>
            </w:r>
          </w:p>
        </w:tc>
      </w:tr>
      <w:tr w:rsidR="005A2454" w:rsidRPr="00212203" w14:paraId="0EB20E7B"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CA51D5" w14:textId="77777777" w:rsidR="005A2454" w:rsidRPr="002C4B66" w:rsidRDefault="005A2454" w:rsidP="002C4B66">
            <w:pPr>
              <w:pStyle w:val="CLDTableTextListText"/>
              <w:rPr>
                <w:b/>
              </w:rPr>
            </w:pPr>
            <w:r w:rsidRPr="002C4B66">
              <w:rPr>
                <w:b/>
              </w:rPr>
              <w:t>Gastrointestinal disorders</w:t>
            </w:r>
          </w:p>
        </w:tc>
      </w:tr>
      <w:tr w:rsidR="005A2454" w:rsidRPr="00212203" w14:paraId="35DA85FA"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5FE23DB4"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05660500" w14:textId="77777777" w:rsidR="005A2454" w:rsidRPr="00212203" w:rsidRDefault="005A2454" w:rsidP="002C4B66">
            <w:pPr>
              <w:pStyle w:val="CLDTableTextListText"/>
              <w:rPr>
                <w:lang w:val="pt-PT"/>
              </w:rPr>
            </w:pPr>
            <w:r w:rsidRPr="00212203">
              <w:rPr>
                <w:lang w:val="pt-PT"/>
              </w:rPr>
              <w:t>Vomiting; Diarrhoea; Nausea; Abdominal pain^;</w:t>
            </w:r>
          </w:p>
        </w:tc>
      </w:tr>
      <w:tr w:rsidR="005A2454" w:rsidRPr="00212203" w14:paraId="4575660A" w14:textId="77777777" w:rsidTr="00466724">
        <w:trPr>
          <w:cantSplit/>
          <w:trHeight w:val="162"/>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1B528B68"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48BAE87A" w14:textId="77777777" w:rsidR="005A2454" w:rsidRPr="00212203" w:rsidRDefault="005A2454" w:rsidP="002C4B66">
            <w:pPr>
              <w:pStyle w:val="CLDTableTextListText"/>
            </w:pPr>
            <w:r w:rsidRPr="00212203">
              <w:t>Dyspepsia; Constipation; Abdominal distension</w:t>
            </w:r>
          </w:p>
        </w:tc>
      </w:tr>
      <w:tr w:rsidR="005A2454" w:rsidRPr="00212203" w14:paraId="5EDB6C14"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D85FAE" w14:textId="77777777" w:rsidR="005A2454" w:rsidRPr="002C4B66" w:rsidRDefault="005A2454" w:rsidP="002C4B66">
            <w:pPr>
              <w:pStyle w:val="CLDTableTextListText"/>
              <w:rPr>
                <w:b/>
              </w:rPr>
            </w:pPr>
            <w:r w:rsidRPr="002C4B66">
              <w:rPr>
                <w:b/>
              </w:rPr>
              <w:t>Hepatobiliary disorders</w:t>
            </w:r>
          </w:p>
        </w:tc>
      </w:tr>
      <w:tr w:rsidR="005A2454" w:rsidRPr="00212203" w14:paraId="67EAF91B"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22CE1B40"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57F833E0" w14:textId="77777777" w:rsidR="005A2454" w:rsidRPr="00212203" w:rsidRDefault="005A2454" w:rsidP="002C4B66">
            <w:pPr>
              <w:pStyle w:val="CLDTableTextListText"/>
            </w:pPr>
            <w:r w:rsidRPr="00212203">
              <w:t>Elevated liver chemistry tests^</w:t>
            </w:r>
            <w:r w:rsidRPr="00212203">
              <w:rPr>
                <w:vertAlign w:val="superscript"/>
              </w:rPr>
              <w:t>#</w:t>
            </w:r>
          </w:p>
        </w:tc>
      </w:tr>
      <w:tr w:rsidR="005A2454" w:rsidRPr="00212203" w14:paraId="51C0C154"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tcPr>
          <w:p w14:paraId="3C636DC1"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4D7662FF" w14:textId="0397320F" w:rsidR="005A2454" w:rsidRPr="00212203" w:rsidRDefault="005A2454" w:rsidP="00566B7C">
            <w:pPr>
              <w:pStyle w:val="CLDTableTextListText"/>
            </w:pPr>
            <w:r w:rsidRPr="00212203">
              <w:t>Hepatomegaly</w:t>
            </w:r>
            <w:r w:rsidR="00A40391" w:rsidRPr="00A40391">
              <w:t>, Hepatitis</w:t>
            </w:r>
          </w:p>
        </w:tc>
      </w:tr>
      <w:tr w:rsidR="005A2454" w:rsidRPr="00212203" w14:paraId="38E0A151"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C5948C" w14:textId="77777777" w:rsidR="005A2454" w:rsidRPr="002C4B66" w:rsidRDefault="005A2454" w:rsidP="002C4B66">
            <w:pPr>
              <w:pStyle w:val="CLDTableTextListText"/>
              <w:rPr>
                <w:b/>
              </w:rPr>
            </w:pPr>
            <w:r w:rsidRPr="002C4B66">
              <w:rPr>
                <w:b/>
              </w:rPr>
              <w:t>Skin and subcutaneous tissue disorders</w:t>
            </w:r>
          </w:p>
        </w:tc>
      </w:tr>
      <w:tr w:rsidR="005A2454" w:rsidRPr="00212203" w14:paraId="0139EA33"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1C996DFB"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451CE996" w14:textId="77777777" w:rsidR="005A2454" w:rsidRPr="00212203" w:rsidRDefault="005A2454" w:rsidP="002C4B66">
            <w:pPr>
              <w:pStyle w:val="CLDTableTextListText"/>
            </w:pPr>
            <w:r w:rsidRPr="00212203">
              <w:t>Rash^; Pruritus</w:t>
            </w:r>
          </w:p>
        </w:tc>
      </w:tr>
      <w:tr w:rsidR="005A2454" w:rsidRPr="00212203" w14:paraId="09F144CE"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tcPr>
          <w:p w14:paraId="25DA5DAD"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454883B3" w14:textId="77777777" w:rsidR="005A2454" w:rsidRPr="00212203" w:rsidRDefault="005A2454" w:rsidP="002C4B66">
            <w:pPr>
              <w:pStyle w:val="CLDTableTextListText"/>
            </w:pPr>
            <w:proofErr w:type="spellStart"/>
            <w:r w:rsidRPr="00212203">
              <w:t>Petechiae</w:t>
            </w:r>
            <w:proofErr w:type="spellEnd"/>
            <w:r w:rsidRPr="00212203">
              <w:t>; Alopecia; Drug eruption; Dermatitis^</w:t>
            </w:r>
          </w:p>
        </w:tc>
      </w:tr>
      <w:tr w:rsidR="005A2454" w:rsidRPr="00212203" w14:paraId="1E6E77E1"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E95BAC" w14:textId="77777777" w:rsidR="005A2454" w:rsidRPr="00FD08D0" w:rsidRDefault="005A2454" w:rsidP="008A3EF8">
            <w:pPr>
              <w:pStyle w:val="CLDTableTextListText"/>
              <w:rPr>
                <w:b/>
                <w:bCs/>
              </w:rPr>
            </w:pPr>
            <w:r w:rsidRPr="00FD08D0">
              <w:rPr>
                <w:b/>
                <w:bCs/>
              </w:rPr>
              <w:t>Musculoskeletal and connective tissue disorders</w:t>
            </w:r>
          </w:p>
        </w:tc>
      </w:tr>
      <w:tr w:rsidR="005A2454" w:rsidRPr="00212203" w14:paraId="4420AA2D"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0EF9B487"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1C8F64F4" w14:textId="77777777" w:rsidR="005A2454" w:rsidRPr="00212203" w:rsidRDefault="005A2454" w:rsidP="002C4B66">
            <w:pPr>
              <w:pStyle w:val="CLDTableTextListText"/>
            </w:pPr>
            <w:r w:rsidRPr="00212203">
              <w:t>Back pain</w:t>
            </w:r>
          </w:p>
        </w:tc>
      </w:tr>
      <w:tr w:rsidR="005A2454" w:rsidRPr="00212203" w14:paraId="4865D214"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2D4967" w14:textId="77777777" w:rsidR="005A2454" w:rsidRPr="002C4B66" w:rsidRDefault="005A2454" w:rsidP="002C4B66">
            <w:pPr>
              <w:pStyle w:val="CLDTableTextListText"/>
              <w:rPr>
                <w:b/>
              </w:rPr>
            </w:pPr>
            <w:r w:rsidRPr="002C4B66">
              <w:rPr>
                <w:b/>
              </w:rPr>
              <w:t>Renal and urinary disorders</w:t>
            </w:r>
          </w:p>
        </w:tc>
      </w:tr>
      <w:tr w:rsidR="005A2454" w:rsidRPr="00212203" w14:paraId="09E7CD3C"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0539250F"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hideMark/>
          </w:tcPr>
          <w:p w14:paraId="7C4F511D" w14:textId="77777777" w:rsidR="005A2454" w:rsidRPr="00212203" w:rsidRDefault="005A2454" w:rsidP="002C4B66">
            <w:pPr>
              <w:pStyle w:val="CLDTableTextListText"/>
            </w:pPr>
            <w:r w:rsidRPr="00212203">
              <w:t>Renal failure</w:t>
            </w:r>
          </w:p>
        </w:tc>
      </w:tr>
      <w:tr w:rsidR="005A2454" w:rsidRPr="00212203" w14:paraId="06529436" w14:textId="77777777" w:rsidTr="005A2454">
        <w:trPr>
          <w:cantSplit/>
        </w:trPr>
        <w:tc>
          <w:tcPr>
            <w:tcW w:w="9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9287A" w14:textId="77777777" w:rsidR="005A2454" w:rsidRPr="002C4B66" w:rsidRDefault="005A2454" w:rsidP="002C4B66">
            <w:pPr>
              <w:pStyle w:val="CLDTableTextListText"/>
              <w:rPr>
                <w:b/>
              </w:rPr>
            </w:pPr>
            <w:r w:rsidRPr="002C4B66">
              <w:rPr>
                <w:b/>
              </w:rPr>
              <w:t>General disorders and administration site conditions</w:t>
            </w:r>
          </w:p>
        </w:tc>
      </w:tr>
      <w:tr w:rsidR="005A2454" w:rsidRPr="00212203" w14:paraId="702DCAFD"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290C7E76" w14:textId="77777777" w:rsidR="005A2454" w:rsidRPr="00212203" w:rsidRDefault="005A2454" w:rsidP="002C4B66">
            <w:pPr>
              <w:pStyle w:val="CLDTableTextListText"/>
            </w:pPr>
            <w:r w:rsidRPr="00212203">
              <w:t>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5F5C3A19" w14:textId="77777777" w:rsidR="005A2454" w:rsidRPr="00212203" w:rsidRDefault="005A2454" w:rsidP="002C4B66">
            <w:pPr>
              <w:pStyle w:val="CLDTableTextListText"/>
              <w:rPr>
                <w:lang w:val="fr-FR"/>
              </w:rPr>
            </w:pPr>
            <w:proofErr w:type="spellStart"/>
            <w:r w:rsidRPr="00212203">
              <w:rPr>
                <w:lang w:val="fr-FR"/>
              </w:rPr>
              <w:t>Chest</w:t>
            </w:r>
            <w:proofErr w:type="spellEnd"/>
            <w:r w:rsidRPr="00212203">
              <w:rPr>
                <w:lang w:val="fr-FR"/>
              </w:rPr>
              <w:t xml:space="preserve"> pain^;  Fatigue; Injection site </w:t>
            </w:r>
            <w:proofErr w:type="spellStart"/>
            <w:r w:rsidRPr="00212203">
              <w:rPr>
                <w:lang w:val="fr-FR"/>
              </w:rPr>
              <w:t>reaction</w:t>
            </w:r>
            <w:proofErr w:type="spellEnd"/>
            <w:r w:rsidRPr="00212203">
              <w:rPr>
                <w:lang w:val="fr-FR"/>
              </w:rPr>
              <w:t>^</w:t>
            </w:r>
          </w:p>
        </w:tc>
      </w:tr>
      <w:tr w:rsidR="005A2454" w:rsidRPr="00212203" w14:paraId="28B9C8BD" w14:textId="77777777" w:rsidTr="00466724">
        <w:trPr>
          <w:cantSplit/>
        </w:trPr>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27D13A0E" w14:textId="77777777" w:rsidR="005A2454" w:rsidRPr="00212203" w:rsidRDefault="005A2454" w:rsidP="002C4B66">
            <w:pPr>
              <w:pStyle w:val="CLDTableTextListText"/>
            </w:pPr>
            <w:r w:rsidRPr="00212203">
              <w:t>Uncommon</w:t>
            </w:r>
          </w:p>
        </w:tc>
        <w:tc>
          <w:tcPr>
            <w:tcW w:w="6770" w:type="dxa"/>
            <w:tcBorders>
              <w:top w:val="single" w:sz="4" w:space="0" w:color="auto"/>
              <w:left w:val="single" w:sz="4" w:space="0" w:color="auto"/>
              <w:bottom w:val="single" w:sz="4" w:space="0" w:color="auto"/>
              <w:right w:val="single" w:sz="4" w:space="0" w:color="auto"/>
            </w:tcBorders>
            <w:shd w:val="clear" w:color="auto" w:fill="auto"/>
          </w:tcPr>
          <w:p w14:paraId="20AD0587" w14:textId="77777777" w:rsidR="005A2454" w:rsidRPr="00212203" w:rsidRDefault="005A2454" w:rsidP="002C4B66">
            <w:pPr>
              <w:pStyle w:val="CLDTableTextListText"/>
            </w:pPr>
            <w:r w:rsidRPr="00212203">
              <w:t xml:space="preserve">Oedema peripheral;^ </w:t>
            </w:r>
            <w:r w:rsidRPr="00212203">
              <w:rPr>
                <w:lang w:val="en-US"/>
              </w:rPr>
              <w:t>Malaise; Asthenia</w:t>
            </w:r>
          </w:p>
        </w:tc>
      </w:tr>
      <w:tr w:rsidR="005A2454" w:rsidRPr="00212203" w14:paraId="6BB76A23" w14:textId="77777777" w:rsidTr="005A2454">
        <w:trPr>
          <w:cantSplit/>
        </w:trPr>
        <w:tc>
          <w:tcPr>
            <w:tcW w:w="9229" w:type="dxa"/>
            <w:gridSpan w:val="2"/>
            <w:tcBorders>
              <w:top w:val="single" w:sz="4" w:space="0" w:color="auto"/>
            </w:tcBorders>
            <w:shd w:val="clear" w:color="auto" w:fill="auto"/>
            <w:hideMark/>
          </w:tcPr>
          <w:p w14:paraId="7A56B314" w14:textId="77777777" w:rsidR="005A2454" w:rsidRPr="00212203" w:rsidRDefault="005A2454" w:rsidP="00452430">
            <w:pPr>
              <w:pStyle w:val="CLDTableFootnote"/>
            </w:pPr>
            <w:r w:rsidRPr="00212203">
              <w:t xml:space="preserve">^ Indicates that grouping of appropriate preferred terms into a single medical concept occurred. </w:t>
            </w:r>
          </w:p>
          <w:p w14:paraId="6B20FDD9" w14:textId="77777777" w:rsidR="005A2454" w:rsidRPr="00212203" w:rsidRDefault="005A2454" w:rsidP="00452430">
            <w:pPr>
              <w:pStyle w:val="CLDTableFootnote"/>
            </w:pPr>
            <w:r w:rsidRPr="00212203">
              <w:t xml:space="preserve"># See section Description of selected adverse reactions below </w:t>
            </w:r>
          </w:p>
        </w:tc>
      </w:tr>
    </w:tbl>
    <w:p w14:paraId="766FA7BD" w14:textId="77777777" w:rsidR="002C4B66" w:rsidRPr="00212203" w:rsidRDefault="002C4B66" w:rsidP="002C4B66">
      <w:pPr>
        <w:pStyle w:val="CLDHeading3"/>
      </w:pPr>
      <w:r w:rsidRPr="00212203">
        <w:t>Description of selected adverse reactions</w:t>
      </w:r>
    </w:p>
    <w:p w14:paraId="3482F493" w14:textId="77777777" w:rsidR="002C4B66" w:rsidRPr="002C4B66" w:rsidRDefault="002C4B66" w:rsidP="002C4B66">
      <w:pPr>
        <w:pStyle w:val="CLDNormal"/>
        <w:rPr>
          <w:i/>
          <w:iCs/>
        </w:rPr>
      </w:pPr>
      <w:r w:rsidRPr="002C4B66">
        <w:rPr>
          <w:i/>
          <w:iCs/>
        </w:rPr>
        <w:t xml:space="preserve">Delirium includes reactions of </w:t>
      </w:r>
      <w:proofErr w:type="spellStart"/>
      <w:r w:rsidRPr="002C4B66">
        <w:rPr>
          <w:i/>
          <w:iCs/>
        </w:rPr>
        <w:t>confusional</w:t>
      </w:r>
      <w:proofErr w:type="spellEnd"/>
      <w:r w:rsidRPr="002C4B66">
        <w:rPr>
          <w:i/>
          <w:iCs/>
        </w:rPr>
        <w:t xml:space="preserve"> state. </w:t>
      </w:r>
    </w:p>
    <w:p w14:paraId="1EED6912" w14:textId="10CA8EED" w:rsidR="002C4B66" w:rsidRPr="00212203" w:rsidRDefault="002C4B66" w:rsidP="002C4B66">
      <w:pPr>
        <w:pStyle w:val="CLDNormal"/>
        <w:rPr>
          <w:szCs w:val="22"/>
        </w:rPr>
      </w:pPr>
      <w:r w:rsidRPr="00212203">
        <w:rPr>
          <w:szCs w:val="22"/>
        </w:rPr>
        <w:lastRenderedPageBreak/>
        <w:t>Elevated liver chemistry tests includes events of alanine aminotransferase increased, aspartate aminotransferase increased, blood alkaline phosphatase increased, blood bilirubin increased, blood lactate dehydrogenase increased, gamma-</w:t>
      </w:r>
      <w:proofErr w:type="spellStart"/>
      <w:r w:rsidRPr="00212203">
        <w:rPr>
          <w:szCs w:val="22"/>
        </w:rPr>
        <w:t>glutamyltransferase</w:t>
      </w:r>
      <w:proofErr w:type="spellEnd"/>
      <w:r w:rsidRPr="00212203">
        <w:rPr>
          <w:szCs w:val="22"/>
        </w:rPr>
        <w:t xml:space="preserve"> increased, hepatic enzyme increased, hepatic function abnormal, </w:t>
      </w:r>
      <w:proofErr w:type="spellStart"/>
      <w:r w:rsidRPr="00212203">
        <w:rPr>
          <w:szCs w:val="22"/>
        </w:rPr>
        <w:t>hyperbilirubin</w:t>
      </w:r>
      <w:r w:rsidR="00213632">
        <w:rPr>
          <w:szCs w:val="22"/>
        </w:rPr>
        <w:t>a</w:t>
      </w:r>
      <w:r w:rsidRPr="00212203">
        <w:rPr>
          <w:szCs w:val="22"/>
        </w:rPr>
        <w:t>emia</w:t>
      </w:r>
      <w:proofErr w:type="spellEnd"/>
      <w:r w:rsidRPr="00212203">
        <w:rPr>
          <w:szCs w:val="22"/>
        </w:rPr>
        <w:t>, liver function test abnormal, and transaminases increased.</w:t>
      </w:r>
    </w:p>
    <w:p w14:paraId="14E49DD3" w14:textId="77777777" w:rsidR="002C4B66" w:rsidRPr="002C4B66" w:rsidRDefault="002C4B66" w:rsidP="002C4B66">
      <w:pPr>
        <w:pStyle w:val="CLDNormal"/>
        <w:rPr>
          <w:i/>
          <w:iCs/>
        </w:rPr>
      </w:pPr>
      <w:bookmarkStart w:id="1" w:name="_Laboratory_effects"/>
      <w:bookmarkEnd w:id="1"/>
      <w:r w:rsidRPr="002C4B66">
        <w:rPr>
          <w:i/>
          <w:iCs/>
        </w:rPr>
        <w:t>Laboratory effects</w:t>
      </w:r>
    </w:p>
    <w:p w14:paraId="218769AB" w14:textId="77777777" w:rsidR="002C4B66" w:rsidRPr="00212203" w:rsidRDefault="002C4B66" w:rsidP="002C4B66">
      <w:pPr>
        <w:pStyle w:val="CLDNormal"/>
        <w:rPr>
          <w:szCs w:val="22"/>
          <w:u w:val="single"/>
        </w:rPr>
      </w:pPr>
      <w:r w:rsidRPr="00212203">
        <w:rPr>
          <w:szCs w:val="22"/>
        </w:rPr>
        <w:t xml:space="preserve">In a double-blind, randomized, active-controlled clinical study of 516 patients with invasive fungal disease caused by </w:t>
      </w:r>
      <w:r w:rsidRPr="00212203">
        <w:rPr>
          <w:i/>
          <w:szCs w:val="22"/>
        </w:rPr>
        <w:t xml:space="preserve">Aspergillus </w:t>
      </w:r>
      <w:r w:rsidRPr="00212203">
        <w:rPr>
          <w:szCs w:val="22"/>
        </w:rPr>
        <w:t xml:space="preserve">species or other filamentous fungi, elevated liver transaminases (alanine aminotransferase or aspartate aminotransferase) &gt; 3 × Upper Limit of Normal (ULN) were reported at the end of study treatment in 4.4% of patients who received CRESEMBA. Marked elevations of liver transaminases &gt; 10 × ULN developed in 1.2% of patients on </w:t>
      </w:r>
      <w:proofErr w:type="spellStart"/>
      <w:r w:rsidRPr="00212203">
        <w:rPr>
          <w:szCs w:val="22"/>
        </w:rPr>
        <w:t>isavuconazole</w:t>
      </w:r>
      <w:proofErr w:type="spellEnd"/>
      <w:r w:rsidRPr="00212203">
        <w:rPr>
          <w:szCs w:val="22"/>
        </w:rPr>
        <w:t>.</w:t>
      </w:r>
    </w:p>
    <w:p w14:paraId="51E38440" w14:textId="1CE3438F" w:rsidR="002D1795" w:rsidRDefault="002D1795" w:rsidP="002D1795">
      <w:pPr>
        <w:pStyle w:val="CLDNormal"/>
      </w:pPr>
      <w:r w:rsidRPr="002D1795">
        <w:t xml:space="preserve">Table 4 includes selected treatment-emergent adverse reactions which were reported at an incidence of more than 5% during CRESEMBA therapy in Study 9766-CL-0104 (Invasive </w:t>
      </w:r>
      <w:proofErr w:type="spellStart"/>
      <w:r w:rsidRPr="002D1795">
        <w:t>Aspergillosis</w:t>
      </w:r>
      <w:proofErr w:type="spellEnd"/>
      <w:r w:rsidRPr="002D1795">
        <w:t>).</w:t>
      </w:r>
    </w:p>
    <w:p w14:paraId="00406BF5" w14:textId="212A5910" w:rsidR="00D870C1" w:rsidRDefault="00D870C1" w:rsidP="00D870C1">
      <w:pPr>
        <w:pStyle w:val="CLDTableTitle"/>
      </w:pPr>
      <w:r w:rsidRPr="00D870C1">
        <w:t xml:space="preserve">Table </w:t>
      </w:r>
      <w:r>
        <w:t>4</w:t>
      </w:r>
      <w:r w:rsidRPr="00D870C1">
        <w:t xml:space="preserve">. Selected Treatment-Emergent Adverse Reactions with Rates of 5% or Greater in CRESEMBA-treated Patients in Study 9766-CL-0104 (Invasive </w:t>
      </w:r>
      <w:proofErr w:type="spellStart"/>
      <w:r w:rsidRPr="00D870C1">
        <w:t>Aspergillosis</w:t>
      </w:r>
      <w:proofErr w:type="spellEnd"/>
      <w:r w:rsidRPr="00D870C1">
        <w:t xml:space="preserve">). </w:t>
      </w:r>
    </w:p>
    <w:p w14:paraId="70A775DA" w14:textId="77777777" w:rsidR="00D870C1" w:rsidRDefault="00D870C1" w:rsidP="00D870C1">
      <w:pPr>
        <w:pStyle w:val="CLDTableTitle"/>
      </w:pPr>
    </w:p>
    <w:tbl>
      <w:tblPr>
        <w:tblW w:w="8802" w:type="dxa"/>
        <w:tblInd w:w="114" w:type="dxa"/>
        <w:tblLayout w:type="fixed"/>
        <w:tblCellMar>
          <w:left w:w="0" w:type="dxa"/>
          <w:right w:w="0" w:type="dxa"/>
        </w:tblCellMar>
        <w:tblLook w:val="01E0" w:firstRow="1" w:lastRow="1" w:firstColumn="1" w:lastColumn="1" w:noHBand="0" w:noVBand="0"/>
      </w:tblPr>
      <w:tblGrid>
        <w:gridCol w:w="3222"/>
        <w:gridCol w:w="2790"/>
        <w:gridCol w:w="2790"/>
      </w:tblGrid>
      <w:tr w:rsidR="002D1795" w:rsidRPr="002D1795" w14:paraId="062BA0A8" w14:textId="77777777" w:rsidTr="002D1795">
        <w:trPr>
          <w:trHeight w:hRule="exact" w:val="768"/>
        </w:trPr>
        <w:tc>
          <w:tcPr>
            <w:tcW w:w="3222" w:type="dxa"/>
            <w:tcBorders>
              <w:top w:val="single" w:sz="5" w:space="0" w:color="000000"/>
              <w:left w:val="single" w:sz="5" w:space="0" w:color="000000"/>
              <w:bottom w:val="single" w:sz="5" w:space="0" w:color="000000"/>
              <w:right w:val="single" w:sz="5" w:space="0" w:color="000000"/>
            </w:tcBorders>
          </w:tcPr>
          <w:p w14:paraId="742AB586" w14:textId="77777777" w:rsidR="00D870C1" w:rsidRPr="00D870C1" w:rsidRDefault="00D870C1" w:rsidP="00D870C1">
            <w:pPr>
              <w:widowControl w:val="0"/>
              <w:spacing w:after="0"/>
              <w:jc w:val="left"/>
              <w:rPr>
                <w:rFonts w:eastAsia="Calibri"/>
                <w:b/>
                <w:bCs/>
                <w:sz w:val="22"/>
                <w:szCs w:val="22"/>
                <w:lang w:val="en-US"/>
              </w:rPr>
            </w:pPr>
            <w:r w:rsidRPr="00D870C1">
              <w:rPr>
                <w:rFonts w:eastAsia="Calibri"/>
                <w:b/>
                <w:bCs/>
                <w:sz w:val="22"/>
                <w:szCs w:val="22"/>
                <w:lang w:val="en-US"/>
              </w:rPr>
              <w:t xml:space="preserve">System Organ Class </w:t>
            </w:r>
          </w:p>
          <w:p w14:paraId="2582C254" w14:textId="77777777" w:rsidR="00D870C1" w:rsidRPr="00D870C1" w:rsidRDefault="00D870C1" w:rsidP="00D870C1">
            <w:pPr>
              <w:widowControl w:val="0"/>
              <w:spacing w:after="0"/>
              <w:jc w:val="left"/>
              <w:rPr>
                <w:rFonts w:eastAsia="Calibri"/>
                <w:bCs/>
                <w:sz w:val="22"/>
                <w:szCs w:val="22"/>
                <w:lang w:val="en-US"/>
              </w:rPr>
            </w:pPr>
            <w:r w:rsidRPr="00D870C1">
              <w:rPr>
                <w:rFonts w:eastAsia="Calibri"/>
                <w:bCs/>
                <w:sz w:val="22"/>
                <w:szCs w:val="22"/>
                <w:lang w:val="en-US"/>
              </w:rPr>
              <w:t>Preferred Term</w:t>
            </w:r>
          </w:p>
          <w:p w14:paraId="6BE4F77A"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tcPr>
          <w:p w14:paraId="49F6E627" w14:textId="77777777" w:rsidR="002D1795" w:rsidRPr="002D1795" w:rsidRDefault="002D1795" w:rsidP="002D1795">
            <w:pPr>
              <w:widowControl w:val="0"/>
              <w:spacing w:after="0"/>
              <w:ind w:left="720" w:right="719"/>
              <w:jc w:val="center"/>
              <w:rPr>
                <w:sz w:val="22"/>
                <w:szCs w:val="22"/>
                <w:lang w:val="en-US"/>
              </w:rPr>
            </w:pPr>
            <w:r w:rsidRPr="002D1795">
              <w:rPr>
                <w:rFonts w:eastAsia="Calibri" w:hAnsi="Calibri"/>
                <w:b/>
                <w:spacing w:val="-1"/>
                <w:w w:val="95"/>
                <w:sz w:val="22"/>
                <w:szCs w:val="22"/>
                <w:lang w:val="en-US"/>
              </w:rPr>
              <w:t>CRESEMBA</w:t>
            </w:r>
            <w:r w:rsidRPr="002D1795">
              <w:rPr>
                <w:rFonts w:eastAsia="Calibri" w:hAnsi="Calibri"/>
                <w:b/>
                <w:spacing w:val="25"/>
                <w:w w:val="99"/>
                <w:sz w:val="22"/>
                <w:szCs w:val="22"/>
                <w:lang w:val="en-US"/>
              </w:rPr>
              <w:t xml:space="preserve"> </w:t>
            </w:r>
            <w:r w:rsidRPr="002D1795">
              <w:rPr>
                <w:rFonts w:eastAsia="Calibri" w:hAnsi="Calibri"/>
                <w:b/>
                <w:sz w:val="22"/>
                <w:szCs w:val="22"/>
                <w:lang w:val="en-US"/>
              </w:rPr>
              <w:t>(N=257)</w:t>
            </w:r>
          </w:p>
          <w:p w14:paraId="1FE83020" w14:textId="77777777" w:rsidR="002D1795" w:rsidRPr="002D1795" w:rsidRDefault="002D1795" w:rsidP="002D1795">
            <w:pPr>
              <w:widowControl w:val="0"/>
              <w:spacing w:after="0" w:line="252" w:lineRule="exact"/>
              <w:ind w:right="1"/>
              <w:jc w:val="center"/>
              <w:rPr>
                <w:sz w:val="22"/>
                <w:szCs w:val="22"/>
                <w:lang w:val="en-US"/>
              </w:rPr>
            </w:pPr>
            <w:r w:rsidRPr="002D1795">
              <w:rPr>
                <w:rFonts w:eastAsia="Calibri" w:hAnsi="Calibri"/>
                <w:b/>
                <w:sz w:val="22"/>
                <w:szCs w:val="22"/>
                <w:lang w:val="en-US"/>
              </w:rPr>
              <w:t>n</w:t>
            </w:r>
            <w:r w:rsidRPr="002D1795">
              <w:rPr>
                <w:rFonts w:eastAsia="Calibri" w:hAnsi="Calibri"/>
                <w:b/>
                <w:spacing w:val="-5"/>
                <w:sz w:val="22"/>
                <w:szCs w:val="22"/>
                <w:lang w:val="en-US"/>
              </w:rPr>
              <w:t xml:space="preserve"> </w:t>
            </w:r>
            <w:r w:rsidRPr="002D1795">
              <w:rPr>
                <w:rFonts w:eastAsia="Calibri" w:hAnsi="Calibri"/>
                <w:b/>
                <w:sz w:val="22"/>
                <w:szCs w:val="22"/>
                <w:lang w:val="en-US"/>
              </w:rPr>
              <w:t>(%)</w:t>
            </w:r>
          </w:p>
        </w:tc>
        <w:tc>
          <w:tcPr>
            <w:tcW w:w="2790" w:type="dxa"/>
            <w:tcBorders>
              <w:top w:val="single" w:sz="5" w:space="0" w:color="000000"/>
              <w:left w:val="single" w:sz="5" w:space="0" w:color="000000"/>
              <w:bottom w:val="single" w:sz="5" w:space="0" w:color="000000"/>
              <w:right w:val="single" w:sz="5" w:space="0" w:color="000000"/>
            </w:tcBorders>
          </w:tcPr>
          <w:p w14:paraId="298AF9D1" w14:textId="77777777" w:rsidR="002D1795" w:rsidRPr="002D1795" w:rsidRDefault="002D1795" w:rsidP="002D1795">
            <w:pPr>
              <w:widowControl w:val="0"/>
              <w:spacing w:after="0"/>
              <w:ind w:left="727" w:right="724"/>
              <w:jc w:val="center"/>
              <w:rPr>
                <w:sz w:val="22"/>
                <w:szCs w:val="22"/>
                <w:lang w:val="en-US"/>
              </w:rPr>
            </w:pPr>
            <w:proofErr w:type="spellStart"/>
            <w:r w:rsidRPr="002D1795">
              <w:rPr>
                <w:rFonts w:eastAsia="Calibri" w:hAnsi="Calibri"/>
                <w:b/>
                <w:spacing w:val="-1"/>
                <w:w w:val="95"/>
                <w:sz w:val="22"/>
                <w:szCs w:val="22"/>
                <w:lang w:val="en-US"/>
              </w:rPr>
              <w:t>Voriconazole</w:t>
            </w:r>
            <w:proofErr w:type="spellEnd"/>
            <w:r w:rsidRPr="002D1795">
              <w:rPr>
                <w:rFonts w:eastAsia="Calibri" w:hAnsi="Calibri"/>
                <w:b/>
                <w:spacing w:val="22"/>
                <w:w w:val="99"/>
                <w:sz w:val="22"/>
                <w:szCs w:val="22"/>
                <w:lang w:val="en-US"/>
              </w:rPr>
              <w:t xml:space="preserve"> </w:t>
            </w:r>
            <w:r w:rsidRPr="002D1795">
              <w:rPr>
                <w:rFonts w:eastAsia="Calibri" w:hAnsi="Calibri"/>
                <w:b/>
                <w:sz w:val="22"/>
                <w:szCs w:val="22"/>
                <w:lang w:val="en-US"/>
              </w:rPr>
              <w:t>(N=259)</w:t>
            </w:r>
          </w:p>
          <w:p w14:paraId="539E979F" w14:textId="77777777" w:rsidR="002D1795" w:rsidRPr="002D1795" w:rsidRDefault="002D1795" w:rsidP="002D1795">
            <w:pPr>
              <w:widowControl w:val="0"/>
              <w:spacing w:after="0" w:line="252" w:lineRule="exact"/>
              <w:ind w:right="1"/>
              <w:jc w:val="center"/>
              <w:rPr>
                <w:sz w:val="22"/>
                <w:szCs w:val="22"/>
                <w:lang w:val="en-US"/>
              </w:rPr>
            </w:pPr>
            <w:r w:rsidRPr="002D1795">
              <w:rPr>
                <w:rFonts w:eastAsia="Calibri" w:hAnsi="Calibri"/>
                <w:b/>
                <w:sz w:val="22"/>
                <w:szCs w:val="22"/>
                <w:lang w:val="en-US"/>
              </w:rPr>
              <w:t>n</w:t>
            </w:r>
            <w:r w:rsidRPr="002D1795">
              <w:rPr>
                <w:rFonts w:eastAsia="Calibri" w:hAnsi="Calibri"/>
                <w:b/>
                <w:spacing w:val="-5"/>
                <w:sz w:val="22"/>
                <w:szCs w:val="22"/>
                <w:lang w:val="en-US"/>
              </w:rPr>
              <w:t xml:space="preserve"> </w:t>
            </w:r>
            <w:r w:rsidRPr="002D1795">
              <w:rPr>
                <w:rFonts w:eastAsia="Calibri" w:hAnsi="Calibri"/>
                <w:b/>
                <w:sz w:val="22"/>
                <w:szCs w:val="22"/>
                <w:lang w:val="en-US"/>
              </w:rPr>
              <w:t>(%)</w:t>
            </w:r>
          </w:p>
        </w:tc>
      </w:tr>
      <w:tr w:rsidR="002D1795" w:rsidRPr="002D1795" w14:paraId="4DC2D7DF" w14:textId="77777777" w:rsidTr="002D1795">
        <w:trPr>
          <w:trHeight w:hRule="exact" w:val="264"/>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52BF041A" w14:textId="77777777" w:rsidR="002D1795" w:rsidRPr="002D1795" w:rsidRDefault="002D1795" w:rsidP="002D1795">
            <w:pPr>
              <w:widowControl w:val="0"/>
              <w:spacing w:after="0" w:line="252" w:lineRule="exact"/>
              <w:ind w:left="102"/>
              <w:jc w:val="left"/>
              <w:rPr>
                <w:sz w:val="22"/>
                <w:szCs w:val="22"/>
                <w:lang w:val="en-US"/>
              </w:rPr>
            </w:pPr>
            <w:r w:rsidRPr="002D1795">
              <w:rPr>
                <w:rFonts w:eastAsia="Calibri" w:hAnsi="Calibri"/>
                <w:b/>
                <w:sz w:val="22"/>
                <w:szCs w:val="22"/>
                <w:lang w:val="en-US"/>
              </w:rPr>
              <w:t>Gastrointestinal</w:t>
            </w:r>
            <w:r w:rsidRPr="002D1795">
              <w:rPr>
                <w:rFonts w:eastAsia="Calibri" w:hAnsi="Calibri"/>
                <w:b/>
                <w:spacing w:val="-24"/>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050D46B2"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695DC7B2"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3AB3C261"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46E0688B"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Nausea</w:t>
            </w:r>
          </w:p>
        </w:tc>
        <w:tc>
          <w:tcPr>
            <w:tcW w:w="2790" w:type="dxa"/>
            <w:tcBorders>
              <w:top w:val="single" w:sz="5" w:space="0" w:color="000000"/>
              <w:left w:val="single" w:sz="5" w:space="0" w:color="000000"/>
              <w:bottom w:val="single" w:sz="5" w:space="0" w:color="000000"/>
              <w:right w:val="single" w:sz="5" w:space="0" w:color="000000"/>
            </w:tcBorders>
          </w:tcPr>
          <w:p w14:paraId="2A1770DE"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71</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(27.6)</w:t>
            </w:r>
          </w:p>
        </w:tc>
        <w:tc>
          <w:tcPr>
            <w:tcW w:w="2790" w:type="dxa"/>
            <w:tcBorders>
              <w:top w:val="single" w:sz="5" w:space="0" w:color="000000"/>
              <w:left w:val="single" w:sz="5" w:space="0" w:color="000000"/>
              <w:bottom w:val="single" w:sz="5" w:space="0" w:color="000000"/>
              <w:right w:val="single" w:sz="5" w:space="0" w:color="000000"/>
            </w:tcBorders>
          </w:tcPr>
          <w:p w14:paraId="6051BC5A"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78</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(30.1)</w:t>
            </w:r>
          </w:p>
        </w:tc>
      </w:tr>
      <w:tr w:rsidR="002D1795" w:rsidRPr="002D1795" w14:paraId="4206AB5E"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1D34DC7B"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pacing w:val="-1"/>
                <w:sz w:val="22"/>
                <w:szCs w:val="22"/>
                <w:lang w:val="en-US"/>
              </w:rPr>
              <w:t>Vomiting</w:t>
            </w:r>
          </w:p>
        </w:tc>
        <w:tc>
          <w:tcPr>
            <w:tcW w:w="2790" w:type="dxa"/>
            <w:tcBorders>
              <w:top w:val="single" w:sz="5" w:space="0" w:color="000000"/>
              <w:left w:val="single" w:sz="5" w:space="0" w:color="000000"/>
              <w:bottom w:val="single" w:sz="5" w:space="0" w:color="000000"/>
              <w:right w:val="single" w:sz="5" w:space="0" w:color="000000"/>
            </w:tcBorders>
          </w:tcPr>
          <w:p w14:paraId="0FFB1AFA" w14:textId="77777777" w:rsidR="002D1795" w:rsidRPr="002D1795" w:rsidRDefault="002D1795" w:rsidP="002D1795">
            <w:pPr>
              <w:widowControl w:val="0"/>
              <w:spacing w:after="0" w:line="251" w:lineRule="exact"/>
              <w:ind w:left="2"/>
              <w:jc w:val="center"/>
              <w:rPr>
                <w:sz w:val="22"/>
                <w:szCs w:val="22"/>
                <w:lang w:val="en-US"/>
              </w:rPr>
            </w:pPr>
            <w:r w:rsidRPr="002D1795">
              <w:rPr>
                <w:rFonts w:eastAsia="Calibri" w:hAnsi="Calibri"/>
                <w:sz w:val="22"/>
                <w:szCs w:val="22"/>
                <w:lang w:val="en-US"/>
              </w:rPr>
              <w:t>64</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(24.9)</w:t>
            </w:r>
          </w:p>
        </w:tc>
        <w:tc>
          <w:tcPr>
            <w:tcW w:w="2790" w:type="dxa"/>
            <w:tcBorders>
              <w:top w:val="single" w:sz="5" w:space="0" w:color="000000"/>
              <w:left w:val="single" w:sz="5" w:space="0" w:color="000000"/>
              <w:bottom w:val="single" w:sz="5" w:space="0" w:color="000000"/>
              <w:right w:val="single" w:sz="5" w:space="0" w:color="000000"/>
            </w:tcBorders>
          </w:tcPr>
          <w:p w14:paraId="2F469674" w14:textId="77777777" w:rsidR="002D1795" w:rsidRPr="002D1795" w:rsidRDefault="002D1795" w:rsidP="002D1795">
            <w:pPr>
              <w:widowControl w:val="0"/>
              <w:spacing w:after="0" w:line="251" w:lineRule="exact"/>
              <w:ind w:left="2"/>
              <w:jc w:val="center"/>
              <w:rPr>
                <w:sz w:val="22"/>
                <w:szCs w:val="22"/>
                <w:lang w:val="en-US"/>
              </w:rPr>
            </w:pPr>
            <w:r w:rsidRPr="002D1795">
              <w:rPr>
                <w:rFonts w:eastAsia="Calibri" w:hAnsi="Calibri"/>
                <w:sz w:val="22"/>
                <w:szCs w:val="22"/>
                <w:lang w:val="en-US"/>
              </w:rPr>
              <w:t>73</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(28.2)</w:t>
            </w:r>
          </w:p>
        </w:tc>
      </w:tr>
      <w:tr w:rsidR="002D1795" w:rsidRPr="002D1795" w14:paraId="750214A9"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14E91D14"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Diarrhea</w:t>
            </w:r>
          </w:p>
        </w:tc>
        <w:tc>
          <w:tcPr>
            <w:tcW w:w="2790" w:type="dxa"/>
            <w:tcBorders>
              <w:top w:val="single" w:sz="5" w:space="0" w:color="000000"/>
              <w:left w:val="single" w:sz="5" w:space="0" w:color="000000"/>
              <w:bottom w:val="single" w:sz="5" w:space="0" w:color="000000"/>
              <w:right w:val="single" w:sz="5" w:space="0" w:color="000000"/>
            </w:tcBorders>
          </w:tcPr>
          <w:p w14:paraId="4E0D3945" w14:textId="77777777" w:rsidR="002D1795" w:rsidRPr="002D1795" w:rsidRDefault="002D1795" w:rsidP="002D1795">
            <w:pPr>
              <w:widowControl w:val="0"/>
              <w:spacing w:after="0" w:line="251" w:lineRule="exact"/>
              <w:ind w:left="4"/>
              <w:jc w:val="center"/>
              <w:rPr>
                <w:sz w:val="22"/>
                <w:szCs w:val="22"/>
                <w:lang w:val="en-US"/>
              </w:rPr>
            </w:pPr>
            <w:r w:rsidRPr="002D1795">
              <w:rPr>
                <w:rFonts w:eastAsia="Calibri" w:hAnsi="Calibri"/>
                <w:sz w:val="22"/>
                <w:szCs w:val="22"/>
                <w:lang w:val="en-US"/>
              </w:rPr>
              <w:t>61</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(23.7)</w:t>
            </w:r>
          </w:p>
        </w:tc>
        <w:tc>
          <w:tcPr>
            <w:tcW w:w="2790" w:type="dxa"/>
            <w:tcBorders>
              <w:top w:val="single" w:sz="5" w:space="0" w:color="000000"/>
              <w:left w:val="single" w:sz="5" w:space="0" w:color="000000"/>
              <w:bottom w:val="single" w:sz="5" w:space="0" w:color="000000"/>
              <w:right w:val="single" w:sz="5" w:space="0" w:color="000000"/>
            </w:tcBorders>
          </w:tcPr>
          <w:p w14:paraId="6C5ADDF6"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60</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(23.2)</w:t>
            </w:r>
          </w:p>
        </w:tc>
      </w:tr>
      <w:tr w:rsidR="002D1795" w:rsidRPr="002D1795" w14:paraId="0DFAC28B"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6BDF7F9E"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pacing w:val="-1"/>
                <w:sz w:val="22"/>
                <w:szCs w:val="22"/>
                <w:lang w:val="en-US"/>
              </w:rPr>
              <w:t>Abdominal</w:t>
            </w:r>
            <w:r w:rsidRPr="002D1795">
              <w:rPr>
                <w:rFonts w:eastAsia="Calibri" w:hAnsi="Calibri"/>
                <w:spacing w:val="-14"/>
                <w:sz w:val="22"/>
                <w:szCs w:val="22"/>
                <w:lang w:val="en-US"/>
              </w:rPr>
              <w:t xml:space="preserve"> </w:t>
            </w:r>
            <w:r w:rsidRPr="002D1795">
              <w:rPr>
                <w:rFonts w:eastAsia="Calibri" w:hAnsi="Calibri"/>
                <w:sz w:val="22"/>
                <w:szCs w:val="22"/>
                <w:lang w:val="en-US"/>
              </w:rPr>
              <w:t>pain</w:t>
            </w:r>
          </w:p>
        </w:tc>
        <w:tc>
          <w:tcPr>
            <w:tcW w:w="2790" w:type="dxa"/>
            <w:tcBorders>
              <w:top w:val="single" w:sz="5" w:space="0" w:color="000000"/>
              <w:left w:val="single" w:sz="5" w:space="0" w:color="000000"/>
              <w:bottom w:val="single" w:sz="5" w:space="0" w:color="000000"/>
              <w:right w:val="single" w:sz="5" w:space="0" w:color="000000"/>
            </w:tcBorders>
          </w:tcPr>
          <w:p w14:paraId="782FC3B6" w14:textId="77777777" w:rsidR="002D1795" w:rsidRPr="002D1795" w:rsidRDefault="002D1795" w:rsidP="002D1795">
            <w:pPr>
              <w:widowControl w:val="0"/>
              <w:spacing w:after="0" w:line="251" w:lineRule="exact"/>
              <w:ind w:left="4"/>
              <w:jc w:val="center"/>
              <w:rPr>
                <w:sz w:val="22"/>
                <w:szCs w:val="22"/>
                <w:lang w:val="en-US"/>
              </w:rPr>
            </w:pPr>
            <w:r w:rsidRPr="002D1795">
              <w:rPr>
                <w:rFonts w:eastAsia="Calibri" w:hAnsi="Calibri"/>
                <w:sz w:val="22"/>
                <w:szCs w:val="22"/>
                <w:lang w:val="en-US"/>
              </w:rPr>
              <w:t>43</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(16.7)</w:t>
            </w:r>
          </w:p>
        </w:tc>
        <w:tc>
          <w:tcPr>
            <w:tcW w:w="2790" w:type="dxa"/>
            <w:tcBorders>
              <w:top w:val="single" w:sz="5" w:space="0" w:color="000000"/>
              <w:left w:val="single" w:sz="5" w:space="0" w:color="000000"/>
              <w:bottom w:val="single" w:sz="5" w:space="0" w:color="000000"/>
              <w:right w:val="single" w:sz="5" w:space="0" w:color="000000"/>
            </w:tcBorders>
          </w:tcPr>
          <w:p w14:paraId="5B740BEF"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59</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(22.8)</w:t>
            </w:r>
          </w:p>
        </w:tc>
      </w:tr>
      <w:tr w:rsidR="002D1795" w:rsidRPr="002D1795" w14:paraId="771386FE"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6806057E"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Constipation</w:t>
            </w:r>
          </w:p>
        </w:tc>
        <w:tc>
          <w:tcPr>
            <w:tcW w:w="2790" w:type="dxa"/>
            <w:tcBorders>
              <w:top w:val="single" w:sz="5" w:space="0" w:color="000000"/>
              <w:left w:val="single" w:sz="5" w:space="0" w:color="000000"/>
              <w:bottom w:val="single" w:sz="5" w:space="0" w:color="000000"/>
              <w:right w:val="single" w:sz="5" w:space="0" w:color="000000"/>
            </w:tcBorders>
          </w:tcPr>
          <w:p w14:paraId="4A0D990D" w14:textId="77777777" w:rsidR="002D1795" w:rsidRPr="002D1795" w:rsidRDefault="002D1795" w:rsidP="002D1795">
            <w:pPr>
              <w:widowControl w:val="0"/>
              <w:spacing w:after="0" w:line="251" w:lineRule="exact"/>
              <w:ind w:left="5"/>
              <w:jc w:val="center"/>
              <w:rPr>
                <w:sz w:val="22"/>
                <w:szCs w:val="22"/>
                <w:lang w:val="en-US"/>
              </w:rPr>
            </w:pPr>
            <w:r w:rsidRPr="002D1795">
              <w:rPr>
                <w:rFonts w:eastAsia="Calibri" w:hAnsi="Calibri"/>
                <w:sz w:val="22"/>
                <w:szCs w:val="22"/>
                <w:lang w:val="en-US"/>
              </w:rPr>
              <w:t>36</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(14.0)</w:t>
            </w:r>
          </w:p>
        </w:tc>
        <w:tc>
          <w:tcPr>
            <w:tcW w:w="2790" w:type="dxa"/>
            <w:tcBorders>
              <w:top w:val="single" w:sz="5" w:space="0" w:color="000000"/>
              <w:left w:val="single" w:sz="5" w:space="0" w:color="000000"/>
              <w:bottom w:val="single" w:sz="5" w:space="0" w:color="000000"/>
              <w:right w:val="single" w:sz="5" w:space="0" w:color="000000"/>
            </w:tcBorders>
          </w:tcPr>
          <w:p w14:paraId="06B55F3E" w14:textId="77777777" w:rsidR="002D1795" w:rsidRPr="002D1795" w:rsidRDefault="002D1795" w:rsidP="002D1795">
            <w:pPr>
              <w:widowControl w:val="0"/>
              <w:spacing w:after="0" w:line="251" w:lineRule="exact"/>
              <w:ind w:left="4"/>
              <w:jc w:val="center"/>
              <w:rPr>
                <w:sz w:val="22"/>
                <w:szCs w:val="22"/>
                <w:lang w:val="en-US"/>
              </w:rPr>
            </w:pPr>
            <w:r w:rsidRPr="002D1795">
              <w:rPr>
                <w:rFonts w:eastAsia="Calibri" w:hAnsi="Calibri"/>
                <w:sz w:val="22"/>
                <w:szCs w:val="22"/>
                <w:lang w:val="en-US"/>
              </w:rPr>
              <w:t>54</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(20.8)</w:t>
            </w:r>
          </w:p>
        </w:tc>
      </w:tr>
      <w:tr w:rsidR="002D1795" w:rsidRPr="002D1795" w14:paraId="626AED37"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432EA453"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Dyspepsia</w:t>
            </w:r>
          </w:p>
        </w:tc>
        <w:tc>
          <w:tcPr>
            <w:tcW w:w="2790" w:type="dxa"/>
            <w:tcBorders>
              <w:top w:val="single" w:sz="5" w:space="0" w:color="000000"/>
              <w:left w:val="single" w:sz="5" w:space="0" w:color="000000"/>
              <w:bottom w:val="single" w:sz="5" w:space="0" w:color="000000"/>
              <w:right w:val="single" w:sz="5" w:space="0" w:color="000000"/>
            </w:tcBorders>
          </w:tcPr>
          <w:p w14:paraId="6F62ED20"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16</w:t>
            </w:r>
            <w:r w:rsidRPr="002D1795">
              <w:rPr>
                <w:rFonts w:eastAsia="Calibri" w:hAnsi="Calibri"/>
                <w:spacing w:val="-7"/>
                <w:sz w:val="22"/>
                <w:szCs w:val="22"/>
                <w:lang w:val="en-US"/>
              </w:rPr>
              <w:t xml:space="preserve"> </w:t>
            </w:r>
            <w:r w:rsidRPr="002D1795">
              <w:rPr>
                <w:rFonts w:eastAsia="Calibri" w:hAnsi="Calibri"/>
                <w:sz w:val="22"/>
                <w:szCs w:val="22"/>
                <w:lang w:val="en-US"/>
              </w:rPr>
              <w:t>(6.2)</w:t>
            </w:r>
          </w:p>
        </w:tc>
        <w:tc>
          <w:tcPr>
            <w:tcW w:w="2790" w:type="dxa"/>
            <w:tcBorders>
              <w:top w:val="single" w:sz="5" w:space="0" w:color="000000"/>
              <w:left w:val="single" w:sz="5" w:space="0" w:color="000000"/>
              <w:bottom w:val="single" w:sz="5" w:space="0" w:color="000000"/>
              <w:right w:val="single" w:sz="5" w:space="0" w:color="000000"/>
            </w:tcBorders>
          </w:tcPr>
          <w:p w14:paraId="412FD0D2"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14</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(5.4)</w:t>
            </w:r>
          </w:p>
        </w:tc>
      </w:tr>
      <w:tr w:rsidR="002D1795" w:rsidRPr="002D1795" w14:paraId="3C2EB540" w14:textId="77777777" w:rsidTr="002D1795">
        <w:trPr>
          <w:trHeight w:hRule="exact" w:val="264"/>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3B1B4A85" w14:textId="77777777" w:rsidR="002D1795" w:rsidRPr="002D1795" w:rsidRDefault="002D1795" w:rsidP="002D1795">
            <w:pPr>
              <w:widowControl w:val="0"/>
              <w:spacing w:after="0" w:line="252" w:lineRule="exact"/>
              <w:ind w:left="102"/>
              <w:jc w:val="left"/>
              <w:rPr>
                <w:sz w:val="22"/>
                <w:szCs w:val="22"/>
                <w:lang w:val="en-US"/>
              </w:rPr>
            </w:pPr>
            <w:r w:rsidRPr="002D1795">
              <w:rPr>
                <w:rFonts w:eastAsia="Calibri" w:hAnsi="Calibri"/>
                <w:b/>
                <w:sz w:val="22"/>
                <w:szCs w:val="22"/>
                <w:lang w:val="en-US"/>
              </w:rPr>
              <w:t>General</w:t>
            </w:r>
            <w:r w:rsidRPr="002D1795">
              <w:rPr>
                <w:rFonts w:eastAsia="Calibri" w:hAnsi="Calibri"/>
                <w:b/>
                <w:spacing w:val="-10"/>
                <w:sz w:val="22"/>
                <w:szCs w:val="22"/>
                <w:lang w:val="en-US"/>
              </w:rPr>
              <w:t xml:space="preserve"> </w:t>
            </w:r>
            <w:r w:rsidRPr="002D1795">
              <w:rPr>
                <w:rFonts w:eastAsia="Calibri" w:hAnsi="Calibri"/>
                <w:b/>
                <w:sz w:val="22"/>
                <w:szCs w:val="22"/>
                <w:lang w:val="en-US"/>
              </w:rPr>
              <w:t>disorders</w:t>
            </w:r>
            <w:r w:rsidRPr="002D1795">
              <w:rPr>
                <w:rFonts w:eastAsia="Calibri" w:hAnsi="Calibri"/>
                <w:b/>
                <w:spacing w:val="-9"/>
                <w:sz w:val="22"/>
                <w:szCs w:val="22"/>
                <w:lang w:val="en-US"/>
              </w:rPr>
              <w:t xml:space="preserve"> </w:t>
            </w:r>
            <w:r w:rsidRPr="002D1795">
              <w:rPr>
                <w:rFonts w:eastAsia="Calibri" w:hAnsi="Calibri"/>
                <w:b/>
                <w:sz w:val="22"/>
                <w:szCs w:val="22"/>
                <w:lang w:val="en-US"/>
              </w:rPr>
              <w:t>and</w:t>
            </w:r>
            <w:r w:rsidRPr="002D1795">
              <w:rPr>
                <w:rFonts w:eastAsia="Calibri" w:hAnsi="Calibri"/>
                <w:b/>
                <w:spacing w:val="-9"/>
                <w:sz w:val="22"/>
                <w:szCs w:val="22"/>
                <w:lang w:val="en-US"/>
              </w:rPr>
              <w:t xml:space="preserve"> </w:t>
            </w:r>
            <w:r w:rsidRPr="002D1795">
              <w:rPr>
                <w:rFonts w:eastAsia="Calibri" w:hAnsi="Calibri"/>
                <w:b/>
                <w:sz w:val="22"/>
                <w:szCs w:val="22"/>
                <w:lang w:val="en-US"/>
              </w:rPr>
              <w:t>administration</w:t>
            </w:r>
            <w:r w:rsidRPr="002D1795">
              <w:rPr>
                <w:rFonts w:eastAsia="Calibri" w:hAnsi="Calibri"/>
                <w:b/>
                <w:spacing w:val="-10"/>
                <w:sz w:val="22"/>
                <w:szCs w:val="22"/>
                <w:lang w:val="en-US"/>
              </w:rPr>
              <w:t xml:space="preserve"> </w:t>
            </w:r>
            <w:r w:rsidRPr="002D1795">
              <w:rPr>
                <w:rFonts w:eastAsia="Calibri" w:hAnsi="Calibri"/>
                <w:b/>
                <w:sz w:val="22"/>
                <w:szCs w:val="22"/>
                <w:lang w:val="en-US"/>
              </w:rPr>
              <w:t>site</w:t>
            </w:r>
            <w:r w:rsidRPr="002D1795">
              <w:rPr>
                <w:rFonts w:eastAsia="Calibri" w:hAnsi="Calibri"/>
                <w:b/>
                <w:spacing w:val="-9"/>
                <w:sz w:val="22"/>
                <w:szCs w:val="22"/>
                <w:lang w:val="en-US"/>
              </w:rPr>
              <w:t xml:space="preserve"> </w:t>
            </w:r>
            <w:r w:rsidRPr="002D1795">
              <w:rPr>
                <w:rFonts w:eastAsia="Calibri" w:hAnsi="Calibri"/>
                <w:b/>
                <w:sz w:val="22"/>
                <w:szCs w:val="22"/>
                <w:lang w:val="en-US"/>
              </w:rPr>
              <w:t>conditions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2106AD9B"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183ECC42"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343CAD42"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66EC37B5"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pacing w:val="-1"/>
                <w:sz w:val="22"/>
                <w:szCs w:val="22"/>
                <w:lang w:val="en-US"/>
              </w:rPr>
              <w:t>Edema</w:t>
            </w:r>
            <w:r w:rsidRPr="002D1795">
              <w:rPr>
                <w:rFonts w:eastAsia="Calibri" w:hAnsi="Calibri"/>
                <w:spacing w:val="-16"/>
                <w:sz w:val="22"/>
                <w:szCs w:val="22"/>
                <w:lang w:val="en-US"/>
              </w:rPr>
              <w:t xml:space="preserve"> </w:t>
            </w:r>
            <w:r w:rsidRPr="002D1795">
              <w:rPr>
                <w:rFonts w:eastAsia="Calibri" w:hAnsi="Calibri"/>
                <w:sz w:val="22"/>
                <w:szCs w:val="22"/>
                <w:lang w:val="en-US"/>
              </w:rPr>
              <w:t>peripheral</w:t>
            </w:r>
          </w:p>
        </w:tc>
        <w:tc>
          <w:tcPr>
            <w:tcW w:w="2790" w:type="dxa"/>
            <w:tcBorders>
              <w:top w:val="single" w:sz="5" w:space="0" w:color="000000"/>
              <w:left w:val="single" w:sz="5" w:space="0" w:color="000000"/>
              <w:bottom w:val="single" w:sz="5" w:space="0" w:color="000000"/>
              <w:right w:val="single" w:sz="5" w:space="0" w:color="000000"/>
            </w:tcBorders>
          </w:tcPr>
          <w:p w14:paraId="0F220455" w14:textId="77777777" w:rsidR="002D1795" w:rsidRPr="002D1795" w:rsidRDefault="002D1795" w:rsidP="002D1795">
            <w:pPr>
              <w:widowControl w:val="0"/>
              <w:spacing w:after="0" w:line="251" w:lineRule="exact"/>
              <w:ind w:left="6"/>
              <w:jc w:val="center"/>
              <w:rPr>
                <w:sz w:val="22"/>
                <w:szCs w:val="22"/>
                <w:lang w:val="en-US"/>
              </w:rPr>
            </w:pPr>
            <w:r w:rsidRPr="002D1795">
              <w:rPr>
                <w:rFonts w:eastAsia="Calibri" w:hAnsi="Calibri"/>
                <w:sz w:val="22"/>
                <w:szCs w:val="22"/>
                <w:lang w:val="en-US"/>
              </w:rPr>
              <w:t>39</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(15.2)</w:t>
            </w:r>
          </w:p>
        </w:tc>
        <w:tc>
          <w:tcPr>
            <w:tcW w:w="2790" w:type="dxa"/>
            <w:tcBorders>
              <w:top w:val="single" w:sz="5" w:space="0" w:color="000000"/>
              <w:left w:val="single" w:sz="5" w:space="0" w:color="000000"/>
              <w:bottom w:val="single" w:sz="5" w:space="0" w:color="000000"/>
              <w:right w:val="single" w:sz="5" w:space="0" w:color="000000"/>
            </w:tcBorders>
          </w:tcPr>
          <w:p w14:paraId="270CE1BC" w14:textId="77777777" w:rsidR="002D1795" w:rsidRPr="002D1795" w:rsidRDefault="002D1795" w:rsidP="002D1795">
            <w:pPr>
              <w:widowControl w:val="0"/>
              <w:spacing w:after="0" w:line="251" w:lineRule="exact"/>
              <w:ind w:left="5"/>
              <w:jc w:val="center"/>
              <w:rPr>
                <w:sz w:val="22"/>
                <w:szCs w:val="22"/>
                <w:lang w:val="en-US"/>
              </w:rPr>
            </w:pPr>
            <w:r w:rsidRPr="002D1795">
              <w:rPr>
                <w:rFonts w:eastAsia="Calibri" w:hAnsi="Calibri"/>
                <w:sz w:val="22"/>
                <w:szCs w:val="22"/>
                <w:lang w:val="en-US"/>
              </w:rPr>
              <w:t>46</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(17.8)</w:t>
            </w:r>
          </w:p>
        </w:tc>
      </w:tr>
      <w:tr w:rsidR="002D1795" w:rsidRPr="002D1795" w14:paraId="66DD0B86"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16CF8D27"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Fatigue</w:t>
            </w:r>
          </w:p>
        </w:tc>
        <w:tc>
          <w:tcPr>
            <w:tcW w:w="2790" w:type="dxa"/>
            <w:tcBorders>
              <w:top w:val="single" w:sz="5" w:space="0" w:color="000000"/>
              <w:left w:val="single" w:sz="5" w:space="0" w:color="000000"/>
              <w:bottom w:val="single" w:sz="5" w:space="0" w:color="000000"/>
              <w:right w:val="single" w:sz="5" w:space="0" w:color="000000"/>
            </w:tcBorders>
          </w:tcPr>
          <w:p w14:paraId="3366D248"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27</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(10.5)</w:t>
            </w:r>
          </w:p>
        </w:tc>
        <w:tc>
          <w:tcPr>
            <w:tcW w:w="2790" w:type="dxa"/>
            <w:tcBorders>
              <w:top w:val="single" w:sz="5" w:space="0" w:color="000000"/>
              <w:left w:val="single" w:sz="5" w:space="0" w:color="000000"/>
              <w:bottom w:val="single" w:sz="5" w:space="0" w:color="000000"/>
              <w:right w:val="single" w:sz="5" w:space="0" w:color="000000"/>
            </w:tcBorders>
          </w:tcPr>
          <w:p w14:paraId="0A9DE814"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18</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(6.9)</w:t>
            </w:r>
          </w:p>
        </w:tc>
      </w:tr>
      <w:tr w:rsidR="002D1795" w:rsidRPr="002D1795" w14:paraId="571BE878"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490FFFBA"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Chest</w:t>
            </w:r>
            <w:r w:rsidRPr="002D1795">
              <w:rPr>
                <w:rFonts w:eastAsia="Calibri" w:hAnsi="Calibri"/>
                <w:spacing w:val="-9"/>
                <w:sz w:val="22"/>
                <w:szCs w:val="22"/>
                <w:lang w:val="en-US"/>
              </w:rPr>
              <w:t xml:space="preserve"> </w:t>
            </w:r>
            <w:r w:rsidRPr="002D1795">
              <w:rPr>
                <w:rFonts w:eastAsia="Calibri" w:hAnsi="Calibri"/>
                <w:sz w:val="22"/>
                <w:szCs w:val="22"/>
                <w:lang w:val="en-US"/>
              </w:rPr>
              <w:t>pain</w:t>
            </w:r>
          </w:p>
        </w:tc>
        <w:tc>
          <w:tcPr>
            <w:tcW w:w="2790" w:type="dxa"/>
            <w:tcBorders>
              <w:top w:val="single" w:sz="5" w:space="0" w:color="000000"/>
              <w:left w:val="single" w:sz="5" w:space="0" w:color="000000"/>
              <w:bottom w:val="single" w:sz="5" w:space="0" w:color="000000"/>
              <w:right w:val="single" w:sz="5" w:space="0" w:color="000000"/>
            </w:tcBorders>
          </w:tcPr>
          <w:p w14:paraId="05D25991"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23</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(8.9)</w:t>
            </w:r>
          </w:p>
        </w:tc>
        <w:tc>
          <w:tcPr>
            <w:tcW w:w="2790" w:type="dxa"/>
            <w:tcBorders>
              <w:top w:val="single" w:sz="5" w:space="0" w:color="000000"/>
              <w:left w:val="single" w:sz="5" w:space="0" w:color="000000"/>
              <w:bottom w:val="single" w:sz="5" w:space="0" w:color="000000"/>
              <w:right w:val="single" w:sz="5" w:space="0" w:color="000000"/>
            </w:tcBorders>
          </w:tcPr>
          <w:p w14:paraId="71C2BEBA" w14:textId="77777777" w:rsidR="002D1795" w:rsidRPr="002D1795" w:rsidRDefault="002D1795" w:rsidP="002D1795">
            <w:pPr>
              <w:widowControl w:val="0"/>
              <w:spacing w:after="0" w:line="251" w:lineRule="exact"/>
              <w:ind w:left="2"/>
              <w:jc w:val="center"/>
              <w:rPr>
                <w:sz w:val="22"/>
                <w:szCs w:val="22"/>
                <w:lang w:val="en-US"/>
              </w:rPr>
            </w:pPr>
            <w:r w:rsidRPr="002D1795">
              <w:rPr>
                <w:rFonts w:eastAsia="Calibri" w:hAnsi="Calibri"/>
                <w:sz w:val="22"/>
                <w:szCs w:val="22"/>
                <w:lang w:val="en-US"/>
              </w:rPr>
              <w:t>16</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(6.2)</w:t>
            </w:r>
          </w:p>
        </w:tc>
      </w:tr>
      <w:tr w:rsidR="002D1795" w:rsidRPr="002D1795" w14:paraId="153828D6"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64B22A05"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Injection</w:t>
            </w:r>
            <w:r w:rsidRPr="002D1795">
              <w:rPr>
                <w:rFonts w:eastAsia="Calibri" w:hAnsi="Calibri"/>
                <w:spacing w:val="-9"/>
                <w:sz w:val="22"/>
                <w:szCs w:val="22"/>
                <w:lang w:val="en-US"/>
              </w:rPr>
              <w:t xml:space="preserve"> </w:t>
            </w:r>
            <w:r w:rsidRPr="002D1795">
              <w:rPr>
                <w:rFonts w:eastAsia="Calibri" w:hAnsi="Calibri"/>
                <w:sz w:val="22"/>
                <w:szCs w:val="22"/>
                <w:lang w:val="en-US"/>
              </w:rPr>
              <w:t>site</w:t>
            </w:r>
            <w:r w:rsidRPr="002D1795">
              <w:rPr>
                <w:rFonts w:eastAsia="Calibri" w:hAnsi="Calibri"/>
                <w:spacing w:val="-9"/>
                <w:sz w:val="22"/>
                <w:szCs w:val="22"/>
                <w:lang w:val="en-US"/>
              </w:rPr>
              <w:t xml:space="preserve"> </w:t>
            </w:r>
            <w:r w:rsidRPr="002D1795">
              <w:rPr>
                <w:rFonts w:eastAsia="Calibri" w:hAnsi="Calibri"/>
                <w:sz w:val="22"/>
                <w:szCs w:val="22"/>
                <w:lang w:val="en-US"/>
              </w:rPr>
              <w:t>reaction</w:t>
            </w:r>
          </w:p>
        </w:tc>
        <w:tc>
          <w:tcPr>
            <w:tcW w:w="2790" w:type="dxa"/>
            <w:tcBorders>
              <w:top w:val="single" w:sz="5" w:space="0" w:color="000000"/>
              <w:left w:val="single" w:sz="5" w:space="0" w:color="000000"/>
              <w:bottom w:val="single" w:sz="5" w:space="0" w:color="000000"/>
              <w:right w:val="single" w:sz="5" w:space="0" w:color="000000"/>
            </w:tcBorders>
          </w:tcPr>
          <w:p w14:paraId="2202E745" w14:textId="77777777" w:rsidR="002D1795" w:rsidRPr="002D1795" w:rsidRDefault="002D1795" w:rsidP="002D1795">
            <w:pPr>
              <w:widowControl w:val="0"/>
              <w:spacing w:after="0" w:line="251" w:lineRule="exact"/>
              <w:ind w:left="5"/>
              <w:jc w:val="center"/>
              <w:rPr>
                <w:sz w:val="22"/>
                <w:szCs w:val="22"/>
                <w:lang w:val="en-US"/>
              </w:rPr>
            </w:pPr>
            <w:r w:rsidRPr="002D1795">
              <w:rPr>
                <w:rFonts w:eastAsia="Calibri" w:hAnsi="Calibri"/>
                <w:sz w:val="22"/>
                <w:szCs w:val="22"/>
                <w:lang w:val="en-US"/>
              </w:rPr>
              <w:t>16</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(6.2)</w:t>
            </w:r>
          </w:p>
        </w:tc>
        <w:tc>
          <w:tcPr>
            <w:tcW w:w="2790" w:type="dxa"/>
            <w:tcBorders>
              <w:top w:val="single" w:sz="5" w:space="0" w:color="000000"/>
              <w:left w:val="single" w:sz="5" w:space="0" w:color="000000"/>
              <w:bottom w:val="single" w:sz="5" w:space="0" w:color="000000"/>
              <w:right w:val="single" w:sz="5" w:space="0" w:color="000000"/>
            </w:tcBorders>
          </w:tcPr>
          <w:p w14:paraId="646F19A8" w14:textId="77777777" w:rsidR="002D1795" w:rsidRPr="002D1795" w:rsidRDefault="002D1795" w:rsidP="002D1795">
            <w:pPr>
              <w:widowControl w:val="0"/>
              <w:spacing w:after="0" w:line="251" w:lineRule="exact"/>
              <w:ind w:left="2"/>
              <w:jc w:val="center"/>
              <w:rPr>
                <w:sz w:val="22"/>
                <w:szCs w:val="22"/>
                <w:lang w:val="en-US"/>
              </w:rPr>
            </w:pPr>
            <w:r w:rsidRPr="002D1795">
              <w:rPr>
                <w:rFonts w:eastAsia="Calibri" w:hAnsi="Calibri"/>
                <w:sz w:val="22"/>
                <w:szCs w:val="22"/>
                <w:lang w:val="en-US"/>
              </w:rPr>
              <w:t>4</w:t>
            </w:r>
            <w:r w:rsidRPr="002D1795">
              <w:rPr>
                <w:rFonts w:eastAsia="Calibri" w:hAnsi="Calibri"/>
                <w:spacing w:val="-6"/>
                <w:sz w:val="22"/>
                <w:szCs w:val="22"/>
                <w:lang w:val="en-US"/>
              </w:rPr>
              <w:t xml:space="preserve"> </w:t>
            </w:r>
            <w:r w:rsidRPr="002D1795">
              <w:rPr>
                <w:rFonts w:eastAsia="Calibri" w:hAnsi="Calibri"/>
                <w:sz w:val="22"/>
                <w:szCs w:val="22"/>
                <w:lang w:val="en-US"/>
              </w:rPr>
              <w:t>(1.5)</w:t>
            </w:r>
          </w:p>
        </w:tc>
      </w:tr>
      <w:tr w:rsidR="002D1795" w:rsidRPr="002D1795" w14:paraId="546B5397"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26835550" w14:textId="77777777" w:rsidR="002D1795" w:rsidRPr="002D1795" w:rsidRDefault="002D1795" w:rsidP="002D1795">
            <w:pPr>
              <w:widowControl w:val="0"/>
              <w:spacing w:after="0" w:line="251" w:lineRule="exact"/>
              <w:ind w:left="102"/>
              <w:jc w:val="left"/>
              <w:rPr>
                <w:sz w:val="22"/>
                <w:szCs w:val="22"/>
                <w:lang w:val="en-US"/>
              </w:rPr>
            </w:pPr>
            <w:r w:rsidRPr="002D1795">
              <w:rPr>
                <w:rFonts w:eastAsia="Calibri" w:hAnsi="Calibri"/>
                <w:b/>
                <w:sz w:val="22"/>
                <w:szCs w:val="22"/>
                <w:lang w:val="en-US"/>
              </w:rPr>
              <w:t>Hepatobiliary</w:t>
            </w:r>
            <w:r w:rsidRPr="002D1795">
              <w:rPr>
                <w:rFonts w:eastAsia="Calibri" w:hAnsi="Calibri"/>
                <w:b/>
                <w:spacing w:val="-22"/>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176CA10D"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3D6B3209"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4626BEB2"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3472BD45" w14:textId="77777777" w:rsidR="002D1795" w:rsidRPr="002D1795" w:rsidRDefault="002D1795" w:rsidP="002D1795">
            <w:pPr>
              <w:widowControl w:val="0"/>
              <w:spacing w:after="0" w:line="251" w:lineRule="exact"/>
              <w:ind w:left="282"/>
              <w:jc w:val="left"/>
              <w:rPr>
                <w:sz w:val="14"/>
                <w:szCs w:val="14"/>
                <w:lang w:val="en-US"/>
              </w:rPr>
            </w:pPr>
            <w:r w:rsidRPr="002D1795">
              <w:rPr>
                <w:rFonts w:eastAsia="Calibri" w:hAnsi="Calibri"/>
                <w:sz w:val="22"/>
                <w:szCs w:val="22"/>
                <w:lang w:val="en-US"/>
              </w:rPr>
              <w:t>Elevated</w:t>
            </w:r>
            <w:r w:rsidRPr="002D1795">
              <w:rPr>
                <w:rFonts w:eastAsia="Calibri" w:hAnsi="Calibri"/>
                <w:spacing w:val="-9"/>
                <w:sz w:val="22"/>
                <w:szCs w:val="22"/>
                <w:lang w:val="en-US"/>
              </w:rPr>
              <w:t xml:space="preserve"> </w:t>
            </w:r>
            <w:r w:rsidRPr="002D1795">
              <w:rPr>
                <w:rFonts w:eastAsia="Calibri" w:hAnsi="Calibri"/>
                <w:sz w:val="22"/>
                <w:szCs w:val="22"/>
                <w:lang w:val="en-US"/>
              </w:rPr>
              <w:t>liver</w:t>
            </w:r>
            <w:r w:rsidRPr="002D1795">
              <w:rPr>
                <w:rFonts w:eastAsia="Calibri" w:hAnsi="Calibri"/>
                <w:spacing w:val="-8"/>
                <w:sz w:val="22"/>
                <w:szCs w:val="22"/>
                <w:lang w:val="en-US"/>
              </w:rPr>
              <w:t xml:space="preserve"> </w:t>
            </w:r>
            <w:r w:rsidRPr="002D1795">
              <w:rPr>
                <w:rFonts w:eastAsia="Calibri" w:hAnsi="Calibri"/>
                <w:sz w:val="22"/>
                <w:szCs w:val="22"/>
                <w:lang w:val="en-US"/>
              </w:rPr>
              <w:t>laboratory</w:t>
            </w:r>
            <w:r w:rsidRPr="002D1795">
              <w:rPr>
                <w:rFonts w:eastAsia="Calibri" w:hAnsi="Calibri"/>
                <w:spacing w:val="-6"/>
                <w:sz w:val="22"/>
                <w:szCs w:val="22"/>
                <w:lang w:val="en-US"/>
              </w:rPr>
              <w:t xml:space="preserve"> </w:t>
            </w:r>
            <w:r w:rsidRPr="002D1795">
              <w:rPr>
                <w:rFonts w:eastAsia="Calibri" w:hAnsi="Calibri"/>
                <w:spacing w:val="-1"/>
                <w:sz w:val="22"/>
                <w:szCs w:val="22"/>
                <w:lang w:val="en-US"/>
              </w:rPr>
              <w:t>tests</w:t>
            </w:r>
            <w:r w:rsidRPr="002D1795">
              <w:rPr>
                <w:rFonts w:eastAsia="Calibri" w:hAnsi="Calibri"/>
                <w:spacing w:val="-1"/>
                <w:position w:val="9"/>
                <w:sz w:val="14"/>
                <w:szCs w:val="22"/>
                <w:lang w:val="en-US"/>
              </w:rPr>
              <w:t>a</w:t>
            </w:r>
          </w:p>
        </w:tc>
        <w:tc>
          <w:tcPr>
            <w:tcW w:w="2790" w:type="dxa"/>
            <w:tcBorders>
              <w:top w:val="single" w:sz="5" w:space="0" w:color="000000"/>
              <w:left w:val="single" w:sz="5" w:space="0" w:color="000000"/>
              <w:bottom w:val="single" w:sz="5" w:space="0" w:color="000000"/>
              <w:right w:val="single" w:sz="5" w:space="0" w:color="000000"/>
            </w:tcBorders>
          </w:tcPr>
          <w:p w14:paraId="30D3CBBF"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44</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(17.1)</w:t>
            </w:r>
          </w:p>
        </w:tc>
        <w:tc>
          <w:tcPr>
            <w:tcW w:w="2790" w:type="dxa"/>
            <w:tcBorders>
              <w:top w:val="single" w:sz="5" w:space="0" w:color="000000"/>
              <w:left w:val="single" w:sz="5" w:space="0" w:color="000000"/>
              <w:bottom w:val="single" w:sz="5" w:space="0" w:color="000000"/>
              <w:right w:val="single" w:sz="5" w:space="0" w:color="000000"/>
            </w:tcBorders>
          </w:tcPr>
          <w:p w14:paraId="483C2365"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63</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(24.3)</w:t>
            </w:r>
          </w:p>
        </w:tc>
      </w:tr>
      <w:tr w:rsidR="002D1795" w:rsidRPr="002D1795" w14:paraId="48C5F2B6" w14:textId="77777777" w:rsidTr="002D1795">
        <w:trPr>
          <w:trHeight w:hRule="exact" w:val="264"/>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576E86CF" w14:textId="77777777" w:rsidR="002D1795" w:rsidRPr="002D1795" w:rsidRDefault="002D1795" w:rsidP="002D1795">
            <w:pPr>
              <w:widowControl w:val="0"/>
              <w:spacing w:after="0" w:line="252" w:lineRule="exact"/>
              <w:ind w:left="102"/>
              <w:jc w:val="left"/>
              <w:rPr>
                <w:sz w:val="22"/>
                <w:szCs w:val="22"/>
                <w:lang w:val="en-US"/>
              </w:rPr>
            </w:pPr>
            <w:r w:rsidRPr="002D1795">
              <w:rPr>
                <w:rFonts w:eastAsia="Calibri" w:hAnsi="Calibri"/>
                <w:b/>
                <w:sz w:val="22"/>
                <w:szCs w:val="22"/>
                <w:lang w:val="en-US"/>
              </w:rPr>
              <w:t>Metabolism</w:t>
            </w:r>
            <w:r w:rsidRPr="002D1795">
              <w:rPr>
                <w:rFonts w:eastAsia="Calibri" w:hAnsi="Calibri"/>
                <w:b/>
                <w:spacing w:val="-11"/>
                <w:sz w:val="22"/>
                <w:szCs w:val="22"/>
                <w:lang w:val="en-US"/>
              </w:rPr>
              <w:t xml:space="preserve"> </w:t>
            </w:r>
            <w:r w:rsidRPr="002D1795">
              <w:rPr>
                <w:rFonts w:eastAsia="Calibri" w:hAnsi="Calibri"/>
                <w:b/>
                <w:sz w:val="22"/>
                <w:szCs w:val="22"/>
                <w:lang w:val="en-US"/>
              </w:rPr>
              <w:t>and</w:t>
            </w:r>
            <w:r w:rsidRPr="002D1795">
              <w:rPr>
                <w:rFonts w:eastAsia="Calibri" w:hAnsi="Calibri"/>
                <w:b/>
                <w:spacing w:val="-11"/>
                <w:sz w:val="22"/>
                <w:szCs w:val="22"/>
                <w:lang w:val="en-US"/>
              </w:rPr>
              <w:t xml:space="preserve"> </w:t>
            </w:r>
            <w:r w:rsidRPr="002D1795">
              <w:rPr>
                <w:rFonts w:eastAsia="Calibri" w:hAnsi="Calibri"/>
                <w:b/>
                <w:sz w:val="22"/>
                <w:szCs w:val="22"/>
                <w:lang w:val="en-US"/>
              </w:rPr>
              <w:t>nutrition</w:t>
            </w:r>
            <w:r w:rsidRPr="002D1795">
              <w:rPr>
                <w:rFonts w:eastAsia="Calibri" w:hAnsi="Calibri"/>
                <w:b/>
                <w:spacing w:val="-10"/>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46368C5D"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35B3AB78"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44362CD5"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6CFCFAF8"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pacing w:val="-1"/>
                <w:sz w:val="22"/>
                <w:szCs w:val="22"/>
                <w:lang w:val="en-US"/>
              </w:rPr>
              <w:t>Hypokalemia</w:t>
            </w:r>
          </w:p>
        </w:tc>
        <w:tc>
          <w:tcPr>
            <w:tcW w:w="2790" w:type="dxa"/>
            <w:tcBorders>
              <w:top w:val="single" w:sz="5" w:space="0" w:color="000000"/>
              <w:left w:val="single" w:sz="5" w:space="0" w:color="000000"/>
              <w:bottom w:val="single" w:sz="5" w:space="0" w:color="000000"/>
              <w:right w:val="single" w:sz="5" w:space="0" w:color="000000"/>
            </w:tcBorders>
          </w:tcPr>
          <w:p w14:paraId="4034E78B"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49</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(19.1)</w:t>
            </w:r>
          </w:p>
        </w:tc>
        <w:tc>
          <w:tcPr>
            <w:tcW w:w="2790" w:type="dxa"/>
            <w:tcBorders>
              <w:top w:val="single" w:sz="5" w:space="0" w:color="000000"/>
              <w:left w:val="single" w:sz="5" w:space="0" w:color="000000"/>
              <w:bottom w:val="single" w:sz="5" w:space="0" w:color="000000"/>
              <w:right w:val="single" w:sz="5" w:space="0" w:color="000000"/>
            </w:tcBorders>
          </w:tcPr>
          <w:p w14:paraId="48A3851B"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58</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(22.4)</w:t>
            </w:r>
          </w:p>
        </w:tc>
      </w:tr>
      <w:tr w:rsidR="002D1795" w:rsidRPr="002D1795" w14:paraId="740580E2"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6D62C0EA"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Decreased</w:t>
            </w:r>
            <w:r w:rsidRPr="002D1795">
              <w:rPr>
                <w:rFonts w:eastAsia="Calibri" w:hAnsi="Calibri"/>
                <w:spacing w:val="-17"/>
                <w:sz w:val="22"/>
                <w:szCs w:val="22"/>
                <w:lang w:val="en-US"/>
              </w:rPr>
              <w:t xml:space="preserve"> </w:t>
            </w:r>
            <w:r w:rsidRPr="002D1795">
              <w:rPr>
                <w:rFonts w:eastAsia="Calibri" w:hAnsi="Calibri"/>
                <w:sz w:val="22"/>
                <w:szCs w:val="22"/>
                <w:lang w:val="en-US"/>
              </w:rPr>
              <w:t>appetite</w:t>
            </w:r>
          </w:p>
        </w:tc>
        <w:tc>
          <w:tcPr>
            <w:tcW w:w="2790" w:type="dxa"/>
            <w:tcBorders>
              <w:top w:val="single" w:sz="5" w:space="0" w:color="000000"/>
              <w:left w:val="single" w:sz="5" w:space="0" w:color="000000"/>
              <w:bottom w:val="single" w:sz="5" w:space="0" w:color="000000"/>
              <w:right w:val="single" w:sz="5" w:space="0" w:color="000000"/>
            </w:tcBorders>
          </w:tcPr>
          <w:p w14:paraId="008FD389" w14:textId="77777777" w:rsidR="002D1795" w:rsidRPr="002D1795" w:rsidRDefault="002D1795" w:rsidP="002D1795">
            <w:pPr>
              <w:widowControl w:val="0"/>
              <w:spacing w:after="0" w:line="251" w:lineRule="exact"/>
              <w:ind w:left="4"/>
              <w:jc w:val="center"/>
              <w:rPr>
                <w:sz w:val="22"/>
                <w:szCs w:val="22"/>
                <w:lang w:val="en-US"/>
              </w:rPr>
            </w:pPr>
            <w:r w:rsidRPr="002D1795">
              <w:rPr>
                <w:rFonts w:eastAsia="Calibri" w:hAnsi="Calibri"/>
                <w:sz w:val="22"/>
                <w:szCs w:val="22"/>
                <w:lang w:val="en-US"/>
              </w:rPr>
              <w:t>22</w:t>
            </w:r>
            <w:r w:rsidRPr="002D1795">
              <w:rPr>
                <w:rFonts w:eastAsia="Calibri" w:hAnsi="Calibri"/>
                <w:spacing w:val="-7"/>
                <w:sz w:val="22"/>
                <w:szCs w:val="22"/>
                <w:lang w:val="en-US"/>
              </w:rPr>
              <w:t xml:space="preserve"> </w:t>
            </w:r>
            <w:r w:rsidRPr="002D1795">
              <w:rPr>
                <w:rFonts w:eastAsia="Calibri" w:hAnsi="Calibri"/>
                <w:sz w:val="22"/>
                <w:szCs w:val="22"/>
                <w:lang w:val="en-US"/>
              </w:rPr>
              <w:t>(8.6)</w:t>
            </w:r>
          </w:p>
        </w:tc>
        <w:tc>
          <w:tcPr>
            <w:tcW w:w="2790" w:type="dxa"/>
            <w:tcBorders>
              <w:top w:val="single" w:sz="5" w:space="0" w:color="000000"/>
              <w:left w:val="single" w:sz="5" w:space="0" w:color="000000"/>
              <w:bottom w:val="single" w:sz="5" w:space="0" w:color="000000"/>
              <w:right w:val="single" w:sz="5" w:space="0" w:color="000000"/>
            </w:tcBorders>
          </w:tcPr>
          <w:p w14:paraId="28B2F248"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28</w:t>
            </w:r>
            <w:r w:rsidRPr="002D1795">
              <w:rPr>
                <w:rFonts w:eastAsia="Calibri" w:hAnsi="Calibri"/>
                <w:spacing w:val="-8"/>
                <w:sz w:val="22"/>
                <w:szCs w:val="22"/>
                <w:lang w:val="en-US"/>
              </w:rPr>
              <w:t xml:space="preserve"> </w:t>
            </w:r>
            <w:r w:rsidRPr="002D1795">
              <w:rPr>
                <w:rFonts w:eastAsia="Calibri" w:hAnsi="Calibri"/>
                <w:sz w:val="22"/>
                <w:szCs w:val="22"/>
                <w:lang w:val="en-US"/>
              </w:rPr>
              <w:t>(10.8)</w:t>
            </w:r>
          </w:p>
        </w:tc>
      </w:tr>
      <w:tr w:rsidR="002D1795" w:rsidRPr="002D1795" w14:paraId="378A7D7D"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122E4372"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pacing w:val="-1"/>
                <w:sz w:val="22"/>
                <w:szCs w:val="22"/>
                <w:lang w:val="en-US"/>
              </w:rPr>
              <w:t>Hypomagnesemia</w:t>
            </w:r>
          </w:p>
        </w:tc>
        <w:tc>
          <w:tcPr>
            <w:tcW w:w="2790" w:type="dxa"/>
            <w:tcBorders>
              <w:top w:val="single" w:sz="5" w:space="0" w:color="000000"/>
              <w:left w:val="single" w:sz="5" w:space="0" w:color="000000"/>
              <w:bottom w:val="single" w:sz="5" w:space="0" w:color="000000"/>
              <w:right w:val="single" w:sz="5" w:space="0" w:color="000000"/>
            </w:tcBorders>
          </w:tcPr>
          <w:p w14:paraId="13DE2656"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14</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(5.4)</w:t>
            </w:r>
          </w:p>
        </w:tc>
        <w:tc>
          <w:tcPr>
            <w:tcW w:w="2790" w:type="dxa"/>
            <w:tcBorders>
              <w:top w:val="single" w:sz="5" w:space="0" w:color="000000"/>
              <w:left w:val="single" w:sz="5" w:space="0" w:color="000000"/>
              <w:bottom w:val="single" w:sz="5" w:space="0" w:color="000000"/>
              <w:right w:val="single" w:sz="5" w:space="0" w:color="000000"/>
            </w:tcBorders>
          </w:tcPr>
          <w:p w14:paraId="4C717461"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27</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(10.4)</w:t>
            </w:r>
          </w:p>
        </w:tc>
      </w:tr>
      <w:tr w:rsidR="002D1795" w:rsidRPr="002D1795" w14:paraId="30D9F2CC"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56FCEC7D" w14:textId="77777777" w:rsidR="002D1795" w:rsidRPr="002D1795" w:rsidRDefault="002D1795" w:rsidP="002D1795">
            <w:pPr>
              <w:widowControl w:val="0"/>
              <w:spacing w:after="0" w:line="251" w:lineRule="exact"/>
              <w:ind w:left="102"/>
              <w:jc w:val="left"/>
              <w:rPr>
                <w:sz w:val="22"/>
                <w:szCs w:val="22"/>
                <w:lang w:val="en-US"/>
              </w:rPr>
            </w:pPr>
            <w:r w:rsidRPr="002D1795">
              <w:rPr>
                <w:rFonts w:eastAsia="Calibri" w:hAnsi="Calibri"/>
                <w:b/>
                <w:sz w:val="22"/>
                <w:szCs w:val="22"/>
                <w:lang w:val="en-US"/>
              </w:rPr>
              <w:t>Musculoskeletal</w:t>
            </w:r>
            <w:r w:rsidRPr="002D1795">
              <w:rPr>
                <w:rFonts w:eastAsia="Calibri" w:hAnsi="Calibri"/>
                <w:b/>
                <w:spacing w:val="-11"/>
                <w:sz w:val="22"/>
                <w:szCs w:val="22"/>
                <w:lang w:val="en-US"/>
              </w:rPr>
              <w:t xml:space="preserve"> </w:t>
            </w:r>
            <w:r w:rsidRPr="002D1795">
              <w:rPr>
                <w:rFonts w:eastAsia="Calibri" w:hAnsi="Calibri"/>
                <w:b/>
                <w:sz w:val="22"/>
                <w:szCs w:val="22"/>
                <w:lang w:val="en-US"/>
              </w:rPr>
              <w:t>and</w:t>
            </w:r>
            <w:r w:rsidRPr="002D1795">
              <w:rPr>
                <w:rFonts w:eastAsia="Calibri" w:hAnsi="Calibri"/>
                <w:b/>
                <w:spacing w:val="-11"/>
                <w:sz w:val="22"/>
                <w:szCs w:val="22"/>
                <w:lang w:val="en-US"/>
              </w:rPr>
              <w:t xml:space="preserve"> </w:t>
            </w:r>
            <w:r w:rsidRPr="002D1795">
              <w:rPr>
                <w:rFonts w:eastAsia="Calibri" w:hAnsi="Calibri"/>
                <w:b/>
                <w:sz w:val="22"/>
                <w:szCs w:val="22"/>
                <w:lang w:val="en-US"/>
              </w:rPr>
              <w:t>connective</w:t>
            </w:r>
            <w:r w:rsidRPr="002D1795">
              <w:rPr>
                <w:rFonts w:eastAsia="Calibri" w:hAnsi="Calibri"/>
                <w:b/>
                <w:spacing w:val="-12"/>
                <w:sz w:val="22"/>
                <w:szCs w:val="22"/>
                <w:lang w:val="en-US"/>
              </w:rPr>
              <w:t xml:space="preserve"> </w:t>
            </w:r>
            <w:r w:rsidRPr="002D1795">
              <w:rPr>
                <w:rFonts w:eastAsia="Calibri" w:hAnsi="Calibri"/>
                <w:b/>
                <w:sz w:val="22"/>
                <w:szCs w:val="22"/>
                <w:lang w:val="en-US"/>
              </w:rPr>
              <w:t>tissue</w:t>
            </w:r>
            <w:r w:rsidRPr="002D1795">
              <w:rPr>
                <w:rFonts w:eastAsia="Calibri" w:hAnsi="Calibri"/>
                <w:b/>
                <w:spacing w:val="-11"/>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40096D93"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44BD6509"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71A3B1E1"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34443E7F"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Back</w:t>
            </w:r>
            <w:r w:rsidRPr="002D1795">
              <w:rPr>
                <w:rFonts w:eastAsia="Calibri" w:hAnsi="Calibri"/>
                <w:spacing w:val="-9"/>
                <w:sz w:val="22"/>
                <w:szCs w:val="22"/>
                <w:lang w:val="en-US"/>
              </w:rPr>
              <w:t xml:space="preserve"> </w:t>
            </w:r>
            <w:r w:rsidRPr="002D1795">
              <w:rPr>
                <w:rFonts w:eastAsia="Calibri" w:hAnsi="Calibri"/>
                <w:sz w:val="22"/>
                <w:szCs w:val="22"/>
                <w:lang w:val="en-US"/>
              </w:rPr>
              <w:t>pain</w:t>
            </w:r>
          </w:p>
        </w:tc>
        <w:tc>
          <w:tcPr>
            <w:tcW w:w="2790" w:type="dxa"/>
            <w:tcBorders>
              <w:top w:val="single" w:sz="5" w:space="0" w:color="000000"/>
              <w:left w:val="single" w:sz="5" w:space="0" w:color="000000"/>
              <w:bottom w:val="single" w:sz="5" w:space="0" w:color="000000"/>
              <w:right w:val="single" w:sz="5" w:space="0" w:color="000000"/>
            </w:tcBorders>
          </w:tcPr>
          <w:p w14:paraId="391E656E" w14:textId="77777777" w:rsidR="002D1795" w:rsidRPr="002D1795" w:rsidRDefault="002D1795" w:rsidP="002D1795">
            <w:pPr>
              <w:widowControl w:val="0"/>
              <w:spacing w:after="0" w:line="251" w:lineRule="exact"/>
              <w:ind w:left="4"/>
              <w:jc w:val="center"/>
              <w:rPr>
                <w:sz w:val="22"/>
                <w:szCs w:val="22"/>
                <w:lang w:val="en-US"/>
              </w:rPr>
            </w:pPr>
            <w:r w:rsidRPr="002D1795">
              <w:rPr>
                <w:rFonts w:eastAsia="Calibri" w:hAnsi="Calibri"/>
                <w:sz w:val="22"/>
                <w:szCs w:val="22"/>
                <w:lang w:val="en-US"/>
              </w:rPr>
              <w:t>26</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(10.1)</w:t>
            </w:r>
          </w:p>
        </w:tc>
        <w:tc>
          <w:tcPr>
            <w:tcW w:w="2790" w:type="dxa"/>
            <w:tcBorders>
              <w:top w:val="single" w:sz="5" w:space="0" w:color="000000"/>
              <w:left w:val="single" w:sz="5" w:space="0" w:color="000000"/>
              <w:bottom w:val="single" w:sz="5" w:space="0" w:color="000000"/>
              <w:right w:val="single" w:sz="5" w:space="0" w:color="000000"/>
            </w:tcBorders>
          </w:tcPr>
          <w:p w14:paraId="5E25F7E3"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19</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(7.3)</w:t>
            </w:r>
          </w:p>
        </w:tc>
      </w:tr>
      <w:tr w:rsidR="002D1795" w:rsidRPr="002D1795" w14:paraId="5866CA68"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2FEBEC97" w14:textId="77777777" w:rsidR="002D1795" w:rsidRPr="002D1795" w:rsidRDefault="002D1795" w:rsidP="002D1795">
            <w:pPr>
              <w:widowControl w:val="0"/>
              <w:spacing w:after="0" w:line="251" w:lineRule="exact"/>
              <w:ind w:left="102"/>
              <w:jc w:val="left"/>
              <w:rPr>
                <w:sz w:val="22"/>
                <w:szCs w:val="22"/>
                <w:lang w:val="en-US"/>
              </w:rPr>
            </w:pPr>
            <w:r w:rsidRPr="002D1795">
              <w:rPr>
                <w:rFonts w:eastAsia="Calibri" w:hAnsi="Calibri"/>
                <w:b/>
                <w:sz w:val="22"/>
                <w:szCs w:val="22"/>
                <w:lang w:val="en-US"/>
              </w:rPr>
              <w:t>Nervous</w:t>
            </w:r>
            <w:r w:rsidRPr="002D1795">
              <w:rPr>
                <w:rFonts w:eastAsia="Calibri" w:hAnsi="Calibri"/>
                <w:b/>
                <w:spacing w:val="-13"/>
                <w:sz w:val="22"/>
                <w:szCs w:val="22"/>
                <w:lang w:val="en-US"/>
              </w:rPr>
              <w:t xml:space="preserve"> </w:t>
            </w:r>
            <w:r w:rsidRPr="002D1795">
              <w:rPr>
                <w:rFonts w:eastAsia="Calibri" w:hAnsi="Calibri"/>
                <w:b/>
                <w:sz w:val="22"/>
                <w:szCs w:val="22"/>
                <w:lang w:val="en-US"/>
              </w:rPr>
              <w:t>system</w:t>
            </w:r>
            <w:r w:rsidRPr="002D1795">
              <w:rPr>
                <w:rFonts w:eastAsia="Calibri" w:hAnsi="Calibri"/>
                <w:b/>
                <w:spacing w:val="-12"/>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08E02D42"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1B34ECA2"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646F4C09" w14:textId="77777777" w:rsidTr="002D1795">
        <w:trPr>
          <w:trHeight w:hRule="exact" w:val="264"/>
        </w:trPr>
        <w:tc>
          <w:tcPr>
            <w:tcW w:w="3222" w:type="dxa"/>
            <w:tcBorders>
              <w:top w:val="single" w:sz="5" w:space="0" w:color="000000"/>
              <w:left w:val="single" w:sz="5" w:space="0" w:color="000000"/>
              <w:bottom w:val="single" w:sz="5" w:space="0" w:color="000000"/>
              <w:right w:val="single" w:sz="5" w:space="0" w:color="000000"/>
            </w:tcBorders>
          </w:tcPr>
          <w:p w14:paraId="7A6FE386" w14:textId="77777777" w:rsidR="002D1795" w:rsidRPr="002D1795" w:rsidRDefault="002D1795" w:rsidP="002D1795">
            <w:pPr>
              <w:widowControl w:val="0"/>
              <w:spacing w:after="0" w:line="252" w:lineRule="exact"/>
              <w:ind w:left="282"/>
              <w:jc w:val="left"/>
              <w:rPr>
                <w:sz w:val="22"/>
                <w:szCs w:val="22"/>
                <w:lang w:val="en-US"/>
              </w:rPr>
            </w:pPr>
            <w:r w:rsidRPr="002D1795">
              <w:rPr>
                <w:rFonts w:eastAsia="Calibri" w:hAnsi="Calibri"/>
                <w:sz w:val="22"/>
                <w:szCs w:val="22"/>
                <w:lang w:val="en-US"/>
              </w:rPr>
              <w:t>Headache</w:t>
            </w:r>
          </w:p>
        </w:tc>
        <w:tc>
          <w:tcPr>
            <w:tcW w:w="2790" w:type="dxa"/>
            <w:tcBorders>
              <w:top w:val="single" w:sz="5" w:space="0" w:color="000000"/>
              <w:left w:val="single" w:sz="5" w:space="0" w:color="000000"/>
              <w:bottom w:val="single" w:sz="5" w:space="0" w:color="000000"/>
              <w:right w:val="single" w:sz="5" w:space="0" w:color="000000"/>
            </w:tcBorders>
          </w:tcPr>
          <w:p w14:paraId="31789387" w14:textId="77777777" w:rsidR="002D1795" w:rsidRPr="002D1795" w:rsidRDefault="002D1795" w:rsidP="002D1795">
            <w:pPr>
              <w:widowControl w:val="0"/>
              <w:spacing w:after="0" w:line="252" w:lineRule="exact"/>
              <w:ind w:left="3"/>
              <w:jc w:val="center"/>
              <w:rPr>
                <w:sz w:val="22"/>
                <w:szCs w:val="22"/>
                <w:lang w:val="en-US"/>
              </w:rPr>
            </w:pPr>
            <w:r w:rsidRPr="002D1795">
              <w:rPr>
                <w:rFonts w:eastAsia="Calibri" w:hAnsi="Calibri"/>
                <w:sz w:val="22"/>
                <w:szCs w:val="22"/>
                <w:lang w:val="en-US"/>
              </w:rPr>
              <w:t>43</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(16.7)</w:t>
            </w:r>
          </w:p>
        </w:tc>
        <w:tc>
          <w:tcPr>
            <w:tcW w:w="2790" w:type="dxa"/>
            <w:tcBorders>
              <w:top w:val="single" w:sz="5" w:space="0" w:color="000000"/>
              <w:left w:val="single" w:sz="5" w:space="0" w:color="000000"/>
              <w:bottom w:val="single" w:sz="5" w:space="0" w:color="000000"/>
              <w:right w:val="single" w:sz="5" w:space="0" w:color="000000"/>
            </w:tcBorders>
          </w:tcPr>
          <w:p w14:paraId="79C061A7" w14:textId="77777777" w:rsidR="002D1795" w:rsidRPr="002D1795" w:rsidRDefault="002D1795" w:rsidP="002D1795">
            <w:pPr>
              <w:widowControl w:val="0"/>
              <w:spacing w:after="0" w:line="252" w:lineRule="exact"/>
              <w:ind w:left="2"/>
              <w:jc w:val="center"/>
              <w:rPr>
                <w:sz w:val="22"/>
                <w:szCs w:val="22"/>
                <w:lang w:val="en-US"/>
              </w:rPr>
            </w:pPr>
            <w:r w:rsidRPr="002D1795">
              <w:rPr>
                <w:rFonts w:eastAsia="Calibri" w:hAnsi="Calibri"/>
                <w:sz w:val="22"/>
                <w:szCs w:val="22"/>
                <w:lang w:val="en-US"/>
              </w:rPr>
              <w:t>38</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(14.7)</w:t>
            </w:r>
          </w:p>
        </w:tc>
      </w:tr>
      <w:tr w:rsidR="002D1795" w:rsidRPr="002D1795" w14:paraId="095523FB"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1CC4E597" w14:textId="77777777" w:rsidR="002D1795" w:rsidRPr="002D1795" w:rsidRDefault="002D1795" w:rsidP="002D1795">
            <w:pPr>
              <w:widowControl w:val="0"/>
              <w:spacing w:after="0" w:line="251" w:lineRule="exact"/>
              <w:ind w:left="102"/>
              <w:jc w:val="left"/>
              <w:rPr>
                <w:sz w:val="22"/>
                <w:szCs w:val="22"/>
                <w:lang w:val="en-US"/>
              </w:rPr>
            </w:pPr>
            <w:r w:rsidRPr="002D1795">
              <w:rPr>
                <w:rFonts w:eastAsia="Calibri" w:hAnsi="Calibri"/>
                <w:b/>
                <w:sz w:val="22"/>
                <w:szCs w:val="22"/>
                <w:lang w:val="en-US"/>
              </w:rPr>
              <w:t>Psychiatric</w:t>
            </w:r>
            <w:r w:rsidRPr="002D1795">
              <w:rPr>
                <w:rFonts w:eastAsia="Calibri" w:hAnsi="Calibri"/>
                <w:b/>
                <w:spacing w:val="-20"/>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48A8900C"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05AAED10"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725D73A2"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22520B42"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pacing w:val="-1"/>
                <w:sz w:val="22"/>
                <w:szCs w:val="22"/>
                <w:lang w:val="en-US"/>
              </w:rPr>
              <w:t>Insomnia</w:t>
            </w:r>
          </w:p>
        </w:tc>
        <w:tc>
          <w:tcPr>
            <w:tcW w:w="2790" w:type="dxa"/>
            <w:tcBorders>
              <w:top w:val="single" w:sz="5" w:space="0" w:color="000000"/>
              <w:left w:val="single" w:sz="5" w:space="0" w:color="000000"/>
              <w:bottom w:val="single" w:sz="5" w:space="0" w:color="000000"/>
              <w:right w:val="single" w:sz="5" w:space="0" w:color="000000"/>
            </w:tcBorders>
          </w:tcPr>
          <w:p w14:paraId="4086A9DC" w14:textId="77777777" w:rsidR="002D1795" w:rsidRPr="002D1795" w:rsidRDefault="002D1795" w:rsidP="002D1795">
            <w:pPr>
              <w:widowControl w:val="0"/>
              <w:spacing w:after="0" w:line="251" w:lineRule="exact"/>
              <w:ind w:left="2"/>
              <w:jc w:val="center"/>
              <w:rPr>
                <w:sz w:val="22"/>
                <w:szCs w:val="22"/>
                <w:lang w:val="en-US"/>
              </w:rPr>
            </w:pPr>
            <w:r w:rsidRPr="002D1795">
              <w:rPr>
                <w:rFonts w:eastAsia="Calibri" w:hAnsi="Calibri"/>
                <w:sz w:val="22"/>
                <w:szCs w:val="22"/>
                <w:lang w:val="en-US"/>
              </w:rPr>
              <w:t>27</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(10.5)</w:t>
            </w:r>
          </w:p>
        </w:tc>
        <w:tc>
          <w:tcPr>
            <w:tcW w:w="2790" w:type="dxa"/>
            <w:tcBorders>
              <w:top w:val="single" w:sz="5" w:space="0" w:color="000000"/>
              <w:left w:val="single" w:sz="5" w:space="0" w:color="000000"/>
              <w:bottom w:val="single" w:sz="5" w:space="0" w:color="000000"/>
              <w:right w:val="single" w:sz="5" w:space="0" w:color="000000"/>
            </w:tcBorders>
          </w:tcPr>
          <w:p w14:paraId="092F3052"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25</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(9.7)</w:t>
            </w:r>
          </w:p>
        </w:tc>
      </w:tr>
      <w:tr w:rsidR="002D1795" w:rsidRPr="002D1795" w14:paraId="61BECB78"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0629F063" w14:textId="77777777" w:rsidR="002D1795" w:rsidRPr="002D1795" w:rsidRDefault="002D1795" w:rsidP="002D1795">
            <w:pPr>
              <w:widowControl w:val="0"/>
              <w:spacing w:after="0" w:line="251" w:lineRule="exact"/>
              <w:ind w:left="282"/>
              <w:jc w:val="left"/>
              <w:rPr>
                <w:sz w:val="14"/>
                <w:szCs w:val="14"/>
                <w:lang w:val="en-US"/>
              </w:rPr>
            </w:pPr>
            <w:r w:rsidRPr="002D1795">
              <w:rPr>
                <w:rFonts w:eastAsia="Calibri" w:hAnsi="Calibri"/>
                <w:spacing w:val="-1"/>
                <w:sz w:val="22"/>
                <w:szCs w:val="22"/>
                <w:lang w:val="en-US"/>
              </w:rPr>
              <w:lastRenderedPageBreak/>
              <w:t>Delirium</w:t>
            </w:r>
            <w:r w:rsidRPr="002D1795">
              <w:rPr>
                <w:rFonts w:eastAsia="Calibri" w:hAnsi="Calibri"/>
                <w:spacing w:val="-1"/>
                <w:position w:val="9"/>
                <w:sz w:val="14"/>
                <w:szCs w:val="22"/>
                <w:lang w:val="en-US"/>
              </w:rPr>
              <w:t>b</w:t>
            </w:r>
          </w:p>
        </w:tc>
        <w:tc>
          <w:tcPr>
            <w:tcW w:w="2790" w:type="dxa"/>
            <w:tcBorders>
              <w:top w:val="single" w:sz="5" w:space="0" w:color="000000"/>
              <w:left w:val="single" w:sz="5" w:space="0" w:color="000000"/>
              <w:bottom w:val="single" w:sz="5" w:space="0" w:color="000000"/>
              <w:right w:val="single" w:sz="5" w:space="0" w:color="000000"/>
            </w:tcBorders>
          </w:tcPr>
          <w:p w14:paraId="11F7B40D"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22</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(8.6)</w:t>
            </w:r>
          </w:p>
        </w:tc>
        <w:tc>
          <w:tcPr>
            <w:tcW w:w="2790" w:type="dxa"/>
            <w:tcBorders>
              <w:top w:val="single" w:sz="5" w:space="0" w:color="000000"/>
              <w:left w:val="single" w:sz="5" w:space="0" w:color="000000"/>
              <w:bottom w:val="single" w:sz="5" w:space="0" w:color="000000"/>
              <w:right w:val="single" w:sz="5" w:space="0" w:color="000000"/>
            </w:tcBorders>
          </w:tcPr>
          <w:p w14:paraId="66C2FF08"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30</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(11.6)</w:t>
            </w:r>
          </w:p>
        </w:tc>
      </w:tr>
      <w:tr w:rsidR="002D1795" w:rsidRPr="002D1795" w14:paraId="7991C907"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6F909435"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Anxiety</w:t>
            </w:r>
          </w:p>
        </w:tc>
        <w:tc>
          <w:tcPr>
            <w:tcW w:w="2790" w:type="dxa"/>
            <w:tcBorders>
              <w:top w:val="single" w:sz="5" w:space="0" w:color="000000"/>
              <w:left w:val="single" w:sz="5" w:space="0" w:color="000000"/>
              <w:bottom w:val="single" w:sz="5" w:space="0" w:color="000000"/>
              <w:right w:val="single" w:sz="5" w:space="0" w:color="000000"/>
            </w:tcBorders>
          </w:tcPr>
          <w:p w14:paraId="18929863" w14:textId="77777777" w:rsidR="002D1795" w:rsidRPr="002D1795" w:rsidRDefault="002D1795" w:rsidP="002D1795">
            <w:pPr>
              <w:widowControl w:val="0"/>
              <w:spacing w:after="0" w:line="251" w:lineRule="exact"/>
              <w:ind w:left="2"/>
              <w:jc w:val="center"/>
              <w:rPr>
                <w:sz w:val="22"/>
                <w:szCs w:val="22"/>
                <w:lang w:val="en-US"/>
              </w:rPr>
            </w:pPr>
            <w:r w:rsidRPr="002D1795">
              <w:rPr>
                <w:rFonts w:eastAsia="Calibri" w:hAnsi="Calibri"/>
                <w:sz w:val="22"/>
                <w:szCs w:val="22"/>
                <w:lang w:val="en-US"/>
              </w:rPr>
              <w:t>21</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(8.2)</w:t>
            </w:r>
          </w:p>
        </w:tc>
        <w:tc>
          <w:tcPr>
            <w:tcW w:w="2790" w:type="dxa"/>
            <w:tcBorders>
              <w:top w:val="single" w:sz="5" w:space="0" w:color="000000"/>
              <w:left w:val="single" w:sz="5" w:space="0" w:color="000000"/>
              <w:bottom w:val="single" w:sz="5" w:space="0" w:color="000000"/>
              <w:right w:val="single" w:sz="5" w:space="0" w:color="000000"/>
            </w:tcBorders>
          </w:tcPr>
          <w:p w14:paraId="4AECCD6E" w14:textId="77777777" w:rsidR="002D1795" w:rsidRPr="002D1795" w:rsidRDefault="002D1795" w:rsidP="002D1795">
            <w:pPr>
              <w:widowControl w:val="0"/>
              <w:spacing w:after="0" w:line="251" w:lineRule="exact"/>
              <w:ind w:left="2"/>
              <w:jc w:val="center"/>
              <w:rPr>
                <w:sz w:val="22"/>
                <w:szCs w:val="22"/>
                <w:lang w:val="en-US"/>
              </w:rPr>
            </w:pPr>
            <w:r w:rsidRPr="002D1795">
              <w:rPr>
                <w:rFonts w:eastAsia="Calibri" w:hAnsi="Calibri"/>
                <w:sz w:val="22"/>
                <w:szCs w:val="22"/>
                <w:lang w:val="en-US"/>
              </w:rPr>
              <w:t>18</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(6.9)</w:t>
            </w:r>
          </w:p>
        </w:tc>
      </w:tr>
      <w:tr w:rsidR="002D1795" w:rsidRPr="002D1795" w14:paraId="72984189"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68DA0A1A" w14:textId="77777777" w:rsidR="002D1795" w:rsidRPr="002D1795" w:rsidRDefault="002D1795" w:rsidP="002D1795">
            <w:pPr>
              <w:widowControl w:val="0"/>
              <w:spacing w:after="0" w:line="251" w:lineRule="exact"/>
              <w:ind w:left="102"/>
              <w:jc w:val="left"/>
              <w:rPr>
                <w:sz w:val="22"/>
                <w:szCs w:val="22"/>
                <w:lang w:val="en-US"/>
              </w:rPr>
            </w:pPr>
            <w:r w:rsidRPr="002D1795">
              <w:rPr>
                <w:rFonts w:eastAsia="Calibri" w:hAnsi="Calibri"/>
                <w:b/>
                <w:sz w:val="22"/>
                <w:szCs w:val="22"/>
                <w:lang w:val="en-US"/>
              </w:rPr>
              <w:t>Renal</w:t>
            </w:r>
            <w:r w:rsidRPr="002D1795">
              <w:rPr>
                <w:rFonts w:eastAsia="Calibri" w:hAnsi="Calibri"/>
                <w:b/>
                <w:spacing w:val="-9"/>
                <w:sz w:val="22"/>
                <w:szCs w:val="22"/>
                <w:lang w:val="en-US"/>
              </w:rPr>
              <w:t xml:space="preserve"> </w:t>
            </w:r>
            <w:r w:rsidRPr="002D1795">
              <w:rPr>
                <w:rFonts w:eastAsia="Calibri" w:hAnsi="Calibri"/>
                <w:b/>
                <w:sz w:val="22"/>
                <w:szCs w:val="22"/>
                <w:lang w:val="en-US"/>
              </w:rPr>
              <w:t>and</w:t>
            </w:r>
            <w:r w:rsidRPr="002D1795">
              <w:rPr>
                <w:rFonts w:eastAsia="Calibri" w:hAnsi="Calibri"/>
                <w:b/>
                <w:spacing w:val="-8"/>
                <w:sz w:val="22"/>
                <w:szCs w:val="22"/>
                <w:lang w:val="en-US"/>
              </w:rPr>
              <w:t xml:space="preserve"> </w:t>
            </w:r>
            <w:r w:rsidRPr="002D1795">
              <w:rPr>
                <w:rFonts w:eastAsia="Calibri" w:hAnsi="Calibri"/>
                <w:b/>
                <w:sz w:val="22"/>
                <w:szCs w:val="22"/>
                <w:lang w:val="en-US"/>
              </w:rPr>
              <w:t>urinary</w:t>
            </w:r>
            <w:r w:rsidRPr="002D1795">
              <w:rPr>
                <w:rFonts w:eastAsia="Calibri" w:hAnsi="Calibri"/>
                <w:b/>
                <w:spacing w:val="-9"/>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0FC26B54"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309C2DDD"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48A36D12" w14:textId="77777777" w:rsidTr="002D1795">
        <w:trPr>
          <w:trHeight w:hRule="exact" w:val="264"/>
        </w:trPr>
        <w:tc>
          <w:tcPr>
            <w:tcW w:w="3222" w:type="dxa"/>
            <w:tcBorders>
              <w:top w:val="single" w:sz="5" w:space="0" w:color="000000"/>
              <w:left w:val="single" w:sz="5" w:space="0" w:color="000000"/>
              <w:bottom w:val="single" w:sz="5" w:space="0" w:color="000000"/>
              <w:right w:val="single" w:sz="5" w:space="0" w:color="000000"/>
            </w:tcBorders>
          </w:tcPr>
          <w:p w14:paraId="56172532" w14:textId="77777777" w:rsidR="002D1795" w:rsidRPr="002D1795" w:rsidRDefault="002D1795" w:rsidP="002D1795">
            <w:pPr>
              <w:widowControl w:val="0"/>
              <w:spacing w:after="0" w:line="252" w:lineRule="exact"/>
              <w:ind w:left="282"/>
              <w:jc w:val="left"/>
              <w:rPr>
                <w:sz w:val="22"/>
                <w:szCs w:val="22"/>
                <w:lang w:val="en-US"/>
              </w:rPr>
            </w:pPr>
            <w:r w:rsidRPr="002D1795">
              <w:rPr>
                <w:rFonts w:eastAsia="Calibri" w:hAnsi="Calibri"/>
                <w:sz w:val="22"/>
                <w:szCs w:val="22"/>
                <w:lang w:val="en-US"/>
              </w:rPr>
              <w:t>Renal</w:t>
            </w:r>
            <w:r w:rsidRPr="002D1795">
              <w:rPr>
                <w:rFonts w:eastAsia="Calibri" w:hAnsi="Calibri"/>
                <w:spacing w:val="-11"/>
                <w:sz w:val="22"/>
                <w:szCs w:val="22"/>
                <w:lang w:val="en-US"/>
              </w:rPr>
              <w:t xml:space="preserve"> </w:t>
            </w:r>
            <w:r w:rsidRPr="002D1795">
              <w:rPr>
                <w:rFonts w:eastAsia="Calibri" w:hAnsi="Calibri"/>
                <w:sz w:val="22"/>
                <w:szCs w:val="22"/>
                <w:lang w:val="en-US"/>
              </w:rPr>
              <w:t>failure</w:t>
            </w:r>
          </w:p>
        </w:tc>
        <w:tc>
          <w:tcPr>
            <w:tcW w:w="2790" w:type="dxa"/>
            <w:tcBorders>
              <w:top w:val="single" w:sz="5" w:space="0" w:color="000000"/>
              <w:left w:val="single" w:sz="5" w:space="0" w:color="000000"/>
              <w:bottom w:val="single" w:sz="5" w:space="0" w:color="000000"/>
              <w:right w:val="single" w:sz="5" w:space="0" w:color="000000"/>
            </w:tcBorders>
          </w:tcPr>
          <w:p w14:paraId="50FAD5BD" w14:textId="77777777" w:rsidR="002D1795" w:rsidRPr="002D1795" w:rsidRDefault="002D1795" w:rsidP="002D1795">
            <w:pPr>
              <w:widowControl w:val="0"/>
              <w:spacing w:after="0" w:line="252" w:lineRule="exact"/>
              <w:ind w:left="1"/>
              <w:jc w:val="center"/>
              <w:rPr>
                <w:sz w:val="22"/>
                <w:szCs w:val="22"/>
                <w:lang w:val="en-US"/>
              </w:rPr>
            </w:pPr>
            <w:r w:rsidRPr="002D1795">
              <w:rPr>
                <w:rFonts w:eastAsia="Calibri" w:hAnsi="Calibri"/>
                <w:sz w:val="22"/>
                <w:szCs w:val="22"/>
                <w:lang w:val="en-US"/>
              </w:rPr>
              <w:t>26</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(10.1)</w:t>
            </w:r>
          </w:p>
        </w:tc>
        <w:tc>
          <w:tcPr>
            <w:tcW w:w="2790" w:type="dxa"/>
            <w:tcBorders>
              <w:top w:val="single" w:sz="5" w:space="0" w:color="000000"/>
              <w:left w:val="single" w:sz="5" w:space="0" w:color="000000"/>
              <w:bottom w:val="single" w:sz="5" w:space="0" w:color="000000"/>
              <w:right w:val="single" w:sz="5" w:space="0" w:color="000000"/>
            </w:tcBorders>
          </w:tcPr>
          <w:p w14:paraId="41E6A70D" w14:textId="77777777" w:rsidR="002D1795" w:rsidRPr="002D1795" w:rsidRDefault="002D1795" w:rsidP="002D1795">
            <w:pPr>
              <w:widowControl w:val="0"/>
              <w:spacing w:after="0" w:line="252" w:lineRule="exact"/>
              <w:ind w:left="1"/>
              <w:jc w:val="center"/>
              <w:rPr>
                <w:sz w:val="22"/>
                <w:szCs w:val="22"/>
                <w:lang w:val="en-US"/>
              </w:rPr>
            </w:pPr>
            <w:r w:rsidRPr="002D1795">
              <w:rPr>
                <w:rFonts w:eastAsia="Calibri" w:hAnsi="Calibri"/>
                <w:sz w:val="22"/>
                <w:szCs w:val="22"/>
                <w:lang w:val="en-US"/>
              </w:rPr>
              <w:t>21</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(8.1)</w:t>
            </w:r>
          </w:p>
        </w:tc>
      </w:tr>
      <w:tr w:rsidR="002D1795" w:rsidRPr="002D1795" w14:paraId="4CEE139A"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409C3317" w14:textId="77777777" w:rsidR="002D1795" w:rsidRPr="002D1795" w:rsidRDefault="002D1795" w:rsidP="002D1795">
            <w:pPr>
              <w:widowControl w:val="0"/>
              <w:spacing w:after="0" w:line="251" w:lineRule="exact"/>
              <w:ind w:left="102"/>
              <w:jc w:val="left"/>
              <w:rPr>
                <w:sz w:val="22"/>
                <w:szCs w:val="22"/>
                <w:lang w:val="en-US"/>
              </w:rPr>
            </w:pPr>
            <w:r w:rsidRPr="002D1795">
              <w:rPr>
                <w:rFonts w:eastAsia="Calibri" w:hAnsi="Calibri"/>
                <w:b/>
                <w:sz w:val="22"/>
                <w:szCs w:val="22"/>
                <w:lang w:val="en-US"/>
              </w:rPr>
              <w:t>Respiratory,</w:t>
            </w:r>
            <w:r w:rsidRPr="002D1795">
              <w:rPr>
                <w:rFonts w:eastAsia="Calibri" w:hAnsi="Calibri"/>
                <w:b/>
                <w:spacing w:val="-10"/>
                <w:sz w:val="22"/>
                <w:szCs w:val="22"/>
                <w:lang w:val="en-US"/>
              </w:rPr>
              <w:t xml:space="preserve"> </w:t>
            </w:r>
            <w:r w:rsidRPr="002D1795">
              <w:rPr>
                <w:rFonts w:eastAsia="Calibri" w:hAnsi="Calibri"/>
                <w:b/>
                <w:sz w:val="22"/>
                <w:szCs w:val="22"/>
                <w:lang w:val="en-US"/>
              </w:rPr>
              <w:t>thoracic</w:t>
            </w:r>
            <w:r w:rsidRPr="002D1795">
              <w:rPr>
                <w:rFonts w:eastAsia="Calibri" w:hAnsi="Calibri"/>
                <w:b/>
                <w:spacing w:val="-11"/>
                <w:sz w:val="22"/>
                <w:szCs w:val="22"/>
                <w:lang w:val="en-US"/>
              </w:rPr>
              <w:t xml:space="preserve"> </w:t>
            </w:r>
            <w:r w:rsidRPr="002D1795">
              <w:rPr>
                <w:rFonts w:eastAsia="Calibri" w:hAnsi="Calibri"/>
                <w:b/>
                <w:sz w:val="22"/>
                <w:szCs w:val="22"/>
                <w:lang w:val="en-US"/>
              </w:rPr>
              <w:t>and</w:t>
            </w:r>
            <w:r w:rsidRPr="002D1795">
              <w:rPr>
                <w:rFonts w:eastAsia="Calibri" w:hAnsi="Calibri"/>
                <w:b/>
                <w:spacing w:val="-11"/>
                <w:sz w:val="22"/>
                <w:szCs w:val="22"/>
                <w:lang w:val="en-US"/>
              </w:rPr>
              <w:t xml:space="preserve"> </w:t>
            </w:r>
            <w:r w:rsidRPr="002D1795">
              <w:rPr>
                <w:rFonts w:eastAsia="Calibri" w:hAnsi="Calibri"/>
                <w:b/>
                <w:sz w:val="22"/>
                <w:szCs w:val="22"/>
                <w:lang w:val="en-US"/>
              </w:rPr>
              <w:t>mediastinal</w:t>
            </w:r>
            <w:r w:rsidRPr="002D1795">
              <w:rPr>
                <w:rFonts w:eastAsia="Calibri" w:hAnsi="Calibri"/>
                <w:b/>
                <w:spacing w:val="-10"/>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4360D43E"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74BB3506"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3B491A7F" w14:textId="77777777" w:rsidTr="00D870C1">
        <w:trPr>
          <w:trHeight w:hRule="exact" w:val="390"/>
        </w:trPr>
        <w:tc>
          <w:tcPr>
            <w:tcW w:w="3222" w:type="dxa"/>
            <w:tcBorders>
              <w:top w:val="single" w:sz="5" w:space="0" w:color="000000"/>
              <w:left w:val="single" w:sz="5" w:space="0" w:color="000000"/>
              <w:bottom w:val="single" w:sz="5" w:space="0" w:color="000000"/>
              <w:right w:val="single" w:sz="5" w:space="0" w:color="000000"/>
            </w:tcBorders>
          </w:tcPr>
          <w:p w14:paraId="6472CE7D"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Dyspnea</w:t>
            </w:r>
          </w:p>
        </w:tc>
        <w:tc>
          <w:tcPr>
            <w:tcW w:w="2790" w:type="dxa"/>
            <w:tcBorders>
              <w:top w:val="single" w:sz="5" w:space="0" w:color="000000"/>
              <w:left w:val="single" w:sz="5" w:space="0" w:color="000000"/>
              <w:bottom w:val="single" w:sz="5" w:space="0" w:color="000000"/>
              <w:right w:val="single" w:sz="5" w:space="0" w:color="000000"/>
            </w:tcBorders>
          </w:tcPr>
          <w:p w14:paraId="23687F8F"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44</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(17.1)</w:t>
            </w:r>
          </w:p>
        </w:tc>
        <w:tc>
          <w:tcPr>
            <w:tcW w:w="2790" w:type="dxa"/>
            <w:tcBorders>
              <w:top w:val="single" w:sz="5" w:space="0" w:color="000000"/>
              <w:left w:val="single" w:sz="5" w:space="0" w:color="000000"/>
              <w:bottom w:val="single" w:sz="5" w:space="0" w:color="000000"/>
              <w:right w:val="single" w:sz="5" w:space="0" w:color="000000"/>
            </w:tcBorders>
          </w:tcPr>
          <w:p w14:paraId="7AF244DF" w14:textId="77777777" w:rsidR="002D1795" w:rsidRPr="002D1795" w:rsidRDefault="002D1795" w:rsidP="002D1795">
            <w:pPr>
              <w:widowControl w:val="0"/>
              <w:spacing w:after="0" w:line="251" w:lineRule="exact"/>
              <w:ind w:left="2"/>
              <w:jc w:val="center"/>
              <w:rPr>
                <w:sz w:val="22"/>
                <w:szCs w:val="22"/>
                <w:lang w:val="en-US"/>
              </w:rPr>
            </w:pPr>
            <w:r w:rsidRPr="002D1795">
              <w:rPr>
                <w:rFonts w:eastAsia="Calibri" w:hAnsi="Calibri"/>
                <w:sz w:val="22"/>
                <w:szCs w:val="22"/>
                <w:lang w:val="en-US"/>
              </w:rPr>
              <w:t>35</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(13.5)</w:t>
            </w:r>
          </w:p>
        </w:tc>
      </w:tr>
      <w:tr w:rsidR="002D1795" w:rsidRPr="002D1795" w14:paraId="7B60EB5A"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7E8A3ACC"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Acute</w:t>
            </w:r>
            <w:r w:rsidRPr="002D1795">
              <w:rPr>
                <w:rFonts w:eastAsia="Calibri" w:hAnsi="Calibri"/>
                <w:spacing w:val="-11"/>
                <w:sz w:val="22"/>
                <w:szCs w:val="22"/>
                <w:lang w:val="en-US"/>
              </w:rPr>
              <w:t xml:space="preserve"> </w:t>
            </w:r>
            <w:r w:rsidRPr="002D1795">
              <w:rPr>
                <w:rFonts w:eastAsia="Calibri" w:hAnsi="Calibri"/>
                <w:spacing w:val="-1"/>
                <w:sz w:val="22"/>
                <w:szCs w:val="22"/>
                <w:lang w:val="en-US"/>
              </w:rPr>
              <w:t>respiratory</w:t>
            </w:r>
            <w:r w:rsidRPr="002D1795">
              <w:rPr>
                <w:rFonts w:eastAsia="Calibri" w:hAnsi="Calibri"/>
                <w:spacing w:val="-8"/>
                <w:sz w:val="22"/>
                <w:szCs w:val="22"/>
                <w:lang w:val="en-US"/>
              </w:rPr>
              <w:t xml:space="preserve"> </w:t>
            </w:r>
            <w:r w:rsidRPr="002D1795">
              <w:rPr>
                <w:rFonts w:eastAsia="Calibri" w:hAnsi="Calibri"/>
                <w:sz w:val="22"/>
                <w:szCs w:val="22"/>
                <w:lang w:val="en-US"/>
              </w:rPr>
              <w:t>failure</w:t>
            </w:r>
          </w:p>
        </w:tc>
        <w:tc>
          <w:tcPr>
            <w:tcW w:w="2790" w:type="dxa"/>
            <w:tcBorders>
              <w:top w:val="single" w:sz="5" w:space="0" w:color="000000"/>
              <w:left w:val="single" w:sz="5" w:space="0" w:color="000000"/>
              <w:bottom w:val="single" w:sz="5" w:space="0" w:color="000000"/>
              <w:right w:val="single" w:sz="5" w:space="0" w:color="000000"/>
            </w:tcBorders>
          </w:tcPr>
          <w:p w14:paraId="17FE9AF3" w14:textId="77777777" w:rsidR="002D1795" w:rsidRPr="002D1795" w:rsidRDefault="002D1795" w:rsidP="002D1795">
            <w:pPr>
              <w:widowControl w:val="0"/>
              <w:spacing w:after="0" w:line="251" w:lineRule="exact"/>
              <w:ind w:left="5"/>
              <w:jc w:val="center"/>
              <w:rPr>
                <w:sz w:val="22"/>
                <w:szCs w:val="22"/>
                <w:lang w:val="en-US"/>
              </w:rPr>
            </w:pPr>
            <w:r w:rsidRPr="002D1795">
              <w:rPr>
                <w:rFonts w:eastAsia="Calibri" w:hAnsi="Calibri"/>
                <w:sz w:val="22"/>
                <w:szCs w:val="22"/>
                <w:lang w:val="en-US"/>
              </w:rPr>
              <w:t>19</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(7.4)</w:t>
            </w:r>
          </w:p>
        </w:tc>
        <w:tc>
          <w:tcPr>
            <w:tcW w:w="2790" w:type="dxa"/>
            <w:tcBorders>
              <w:top w:val="single" w:sz="5" w:space="0" w:color="000000"/>
              <w:left w:val="single" w:sz="5" w:space="0" w:color="000000"/>
              <w:bottom w:val="single" w:sz="5" w:space="0" w:color="000000"/>
              <w:right w:val="single" w:sz="5" w:space="0" w:color="000000"/>
            </w:tcBorders>
          </w:tcPr>
          <w:p w14:paraId="1D8B12E7"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22</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(8.5)</w:t>
            </w:r>
          </w:p>
        </w:tc>
      </w:tr>
      <w:tr w:rsidR="002D1795" w:rsidRPr="002D1795" w14:paraId="5BE6AAA4" w14:textId="77777777" w:rsidTr="002D1795">
        <w:trPr>
          <w:trHeight w:hRule="exact" w:val="552"/>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5031C7D1" w14:textId="77777777" w:rsidR="002D1795" w:rsidRPr="002D1795" w:rsidRDefault="002D1795" w:rsidP="002D1795">
            <w:pPr>
              <w:widowControl w:val="0"/>
              <w:spacing w:after="0" w:line="251" w:lineRule="exact"/>
              <w:ind w:left="102"/>
              <w:jc w:val="left"/>
              <w:rPr>
                <w:sz w:val="22"/>
                <w:szCs w:val="22"/>
                <w:lang w:val="en-US"/>
              </w:rPr>
            </w:pPr>
            <w:r w:rsidRPr="002D1795">
              <w:rPr>
                <w:rFonts w:eastAsia="Calibri" w:hAnsi="Calibri"/>
                <w:b/>
                <w:sz w:val="22"/>
                <w:szCs w:val="22"/>
                <w:lang w:val="en-US"/>
              </w:rPr>
              <w:t>Skin</w:t>
            </w:r>
            <w:r w:rsidRPr="002D1795">
              <w:rPr>
                <w:rFonts w:eastAsia="Calibri" w:hAnsi="Calibri"/>
                <w:b/>
                <w:spacing w:val="-9"/>
                <w:sz w:val="22"/>
                <w:szCs w:val="22"/>
                <w:lang w:val="en-US"/>
              </w:rPr>
              <w:t xml:space="preserve"> </w:t>
            </w:r>
            <w:r w:rsidRPr="002D1795">
              <w:rPr>
                <w:rFonts w:eastAsia="Calibri" w:hAnsi="Calibri"/>
                <w:b/>
                <w:sz w:val="22"/>
                <w:szCs w:val="22"/>
                <w:lang w:val="en-US"/>
              </w:rPr>
              <w:t>and</w:t>
            </w:r>
            <w:r w:rsidRPr="002D1795">
              <w:rPr>
                <w:rFonts w:eastAsia="Calibri" w:hAnsi="Calibri"/>
                <w:b/>
                <w:spacing w:val="-9"/>
                <w:sz w:val="22"/>
                <w:szCs w:val="22"/>
                <w:lang w:val="en-US"/>
              </w:rPr>
              <w:t xml:space="preserve"> </w:t>
            </w:r>
            <w:r w:rsidRPr="002D1795">
              <w:rPr>
                <w:rFonts w:eastAsia="Calibri" w:hAnsi="Calibri"/>
                <w:b/>
                <w:sz w:val="22"/>
                <w:szCs w:val="22"/>
                <w:lang w:val="en-US"/>
              </w:rPr>
              <w:t>subcutaneous</w:t>
            </w:r>
            <w:r w:rsidRPr="002D1795">
              <w:rPr>
                <w:rFonts w:eastAsia="Calibri" w:hAnsi="Calibri"/>
                <w:b/>
                <w:spacing w:val="-8"/>
                <w:sz w:val="22"/>
                <w:szCs w:val="22"/>
                <w:lang w:val="en-US"/>
              </w:rPr>
              <w:t xml:space="preserve"> </w:t>
            </w:r>
            <w:r w:rsidRPr="002D1795">
              <w:rPr>
                <w:rFonts w:eastAsia="Calibri" w:hAnsi="Calibri"/>
                <w:b/>
                <w:sz w:val="22"/>
                <w:szCs w:val="22"/>
                <w:lang w:val="en-US"/>
              </w:rPr>
              <w:t>tissue</w:t>
            </w:r>
            <w:r w:rsidRPr="002D1795">
              <w:rPr>
                <w:rFonts w:eastAsia="Calibri" w:hAnsi="Calibri"/>
                <w:b/>
                <w:spacing w:val="-9"/>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20CB7AF7"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393907A2"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008EEA0A"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3B2D38C9"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pacing w:val="-1"/>
                <w:sz w:val="22"/>
                <w:szCs w:val="22"/>
                <w:lang w:val="en-US"/>
              </w:rPr>
              <w:t>Rash</w:t>
            </w:r>
          </w:p>
        </w:tc>
        <w:tc>
          <w:tcPr>
            <w:tcW w:w="2790" w:type="dxa"/>
            <w:tcBorders>
              <w:top w:val="single" w:sz="5" w:space="0" w:color="000000"/>
              <w:left w:val="single" w:sz="5" w:space="0" w:color="000000"/>
              <w:bottom w:val="single" w:sz="5" w:space="0" w:color="000000"/>
              <w:right w:val="single" w:sz="5" w:space="0" w:color="000000"/>
            </w:tcBorders>
          </w:tcPr>
          <w:p w14:paraId="50E83D60"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22</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(8.6)</w:t>
            </w:r>
          </w:p>
        </w:tc>
        <w:tc>
          <w:tcPr>
            <w:tcW w:w="2790" w:type="dxa"/>
            <w:tcBorders>
              <w:top w:val="single" w:sz="5" w:space="0" w:color="000000"/>
              <w:left w:val="single" w:sz="5" w:space="0" w:color="000000"/>
              <w:bottom w:val="single" w:sz="5" w:space="0" w:color="000000"/>
              <w:right w:val="single" w:sz="5" w:space="0" w:color="000000"/>
            </w:tcBorders>
          </w:tcPr>
          <w:p w14:paraId="78877B37"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36</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(13.9)</w:t>
            </w:r>
          </w:p>
        </w:tc>
      </w:tr>
      <w:tr w:rsidR="002D1795" w:rsidRPr="002D1795" w14:paraId="2A7411ED"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05B53B42"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Pruritus</w:t>
            </w:r>
          </w:p>
        </w:tc>
        <w:tc>
          <w:tcPr>
            <w:tcW w:w="2790" w:type="dxa"/>
            <w:tcBorders>
              <w:top w:val="single" w:sz="5" w:space="0" w:color="000000"/>
              <w:left w:val="single" w:sz="5" w:space="0" w:color="000000"/>
              <w:bottom w:val="single" w:sz="5" w:space="0" w:color="000000"/>
              <w:right w:val="single" w:sz="5" w:space="0" w:color="000000"/>
            </w:tcBorders>
          </w:tcPr>
          <w:p w14:paraId="14AEFA3E"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21</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(8.2)</w:t>
            </w:r>
          </w:p>
        </w:tc>
        <w:tc>
          <w:tcPr>
            <w:tcW w:w="2790" w:type="dxa"/>
            <w:tcBorders>
              <w:top w:val="single" w:sz="5" w:space="0" w:color="000000"/>
              <w:left w:val="single" w:sz="5" w:space="0" w:color="000000"/>
              <w:bottom w:val="single" w:sz="5" w:space="0" w:color="000000"/>
              <w:right w:val="single" w:sz="5" w:space="0" w:color="000000"/>
            </w:tcBorders>
          </w:tcPr>
          <w:p w14:paraId="17C2E266" w14:textId="77777777" w:rsidR="002D1795" w:rsidRPr="002D1795" w:rsidRDefault="002D1795" w:rsidP="002D1795">
            <w:pPr>
              <w:widowControl w:val="0"/>
              <w:spacing w:after="0" w:line="251" w:lineRule="exact"/>
              <w:jc w:val="center"/>
              <w:rPr>
                <w:sz w:val="22"/>
                <w:szCs w:val="22"/>
                <w:lang w:val="en-US"/>
              </w:rPr>
            </w:pPr>
            <w:r w:rsidRPr="002D1795">
              <w:rPr>
                <w:rFonts w:eastAsia="Calibri" w:hAnsi="Calibri"/>
                <w:sz w:val="22"/>
                <w:szCs w:val="22"/>
                <w:lang w:val="en-US"/>
              </w:rPr>
              <w:t>15</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(5.8)</w:t>
            </w:r>
          </w:p>
        </w:tc>
      </w:tr>
      <w:tr w:rsidR="002D1795" w:rsidRPr="002D1795" w14:paraId="3B891E79" w14:textId="77777777" w:rsidTr="002D1795">
        <w:trPr>
          <w:trHeight w:hRule="exact" w:val="264"/>
        </w:trPr>
        <w:tc>
          <w:tcPr>
            <w:tcW w:w="3222" w:type="dxa"/>
            <w:tcBorders>
              <w:top w:val="single" w:sz="5" w:space="0" w:color="000000"/>
              <w:left w:val="single" w:sz="5" w:space="0" w:color="000000"/>
              <w:bottom w:val="single" w:sz="5" w:space="0" w:color="000000"/>
              <w:right w:val="single" w:sz="5" w:space="0" w:color="000000"/>
            </w:tcBorders>
            <w:shd w:val="clear" w:color="auto" w:fill="F1F1F1"/>
          </w:tcPr>
          <w:p w14:paraId="41E06908" w14:textId="77777777" w:rsidR="002D1795" w:rsidRPr="002D1795" w:rsidRDefault="002D1795" w:rsidP="002D1795">
            <w:pPr>
              <w:widowControl w:val="0"/>
              <w:spacing w:after="0" w:line="252" w:lineRule="exact"/>
              <w:ind w:left="102"/>
              <w:jc w:val="left"/>
              <w:rPr>
                <w:sz w:val="22"/>
                <w:szCs w:val="22"/>
                <w:lang w:val="en-US"/>
              </w:rPr>
            </w:pPr>
            <w:r w:rsidRPr="002D1795">
              <w:rPr>
                <w:rFonts w:eastAsia="Calibri" w:hAnsi="Calibri"/>
                <w:b/>
                <w:sz w:val="22"/>
                <w:szCs w:val="22"/>
                <w:lang w:val="en-US"/>
              </w:rPr>
              <w:t>Vascular</w:t>
            </w:r>
            <w:r w:rsidRPr="002D1795">
              <w:rPr>
                <w:rFonts w:eastAsia="Calibri" w:hAnsi="Calibri"/>
                <w:b/>
                <w:spacing w:val="-18"/>
                <w:sz w:val="22"/>
                <w:szCs w:val="22"/>
                <w:lang w:val="en-US"/>
              </w:rPr>
              <w:t xml:space="preserve"> </w:t>
            </w:r>
            <w:r w:rsidRPr="002D1795">
              <w:rPr>
                <w:rFonts w:eastAsia="Calibri" w:hAnsi="Calibri"/>
                <w:b/>
                <w:sz w:val="22"/>
                <w:szCs w:val="22"/>
                <w:lang w:val="en-US"/>
              </w:rPr>
              <w:t>disorders</w:t>
            </w: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592A3561" w14:textId="77777777" w:rsidR="002D1795" w:rsidRPr="002D1795" w:rsidRDefault="002D1795" w:rsidP="002D1795">
            <w:pPr>
              <w:widowControl w:val="0"/>
              <w:spacing w:after="0"/>
              <w:jc w:val="left"/>
              <w:rPr>
                <w:rFonts w:ascii="Calibri" w:eastAsia="Calibri" w:hAnsi="Calibri"/>
                <w:sz w:val="22"/>
                <w:szCs w:val="22"/>
                <w:lang w:val="en-US"/>
              </w:rPr>
            </w:pPr>
          </w:p>
        </w:tc>
        <w:tc>
          <w:tcPr>
            <w:tcW w:w="2790" w:type="dxa"/>
            <w:tcBorders>
              <w:top w:val="single" w:sz="5" w:space="0" w:color="000000"/>
              <w:left w:val="single" w:sz="5" w:space="0" w:color="000000"/>
              <w:bottom w:val="single" w:sz="5" w:space="0" w:color="000000"/>
              <w:right w:val="single" w:sz="5" w:space="0" w:color="000000"/>
            </w:tcBorders>
            <w:shd w:val="clear" w:color="auto" w:fill="F1F1F1"/>
          </w:tcPr>
          <w:p w14:paraId="434EA7D3" w14:textId="77777777" w:rsidR="002D1795" w:rsidRPr="002D1795" w:rsidRDefault="002D1795" w:rsidP="002D1795">
            <w:pPr>
              <w:widowControl w:val="0"/>
              <w:spacing w:after="0"/>
              <w:jc w:val="left"/>
              <w:rPr>
                <w:rFonts w:ascii="Calibri" w:eastAsia="Calibri" w:hAnsi="Calibri"/>
                <w:sz w:val="22"/>
                <w:szCs w:val="22"/>
                <w:lang w:val="en-US"/>
              </w:rPr>
            </w:pPr>
          </w:p>
        </w:tc>
      </w:tr>
      <w:tr w:rsidR="002D1795" w:rsidRPr="002D1795" w14:paraId="2B399CD8" w14:textId="77777777" w:rsidTr="002D1795">
        <w:trPr>
          <w:trHeight w:hRule="exact" w:val="263"/>
        </w:trPr>
        <w:tc>
          <w:tcPr>
            <w:tcW w:w="3222" w:type="dxa"/>
            <w:tcBorders>
              <w:top w:val="single" w:sz="5" w:space="0" w:color="000000"/>
              <w:left w:val="single" w:sz="5" w:space="0" w:color="000000"/>
              <w:bottom w:val="single" w:sz="5" w:space="0" w:color="000000"/>
              <w:right w:val="single" w:sz="5" w:space="0" w:color="000000"/>
            </w:tcBorders>
          </w:tcPr>
          <w:p w14:paraId="1662D31D" w14:textId="77777777" w:rsidR="002D1795" w:rsidRPr="002D1795" w:rsidRDefault="002D1795" w:rsidP="002D1795">
            <w:pPr>
              <w:widowControl w:val="0"/>
              <w:spacing w:after="0" w:line="251" w:lineRule="exact"/>
              <w:ind w:left="282"/>
              <w:jc w:val="left"/>
              <w:rPr>
                <w:sz w:val="22"/>
                <w:szCs w:val="22"/>
                <w:lang w:val="en-US"/>
              </w:rPr>
            </w:pPr>
            <w:r w:rsidRPr="002D1795">
              <w:rPr>
                <w:rFonts w:eastAsia="Calibri" w:hAnsi="Calibri"/>
                <w:sz w:val="22"/>
                <w:szCs w:val="22"/>
                <w:lang w:val="en-US"/>
              </w:rPr>
              <w:t>Hypotension</w:t>
            </w:r>
          </w:p>
        </w:tc>
        <w:tc>
          <w:tcPr>
            <w:tcW w:w="2790" w:type="dxa"/>
            <w:tcBorders>
              <w:top w:val="single" w:sz="5" w:space="0" w:color="000000"/>
              <w:left w:val="single" w:sz="5" w:space="0" w:color="000000"/>
              <w:bottom w:val="single" w:sz="5" w:space="0" w:color="000000"/>
              <w:right w:val="single" w:sz="5" w:space="0" w:color="000000"/>
            </w:tcBorders>
          </w:tcPr>
          <w:p w14:paraId="6849BA20" w14:textId="77777777" w:rsidR="002D1795" w:rsidRPr="002D1795" w:rsidRDefault="002D1795" w:rsidP="002D1795">
            <w:pPr>
              <w:widowControl w:val="0"/>
              <w:spacing w:after="0" w:line="251" w:lineRule="exact"/>
              <w:ind w:left="3"/>
              <w:jc w:val="center"/>
              <w:rPr>
                <w:sz w:val="22"/>
                <w:szCs w:val="22"/>
                <w:lang w:val="en-US"/>
              </w:rPr>
            </w:pPr>
            <w:r w:rsidRPr="002D1795">
              <w:rPr>
                <w:rFonts w:eastAsia="Calibri" w:hAnsi="Calibri"/>
                <w:sz w:val="22"/>
                <w:szCs w:val="22"/>
                <w:lang w:val="en-US"/>
              </w:rPr>
              <w:t>21</w:t>
            </w:r>
            <w:r w:rsidRPr="002D1795">
              <w:rPr>
                <w:rFonts w:eastAsia="Calibri" w:hAnsi="Calibri"/>
                <w:spacing w:val="-7"/>
                <w:sz w:val="22"/>
                <w:szCs w:val="22"/>
                <w:lang w:val="en-US"/>
              </w:rPr>
              <w:t xml:space="preserve"> </w:t>
            </w:r>
            <w:r w:rsidRPr="002D1795">
              <w:rPr>
                <w:rFonts w:eastAsia="Calibri" w:hAnsi="Calibri"/>
                <w:spacing w:val="-1"/>
                <w:sz w:val="22"/>
                <w:szCs w:val="22"/>
                <w:lang w:val="en-US"/>
              </w:rPr>
              <w:t>(8.2)</w:t>
            </w:r>
          </w:p>
        </w:tc>
        <w:tc>
          <w:tcPr>
            <w:tcW w:w="2790" w:type="dxa"/>
            <w:tcBorders>
              <w:top w:val="single" w:sz="5" w:space="0" w:color="000000"/>
              <w:left w:val="single" w:sz="5" w:space="0" w:color="000000"/>
              <w:bottom w:val="single" w:sz="5" w:space="0" w:color="000000"/>
              <w:right w:val="single" w:sz="5" w:space="0" w:color="000000"/>
            </w:tcBorders>
          </w:tcPr>
          <w:p w14:paraId="6F765F79" w14:textId="77777777" w:rsidR="002D1795" w:rsidRPr="002D1795" w:rsidRDefault="002D1795" w:rsidP="002D1795">
            <w:pPr>
              <w:widowControl w:val="0"/>
              <w:spacing w:after="0" w:line="251" w:lineRule="exact"/>
              <w:ind w:left="1"/>
              <w:jc w:val="center"/>
              <w:rPr>
                <w:sz w:val="22"/>
                <w:szCs w:val="22"/>
                <w:lang w:val="en-US"/>
              </w:rPr>
            </w:pPr>
            <w:r w:rsidRPr="002D1795">
              <w:rPr>
                <w:rFonts w:eastAsia="Calibri" w:hAnsi="Calibri"/>
                <w:sz w:val="22"/>
                <w:szCs w:val="22"/>
                <w:lang w:val="en-US"/>
              </w:rPr>
              <w:t>28</w:t>
            </w:r>
            <w:r w:rsidRPr="002D1795">
              <w:rPr>
                <w:rFonts w:eastAsia="Calibri" w:hAnsi="Calibri"/>
                <w:spacing w:val="-8"/>
                <w:sz w:val="22"/>
                <w:szCs w:val="22"/>
                <w:lang w:val="en-US"/>
              </w:rPr>
              <w:t xml:space="preserve"> </w:t>
            </w:r>
            <w:r w:rsidRPr="002D1795">
              <w:rPr>
                <w:rFonts w:eastAsia="Calibri" w:hAnsi="Calibri"/>
                <w:spacing w:val="-1"/>
                <w:sz w:val="22"/>
                <w:szCs w:val="22"/>
                <w:lang w:val="en-US"/>
              </w:rPr>
              <w:t>(10.8)</w:t>
            </w:r>
          </w:p>
        </w:tc>
      </w:tr>
    </w:tbl>
    <w:p w14:paraId="55A37C8C" w14:textId="77777777" w:rsidR="002D1795" w:rsidRDefault="002D1795" w:rsidP="002D1795">
      <w:pPr>
        <w:pStyle w:val="CLDNormal"/>
      </w:pPr>
    </w:p>
    <w:p w14:paraId="2FA4A2F5" w14:textId="68C9671A" w:rsidR="003C4BE5" w:rsidRPr="003C4BE5" w:rsidRDefault="003C4BE5" w:rsidP="00755FFF">
      <w:pPr>
        <w:pStyle w:val="CLDHeading3"/>
        <w:rPr>
          <w:color w:val="7030A0"/>
        </w:rPr>
      </w:pPr>
      <w:r>
        <w:t>Repo</w:t>
      </w:r>
      <w:r w:rsidR="002C4B66">
        <w:t>rting suspected adverse effects</w:t>
      </w:r>
    </w:p>
    <w:p w14:paraId="5A0C655F" w14:textId="77777777" w:rsidR="00C40E91" w:rsidRPr="0061777E" w:rsidRDefault="00C40E91" w:rsidP="00C40E91">
      <w:pPr>
        <w:pStyle w:val="CLDNormal"/>
      </w:pPr>
      <w:r w:rsidRPr="00C40E91">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00433191" w:rsidRPr="00891AFB">
          <w:rPr>
            <w:rStyle w:val="Hyperlink"/>
          </w:rPr>
          <w:t>www.tga.gov.au/reporting-problems</w:t>
        </w:r>
      </w:hyperlink>
      <w:r>
        <w:t>.</w:t>
      </w:r>
    </w:p>
    <w:p w14:paraId="2899DB95" w14:textId="77777777" w:rsidR="00112E5B" w:rsidRPr="00003E72" w:rsidRDefault="00003E72" w:rsidP="00755FFF">
      <w:pPr>
        <w:pStyle w:val="CLDHeading2"/>
      </w:pPr>
      <w:r>
        <w:t>4.9</w:t>
      </w:r>
      <w:r>
        <w:tab/>
      </w:r>
      <w:r w:rsidR="00112E5B" w:rsidRPr="00DB3A4B">
        <w:t>Overdos</w:t>
      </w:r>
      <w:r w:rsidR="0061777E">
        <w:t>e</w:t>
      </w:r>
    </w:p>
    <w:p w14:paraId="3189B673" w14:textId="77777777" w:rsidR="004100DD" w:rsidRPr="004100DD" w:rsidRDefault="004100DD" w:rsidP="007B7FE3">
      <w:pPr>
        <w:pStyle w:val="CLDHeading4"/>
      </w:pPr>
      <w:r w:rsidRPr="004100DD">
        <w:t>Symptoms</w:t>
      </w:r>
    </w:p>
    <w:p w14:paraId="0B293305" w14:textId="77777777" w:rsidR="004100DD" w:rsidRPr="00212203" w:rsidRDefault="004100DD" w:rsidP="004100DD">
      <w:pPr>
        <w:pStyle w:val="CLDNormal"/>
        <w:rPr>
          <w:szCs w:val="22"/>
        </w:rPr>
      </w:pPr>
      <w:r w:rsidRPr="00212203">
        <w:rPr>
          <w:szCs w:val="22"/>
        </w:rPr>
        <w:t xml:space="preserve">Symptoms reported more frequently at </w:t>
      </w:r>
      <w:proofErr w:type="spellStart"/>
      <w:r w:rsidRPr="00212203">
        <w:rPr>
          <w:szCs w:val="22"/>
        </w:rPr>
        <w:t>supratherapeutic</w:t>
      </w:r>
      <w:proofErr w:type="spellEnd"/>
      <w:r w:rsidRPr="00212203">
        <w:rPr>
          <w:szCs w:val="22"/>
        </w:rPr>
        <w:t xml:space="preserve"> doses of CRESEMBA (equivalent to </w:t>
      </w:r>
      <w:proofErr w:type="spellStart"/>
      <w:r w:rsidRPr="00212203">
        <w:rPr>
          <w:szCs w:val="22"/>
        </w:rPr>
        <w:t>isavuconazole</w:t>
      </w:r>
      <w:proofErr w:type="spellEnd"/>
      <w:r w:rsidRPr="00212203">
        <w:rPr>
          <w:szCs w:val="22"/>
        </w:rPr>
        <w:t xml:space="preserve"> 600 mg/day) evaluated in a QT study than in the therapeutic dose group (equivalent to </w:t>
      </w:r>
      <w:proofErr w:type="spellStart"/>
      <w:r w:rsidRPr="00212203">
        <w:rPr>
          <w:szCs w:val="22"/>
        </w:rPr>
        <w:t>isavuconazole</w:t>
      </w:r>
      <w:proofErr w:type="spellEnd"/>
      <w:r w:rsidRPr="00212203">
        <w:rPr>
          <w:szCs w:val="22"/>
        </w:rPr>
        <w:t xml:space="preserve"> 200 mg/day dose) included: headache, dizziness, paraesthesia, somnolence, disturbance in attention, </w:t>
      </w:r>
      <w:proofErr w:type="spellStart"/>
      <w:r w:rsidRPr="00212203">
        <w:rPr>
          <w:szCs w:val="22"/>
        </w:rPr>
        <w:t>dysgeusia</w:t>
      </w:r>
      <w:proofErr w:type="spellEnd"/>
      <w:r w:rsidRPr="00212203">
        <w:rPr>
          <w:szCs w:val="22"/>
        </w:rPr>
        <w:t xml:space="preserve">, dry mouth, diarrhoea, oral </w:t>
      </w:r>
      <w:proofErr w:type="spellStart"/>
      <w:r w:rsidRPr="00212203">
        <w:rPr>
          <w:szCs w:val="22"/>
        </w:rPr>
        <w:t>hypoaesthesia</w:t>
      </w:r>
      <w:proofErr w:type="spellEnd"/>
      <w:r w:rsidRPr="00212203">
        <w:rPr>
          <w:szCs w:val="22"/>
        </w:rPr>
        <w:t>, vomiting, hot flush, anxiety, restlessness, palpitations, tachycardia, photophobia and arthralgia</w:t>
      </w:r>
      <w:r>
        <w:rPr>
          <w:szCs w:val="22"/>
        </w:rPr>
        <w:t>.</w:t>
      </w:r>
    </w:p>
    <w:p w14:paraId="4697071B" w14:textId="77777777" w:rsidR="004100DD" w:rsidRPr="004100DD" w:rsidRDefault="004100DD" w:rsidP="007B7FE3">
      <w:pPr>
        <w:pStyle w:val="CLDHeading4"/>
      </w:pPr>
      <w:r w:rsidRPr="004100DD">
        <w:t>Management of overdose</w:t>
      </w:r>
    </w:p>
    <w:p w14:paraId="2AF86ACE" w14:textId="77777777" w:rsidR="004100DD" w:rsidRPr="00212203" w:rsidRDefault="004100DD" w:rsidP="004100DD">
      <w:pPr>
        <w:pStyle w:val="CLDNormal"/>
        <w:rPr>
          <w:noProof/>
          <w:szCs w:val="22"/>
        </w:rPr>
      </w:pPr>
      <w:r w:rsidRPr="00212203">
        <w:rPr>
          <w:noProof/>
          <w:szCs w:val="22"/>
        </w:rPr>
        <w:t>Isavuconazole is not removed by haemodialysis. There is no specific antidote for isavuconazole. In the event of an overdose, supportive treatment should be instituted.</w:t>
      </w:r>
    </w:p>
    <w:p w14:paraId="17262C11" w14:textId="77777777" w:rsidR="004100DD" w:rsidRPr="00212203" w:rsidRDefault="004100DD" w:rsidP="004100DD">
      <w:pPr>
        <w:pStyle w:val="CLDNormal"/>
      </w:pPr>
      <w:r w:rsidRPr="00212203">
        <w:t>For information on the management of overdose, contact the Poisons Information Centre on 13 11 26 (Australia).</w:t>
      </w:r>
    </w:p>
    <w:p w14:paraId="2E7549BD" w14:textId="77777777" w:rsidR="0062454C" w:rsidRDefault="00003E72" w:rsidP="001D73D4">
      <w:pPr>
        <w:pStyle w:val="CLDHeading1"/>
      </w:pPr>
      <w:r>
        <w:t>5.</w:t>
      </w:r>
      <w:r>
        <w:tab/>
      </w:r>
      <w:r w:rsidR="0018348D">
        <w:t>PHARMACOLOGICAL PROPERTIES</w:t>
      </w:r>
      <w:r w:rsidR="00112E5B">
        <w:t xml:space="preserve"> </w:t>
      </w:r>
    </w:p>
    <w:p w14:paraId="649AAF06" w14:textId="77777777" w:rsidR="00112E5B" w:rsidRDefault="00003E72" w:rsidP="00755FFF">
      <w:pPr>
        <w:pStyle w:val="CLDHeading2"/>
        <w:rPr>
          <w:bCs/>
          <w:i/>
          <w:iCs/>
          <w:color w:val="FF0000"/>
        </w:rPr>
      </w:pPr>
      <w:r>
        <w:t>5.1</w:t>
      </w:r>
      <w:r>
        <w:tab/>
      </w:r>
      <w:proofErr w:type="spellStart"/>
      <w:r w:rsidR="00112E5B">
        <w:t>Pharmacodynamic</w:t>
      </w:r>
      <w:proofErr w:type="spellEnd"/>
      <w:r w:rsidR="00112E5B">
        <w:t xml:space="preserve"> properties</w:t>
      </w:r>
    </w:p>
    <w:p w14:paraId="1D397171" w14:textId="77777777" w:rsidR="004100DD" w:rsidRPr="00212203" w:rsidRDefault="004100DD" w:rsidP="004100DD">
      <w:pPr>
        <w:pStyle w:val="CLDNormal"/>
      </w:pPr>
      <w:proofErr w:type="spellStart"/>
      <w:r w:rsidRPr="00212203">
        <w:t>Pharmacotherapeutic</w:t>
      </w:r>
      <w:proofErr w:type="spellEnd"/>
      <w:r w:rsidRPr="00212203">
        <w:t xml:space="preserve"> group: </w:t>
      </w:r>
      <w:proofErr w:type="spellStart"/>
      <w:r w:rsidRPr="00212203">
        <w:t>Antimycotics</w:t>
      </w:r>
      <w:proofErr w:type="spellEnd"/>
      <w:r w:rsidRPr="00212203">
        <w:t xml:space="preserve"> for systemic use, </w:t>
      </w:r>
      <w:proofErr w:type="spellStart"/>
      <w:r w:rsidRPr="00212203">
        <w:t>triazole</w:t>
      </w:r>
      <w:proofErr w:type="spellEnd"/>
      <w:r w:rsidRPr="00212203">
        <w:t xml:space="preserve"> derivatives, ATC code: J02AC05</w:t>
      </w:r>
    </w:p>
    <w:p w14:paraId="3FC1C3FB" w14:textId="77777777" w:rsidR="003C6DC6" w:rsidRDefault="003C6DC6" w:rsidP="00755FFF">
      <w:pPr>
        <w:pStyle w:val="CLDHeading3"/>
      </w:pPr>
      <w:r>
        <w:lastRenderedPageBreak/>
        <w:t>Mechanism of action</w:t>
      </w:r>
      <w:r w:rsidR="003D017D">
        <w:t xml:space="preserve"> </w:t>
      </w:r>
    </w:p>
    <w:p w14:paraId="11D05E98" w14:textId="77777777" w:rsidR="00A03495" w:rsidRDefault="002C432E" w:rsidP="00A03495">
      <w:pPr>
        <w:pStyle w:val="CLDNormal"/>
        <w:rPr>
          <w:rFonts w:eastAsia="MS Mincho"/>
          <w:lang w:eastAsia="ja-JP"/>
        </w:rPr>
      </w:pPr>
      <w:proofErr w:type="spellStart"/>
      <w:r w:rsidRPr="002C432E">
        <w:rPr>
          <w:rFonts w:eastAsia="MS Mincho"/>
          <w:lang w:eastAsia="ja-JP"/>
        </w:rPr>
        <w:t>Isavuconazonium</w:t>
      </w:r>
      <w:proofErr w:type="spellEnd"/>
      <w:r w:rsidRPr="002C432E">
        <w:rPr>
          <w:rFonts w:eastAsia="MS Mincho"/>
          <w:lang w:eastAsia="ja-JP"/>
        </w:rPr>
        <w:t xml:space="preserve"> </w:t>
      </w:r>
      <w:proofErr w:type="spellStart"/>
      <w:r w:rsidRPr="002C432E">
        <w:rPr>
          <w:rFonts w:eastAsia="MS Mincho"/>
          <w:lang w:eastAsia="ja-JP"/>
        </w:rPr>
        <w:t>sulfate</w:t>
      </w:r>
      <w:proofErr w:type="spellEnd"/>
      <w:r w:rsidRPr="002C432E">
        <w:rPr>
          <w:rFonts w:eastAsia="MS Mincho"/>
          <w:lang w:eastAsia="ja-JP"/>
        </w:rPr>
        <w:t xml:space="preserve"> is the prodrug of </w:t>
      </w:r>
      <w:proofErr w:type="spellStart"/>
      <w:r w:rsidRPr="002C432E">
        <w:rPr>
          <w:rFonts w:eastAsia="MS Mincho"/>
          <w:lang w:eastAsia="ja-JP"/>
        </w:rPr>
        <w:t>isavuconazole</w:t>
      </w:r>
      <w:proofErr w:type="spellEnd"/>
      <w:r w:rsidRPr="002C432E">
        <w:rPr>
          <w:rFonts w:eastAsia="MS Mincho"/>
          <w:lang w:eastAsia="ja-JP"/>
        </w:rPr>
        <w:t xml:space="preserve">, an azole antifungal drug. </w:t>
      </w:r>
      <w:proofErr w:type="spellStart"/>
      <w:r w:rsidRPr="002C432E">
        <w:rPr>
          <w:rFonts w:eastAsia="MS Mincho"/>
          <w:lang w:eastAsia="ja-JP"/>
        </w:rPr>
        <w:t>Isavuconazole</w:t>
      </w:r>
      <w:proofErr w:type="spellEnd"/>
      <w:r w:rsidRPr="002C432E">
        <w:rPr>
          <w:rFonts w:eastAsia="MS Mincho"/>
          <w:lang w:eastAsia="ja-JP"/>
        </w:rPr>
        <w:t xml:space="preserve"> inhibits the synthesis of </w:t>
      </w:r>
      <w:proofErr w:type="spellStart"/>
      <w:r w:rsidRPr="002C432E">
        <w:rPr>
          <w:rFonts w:eastAsia="MS Mincho"/>
          <w:lang w:eastAsia="ja-JP"/>
        </w:rPr>
        <w:t>ergosterol</w:t>
      </w:r>
      <w:proofErr w:type="spellEnd"/>
      <w:r w:rsidRPr="002C432E">
        <w:rPr>
          <w:rFonts w:eastAsia="MS Mincho"/>
          <w:lang w:eastAsia="ja-JP"/>
        </w:rPr>
        <w:t xml:space="preserve">, a key component of the fungal cell membrane, through the inhibition of cytochrome P-450 dependent enzyme </w:t>
      </w:r>
      <w:proofErr w:type="spellStart"/>
      <w:r w:rsidRPr="002C432E">
        <w:rPr>
          <w:rFonts w:eastAsia="MS Mincho"/>
          <w:lang w:eastAsia="ja-JP"/>
        </w:rPr>
        <w:t>lanosterol</w:t>
      </w:r>
      <w:proofErr w:type="spellEnd"/>
      <w:r w:rsidRPr="002C432E">
        <w:rPr>
          <w:rFonts w:eastAsia="MS Mincho"/>
          <w:lang w:eastAsia="ja-JP"/>
        </w:rPr>
        <w:t xml:space="preserve"> 14-alpha-demethylase. This enzyme is responsible for the conversion of </w:t>
      </w:r>
      <w:proofErr w:type="spellStart"/>
      <w:r w:rsidRPr="002C432E">
        <w:rPr>
          <w:rFonts w:eastAsia="MS Mincho"/>
          <w:lang w:eastAsia="ja-JP"/>
        </w:rPr>
        <w:t>lanosterol</w:t>
      </w:r>
      <w:proofErr w:type="spellEnd"/>
      <w:r w:rsidRPr="002C432E">
        <w:rPr>
          <w:rFonts w:eastAsia="MS Mincho"/>
          <w:lang w:eastAsia="ja-JP"/>
        </w:rPr>
        <w:t xml:space="preserve"> to </w:t>
      </w:r>
      <w:proofErr w:type="spellStart"/>
      <w:r w:rsidRPr="002C432E">
        <w:rPr>
          <w:rFonts w:eastAsia="MS Mincho"/>
          <w:lang w:eastAsia="ja-JP"/>
        </w:rPr>
        <w:t>ergosterol</w:t>
      </w:r>
      <w:proofErr w:type="spellEnd"/>
      <w:r w:rsidRPr="002C432E">
        <w:rPr>
          <w:rFonts w:eastAsia="MS Mincho"/>
          <w:lang w:eastAsia="ja-JP"/>
        </w:rPr>
        <w:t xml:space="preserve">. An accumulation of methylated sterol precursors and a depletion of </w:t>
      </w:r>
      <w:proofErr w:type="spellStart"/>
      <w:r w:rsidRPr="002C432E">
        <w:rPr>
          <w:rFonts w:eastAsia="MS Mincho"/>
          <w:lang w:eastAsia="ja-JP"/>
        </w:rPr>
        <w:t>ergosterol</w:t>
      </w:r>
      <w:proofErr w:type="spellEnd"/>
      <w:r w:rsidRPr="002C432E">
        <w:rPr>
          <w:rFonts w:eastAsia="MS Mincho"/>
          <w:lang w:eastAsia="ja-JP"/>
        </w:rPr>
        <w:t xml:space="preserve"> within the fungal cell membrane weakens the membrane structure and function. Mammalian cell demethylation is less sensitive to </w:t>
      </w:r>
      <w:proofErr w:type="spellStart"/>
      <w:r w:rsidRPr="002C432E">
        <w:rPr>
          <w:rFonts w:eastAsia="MS Mincho"/>
          <w:lang w:eastAsia="ja-JP"/>
        </w:rPr>
        <w:t>isavuconazole</w:t>
      </w:r>
      <w:proofErr w:type="spellEnd"/>
      <w:r w:rsidRPr="002C432E">
        <w:rPr>
          <w:rFonts w:eastAsia="MS Mincho"/>
          <w:lang w:eastAsia="ja-JP"/>
        </w:rPr>
        <w:t xml:space="preserve"> inhibition.</w:t>
      </w:r>
    </w:p>
    <w:p w14:paraId="6ABDA897" w14:textId="3F903DB4" w:rsidR="004100DD" w:rsidRPr="00212203" w:rsidRDefault="004100DD" w:rsidP="004100DD">
      <w:pPr>
        <w:pStyle w:val="CLDHeading3"/>
      </w:pPr>
      <w:r w:rsidRPr="00212203">
        <w:t xml:space="preserve">Microbiology </w:t>
      </w:r>
    </w:p>
    <w:p w14:paraId="08F998A7" w14:textId="77777777" w:rsidR="004100DD" w:rsidRPr="00212203" w:rsidRDefault="004100DD" w:rsidP="00A712CB">
      <w:pPr>
        <w:pStyle w:val="CLDNormal"/>
        <w:rPr>
          <w:strike/>
          <w:color w:val="FF0000"/>
        </w:rPr>
      </w:pPr>
      <w:r w:rsidRPr="00212203">
        <w:t xml:space="preserve">In animal models of disseminated and pulmonary </w:t>
      </w:r>
      <w:proofErr w:type="spellStart"/>
      <w:r w:rsidRPr="00212203">
        <w:t>aspergillosis</w:t>
      </w:r>
      <w:proofErr w:type="spellEnd"/>
      <w:r w:rsidRPr="00212203">
        <w:t xml:space="preserve">, the </w:t>
      </w:r>
      <w:proofErr w:type="spellStart"/>
      <w:r w:rsidRPr="00212203">
        <w:t>pharmacodynamic</w:t>
      </w:r>
      <w:proofErr w:type="spellEnd"/>
      <w:r w:rsidRPr="00212203">
        <w:t xml:space="preserve"> (PD) index important in efficacy is exposure divided by minimum inhibitory concentration (MIC) (AUC/MIC). </w:t>
      </w:r>
    </w:p>
    <w:p w14:paraId="6A61F271" w14:textId="77777777" w:rsidR="004100DD" w:rsidRPr="00212203" w:rsidRDefault="004100DD" w:rsidP="00A712CB">
      <w:pPr>
        <w:pStyle w:val="CLDNormal"/>
      </w:pPr>
      <w:r w:rsidRPr="00212203">
        <w:t xml:space="preserve">No clear correlation between </w:t>
      </w:r>
      <w:r w:rsidRPr="00212203">
        <w:rPr>
          <w:i/>
        </w:rPr>
        <w:t>in vitro</w:t>
      </w:r>
      <w:r w:rsidRPr="00212203">
        <w:t xml:space="preserve"> MIC and clinical response for the different species (</w:t>
      </w:r>
      <w:r w:rsidRPr="00212203">
        <w:rPr>
          <w:i/>
        </w:rPr>
        <w:t>Aspergillus</w:t>
      </w:r>
      <w:r w:rsidRPr="00212203">
        <w:t xml:space="preserve"> and </w:t>
      </w:r>
      <w:proofErr w:type="spellStart"/>
      <w:r w:rsidRPr="00212203">
        <w:rPr>
          <w:i/>
        </w:rPr>
        <w:t>Mucorales</w:t>
      </w:r>
      <w:proofErr w:type="spellEnd"/>
      <w:r w:rsidRPr="00212203">
        <w:t>) could be established.</w:t>
      </w:r>
    </w:p>
    <w:p w14:paraId="4A9EC698" w14:textId="77777777" w:rsidR="004100DD" w:rsidRPr="00212203" w:rsidRDefault="004100DD" w:rsidP="00A712CB">
      <w:pPr>
        <w:pStyle w:val="CLDNormal"/>
      </w:pPr>
      <w:r w:rsidRPr="00212203">
        <w:t xml:space="preserve">Concentrations of </w:t>
      </w:r>
      <w:proofErr w:type="spellStart"/>
      <w:r w:rsidRPr="00212203">
        <w:t>isavuconazole</w:t>
      </w:r>
      <w:proofErr w:type="spellEnd"/>
      <w:r w:rsidRPr="00212203">
        <w:t xml:space="preserve"> required to inhibit </w:t>
      </w:r>
      <w:r w:rsidRPr="00212203">
        <w:rPr>
          <w:i/>
        </w:rPr>
        <w:t>Aspergillus</w:t>
      </w:r>
      <w:r w:rsidRPr="00212203">
        <w:t xml:space="preserve"> species and genera/species of the order </w:t>
      </w:r>
      <w:proofErr w:type="spellStart"/>
      <w:r w:rsidRPr="00212203">
        <w:rPr>
          <w:i/>
        </w:rPr>
        <w:t>Mucorales</w:t>
      </w:r>
      <w:proofErr w:type="spellEnd"/>
      <w:r w:rsidRPr="00212203">
        <w:t xml:space="preserve"> </w:t>
      </w:r>
      <w:r w:rsidRPr="00212203">
        <w:rPr>
          <w:i/>
        </w:rPr>
        <w:t>in vitro</w:t>
      </w:r>
      <w:r w:rsidRPr="00212203">
        <w:t xml:space="preserve"> have been very variable. Generally, concentrations of </w:t>
      </w:r>
      <w:proofErr w:type="spellStart"/>
      <w:r w:rsidRPr="00212203">
        <w:t>isavuconazole</w:t>
      </w:r>
      <w:proofErr w:type="spellEnd"/>
      <w:r w:rsidRPr="00212203">
        <w:t xml:space="preserve"> required to inhibit </w:t>
      </w:r>
      <w:proofErr w:type="spellStart"/>
      <w:r w:rsidRPr="00212203">
        <w:rPr>
          <w:i/>
        </w:rPr>
        <w:t>Mucorales</w:t>
      </w:r>
      <w:proofErr w:type="spellEnd"/>
      <w:r w:rsidRPr="00212203">
        <w:t xml:space="preserve"> are higher than those required to inhibit the majority of </w:t>
      </w:r>
      <w:r w:rsidRPr="00212203">
        <w:rPr>
          <w:i/>
        </w:rPr>
        <w:t>Aspergillus</w:t>
      </w:r>
      <w:r w:rsidRPr="00212203">
        <w:t xml:space="preserve"> species.</w:t>
      </w:r>
    </w:p>
    <w:p w14:paraId="4835A47D" w14:textId="77777777" w:rsidR="004100DD" w:rsidRPr="00212203" w:rsidRDefault="004100DD" w:rsidP="00A712CB">
      <w:pPr>
        <w:pStyle w:val="CLDNormal"/>
        <w:rPr>
          <w:iCs/>
          <w:lang w:val="en-US"/>
        </w:rPr>
      </w:pPr>
      <w:r w:rsidRPr="00212203">
        <w:rPr>
          <w:iCs/>
          <w:lang w:val="en-US"/>
        </w:rPr>
        <w:t xml:space="preserve">Clinical efficacy has been demonstrated for the following </w:t>
      </w:r>
      <w:r w:rsidRPr="00212203">
        <w:rPr>
          <w:i/>
          <w:iCs/>
          <w:lang w:val="en-US"/>
        </w:rPr>
        <w:t>Aspergillus</w:t>
      </w:r>
      <w:r w:rsidRPr="00212203">
        <w:rPr>
          <w:iCs/>
          <w:lang w:val="en-US"/>
        </w:rPr>
        <w:t xml:space="preserve"> species: </w:t>
      </w:r>
      <w:r w:rsidRPr="00212203">
        <w:rPr>
          <w:i/>
          <w:iCs/>
          <w:lang w:val="en-US"/>
        </w:rPr>
        <w:t xml:space="preserve">Aspergillus </w:t>
      </w:r>
      <w:proofErr w:type="spellStart"/>
      <w:r w:rsidRPr="00212203">
        <w:rPr>
          <w:i/>
          <w:iCs/>
          <w:lang w:val="en-US"/>
        </w:rPr>
        <w:t>fumigatus</w:t>
      </w:r>
      <w:proofErr w:type="spellEnd"/>
      <w:r w:rsidRPr="00212203">
        <w:rPr>
          <w:iCs/>
          <w:lang w:val="en-US"/>
        </w:rPr>
        <w:t xml:space="preserve">, </w:t>
      </w:r>
      <w:r w:rsidRPr="00212203">
        <w:rPr>
          <w:i/>
          <w:iCs/>
          <w:lang w:val="en-US"/>
        </w:rPr>
        <w:t xml:space="preserve">A. </w:t>
      </w:r>
      <w:proofErr w:type="spellStart"/>
      <w:r w:rsidRPr="00212203">
        <w:rPr>
          <w:i/>
          <w:lang w:val="en-US"/>
        </w:rPr>
        <w:t>flavus</w:t>
      </w:r>
      <w:proofErr w:type="spellEnd"/>
      <w:r w:rsidRPr="00212203">
        <w:rPr>
          <w:lang w:val="en-US"/>
        </w:rPr>
        <w:t xml:space="preserve">, </w:t>
      </w:r>
      <w:r w:rsidRPr="00212203">
        <w:rPr>
          <w:i/>
          <w:lang w:val="en-US"/>
        </w:rPr>
        <w:t>A.</w:t>
      </w:r>
      <w:r w:rsidRPr="00212203">
        <w:rPr>
          <w:i/>
          <w:iCs/>
          <w:lang w:val="en-US"/>
        </w:rPr>
        <w:t xml:space="preserve"> </w:t>
      </w:r>
      <w:proofErr w:type="spellStart"/>
      <w:r w:rsidRPr="00212203">
        <w:rPr>
          <w:i/>
          <w:iCs/>
          <w:lang w:val="en-US"/>
        </w:rPr>
        <w:t>niger</w:t>
      </w:r>
      <w:proofErr w:type="spellEnd"/>
      <w:r w:rsidRPr="00212203">
        <w:rPr>
          <w:iCs/>
          <w:lang w:val="en-US"/>
        </w:rPr>
        <w:t xml:space="preserve">, and </w:t>
      </w:r>
      <w:r w:rsidRPr="00212203">
        <w:rPr>
          <w:i/>
          <w:iCs/>
          <w:lang w:val="en-US"/>
        </w:rPr>
        <w:t xml:space="preserve">A. </w:t>
      </w:r>
      <w:proofErr w:type="spellStart"/>
      <w:r w:rsidRPr="00212203">
        <w:rPr>
          <w:i/>
          <w:iCs/>
          <w:lang w:val="en-US"/>
        </w:rPr>
        <w:t>terreus</w:t>
      </w:r>
      <w:proofErr w:type="spellEnd"/>
      <w:r w:rsidRPr="00212203">
        <w:rPr>
          <w:i/>
          <w:iCs/>
          <w:lang w:val="en-US"/>
        </w:rPr>
        <w:t xml:space="preserve"> (see further below).</w:t>
      </w:r>
    </w:p>
    <w:p w14:paraId="4CF41F22" w14:textId="2A8A9D1B" w:rsidR="004100DD" w:rsidRPr="00212203" w:rsidRDefault="007A79E1" w:rsidP="004100DD">
      <w:pPr>
        <w:pStyle w:val="CLDHeading3"/>
      </w:pPr>
      <w:r>
        <w:t xml:space="preserve">Drug </w:t>
      </w:r>
      <w:r w:rsidR="004100DD" w:rsidRPr="00212203">
        <w:t>resistance</w:t>
      </w:r>
    </w:p>
    <w:p w14:paraId="471A933B" w14:textId="22B9D33A" w:rsidR="008510A1" w:rsidRDefault="007A79E1" w:rsidP="00FD08D0">
      <w:pPr>
        <w:pStyle w:val="CLDNormal"/>
        <w:rPr>
          <w:lang w:val="en-US"/>
        </w:rPr>
      </w:pPr>
      <w:r w:rsidRPr="007A79E1">
        <w:rPr>
          <w:lang w:val="en-US"/>
        </w:rPr>
        <w:t xml:space="preserve">There is a potential for development of resistance to </w:t>
      </w:r>
      <w:proofErr w:type="spellStart"/>
      <w:r w:rsidRPr="007A79E1">
        <w:rPr>
          <w:lang w:val="en-US"/>
        </w:rPr>
        <w:t>isavuconazole</w:t>
      </w:r>
      <w:proofErr w:type="spellEnd"/>
      <w:r w:rsidRPr="007A79E1">
        <w:rPr>
          <w:lang w:val="en-US"/>
        </w:rPr>
        <w:t xml:space="preserve">. The mechanism of resistance to </w:t>
      </w:r>
      <w:proofErr w:type="spellStart"/>
      <w:r w:rsidRPr="007A79E1">
        <w:rPr>
          <w:lang w:val="en-US"/>
        </w:rPr>
        <w:t>isavuconazole</w:t>
      </w:r>
      <w:proofErr w:type="spellEnd"/>
      <w:r w:rsidRPr="007A79E1">
        <w:rPr>
          <w:lang w:val="en-US"/>
        </w:rPr>
        <w:t xml:space="preserve">, like other azole antifungals, is likely due to multiple mechanisms that include substitutions in the target gene CYP51. Changes in sterol profile and elevated efflux pump activity were observed, however, the clinical relevance of these findings is unclear. </w:t>
      </w:r>
      <w:r w:rsidRPr="00FD08D0">
        <w:rPr>
          <w:i/>
          <w:lang w:val="en-US"/>
        </w:rPr>
        <w:t>In vitro</w:t>
      </w:r>
      <w:r w:rsidRPr="007A79E1">
        <w:rPr>
          <w:lang w:val="en-US"/>
        </w:rPr>
        <w:t xml:space="preserve"> and animal studies suggest cross-resistance between </w:t>
      </w:r>
      <w:proofErr w:type="spellStart"/>
      <w:r w:rsidRPr="007A79E1">
        <w:rPr>
          <w:lang w:val="en-US"/>
        </w:rPr>
        <w:t>isavuconazole</w:t>
      </w:r>
      <w:proofErr w:type="spellEnd"/>
      <w:r w:rsidRPr="007A79E1">
        <w:rPr>
          <w:lang w:val="en-US"/>
        </w:rPr>
        <w:t xml:space="preserve"> and other azoles. The relevance of cross resistance to clinical outcome has not been fully characterized. However, patients failing prior azole therapy may require alternative antifungal therapy.</w:t>
      </w:r>
    </w:p>
    <w:p w14:paraId="639B58E2" w14:textId="17D50E54" w:rsidR="004100DD" w:rsidRPr="00212203" w:rsidRDefault="004100DD" w:rsidP="004100DD">
      <w:pPr>
        <w:pStyle w:val="CLDHeading3"/>
        <w:rPr>
          <w:lang w:val="en-US"/>
        </w:rPr>
      </w:pPr>
      <w:r w:rsidRPr="00212203">
        <w:rPr>
          <w:lang w:val="en-US"/>
        </w:rPr>
        <w:t>Breakpoints</w:t>
      </w:r>
    </w:p>
    <w:p w14:paraId="59ADBE7A" w14:textId="77777777" w:rsidR="004100DD" w:rsidRPr="00212203" w:rsidRDefault="004100DD" w:rsidP="00A712CB">
      <w:pPr>
        <w:pStyle w:val="CLDNormal"/>
      </w:pPr>
      <w:r w:rsidRPr="00212203">
        <w:t xml:space="preserve">EUCAST MIC breakpoints are defined for the following species (susceptible S; resistant R): </w:t>
      </w:r>
    </w:p>
    <w:p w14:paraId="79712921" w14:textId="77777777" w:rsidR="004100DD" w:rsidRPr="00212203" w:rsidRDefault="004100DD" w:rsidP="00A712CB">
      <w:pPr>
        <w:pStyle w:val="CLDNormal"/>
        <w:numPr>
          <w:ilvl w:val="0"/>
          <w:numId w:val="32"/>
        </w:numPr>
        <w:rPr>
          <w:lang w:val="pt-PT"/>
        </w:rPr>
      </w:pPr>
      <w:r w:rsidRPr="00212203">
        <w:rPr>
          <w:i/>
          <w:lang w:val="pt-PT"/>
        </w:rPr>
        <w:t>Aspergillus fumigatus:</w:t>
      </w:r>
      <w:r w:rsidR="00A55235">
        <w:rPr>
          <w:i/>
          <w:lang w:val="pt-PT"/>
        </w:rPr>
        <w:t xml:space="preserve">  </w:t>
      </w:r>
      <w:r w:rsidRPr="00212203">
        <w:rPr>
          <w:i/>
          <w:lang w:val="pt-PT"/>
        </w:rPr>
        <w:tab/>
      </w:r>
      <w:r w:rsidRPr="00212203">
        <w:rPr>
          <w:lang w:val="pt-PT"/>
        </w:rPr>
        <w:t xml:space="preserve">S ≤ 1 mg/L, R &gt; 1 mg/L </w:t>
      </w:r>
    </w:p>
    <w:p w14:paraId="0543DCE4" w14:textId="77777777" w:rsidR="004100DD" w:rsidRPr="00212203" w:rsidRDefault="004100DD" w:rsidP="00A712CB">
      <w:pPr>
        <w:pStyle w:val="CLDNormal"/>
        <w:numPr>
          <w:ilvl w:val="0"/>
          <w:numId w:val="32"/>
        </w:numPr>
        <w:rPr>
          <w:lang w:val="pt-PT"/>
        </w:rPr>
      </w:pPr>
      <w:r w:rsidRPr="00212203">
        <w:rPr>
          <w:i/>
          <w:lang w:val="pt-PT"/>
        </w:rPr>
        <w:t>Aspergillus nidulans:</w:t>
      </w:r>
      <w:r w:rsidRPr="00212203">
        <w:rPr>
          <w:i/>
          <w:lang w:val="pt-PT"/>
        </w:rPr>
        <w:tab/>
      </w:r>
      <w:r w:rsidRPr="00212203">
        <w:rPr>
          <w:i/>
          <w:lang w:val="pt-PT"/>
        </w:rPr>
        <w:tab/>
      </w:r>
      <w:r w:rsidRPr="00212203">
        <w:rPr>
          <w:lang w:val="pt-PT"/>
        </w:rPr>
        <w:t>S ≤ 0.25 mg/L, R &gt; 0.25 mg/L</w:t>
      </w:r>
    </w:p>
    <w:p w14:paraId="177DBAB9" w14:textId="77777777" w:rsidR="004100DD" w:rsidRPr="00212203" w:rsidRDefault="004100DD" w:rsidP="00A712CB">
      <w:pPr>
        <w:pStyle w:val="CLDNormal"/>
        <w:numPr>
          <w:ilvl w:val="0"/>
          <w:numId w:val="32"/>
        </w:numPr>
        <w:rPr>
          <w:lang w:val="pt-PT"/>
        </w:rPr>
      </w:pPr>
      <w:r w:rsidRPr="00212203">
        <w:rPr>
          <w:i/>
          <w:lang w:val="pt-PT"/>
        </w:rPr>
        <w:t>Aspergillus terreus:</w:t>
      </w:r>
      <w:r w:rsidRPr="00212203">
        <w:rPr>
          <w:i/>
          <w:lang w:val="pt-PT"/>
        </w:rPr>
        <w:tab/>
      </w:r>
      <w:r w:rsidRPr="00212203">
        <w:rPr>
          <w:i/>
          <w:lang w:val="pt-PT"/>
        </w:rPr>
        <w:tab/>
      </w:r>
      <w:r w:rsidRPr="00212203">
        <w:rPr>
          <w:lang w:val="pt-PT"/>
        </w:rPr>
        <w:t>S ≤ 1 mg/L, R &gt; 1 mg/L</w:t>
      </w:r>
    </w:p>
    <w:p w14:paraId="4D70FEE8" w14:textId="3706C2D9" w:rsidR="004100DD" w:rsidRPr="00212203" w:rsidRDefault="004100DD" w:rsidP="00A712CB">
      <w:pPr>
        <w:pStyle w:val="CLDNormal"/>
      </w:pPr>
      <w:r w:rsidRPr="00212203">
        <w:t xml:space="preserve">There are currently insufficient data to set clinical breakpoints for other </w:t>
      </w:r>
      <w:r w:rsidRPr="00FD08D0">
        <w:rPr>
          <w:i/>
        </w:rPr>
        <w:t>Aspergillus</w:t>
      </w:r>
      <w:r w:rsidRPr="00212203">
        <w:t xml:space="preserve"> species</w:t>
      </w:r>
      <w:r w:rsidR="004060B7" w:rsidRPr="004060B7">
        <w:t xml:space="preserve"> or for any </w:t>
      </w:r>
      <w:proofErr w:type="spellStart"/>
      <w:r w:rsidR="004060B7" w:rsidRPr="00464A76">
        <w:rPr>
          <w:i/>
        </w:rPr>
        <w:t>Mucorales</w:t>
      </w:r>
      <w:proofErr w:type="spellEnd"/>
      <w:r w:rsidR="004060B7" w:rsidRPr="004060B7">
        <w:t xml:space="preserve"> species</w:t>
      </w:r>
      <w:r w:rsidRPr="00212203">
        <w:t>.</w:t>
      </w:r>
    </w:p>
    <w:p w14:paraId="02EFF0DD" w14:textId="77777777" w:rsidR="005A454A" w:rsidRDefault="002A5064" w:rsidP="00755FFF">
      <w:pPr>
        <w:pStyle w:val="CLDHeading3"/>
      </w:pPr>
      <w:r>
        <w:lastRenderedPageBreak/>
        <w:t>Clinical trials</w:t>
      </w:r>
      <w:r w:rsidR="005A454A">
        <w:t xml:space="preserve"> </w:t>
      </w:r>
    </w:p>
    <w:p w14:paraId="49F7F4F3" w14:textId="77777777" w:rsidR="0050719D" w:rsidRPr="0050719D" w:rsidRDefault="0050719D" w:rsidP="00A712CB">
      <w:pPr>
        <w:pStyle w:val="CLDHeading4"/>
      </w:pPr>
      <w:r w:rsidRPr="0050719D">
        <w:t xml:space="preserve">Treatment of invasive </w:t>
      </w:r>
      <w:proofErr w:type="spellStart"/>
      <w:r w:rsidRPr="0050719D">
        <w:t>aspergillosis</w:t>
      </w:r>
      <w:proofErr w:type="spellEnd"/>
    </w:p>
    <w:p w14:paraId="487CDDA1" w14:textId="77777777" w:rsidR="0050719D" w:rsidRPr="00212203" w:rsidRDefault="0050719D" w:rsidP="0050719D">
      <w:pPr>
        <w:pStyle w:val="CLDNormal"/>
        <w:rPr>
          <w:szCs w:val="22"/>
        </w:rPr>
      </w:pPr>
      <w:r w:rsidRPr="00212203">
        <w:rPr>
          <w:szCs w:val="22"/>
        </w:rPr>
        <w:t xml:space="preserve">The safety and efficacy of </w:t>
      </w:r>
      <w:proofErr w:type="spellStart"/>
      <w:r w:rsidRPr="00212203">
        <w:rPr>
          <w:szCs w:val="22"/>
        </w:rPr>
        <w:t>isavuconazole</w:t>
      </w:r>
      <w:proofErr w:type="spellEnd"/>
      <w:r w:rsidRPr="00212203">
        <w:rPr>
          <w:szCs w:val="22"/>
        </w:rPr>
        <w:t xml:space="preserve"> for the treatment of patients with invasive </w:t>
      </w:r>
      <w:proofErr w:type="spellStart"/>
      <w:r w:rsidRPr="00212203">
        <w:rPr>
          <w:szCs w:val="22"/>
        </w:rPr>
        <w:t>aspergillosis</w:t>
      </w:r>
      <w:proofErr w:type="spellEnd"/>
      <w:r w:rsidRPr="00212203">
        <w:rPr>
          <w:szCs w:val="22"/>
        </w:rPr>
        <w:t xml:space="preserve"> was evaluated in a double-blind, active</w:t>
      </w:r>
      <w:r w:rsidRPr="00212203">
        <w:rPr>
          <w:szCs w:val="22"/>
        </w:rPr>
        <w:noBreakHyphen/>
        <w:t xml:space="preserve">controlled clinical study in 516 patients with invasive fungal disease caused by </w:t>
      </w:r>
      <w:r w:rsidRPr="00212203">
        <w:rPr>
          <w:i/>
          <w:szCs w:val="22"/>
        </w:rPr>
        <w:t xml:space="preserve">Aspergillus </w:t>
      </w:r>
      <w:r w:rsidRPr="00212203">
        <w:rPr>
          <w:szCs w:val="22"/>
        </w:rPr>
        <w:t xml:space="preserve">species or other filamentous fungi. In the intent-to-treat (ITT) population, 258 patients received </w:t>
      </w:r>
      <w:proofErr w:type="spellStart"/>
      <w:r w:rsidRPr="00212203">
        <w:rPr>
          <w:szCs w:val="22"/>
        </w:rPr>
        <w:t>isavuconazole</w:t>
      </w:r>
      <w:proofErr w:type="spellEnd"/>
      <w:r w:rsidRPr="00212203">
        <w:rPr>
          <w:szCs w:val="22"/>
        </w:rPr>
        <w:t xml:space="preserve"> and 258 patients received </w:t>
      </w:r>
      <w:proofErr w:type="spellStart"/>
      <w:r w:rsidRPr="00212203">
        <w:rPr>
          <w:szCs w:val="22"/>
        </w:rPr>
        <w:t>voriconazole</w:t>
      </w:r>
      <w:proofErr w:type="spellEnd"/>
      <w:r w:rsidRPr="00212203">
        <w:rPr>
          <w:szCs w:val="22"/>
        </w:rPr>
        <w:t xml:space="preserve">. CRESEMBA was administered intravenously (equivalent to 200 mg </w:t>
      </w:r>
      <w:proofErr w:type="spellStart"/>
      <w:r w:rsidRPr="00212203">
        <w:rPr>
          <w:szCs w:val="22"/>
        </w:rPr>
        <w:t>isavuconazole</w:t>
      </w:r>
      <w:proofErr w:type="spellEnd"/>
      <w:r w:rsidRPr="00212203">
        <w:rPr>
          <w:szCs w:val="22"/>
        </w:rPr>
        <w:t xml:space="preserve">) every 8 hours for the first 48 hours, followed by once-daily intravenous or oral treatment (equivalent to 200 mg </w:t>
      </w:r>
      <w:proofErr w:type="spellStart"/>
      <w:r w:rsidRPr="00212203">
        <w:rPr>
          <w:szCs w:val="22"/>
        </w:rPr>
        <w:t>isavuconazole</w:t>
      </w:r>
      <w:proofErr w:type="spellEnd"/>
      <w:r w:rsidRPr="00212203">
        <w:rPr>
          <w:szCs w:val="22"/>
        </w:rPr>
        <w:t>). The protocol-defined maximum treatment duration was 84 days. Median treatment duration was 45 days.</w:t>
      </w:r>
    </w:p>
    <w:p w14:paraId="794F41AD" w14:textId="2C20738B" w:rsidR="0050719D" w:rsidRPr="00212203" w:rsidRDefault="0050719D" w:rsidP="0050719D">
      <w:pPr>
        <w:pStyle w:val="CLDNormal"/>
        <w:rPr>
          <w:szCs w:val="22"/>
        </w:rPr>
      </w:pPr>
      <w:r w:rsidRPr="00212203">
        <w:rPr>
          <w:szCs w:val="22"/>
        </w:rPr>
        <w:t xml:space="preserve">The overall response at end-of-treatment (EOT) in the </w:t>
      </w:r>
      <w:proofErr w:type="spellStart"/>
      <w:r w:rsidRPr="00212203">
        <w:rPr>
          <w:szCs w:val="22"/>
        </w:rPr>
        <w:t>myITT</w:t>
      </w:r>
      <w:proofErr w:type="spellEnd"/>
      <w:r w:rsidRPr="00212203">
        <w:rPr>
          <w:szCs w:val="22"/>
        </w:rPr>
        <w:t xml:space="preserve"> population (patients with proven and probable invasive </w:t>
      </w:r>
      <w:proofErr w:type="spellStart"/>
      <w:r w:rsidRPr="00212203">
        <w:rPr>
          <w:szCs w:val="22"/>
        </w:rPr>
        <w:t>aspergillosis</w:t>
      </w:r>
      <w:proofErr w:type="spellEnd"/>
      <w:r w:rsidRPr="00212203">
        <w:t xml:space="preserve"> </w:t>
      </w:r>
      <w:r w:rsidRPr="00212203">
        <w:rPr>
          <w:szCs w:val="22"/>
        </w:rPr>
        <w:t xml:space="preserve">based on cytology, histology, culture or galactomannan testing) was assessed by an independent blinded Data Review Committee. The </w:t>
      </w:r>
      <w:proofErr w:type="spellStart"/>
      <w:r w:rsidRPr="00212203">
        <w:rPr>
          <w:szCs w:val="22"/>
        </w:rPr>
        <w:t>myITT</w:t>
      </w:r>
      <w:proofErr w:type="spellEnd"/>
      <w:r w:rsidRPr="00212203">
        <w:rPr>
          <w:szCs w:val="22"/>
        </w:rPr>
        <w:t xml:space="preserve"> population comprised 123 patients receiving </w:t>
      </w:r>
      <w:proofErr w:type="spellStart"/>
      <w:r w:rsidRPr="00212203">
        <w:rPr>
          <w:szCs w:val="22"/>
        </w:rPr>
        <w:t>isavuconazole</w:t>
      </w:r>
      <w:proofErr w:type="spellEnd"/>
      <w:r w:rsidRPr="00212203">
        <w:rPr>
          <w:szCs w:val="22"/>
        </w:rPr>
        <w:t xml:space="preserve"> and 108 patients receiving </w:t>
      </w:r>
      <w:proofErr w:type="spellStart"/>
      <w:r w:rsidRPr="00212203">
        <w:rPr>
          <w:szCs w:val="22"/>
        </w:rPr>
        <w:t>voriconazole</w:t>
      </w:r>
      <w:proofErr w:type="spellEnd"/>
      <w:r w:rsidRPr="00212203">
        <w:rPr>
          <w:szCs w:val="22"/>
        </w:rPr>
        <w:t xml:space="preserve">. The overall response in this population was n = 43 (35%) for </w:t>
      </w:r>
      <w:proofErr w:type="spellStart"/>
      <w:r w:rsidRPr="00212203">
        <w:rPr>
          <w:szCs w:val="22"/>
        </w:rPr>
        <w:t>isavuconazole</w:t>
      </w:r>
      <w:proofErr w:type="spellEnd"/>
      <w:r w:rsidRPr="00212203">
        <w:rPr>
          <w:szCs w:val="22"/>
        </w:rPr>
        <w:t xml:space="preserve"> and n = 42 (38.9%) for </w:t>
      </w:r>
      <w:proofErr w:type="spellStart"/>
      <w:r w:rsidRPr="00212203">
        <w:rPr>
          <w:szCs w:val="22"/>
        </w:rPr>
        <w:t>voriconazole</w:t>
      </w:r>
      <w:proofErr w:type="spellEnd"/>
      <w:r w:rsidRPr="00212203">
        <w:rPr>
          <w:szCs w:val="22"/>
        </w:rPr>
        <w:t>. The adjusted treatment difference (</w:t>
      </w:r>
      <w:proofErr w:type="spellStart"/>
      <w:r w:rsidRPr="00212203">
        <w:rPr>
          <w:szCs w:val="22"/>
        </w:rPr>
        <w:t>isavuconazole</w:t>
      </w:r>
      <w:r w:rsidR="00EC3015" w:rsidRPr="00EC3015">
        <w:rPr>
          <w:szCs w:val="22"/>
        </w:rPr>
        <w:t>−voriconazole</w:t>
      </w:r>
      <w:proofErr w:type="spellEnd"/>
      <w:r w:rsidRPr="00212203">
        <w:rPr>
          <w:szCs w:val="22"/>
        </w:rPr>
        <w:t xml:space="preserve">) was </w:t>
      </w:r>
      <w:r w:rsidR="00EC3015" w:rsidRPr="00EC3015">
        <w:rPr>
          <w:szCs w:val="22"/>
        </w:rPr>
        <w:t>−</w:t>
      </w:r>
      <w:r w:rsidRPr="00212203">
        <w:rPr>
          <w:rFonts w:eastAsia="MS Mincho"/>
          <w:szCs w:val="22"/>
        </w:rPr>
        <w:t>4.0 (95% confidence interval: −</w:t>
      </w:r>
      <w:r w:rsidR="00EC3015" w:rsidRPr="00EC3015">
        <w:rPr>
          <w:rFonts w:eastAsia="MS Mincho"/>
          <w:szCs w:val="22"/>
        </w:rPr>
        <w:t>16.3, 8.4</w:t>
      </w:r>
      <w:r w:rsidRPr="00212203">
        <w:rPr>
          <w:rFonts w:eastAsia="MS Mincho"/>
          <w:szCs w:val="22"/>
        </w:rPr>
        <w:t>).</w:t>
      </w:r>
    </w:p>
    <w:p w14:paraId="70978208" w14:textId="73FD7389" w:rsidR="0050719D" w:rsidRDefault="0050719D" w:rsidP="0050719D">
      <w:pPr>
        <w:pStyle w:val="CLDNormal"/>
        <w:rPr>
          <w:szCs w:val="22"/>
        </w:rPr>
      </w:pPr>
      <w:r w:rsidRPr="00212203">
        <w:rPr>
          <w:szCs w:val="22"/>
        </w:rPr>
        <w:t>The all</w:t>
      </w:r>
      <w:r w:rsidRPr="00212203">
        <w:rPr>
          <w:szCs w:val="22"/>
        </w:rPr>
        <w:noBreakHyphen/>
        <w:t xml:space="preserve">cause mortality at Day 42 in this population was 18.7% for </w:t>
      </w:r>
      <w:proofErr w:type="spellStart"/>
      <w:r w:rsidRPr="00212203">
        <w:rPr>
          <w:szCs w:val="22"/>
        </w:rPr>
        <w:t>isavuconazole</w:t>
      </w:r>
      <w:proofErr w:type="spellEnd"/>
      <w:r w:rsidRPr="00212203">
        <w:rPr>
          <w:szCs w:val="22"/>
        </w:rPr>
        <w:t xml:space="preserve"> and 22.2% for </w:t>
      </w:r>
      <w:proofErr w:type="spellStart"/>
      <w:r w:rsidRPr="00212203">
        <w:rPr>
          <w:szCs w:val="22"/>
        </w:rPr>
        <w:t>voriconazole</w:t>
      </w:r>
      <w:proofErr w:type="spellEnd"/>
      <w:r w:rsidRPr="00212203">
        <w:rPr>
          <w:szCs w:val="22"/>
        </w:rPr>
        <w:t>. The adjusted treatment difference (</w:t>
      </w:r>
      <w:proofErr w:type="spellStart"/>
      <w:r w:rsidRPr="00212203">
        <w:rPr>
          <w:szCs w:val="22"/>
        </w:rPr>
        <w:t>isavuconazole−voriconazole</w:t>
      </w:r>
      <w:proofErr w:type="spellEnd"/>
      <w:r w:rsidRPr="00212203">
        <w:rPr>
          <w:szCs w:val="22"/>
        </w:rPr>
        <w:t xml:space="preserve">) was </w:t>
      </w:r>
      <w:r w:rsidRPr="00212203">
        <w:rPr>
          <w:rFonts w:eastAsia="MS Mincho"/>
          <w:szCs w:val="22"/>
        </w:rPr>
        <w:t>−2.7% (95 % confidence interval: −</w:t>
      </w:r>
      <w:r w:rsidR="00EC3015" w:rsidRPr="00EC3015">
        <w:rPr>
          <w:rFonts w:eastAsia="MS Mincho"/>
          <w:szCs w:val="22"/>
        </w:rPr>
        <w:t>13.6, 8.2</w:t>
      </w:r>
      <w:r w:rsidRPr="00212203">
        <w:rPr>
          <w:rFonts w:eastAsia="MS Mincho"/>
          <w:szCs w:val="22"/>
        </w:rPr>
        <w:t>)</w:t>
      </w:r>
      <w:r w:rsidR="0062301C">
        <w:rPr>
          <w:rFonts w:eastAsia="MS Mincho"/>
          <w:szCs w:val="22"/>
        </w:rPr>
        <w:t xml:space="preserve"> (see Table 5)</w:t>
      </w:r>
      <w:r w:rsidRPr="00212203">
        <w:rPr>
          <w:rFonts w:eastAsia="MS Mincho"/>
          <w:szCs w:val="22"/>
        </w:rPr>
        <w:t>.</w:t>
      </w:r>
      <w:r w:rsidRPr="00212203">
        <w:rPr>
          <w:szCs w:val="22"/>
        </w:rPr>
        <w:t xml:space="preserve"> </w:t>
      </w:r>
    </w:p>
    <w:p w14:paraId="4BA082FF" w14:textId="310C4BB0" w:rsidR="004A2938" w:rsidRDefault="004A2938" w:rsidP="00E00B05">
      <w:pPr>
        <w:pStyle w:val="CLDTableTitle"/>
        <w:rPr>
          <w:bCs/>
        </w:rPr>
      </w:pPr>
      <w:r>
        <w:t>Table</w:t>
      </w:r>
      <w:r>
        <w:rPr>
          <w:spacing w:val="-7"/>
        </w:rPr>
        <w:t xml:space="preserve"> </w:t>
      </w:r>
      <w:r w:rsidR="0062301C">
        <w:rPr>
          <w:spacing w:val="-7"/>
        </w:rPr>
        <w:t>5</w:t>
      </w:r>
      <w:r>
        <w:t>.</w:t>
      </w:r>
      <w:r>
        <w:rPr>
          <w:spacing w:val="-7"/>
        </w:rPr>
        <w:t xml:space="preserve"> </w:t>
      </w:r>
      <w:r>
        <w:t>All-Cause</w:t>
      </w:r>
      <w:r>
        <w:rPr>
          <w:spacing w:val="-6"/>
        </w:rPr>
        <w:t xml:space="preserve"> </w:t>
      </w:r>
      <w:r>
        <w:t>Mortality</w:t>
      </w:r>
      <w:r>
        <w:rPr>
          <w:spacing w:val="-7"/>
        </w:rPr>
        <w:t xml:space="preserve"> </w:t>
      </w:r>
      <w:r>
        <w:t>Through</w:t>
      </w:r>
      <w:r>
        <w:rPr>
          <w:spacing w:val="-7"/>
        </w:rPr>
        <w:t xml:space="preserve"> </w:t>
      </w:r>
      <w:r>
        <w:t>Day</w:t>
      </w:r>
      <w:r>
        <w:rPr>
          <w:spacing w:val="-6"/>
        </w:rPr>
        <w:t xml:space="preserve"> </w:t>
      </w:r>
      <w:r>
        <w:t>42</w:t>
      </w:r>
    </w:p>
    <w:p w14:paraId="67CE5BC8" w14:textId="77777777" w:rsidR="004A2938" w:rsidRDefault="004A2938" w:rsidP="00E00B05">
      <w:pPr>
        <w:pStyle w:val="CLDTableTitle"/>
        <w:rPr>
          <w:bCs/>
          <w:sz w:val="10"/>
          <w:szCs w:val="10"/>
        </w:rPr>
      </w:pPr>
    </w:p>
    <w:tbl>
      <w:tblPr>
        <w:tblW w:w="9072" w:type="dxa"/>
        <w:tblInd w:w="114" w:type="dxa"/>
        <w:tblLayout w:type="fixed"/>
        <w:tblCellMar>
          <w:left w:w="0" w:type="dxa"/>
          <w:right w:w="0" w:type="dxa"/>
        </w:tblCellMar>
        <w:tblLook w:val="01E0" w:firstRow="1" w:lastRow="1" w:firstColumn="1" w:lastColumn="1" w:noHBand="0" w:noVBand="0"/>
      </w:tblPr>
      <w:tblGrid>
        <w:gridCol w:w="2610"/>
        <w:gridCol w:w="1080"/>
        <w:gridCol w:w="1170"/>
        <w:gridCol w:w="990"/>
        <w:gridCol w:w="1152"/>
        <w:gridCol w:w="2070"/>
      </w:tblGrid>
      <w:tr w:rsidR="004A2938" w14:paraId="633ADF56" w14:textId="77777777" w:rsidTr="00E00B05">
        <w:trPr>
          <w:trHeight w:hRule="exact" w:val="310"/>
        </w:trPr>
        <w:tc>
          <w:tcPr>
            <w:tcW w:w="2610" w:type="dxa"/>
            <w:tcBorders>
              <w:top w:val="single" w:sz="5" w:space="0" w:color="000000"/>
              <w:left w:val="single" w:sz="5" w:space="0" w:color="000000"/>
              <w:bottom w:val="single" w:sz="5" w:space="0" w:color="000000"/>
              <w:right w:val="single" w:sz="5" w:space="0" w:color="000000"/>
            </w:tcBorders>
          </w:tcPr>
          <w:p w14:paraId="72A3FE1D" w14:textId="77777777" w:rsidR="004A2938" w:rsidRDefault="004A2938" w:rsidP="004A2938"/>
        </w:tc>
        <w:tc>
          <w:tcPr>
            <w:tcW w:w="2250" w:type="dxa"/>
            <w:gridSpan w:val="2"/>
            <w:tcBorders>
              <w:top w:val="single" w:sz="5" w:space="0" w:color="000000"/>
              <w:left w:val="single" w:sz="5" w:space="0" w:color="000000"/>
              <w:bottom w:val="single" w:sz="5" w:space="0" w:color="000000"/>
              <w:right w:val="single" w:sz="5" w:space="0" w:color="000000"/>
            </w:tcBorders>
          </w:tcPr>
          <w:p w14:paraId="1858A569" w14:textId="77777777" w:rsidR="004A2938" w:rsidRDefault="004A2938" w:rsidP="004A2938">
            <w:pPr>
              <w:pStyle w:val="TableParagraph"/>
              <w:spacing w:before="45" w:line="252" w:lineRule="exact"/>
              <w:ind w:left="495"/>
            </w:pPr>
            <w:r>
              <w:rPr>
                <w:b/>
              </w:rPr>
              <w:t>CRESEMBA</w:t>
            </w:r>
          </w:p>
        </w:tc>
        <w:tc>
          <w:tcPr>
            <w:tcW w:w="2142" w:type="dxa"/>
            <w:gridSpan w:val="2"/>
            <w:tcBorders>
              <w:top w:val="single" w:sz="5" w:space="0" w:color="000000"/>
              <w:left w:val="single" w:sz="5" w:space="0" w:color="000000"/>
              <w:bottom w:val="single" w:sz="5" w:space="0" w:color="000000"/>
              <w:right w:val="single" w:sz="5" w:space="0" w:color="000000"/>
            </w:tcBorders>
          </w:tcPr>
          <w:p w14:paraId="1BCE5ED3" w14:textId="77777777" w:rsidR="004A2938" w:rsidRDefault="004A2938" w:rsidP="004A2938">
            <w:pPr>
              <w:pStyle w:val="TableParagraph"/>
              <w:spacing w:before="45" w:line="252" w:lineRule="exact"/>
              <w:ind w:left="458"/>
            </w:pPr>
            <w:proofErr w:type="spellStart"/>
            <w:r>
              <w:rPr>
                <w:b/>
                <w:spacing w:val="-1"/>
              </w:rPr>
              <w:t>Voriconazole</w:t>
            </w:r>
            <w:proofErr w:type="spellEnd"/>
          </w:p>
        </w:tc>
        <w:tc>
          <w:tcPr>
            <w:tcW w:w="2070" w:type="dxa"/>
            <w:tcBorders>
              <w:top w:val="single" w:sz="5" w:space="0" w:color="000000"/>
              <w:left w:val="single" w:sz="5" w:space="0" w:color="000000"/>
              <w:bottom w:val="single" w:sz="5" w:space="0" w:color="000000"/>
              <w:right w:val="single" w:sz="5" w:space="0" w:color="000000"/>
            </w:tcBorders>
          </w:tcPr>
          <w:p w14:paraId="57188889" w14:textId="77777777" w:rsidR="004A2938" w:rsidRDefault="004A2938" w:rsidP="004A2938"/>
        </w:tc>
      </w:tr>
      <w:tr w:rsidR="004A2938" w14:paraId="620508AA" w14:textId="77777777" w:rsidTr="00E00B05">
        <w:trPr>
          <w:trHeight w:hRule="exact" w:val="910"/>
        </w:trPr>
        <w:tc>
          <w:tcPr>
            <w:tcW w:w="2610" w:type="dxa"/>
            <w:tcBorders>
              <w:top w:val="single" w:sz="5" w:space="0" w:color="000000"/>
              <w:left w:val="single" w:sz="5" w:space="0" w:color="000000"/>
              <w:bottom w:val="single" w:sz="5" w:space="0" w:color="000000"/>
              <w:right w:val="single" w:sz="5" w:space="0" w:color="000000"/>
            </w:tcBorders>
          </w:tcPr>
          <w:p w14:paraId="6496D1D6" w14:textId="77777777" w:rsidR="004A2938" w:rsidRDefault="004A2938" w:rsidP="004A2938"/>
        </w:tc>
        <w:tc>
          <w:tcPr>
            <w:tcW w:w="1080" w:type="dxa"/>
            <w:tcBorders>
              <w:top w:val="single" w:sz="5" w:space="0" w:color="000000"/>
              <w:left w:val="single" w:sz="5" w:space="0" w:color="000000"/>
              <w:bottom w:val="single" w:sz="5" w:space="0" w:color="000000"/>
              <w:right w:val="single" w:sz="5" w:space="0" w:color="000000"/>
            </w:tcBorders>
          </w:tcPr>
          <w:p w14:paraId="08FCF8A7" w14:textId="77777777" w:rsidR="004A2938" w:rsidRDefault="004A2938" w:rsidP="004A2938">
            <w:pPr>
              <w:pStyle w:val="TableParagraph"/>
              <w:spacing w:before="45"/>
            </w:pPr>
            <w:r>
              <w:rPr>
                <w:b/>
              </w:rPr>
              <w:t>N</w:t>
            </w:r>
          </w:p>
        </w:tc>
        <w:tc>
          <w:tcPr>
            <w:tcW w:w="1170" w:type="dxa"/>
            <w:tcBorders>
              <w:top w:val="single" w:sz="5" w:space="0" w:color="000000"/>
              <w:left w:val="single" w:sz="5" w:space="0" w:color="000000"/>
              <w:bottom w:val="single" w:sz="5" w:space="0" w:color="000000"/>
              <w:right w:val="single" w:sz="5" w:space="0" w:color="000000"/>
            </w:tcBorders>
          </w:tcPr>
          <w:p w14:paraId="6BDBE672" w14:textId="77777777" w:rsidR="004A2938" w:rsidRDefault="004A2938" w:rsidP="004A2938">
            <w:pPr>
              <w:pStyle w:val="TableParagraph"/>
              <w:spacing w:before="11" w:line="300" w:lineRule="exact"/>
              <w:ind w:left="126" w:right="124" w:hanging="1"/>
            </w:pPr>
            <w:r>
              <w:rPr>
                <w:b/>
                <w:spacing w:val="-1"/>
              </w:rPr>
              <w:t>All-cause</w:t>
            </w:r>
            <w:r>
              <w:rPr>
                <w:b/>
                <w:spacing w:val="28"/>
                <w:w w:val="99"/>
              </w:rPr>
              <w:t xml:space="preserve"> </w:t>
            </w:r>
            <w:r>
              <w:rPr>
                <w:b/>
                <w:w w:val="95"/>
              </w:rPr>
              <w:t>Mortality</w:t>
            </w:r>
            <w:r>
              <w:rPr>
                <w:b/>
                <w:w w:val="99"/>
              </w:rPr>
              <w:t xml:space="preserve"> </w:t>
            </w:r>
            <w:r>
              <w:rPr>
                <w:b/>
              </w:rPr>
              <w:t>n</w:t>
            </w:r>
            <w:r>
              <w:rPr>
                <w:b/>
                <w:spacing w:val="-5"/>
              </w:rPr>
              <w:t xml:space="preserve"> </w:t>
            </w:r>
            <w:r>
              <w:rPr>
                <w:b/>
              </w:rPr>
              <w:t>(%)</w:t>
            </w:r>
          </w:p>
        </w:tc>
        <w:tc>
          <w:tcPr>
            <w:tcW w:w="990" w:type="dxa"/>
            <w:tcBorders>
              <w:top w:val="single" w:sz="5" w:space="0" w:color="000000"/>
              <w:left w:val="single" w:sz="5" w:space="0" w:color="000000"/>
              <w:bottom w:val="single" w:sz="5" w:space="0" w:color="000000"/>
              <w:right w:val="single" w:sz="5" w:space="0" w:color="000000"/>
            </w:tcBorders>
          </w:tcPr>
          <w:p w14:paraId="6E24A410" w14:textId="77777777" w:rsidR="004A2938" w:rsidRDefault="004A2938" w:rsidP="004A2938">
            <w:pPr>
              <w:pStyle w:val="TableParagraph"/>
              <w:spacing w:before="45"/>
              <w:ind w:right="1"/>
            </w:pPr>
            <w:r>
              <w:rPr>
                <w:b/>
              </w:rPr>
              <w:t>N</w:t>
            </w:r>
          </w:p>
        </w:tc>
        <w:tc>
          <w:tcPr>
            <w:tcW w:w="1152" w:type="dxa"/>
            <w:tcBorders>
              <w:top w:val="single" w:sz="5" w:space="0" w:color="000000"/>
              <w:left w:val="single" w:sz="5" w:space="0" w:color="000000"/>
              <w:bottom w:val="single" w:sz="5" w:space="0" w:color="000000"/>
              <w:right w:val="single" w:sz="5" w:space="0" w:color="000000"/>
            </w:tcBorders>
          </w:tcPr>
          <w:p w14:paraId="0EB6F55F" w14:textId="77777777" w:rsidR="004A2938" w:rsidRDefault="004A2938" w:rsidP="004A2938">
            <w:pPr>
              <w:pStyle w:val="TableParagraph"/>
              <w:spacing w:before="11" w:line="300" w:lineRule="exact"/>
              <w:ind w:left="126" w:right="125" w:hanging="1"/>
            </w:pPr>
            <w:r>
              <w:rPr>
                <w:b/>
                <w:spacing w:val="-1"/>
              </w:rPr>
              <w:t>All-cause</w:t>
            </w:r>
            <w:r>
              <w:rPr>
                <w:b/>
                <w:spacing w:val="20"/>
                <w:w w:val="99"/>
              </w:rPr>
              <w:t xml:space="preserve"> </w:t>
            </w:r>
            <w:r>
              <w:rPr>
                <w:b/>
                <w:w w:val="95"/>
              </w:rPr>
              <w:t>Mortality</w:t>
            </w:r>
            <w:r>
              <w:rPr>
                <w:b/>
                <w:w w:val="99"/>
              </w:rPr>
              <w:t xml:space="preserve"> </w:t>
            </w:r>
            <w:r>
              <w:rPr>
                <w:b/>
              </w:rPr>
              <w:t>n</w:t>
            </w:r>
            <w:r>
              <w:rPr>
                <w:b/>
                <w:spacing w:val="-5"/>
              </w:rPr>
              <w:t xml:space="preserve"> </w:t>
            </w:r>
            <w:r>
              <w:rPr>
                <w:b/>
              </w:rPr>
              <w:t>(%)</w:t>
            </w:r>
          </w:p>
        </w:tc>
        <w:tc>
          <w:tcPr>
            <w:tcW w:w="2070" w:type="dxa"/>
            <w:tcBorders>
              <w:top w:val="single" w:sz="5" w:space="0" w:color="000000"/>
              <w:left w:val="single" w:sz="5" w:space="0" w:color="000000"/>
              <w:bottom w:val="single" w:sz="5" w:space="0" w:color="000000"/>
              <w:right w:val="single" w:sz="5" w:space="0" w:color="000000"/>
            </w:tcBorders>
          </w:tcPr>
          <w:p w14:paraId="1BF00538" w14:textId="77777777" w:rsidR="004A2938" w:rsidRDefault="004A2938" w:rsidP="004A2938">
            <w:pPr>
              <w:pStyle w:val="TableParagraph"/>
              <w:spacing w:before="40" w:line="283" w:lineRule="auto"/>
              <w:ind w:left="488" w:right="487" w:firstLine="30"/>
            </w:pPr>
            <w:r>
              <w:rPr>
                <w:b/>
                <w:spacing w:val="-1"/>
              </w:rPr>
              <w:t>Difference</w:t>
            </w:r>
            <w:r>
              <w:rPr>
                <w:b/>
                <w:spacing w:val="-1"/>
                <w:position w:val="8"/>
                <w:sz w:val="14"/>
              </w:rPr>
              <w:t>a</w:t>
            </w:r>
            <w:r>
              <w:rPr>
                <w:b/>
                <w:spacing w:val="20"/>
                <w:position w:val="8"/>
                <w:sz w:val="14"/>
              </w:rPr>
              <w:t xml:space="preserve"> </w:t>
            </w:r>
            <w:r>
              <w:rPr>
                <w:b/>
              </w:rPr>
              <w:t>(95%</w:t>
            </w:r>
            <w:r>
              <w:rPr>
                <w:b/>
                <w:spacing w:val="-11"/>
              </w:rPr>
              <w:t xml:space="preserve"> </w:t>
            </w:r>
            <w:r>
              <w:rPr>
                <w:b/>
              </w:rPr>
              <w:t>CI)%</w:t>
            </w:r>
          </w:p>
        </w:tc>
      </w:tr>
      <w:tr w:rsidR="004A2938" w14:paraId="103628F4" w14:textId="77777777" w:rsidTr="00E00B05">
        <w:trPr>
          <w:trHeight w:hRule="exact" w:val="311"/>
        </w:trPr>
        <w:tc>
          <w:tcPr>
            <w:tcW w:w="2610" w:type="dxa"/>
            <w:tcBorders>
              <w:top w:val="single" w:sz="5" w:space="0" w:color="000000"/>
              <w:left w:val="single" w:sz="5" w:space="0" w:color="000000"/>
              <w:bottom w:val="single" w:sz="5" w:space="0" w:color="000000"/>
              <w:right w:val="single" w:sz="5" w:space="0" w:color="000000"/>
            </w:tcBorders>
          </w:tcPr>
          <w:p w14:paraId="762A3AFF" w14:textId="77777777" w:rsidR="004A2938" w:rsidRDefault="004A2938" w:rsidP="004A2938">
            <w:pPr>
              <w:pStyle w:val="TableParagraph"/>
              <w:spacing w:before="47" w:line="252" w:lineRule="exact"/>
              <w:ind w:left="102"/>
            </w:pPr>
            <w:r>
              <w:rPr>
                <w:b/>
                <w:spacing w:val="-1"/>
              </w:rPr>
              <w:t>ITT</w:t>
            </w:r>
          </w:p>
        </w:tc>
        <w:tc>
          <w:tcPr>
            <w:tcW w:w="1080" w:type="dxa"/>
            <w:tcBorders>
              <w:top w:val="single" w:sz="5" w:space="0" w:color="000000"/>
              <w:left w:val="single" w:sz="5" w:space="0" w:color="000000"/>
              <w:bottom w:val="single" w:sz="5" w:space="0" w:color="000000"/>
              <w:right w:val="single" w:sz="5" w:space="0" w:color="000000"/>
            </w:tcBorders>
          </w:tcPr>
          <w:p w14:paraId="4D262F4A" w14:textId="77777777" w:rsidR="004A2938" w:rsidRDefault="004A2938" w:rsidP="004A2938">
            <w:pPr>
              <w:pStyle w:val="TableParagraph"/>
              <w:spacing w:before="45"/>
            </w:pPr>
            <w:r>
              <w:t>258</w:t>
            </w:r>
          </w:p>
        </w:tc>
        <w:tc>
          <w:tcPr>
            <w:tcW w:w="1170" w:type="dxa"/>
            <w:tcBorders>
              <w:top w:val="single" w:sz="5" w:space="0" w:color="000000"/>
              <w:left w:val="single" w:sz="5" w:space="0" w:color="000000"/>
              <w:bottom w:val="single" w:sz="5" w:space="0" w:color="000000"/>
              <w:right w:val="single" w:sz="5" w:space="0" w:color="000000"/>
            </w:tcBorders>
          </w:tcPr>
          <w:p w14:paraId="4CF0FDE1" w14:textId="77777777" w:rsidR="004A2938" w:rsidRDefault="004A2938" w:rsidP="004A2938">
            <w:pPr>
              <w:pStyle w:val="TableParagraph"/>
              <w:spacing w:before="45"/>
              <w:ind w:left="175"/>
            </w:pPr>
            <w:r>
              <w:t>48</w:t>
            </w:r>
            <w:r>
              <w:rPr>
                <w:spacing w:val="-8"/>
              </w:rPr>
              <w:t xml:space="preserve"> </w:t>
            </w:r>
            <w:r>
              <w:rPr>
                <w:spacing w:val="-1"/>
              </w:rPr>
              <w:t>(18.6)</w:t>
            </w:r>
          </w:p>
        </w:tc>
        <w:tc>
          <w:tcPr>
            <w:tcW w:w="990" w:type="dxa"/>
            <w:tcBorders>
              <w:top w:val="single" w:sz="5" w:space="0" w:color="000000"/>
              <w:left w:val="single" w:sz="5" w:space="0" w:color="000000"/>
              <w:bottom w:val="single" w:sz="5" w:space="0" w:color="000000"/>
              <w:right w:val="single" w:sz="5" w:space="0" w:color="000000"/>
            </w:tcBorders>
          </w:tcPr>
          <w:p w14:paraId="54486BF7" w14:textId="77777777" w:rsidR="004A2938" w:rsidRDefault="004A2938" w:rsidP="004A2938">
            <w:pPr>
              <w:pStyle w:val="TableParagraph"/>
              <w:spacing w:before="45"/>
              <w:ind w:left="323"/>
            </w:pPr>
            <w:r>
              <w:t>258</w:t>
            </w:r>
          </w:p>
        </w:tc>
        <w:tc>
          <w:tcPr>
            <w:tcW w:w="1152" w:type="dxa"/>
            <w:tcBorders>
              <w:top w:val="single" w:sz="5" w:space="0" w:color="000000"/>
              <w:left w:val="single" w:sz="5" w:space="0" w:color="000000"/>
              <w:bottom w:val="single" w:sz="5" w:space="0" w:color="000000"/>
              <w:right w:val="single" w:sz="5" w:space="0" w:color="000000"/>
            </w:tcBorders>
          </w:tcPr>
          <w:p w14:paraId="7962CAA7" w14:textId="77777777" w:rsidR="004A2938" w:rsidRDefault="004A2938" w:rsidP="004A2938">
            <w:pPr>
              <w:pStyle w:val="TableParagraph"/>
              <w:spacing w:before="45"/>
              <w:ind w:left="174"/>
            </w:pPr>
            <w:r>
              <w:t>52</w:t>
            </w:r>
            <w:r>
              <w:rPr>
                <w:spacing w:val="-8"/>
              </w:rPr>
              <w:t xml:space="preserve"> </w:t>
            </w:r>
            <w:r>
              <w:rPr>
                <w:spacing w:val="-1"/>
              </w:rPr>
              <w:t>(20.2)</w:t>
            </w:r>
          </w:p>
        </w:tc>
        <w:tc>
          <w:tcPr>
            <w:tcW w:w="2070" w:type="dxa"/>
            <w:tcBorders>
              <w:top w:val="single" w:sz="5" w:space="0" w:color="000000"/>
              <w:left w:val="single" w:sz="5" w:space="0" w:color="000000"/>
              <w:bottom w:val="single" w:sz="5" w:space="0" w:color="000000"/>
              <w:right w:val="single" w:sz="5" w:space="0" w:color="000000"/>
            </w:tcBorders>
          </w:tcPr>
          <w:p w14:paraId="5E056665" w14:textId="77777777" w:rsidR="004A2938" w:rsidRDefault="004A2938" w:rsidP="004A2938">
            <w:pPr>
              <w:pStyle w:val="TableParagraph"/>
              <w:spacing w:before="45"/>
              <w:ind w:left="399"/>
            </w:pPr>
            <w:r>
              <w:t>-1.0</w:t>
            </w:r>
            <w:r>
              <w:rPr>
                <w:spacing w:val="-6"/>
              </w:rPr>
              <w:t xml:space="preserve"> </w:t>
            </w:r>
            <w:r>
              <w:rPr>
                <w:spacing w:val="-1"/>
              </w:rPr>
              <w:t>(-8.0,</w:t>
            </w:r>
            <w:r>
              <w:rPr>
                <w:spacing w:val="-6"/>
              </w:rPr>
              <w:t xml:space="preserve"> </w:t>
            </w:r>
            <w:r>
              <w:rPr>
                <w:spacing w:val="-1"/>
              </w:rPr>
              <w:t>5.9)</w:t>
            </w:r>
          </w:p>
        </w:tc>
      </w:tr>
      <w:tr w:rsidR="004A2938" w14:paraId="727B4157" w14:textId="77777777" w:rsidTr="00E00B05">
        <w:trPr>
          <w:trHeight w:hRule="exact" w:val="610"/>
        </w:trPr>
        <w:tc>
          <w:tcPr>
            <w:tcW w:w="2610" w:type="dxa"/>
            <w:tcBorders>
              <w:top w:val="single" w:sz="5" w:space="0" w:color="000000"/>
              <w:left w:val="single" w:sz="5" w:space="0" w:color="000000"/>
              <w:bottom w:val="single" w:sz="5" w:space="0" w:color="000000"/>
              <w:right w:val="single" w:sz="5" w:space="0" w:color="000000"/>
            </w:tcBorders>
          </w:tcPr>
          <w:p w14:paraId="08CDE093" w14:textId="77777777" w:rsidR="004A2938" w:rsidRDefault="004A2938" w:rsidP="004A2938">
            <w:pPr>
              <w:pStyle w:val="TableParagraph"/>
              <w:spacing w:before="11" w:line="300" w:lineRule="exact"/>
              <w:ind w:left="102" w:right="458"/>
            </w:pPr>
            <w:r>
              <w:rPr>
                <w:b/>
              </w:rPr>
              <w:t>Proven</w:t>
            </w:r>
            <w:r>
              <w:rPr>
                <w:b/>
                <w:spacing w:val="-9"/>
              </w:rPr>
              <w:t xml:space="preserve"> </w:t>
            </w:r>
            <w:r>
              <w:rPr>
                <w:b/>
              </w:rPr>
              <w:t>or</w:t>
            </w:r>
            <w:r>
              <w:rPr>
                <w:b/>
                <w:spacing w:val="-9"/>
              </w:rPr>
              <w:t xml:space="preserve"> </w:t>
            </w:r>
            <w:r>
              <w:rPr>
                <w:b/>
              </w:rPr>
              <w:t>Probable</w:t>
            </w:r>
            <w:r>
              <w:rPr>
                <w:b/>
                <w:w w:val="99"/>
              </w:rPr>
              <w:t xml:space="preserve"> </w:t>
            </w:r>
            <w:r>
              <w:rPr>
                <w:b/>
              </w:rPr>
              <w:t>Invasive</w:t>
            </w:r>
            <w:r>
              <w:rPr>
                <w:b/>
                <w:spacing w:val="-20"/>
              </w:rPr>
              <w:t xml:space="preserve"> </w:t>
            </w:r>
            <w:proofErr w:type="spellStart"/>
            <w:r>
              <w:rPr>
                <w:b/>
              </w:rPr>
              <w:t>Aspergillosis</w:t>
            </w:r>
            <w:proofErr w:type="spellEnd"/>
          </w:p>
        </w:tc>
        <w:tc>
          <w:tcPr>
            <w:tcW w:w="1080" w:type="dxa"/>
            <w:tcBorders>
              <w:top w:val="single" w:sz="5" w:space="0" w:color="000000"/>
              <w:left w:val="single" w:sz="5" w:space="0" w:color="000000"/>
              <w:bottom w:val="single" w:sz="5" w:space="0" w:color="000000"/>
              <w:right w:val="single" w:sz="5" w:space="0" w:color="000000"/>
            </w:tcBorders>
          </w:tcPr>
          <w:p w14:paraId="5D2D2943" w14:textId="77777777" w:rsidR="004A2938" w:rsidRDefault="004A2938" w:rsidP="004A2938">
            <w:pPr>
              <w:pStyle w:val="TableParagraph"/>
              <w:spacing w:before="44"/>
            </w:pPr>
            <w:r>
              <w:t>123</w:t>
            </w:r>
          </w:p>
        </w:tc>
        <w:tc>
          <w:tcPr>
            <w:tcW w:w="1170" w:type="dxa"/>
            <w:tcBorders>
              <w:top w:val="single" w:sz="5" w:space="0" w:color="000000"/>
              <w:left w:val="single" w:sz="5" w:space="0" w:color="000000"/>
              <w:bottom w:val="single" w:sz="5" w:space="0" w:color="000000"/>
              <w:right w:val="single" w:sz="5" w:space="0" w:color="000000"/>
            </w:tcBorders>
          </w:tcPr>
          <w:p w14:paraId="2894E295" w14:textId="77777777" w:rsidR="004A2938" w:rsidRDefault="004A2938" w:rsidP="004A2938">
            <w:pPr>
              <w:pStyle w:val="TableParagraph"/>
              <w:spacing w:before="44"/>
              <w:ind w:left="175"/>
            </w:pPr>
            <w:r>
              <w:t>23</w:t>
            </w:r>
            <w:r>
              <w:rPr>
                <w:spacing w:val="-8"/>
              </w:rPr>
              <w:t xml:space="preserve"> </w:t>
            </w:r>
            <w:r>
              <w:rPr>
                <w:spacing w:val="-1"/>
              </w:rPr>
              <w:t>(18.7)</w:t>
            </w:r>
          </w:p>
        </w:tc>
        <w:tc>
          <w:tcPr>
            <w:tcW w:w="990" w:type="dxa"/>
            <w:tcBorders>
              <w:top w:val="single" w:sz="5" w:space="0" w:color="000000"/>
              <w:left w:val="single" w:sz="5" w:space="0" w:color="000000"/>
              <w:bottom w:val="single" w:sz="5" w:space="0" w:color="000000"/>
              <w:right w:val="single" w:sz="5" w:space="0" w:color="000000"/>
            </w:tcBorders>
          </w:tcPr>
          <w:p w14:paraId="72C52F8A" w14:textId="77777777" w:rsidR="004A2938" w:rsidRDefault="004A2938" w:rsidP="004A2938">
            <w:pPr>
              <w:pStyle w:val="TableParagraph"/>
              <w:spacing w:before="44"/>
              <w:ind w:left="323"/>
            </w:pPr>
            <w:r>
              <w:t>108</w:t>
            </w:r>
          </w:p>
        </w:tc>
        <w:tc>
          <w:tcPr>
            <w:tcW w:w="1152" w:type="dxa"/>
            <w:tcBorders>
              <w:top w:val="single" w:sz="5" w:space="0" w:color="000000"/>
              <w:left w:val="single" w:sz="5" w:space="0" w:color="000000"/>
              <w:bottom w:val="single" w:sz="5" w:space="0" w:color="000000"/>
              <w:right w:val="single" w:sz="5" w:space="0" w:color="000000"/>
            </w:tcBorders>
          </w:tcPr>
          <w:p w14:paraId="11BDB0EE" w14:textId="77777777" w:rsidR="004A2938" w:rsidRDefault="004A2938" w:rsidP="004A2938">
            <w:pPr>
              <w:pStyle w:val="TableParagraph"/>
              <w:spacing w:before="44"/>
              <w:ind w:left="174"/>
            </w:pPr>
            <w:r>
              <w:t>24</w:t>
            </w:r>
            <w:r>
              <w:rPr>
                <w:spacing w:val="-8"/>
              </w:rPr>
              <w:t xml:space="preserve"> </w:t>
            </w:r>
            <w:r>
              <w:rPr>
                <w:spacing w:val="-1"/>
              </w:rPr>
              <w:t>(22.2)</w:t>
            </w:r>
          </w:p>
        </w:tc>
        <w:tc>
          <w:tcPr>
            <w:tcW w:w="2070" w:type="dxa"/>
            <w:tcBorders>
              <w:top w:val="single" w:sz="5" w:space="0" w:color="000000"/>
              <w:left w:val="single" w:sz="5" w:space="0" w:color="000000"/>
              <w:bottom w:val="single" w:sz="5" w:space="0" w:color="000000"/>
              <w:right w:val="single" w:sz="5" w:space="0" w:color="000000"/>
            </w:tcBorders>
          </w:tcPr>
          <w:p w14:paraId="35394E3D" w14:textId="77777777" w:rsidR="004A2938" w:rsidRDefault="004A2938" w:rsidP="004A2938">
            <w:pPr>
              <w:pStyle w:val="TableParagraph"/>
              <w:spacing w:before="44"/>
              <w:ind w:left="344"/>
            </w:pPr>
            <w:r>
              <w:t>-2.7</w:t>
            </w:r>
            <w:r>
              <w:rPr>
                <w:spacing w:val="-7"/>
              </w:rPr>
              <w:t xml:space="preserve"> </w:t>
            </w:r>
            <w:r>
              <w:rPr>
                <w:spacing w:val="-1"/>
              </w:rPr>
              <w:t>(-13.6,</w:t>
            </w:r>
            <w:r>
              <w:rPr>
                <w:spacing w:val="-7"/>
              </w:rPr>
              <w:t xml:space="preserve"> </w:t>
            </w:r>
            <w:r>
              <w:rPr>
                <w:spacing w:val="-1"/>
              </w:rPr>
              <w:t>8.2)</w:t>
            </w:r>
          </w:p>
        </w:tc>
      </w:tr>
    </w:tbl>
    <w:p w14:paraId="7D8695DF" w14:textId="77777777" w:rsidR="004A2938" w:rsidRDefault="004A2938" w:rsidP="00E00B05">
      <w:pPr>
        <w:pStyle w:val="CLDTableFootnote"/>
        <w:rPr>
          <w:szCs w:val="18"/>
        </w:rPr>
      </w:pPr>
      <w:proofErr w:type="spellStart"/>
      <w:r>
        <w:rPr>
          <w:position w:val="6"/>
          <w:sz w:val="12"/>
        </w:rPr>
        <w:t>a</w:t>
      </w:r>
      <w:proofErr w:type="spellEnd"/>
      <w:r>
        <w:rPr>
          <w:position w:val="6"/>
          <w:sz w:val="12"/>
        </w:rPr>
        <w:t xml:space="preserve">   </w:t>
      </w:r>
      <w:r>
        <w:rPr>
          <w:spacing w:val="6"/>
          <w:position w:val="6"/>
          <w:sz w:val="12"/>
        </w:rPr>
        <w:t xml:space="preserve"> </w:t>
      </w:r>
      <w:r>
        <w:t>Adjusted treatment difference (CRESEMBA-</w:t>
      </w:r>
      <w:proofErr w:type="spellStart"/>
      <w:r>
        <w:t>voriconazole</w:t>
      </w:r>
      <w:proofErr w:type="spellEnd"/>
      <w:r>
        <w:t>) by</w:t>
      </w:r>
      <w:r>
        <w:rPr>
          <w:spacing w:val="1"/>
        </w:rPr>
        <w:t xml:space="preserve"> </w:t>
      </w:r>
      <w:r>
        <w:t>Cochran-Mantel-</w:t>
      </w:r>
      <w:proofErr w:type="spellStart"/>
      <w:r>
        <w:t>Haenszel</w:t>
      </w:r>
      <w:proofErr w:type="spellEnd"/>
      <w:r>
        <w:t xml:space="preserve"> method</w:t>
      </w:r>
      <w:r>
        <w:rPr>
          <w:spacing w:val="-2"/>
        </w:rPr>
        <w:t xml:space="preserve"> </w:t>
      </w:r>
      <w:r>
        <w:t>stratified by</w:t>
      </w:r>
      <w:r>
        <w:rPr>
          <w:spacing w:val="1"/>
        </w:rPr>
        <w:t xml:space="preserve"> </w:t>
      </w:r>
      <w:r>
        <w:t>the randomization factors.</w:t>
      </w:r>
    </w:p>
    <w:p w14:paraId="159BA984" w14:textId="77777777" w:rsidR="008618D1" w:rsidRDefault="008618D1" w:rsidP="00E00B05">
      <w:pPr>
        <w:pStyle w:val="CLDNormal"/>
      </w:pPr>
    </w:p>
    <w:p w14:paraId="2F30822D" w14:textId="0DABDF21" w:rsidR="004A2938" w:rsidRDefault="004A2938" w:rsidP="00E00B05">
      <w:pPr>
        <w:pStyle w:val="CLDNormal"/>
      </w:pPr>
      <w:r>
        <w:t>Overall</w:t>
      </w:r>
      <w:r>
        <w:rPr>
          <w:spacing w:val="-7"/>
        </w:rPr>
        <w:t xml:space="preserve"> </w:t>
      </w:r>
      <w:r>
        <w:t>success</w:t>
      </w:r>
      <w:r>
        <w:rPr>
          <w:spacing w:val="-7"/>
        </w:rPr>
        <w:t xml:space="preserve"> </w:t>
      </w:r>
      <w:r>
        <w:t>at</w:t>
      </w:r>
      <w:r>
        <w:rPr>
          <w:spacing w:val="-7"/>
        </w:rPr>
        <w:t xml:space="preserve"> </w:t>
      </w:r>
      <w:r>
        <w:t>End-of-Treatment</w:t>
      </w:r>
      <w:r>
        <w:rPr>
          <w:spacing w:val="-7"/>
        </w:rPr>
        <w:t xml:space="preserve"> </w:t>
      </w:r>
      <w:r>
        <w:t>(EOT)</w:t>
      </w:r>
      <w:r>
        <w:rPr>
          <w:spacing w:val="-6"/>
        </w:rPr>
        <w:t xml:space="preserve"> </w:t>
      </w:r>
      <w:r>
        <w:t>was</w:t>
      </w:r>
      <w:r>
        <w:rPr>
          <w:spacing w:val="-6"/>
        </w:rPr>
        <w:t xml:space="preserve"> </w:t>
      </w:r>
      <w:r>
        <w:t>assessed</w:t>
      </w:r>
      <w:r>
        <w:rPr>
          <w:spacing w:val="-7"/>
        </w:rPr>
        <w:t xml:space="preserve"> </w:t>
      </w:r>
      <w:r>
        <w:t>by</w:t>
      </w:r>
      <w:r>
        <w:rPr>
          <w:spacing w:val="-5"/>
        </w:rPr>
        <w:t xml:space="preserve"> </w:t>
      </w:r>
      <w:r>
        <w:t>a</w:t>
      </w:r>
      <w:r>
        <w:rPr>
          <w:spacing w:val="-7"/>
        </w:rPr>
        <w:t xml:space="preserve"> </w:t>
      </w:r>
      <w:r>
        <w:t>blinded,</w:t>
      </w:r>
      <w:r>
        <w:rPr>
          <w:spacing w:val="-6"/>
        </w:rPr>
        <w:t xml:space="preserve"> </w:t>
      </w:r>
      <w:r>
        <w:t>independent</w:t>
      </w:r>
      <w:r>
        <w:rPr>
          <w:spacing w:val="-7"/>
        </w:rPr>
        <w:t xml:space="preserve"> </w:t>
      </w:r>
      <w:r>
        <w:t>Data</w:t>
      </w:r>
      <w:r>
        <w:rPr>
          <w:spacing w:val="-7"/>
        </w:rPr>
        <w:t xml:space="preserve"> </w:t>
      </w:r>
      <w:r>
        <w:t>Review</w:t>
      </w:r>
      <w:r>
        <w:rPr>
          <w:spacing w:val="-7"/>
        </w:rPr>
        <w:t xml:space="preserve"> </w:t>
      </w:r>
      <w:r>
        <w:t>Committee</w:t>
      </w:r>
      <w:r>
        <w:rPr>
          <w:spacing w:val="-6"/>
        </w:rPr>
        <w:t xml:space="preserve"> </w:t>
      </w:r>
      <w:r>
        <w:t>(DRC)</w:t>
      </w:r>
      <w:r>
        <w:rPr>
          <w:spacing w:val="21"/>
          <w:w w:val="99"/>
        </w:rPr>
        <w:t xml:space="preserve"> </w:t>
      </w:r>
      <w:r>
        <w:t>using</w:t>
      </w:r>
      <w:r>
        <w:rPr>
          <w:spacing w:val="-7"/>
        </w:rPr>
        <w:t xml:space="preserve"> </w:t>
      </w:r>
      <w:r>
        <w:t>pre-specified</w:t>
      </w:r>
      <w:r>
        <w:rPr>
          <w:spacing w:val="-6"/>
        </w:rPr>
        <w:t xml:space="preserve"> </w:t>
      </w:r>
      <w:r>
        <w:t>clinical,</w:t>
      </w:r>
      <w:r>
        <w:rPr>
          <w:spacing w:val="-7"/>
        </w:rPr>
        <w:t xml:space="preserve"> </w:t>
      </w:r>
      <w:r>
        <w:rPr>
          <w:spacing w:val="-1"/>
        </w:rPr>
        <w:t>mycological,</w:t>
      </w:r>
      <w:r>
        <w:rPr>
          <w:spacing w:val="-6"/>
        </w:rPr>
        <w:t xml:space="preserve"> </w:t>
      </w:r>
      <w:r>
        <w:t>and</w:t>
      </w:r>
      <w:r>
        <w:rPr>
          <w:spacing w:val="-7"/>
        </w:rPr>
        <w:t xml:space="preserve"> </w:t>
      </w:r>
      <w:r>
        <w:rPr>
          <w:spacing w:val="-1"/>
        </w:rPr>
        <w:t>radiological</w:t>
      </w:r>
      <w:r>
        <w:rPr>
          <w:spacing w:val="-6"/>
        </w:rPr>
        <w:t xml:space="preserve"> </w:t>
      </w:r>
      <w:r>
        <w:rPr>
          <w:spacing w:val="-1"/>
        </w:rPr>
        <w:t>criteria.</w:t>
      </w:r>
      <w:r>
        <w:rPr>
          <w:spacing w:val="-6"/>
        </w:rPr>
        <w:t xml:space="preserve"> </w:t>
      </w:r>
      <w:r>
        <w:t>In</w:t>
      </w:r>
      <w:r>
        <w:rPr>
          <w:spacing w:val="-7"/>
        </w:rPr>
        <w:t xml:space="preserve"> </w:t>
      </w:r>
      <w:r>
        <w:t>the</w:t>
      </w:r>
      <w:r>
        <w:rPr>
          <w:spacing w:val="-6"/>
        </w:rPr>
        <w:t xml:space="preserve"> </w:t>
      </w:r>
      <w:r>
        <w:rPr>
          <w:spacing w:val="-1"/>
        </w:rPr>
        <w:t>subgroup</w:t>
      </w:r>
      <w:r>
        <w:rPr>
          <w:spacing w:val="-7"/>
        </w:rPr>
        <w:t xml:space="preserve"> </w:t>
      </w:r>
      <w:r>
        <w:t>of</w:t>
      </w:r>
      <w:r>
        <w:rPr>
          <w:spacing w:val="-6"/>
        </w:rPr>
        <w:t xml:space="preserve"> </w:t>
      </w:r>
      <w:r>
        <w:rPr>
          <w:spacing w:val="-1"/>
        </w:rPr>
        <w:t>patients</w:t>
      </w:r>
      <w:r>
        <w:rPr>
          <w:spacing w:val="-7"/>
        </w:rPr>
        <w:t xml:space="preserve"> </w:t>
      </w:r>
      <w:r>
        <w:t>with</w:t>
      </w:r>
      <w:r>
        <w:rPr>
          <w:spacing w:val="-7"/>
        </w:rPr>
        <w:t xml:space="preserve"> </w:t>
      </w:r>
      <w:r>
        <w:t>proven</w:t>
      </w:r>
      <w:r>
        <w:rPr>
          <w:spacing w:val="-7"/>
        </w:rPr>
        <w:t xml:space="preserve"> </w:t>
      </w:r>
      <w:r>
        <w:rPr>
          <w:spacing w:val="-1"/>
        </w:rPr>
        <w:t>or</w:t>
      </w:r>
      <w:r>
        <w:rPr>
          <w:spacing w:val="-7"/>
        </w:rPr>
        <w:t xml:space="preserve"> </w:t>
      </w:r>
      <w:r>
        <w:t>probable</w:t>
      </w:r>
      <w:r>
        <w:rPr>
          <w:spacing w:val="79"/>
          <w:w w:val="99"/>
        </w:rPr>
        <w:t xml:space="preserve"> </w:t>
      </w:r>
      <w:r>
        <w:t>invasive</w:t>
      </w:r>
      <w:r>
        <w:rPr>
          <w:spacing w:val="-6"/>
        </w:rPr>
        <w:t xml:space="preserve"> </w:t>
      </w:r>
      <w:proofErr w:type="spellStart"/>
      <w:r>
        <w:t>aspergillosis</w:t>
      </w:r>
      <w:proofErr w:type="spellEnd"/>
      <w:r>
        <w:rPr>
          <w:spacing w:val="-5"/>
        </w:rPr>
        <w:t xml:space="preserve"> </w:t>
      </w:r>
      <w:r>
        <w:rPr>
          <w:spacing w:val="-1"/>
        </w:rPr>
        <w:t>confirmed</w:t>
      </w:r>
      <w:r>
        <w:rPr>
          <w:spacing w:val="-6"/>
        </w:rPr>
        <w:t xml:space="preserve"> </w:t>
      </w:r>
      <w:r>
        <w:t>by</w:t>
      </w:r>
      <w:r>
        <w:rPr>
          <w:spacing w:val="-4"/>
        </w:rPr>
        <w:t xml:space="preserve"> </w:t>
      </w:r>
      <w:r>
        <w:t>serology,</w:t>
      </w:r>
      <w:r>
        <w:rPr>
          <w:spacing w:val="-6"/>
        </w:rPr>
        <w:t xml:space="preserve"> </w:t>
      </w:r>
      <w:r>
        <w:rPr>
          <w:spacing w:val="-1"/>
        </w:rPr>
        <w:t>culture</w:t>
      </w:r>
      <w:r>
        <w:rPr>
          <w:spacing w:val="-5"/>
        </w:rPr>
        <w:t xml:space="preserve"> </w:t>
      </w:r>
      <w:r>
        <w:t>or</w:t>
      </w:r>
      <w:r>
        <w:rPr>
          <w:spacing w:val="-6"/>
        </w:rPr>
        <w:t xml:space="preserve"> </w:t>
      </w:r>
      <w:r>
        <w:rPr>
          <w:spacing w:val="-1"/>
        </w:rPr>
        <w:t>histology,</w:t>
      </w:r>
      <w:r>
        <w:rPr>
          <w:spacing w:val="-5"/>
        </w:rPr>
        <w:t xml:space="preserve"> </w:t>
      </w:r>
      <w:r>
        <w:t>overall</w:t>
      </w:r>
      <w:r>
        <w:rPr>
          <w:spacing w:val="-6"/>
        </w:rPr>
        <w:t xml:space="preserve"> </w:t>
      </w:r>
      <w:r>
        <w:t>success</w:t>
      </w:r>
      <w:r>
        <w:rPr>
          <w:spacing w:val="-5"/>
        </w:rPr>
        <w:t xml:space="preserve"> </w:t>
      </w:r>
      <w:r>
        <w:t>at</w:t>
      </w:r>
      <w:r>
        <w:rPr>
          <w:spacing w:val="-6"/>
        </w:rPr>
        <w:t xml:space="preserve"> </w:t>
      </w:r>
      <w:r>
        <w:t>EOT</w:t>
      </w:r>
      <w:r>
        <w:rPr>
          <w:spacing w:val="-5"/>
        </w:rPr>
        <w:t xml:space="preserve"> </w:t>
      </w:r>
      <w:r>
        <w:t>was</w:t>
      </w:r>
      <w:r>
        <w:rPr>
          <w:spacing w:val="-5"/>
        </w:rPr>
        <w:t xml:space="preserve"> </w:t>
      </w:r>
      <w:r>
        <w:t>seen</w:t>
      </w:r>
      <w:r>
        <w:rPr>
          <w:spacing w:val="-5"/>
        </w:rPr>
        <w:t xml:space="preserve"> </w:t>
      </w:r>
      <w:r>
        <w:t>in</w:t>
      </w:r>
      <w:r>
        <w:rPr>
          <w:spacing w:val="-6"/>
        </w:rPr>
        <w:t xml:space="preserve"> </w:t>
      </w:r>
      <w:r>
        <w:t>35%</w:t>
      </w:r>
      <w:r>
        <w:rPr>
          <w:spacing w:val="-5"/>
        </w:rPr>
        <w:t xml:space="preserve"> </w:t>
      </w:r>
      <w:r>
        <w:t>of</w:t>
      </w:r>
      <w:r>
        <w:rPr>
          <w:spacing w:val="41"/>
          <w:w w:val="99"/>
        </w:rPr>
        <w:t xml:space="preserve"> </w:t>
      </w:r>
      <w:r>
        <w:t>CRESEMBA-treated</w:t>
      </w:r>
      <w:r>
        <w:rPr>
          <w:spacing w:val="-8"/>
        </w:rPr>
        <w:t xml:space="preserve"> </w:t>
      </w:r>
      <w:r>
        <w:t>patients</w:t>
      </w:r>
      <w:r>
        <w:rPr>
          <w:spacing w:val="-8"/>
        </w:rPr>
        <w:t xml:space="preserve"> </w:t>
      </w:r>
      <w:r>
        <w:rPr>
          <w:spacing w:val="-1"/>
        </w:rPr>
        <w:t>compared</w:t>
      </w:r>
      <w:r>
        <w:rPr>
          <w:spacing w:val="-7"/>
        </w:rPr>
        <w:t xml:space="preserve"> </w:t>
      </w:r>
      <w:r>
        <w:t>to</w:t>
      </w:r>
      <w:r>
        <w:rPr>
          <w:spacing w:val="-8"/>
        </w:rPr>
        <w:t xml:space="preserve"> </w:t>
      </w:r>
      <w:r>
        <w:t>38.9%</w:t>
      </w:r>
      <w:r>
        <w:rPr>
          <w:spacing w:val="-8"/>
        </w:rPr>
        <w:t xml:space="preserve"> </w:t>
      </w:r>
      <w:r>
        <w:t>of</w:t>
      </w:r>
      <w:r>
        <w:rPr>
          <w:spacing w:val="-9"/>
        </w:rPr>
        <w:t xml:space="preserve"> </w:t>
      </w:r>
      <w:proofErr w:type="spellStart"/>
      <w:r>
        <w:rPr>
          <w:spacing w:val="-1"/>
        </w:rPr>
        <w:t>voriconazole</w:t>
      </w:r>
      <w:proofErr w:type="spellEnd"/>
      <w:r>
        <w:rPr>
          <w:spacing w:val="-1"/>
        </w:rPr>
        <w:t>-treated</w:t>
      </w:r>
      <w:r>
        <w:rPr>
          <w:spacing w:val="-8"/>
        </w:rPr>
        <w:t xml:space="preserve"> </w:t>
      </w:r>
      <w:r>
        <w:t>patients</w:t>
      </w:r>
      <w:r>
        <w:rPr>
          <w:spacing w:val="-8"/>
        </w:rPr>
        <w:t xml:space="preserve"> </w:t>
      </w:r>
      <w:r>
        <w:t>(see</w:t>
      </w:r>
      <w:r>
        <w:rPr>
          <w:spacing w:val="-8"/>
        </w:rPr>
        <w:t xml:space="preserve"> </w:t>
      </w:r>
      <w:r>
        <w:t>Table</w:t>
      </w:r>
      <w:r>
        <w:rPr>
          <w:spacing w:val="-7"/>
        </w:rPr>
        <w:t xml:space="preserve"> </w:t>
      </w:r>
      <w:r w:rsidR="0062301C">
        <w:rPr>
          <w:spacing w:val="-7"/>
        </w:rPr>
        <w:t>6</w:t>
      </w:r>
      <w:r>
        <w:t>).</w:t>
      </w:r>
    </w:p>
    <w:p w14:paraId="72FEBD0E" w14:textId="59F4097F" w:rsidR="004A2938" w:rsidRDefault="004A2938" w:rsidP="008618D1">
      <w:pPr>
        <w:pStyle w:val="CLDTableTitle"/>
        <w:rPr>
          <w:bCs/>
        </w:rPr>
      </w:pPr>
      <w:r>
        <w:lastRenderedPageBreak/>
        <w:t>Table</w:t>
      </w:r>
      <w:r>
        <w:rPr>
          <w:spacing w:val="-9"/>
        </w:rPr>
        <w:t xml:space="preserve"> </w:t>
      </w:r>
      <w:r w:rsidR="0062301C">
        <w:rPr>
          <w:spacing w:val="-9"/>
        </w:rPr>
        <w:t>6</w:t>
      </w:r>
      <w:r>
        <w:t>.</w:t>
      </w:r>
      <w:r>
        <w:rPr>
          <w:spacing w:val="-8"/>
        </w:rPr>
        <w:t xml:space="preserve"> </w:t>
      </w:r>
      <w:r>
        <w:t>Overall</w:t>
      </w:r>
      <w:r>
        <w:rPr>
          <w:spacing w:val="-8"/>
        </w:rPr>
        <w:t xml:space="preserve"> </w:t>
      </w:r>
      <w:r>
        <w:t>Response</w:t>
      </w:r>
      <w:r>
        <w:rPr>
          <w:spacing w:val="-9"/>
        </w:rPr>
        <w:t xml:space="preserve"> </w:t>
      </w:r>
      <w:r>
        <w:t>Success</w:t>
      </w:r>
      <w:r>
        <w:rPr>
          <w:spacing w:val="-8"/>
        </w:rPr>
        <w:t xml:space="preserve"> </w:t>
      </w:r>
      <w:r>
        <w:t>at</w:t>
      </w:r>
      <w:r>
        <w:rPr>
          <w:spacing w:val="-9"/>
        </w:rPr>
        <w:t xml:space="preserve"> </w:t>
      </w:r>
      <w:r>
        <w:t>End-of-Treatment</w:t>
      </w:r>
    </w:p>
    <w:p w14:paraId="31A7B195" w14:textId="77777777" w:rsidR="004A2938" w:rsidRDefault="004A2938" w:rsidP="008618D1">
      <w:pPr>
        <w:keepNext/>
        <w:spacing w:before="4"/>
        <w:rPr>
          <w:b/>
          <w:bCs/>
          <w:sz w:val="10"/>
          <w:szCs w:val="10"/>
        </w:rPr>
      </w:pPr>
    </w:p>
    <w:tbl>
      <w:tblPr>
        <w:tblW w:w="9072" w:type="dxa"/>
        <w:tblInd w:w="114" w:type="dxa"/>
        <w:tblLayout w:type="fixed"/>
        <w:tblCellMar>
          <w:left w:w="0" w:type="dxa"/>
          <w:right w:w="0" w:type="dxa"/>
        </w:tblCellMar>
        <w:tblLook w:val="01E0" w:firstRow="1" w:lastRow="1" w:firstColumn="1" w:lastColumn="1" w:noHBand="0" w:noVBand="0"/>
      </w:tblPr>
      <w:tblGrid>
        <w:gridCol w:w="2610"/>
        <w:gridCol w:w="1170"/>
        <w:gridCol w:w="1080"/>
        <w:gridCol w:w="720"/>
        <w:gridCol w:w="1080"/>
        <w:gridCol w:w="2412"/>
      </w:tblGrid>
      <w:tr w:rsidR="004A2938" w14:paraId="4F90E360" w14:textId="77777777" w:rsidTr="00E00B05">
        <w:trPr>
          <w:trHeight w:hRule="exact" w:val="310"/>
        </w:trPr>
        <w:tc>
          <w:tcPr>
            <w:tcW w:w="2610" w:type="dxa"/>
            <w:tcBorders>
              <w:top w:val="single" w:sz="5" w:space="0" w:color="000000"/>
              <w:left w:val="single" w:sz="5" w:space="0" w:color="000000"/>
              <w:bottom w:val="single" w:sz="5" w:space="0" w:color="000000"/>
              <w:right w:val="single" w:sz="5" w:space="0" w:color="000000"/>
            </w:tcBorders>
          </w:tcPr>
          <w:p w14:paraId="09545F66" w14:textId="77777777" w:rsidR="004A2938" w:rsidRDefault="004A2938" w:rsidP="008618D1">
            <w:pPr>
              <w:keepNext/>
            </w:pPr>
          </w:p>
        </w:tc>
        <w:tc>
          <w:tcPr>
            <w:tcW w:w="2250" w:type="dxa"/>
            <w:gridSpan w:val="2"/>
            <w:tcBorders>
              <w:top w:val="single" w:sz="5" w:space="0" w:color="000000"/>
              <w:left w:val="single" w:sz="5" w:space="0" w:color="000000"/>
              <w:bottom w:val="single" w:sz="5" w:space="0" w:color="000000"/>
              <w:right w:val="single" w:sz="5" w:space="0" w:color="000000"/>
            </w:tcBorders>
          </w:tcPr>
          <w:p w14:paraId="04DC7D5D" w14:textId="77777777" w:rsidR="004A2938" w:rsidRDefault="004A2938" w:rsidP="008618D1">
            <w:pPr>
              <w:pStyle w:val="TableParagraph"/>
              <w:keepNext/>
              <w:widowControl/>
              <w:spacing w:before="45" w:line="252" w:lineRule="exact"/>
              <w:ind w:left="495"/>
            </w:pPr>
            <w:r>
              <w:rPr>
                <w:b/>
              </w:rPr>
              <w:t>CRESEMBA</w:t>
            </w:r>
          </w:p>
        </w:tc>
        <w:tc>
          <w:tcPr>
            <w:tcW w:w="1800" w:type="dxa"/>
            <w:gridSpan w:val="2"/>
            <w:tcBorders>
              <w:top w:val="single" w:sz="5" w:space="0" w:color="000000"/>
              <w:left w:val="single" w:sz="5" w:space="0" w:color="000000"/>
              <w:bottom w:val="single" w:sz="5" w:space="0" w:color="000000"/>
              <w:right w:val="single" w:sz="5" w:space="0" w:color="000000"/>
            </w:tcBorders>
          </w:tcPr>
          <w:p w14:paraId="19C1F9D5" w14:textId="77777777" w:rsidR="004A2938" w:rsidRDefault="004A2938" w:rsidP="008618D1">
            <w:pPr>
              <w:pStyle w:val="TableParagraph"/>
              <w:keepNext/>
              <w:widowControl/>
              <w:spacing w:before="45" w:line="252" w:lineRule="exact"/>
              <w:ind w:left="278"/>
            </w:pPr>
            <w:proofErr w:type="spellStart"/>
            <w:r>
              <w:rPr>
                <w:b/>
                <w:spacing w:val="-1"/>
              </w:rPr>
              <w:t>Voriconazole</w:t>
            </w:r>
            <w:proofErr w:type="spellEnd"/>
          </w:p>
        </w:tc>
        <w:tc>
          <w:tcPr>
            <w:tcW w:w="2412" w:type="dxa"/>
            <w:tcBorders>
              <w:top w:val="single" w:sz="5" w:space="0" w:color="000000"/>
              <w:left w:val="single" w:sz="5" w:space="0" w:color="000000"/>
              <w:bottom w:val="single" w:sz="5" w:space="0" w:color="000000"/>
              <w:right w:val="single" w:sz="5" w:space="0" w:color="000000"/>
            </w:tcBorders>
          </w:tcPr>
          <w:p w14:paraId="419A17D3" w14:textId="77777777" w:rsidR="004A2938" w:rsidRDefault="004A2938" w:rsidP="008618D1">
            <w:pPr>
              <w:keepNext/>
            </w:pPr>
          </w:p>
        </w:tc>
      </w:tr>
      <w:tr w:rsidR="004A2938" w14:paraId="16570655" w14:textId="77777777" w:rsidTr="00E00B05">
        <w:trPr>
          <w:trHeight w:hRule="exact" w:val="611"/>
        </w:trPr>
        <w:tc>
          <w:tcPr>
            <w:tcW w:w="2610" w:type="dxa"/>
            <w:tcBorders>
              <w:top w:val="single" w:sz="5" w:space="0" w:color="000000"/>
              <w:left w:val="single" w:sz="5" w:space="0" w:color="000000"/>
              <w:bottom w:val="single" w:sz="5" w:space="0" w:color="000000"/>
              <w:right w:val="single" w:sz="5" w:space="0" w:color="000000"/>
            </w:tcBorders>
          </w:tcPr>
          <w:p w14:paraId="046FBF08" w14:textId="77777777" w:rsidR="004A2938" w:rsidRDefault="004A2938" w:rsidP="008618D1">
            <w:pPr>
              <w:keepNext/>
            </w:pPr>
          </w:p>
        </w:tc>
        <w:tc>
          <w:tcPr>
            <w:tcW w:w="1170" w:type="dxa"/>
            <w:tcBorders>
              <w:top w:val="single" w:sz="5" w:space="0" w:color="000000"/>
              <w:left w:val="single" w:sz="5" w:space="0" w:color="000000"/>
              <w:bottom w:val="single" w:sz="5" w:space="0" w:color="000000"/>
              <w:right w:val="single" w:sz="5" w:space="0" w:color="000000"/>
            </w:tcBorders>
          </w:tcPr>
          <w:p w14:paraId="4E0051A0" w14:textId="77777777" w:rsidR="004A2938" w:rsidRDefault="004A2938" w:rsidP="008618D1">
            <w:pPr>
              <w:pStyle w:val="TableParagraph"/>
              <w:keepNext/>
              <w:widowControl/>
              <w:spacing w:before="47"/>
              <w:ind w:right="1"/>
            </w:pPr>
            <w:r>
              <w:rPr>
                <w:b/>
              </w:rPr>
              <w:t>N</w:t>
            </w:r>
          </w:p>
        </w:tc>
        <w:tc>
          <w:tcPr>
            <w:tcW w:w="1080" w:type="dxa"/>
            <w:tcBorders>
              <w:top w:val="single" w:sz="5" w:space="0" w:color="000000"/>
              <w:left w:val="single" w:sz="5" w:space="0" w:color="000000"/>
              <w:bottom w:val="single" w:sz="5" w:space="0" w:color="000000"/>
              <w:right w:val="single" w:sz="5" w:space="0" w:color="000000"/>
            </w:tcBorders>
          </w:tcPr>
          <w:p w14:paraId="7D48380B" w14:textId="77777777" w:rsidR="004A2938" w:rsidRDefault="004A2938" w:rsidP="008618D1">
            <w:pPr>
              <w:pStyle w:val="TableParagraph"/>
              <w:keepNext/>
              <w:widowControl/>
              <w:spacing w:before="12" w:line="300" w:lineRule="exact"/>
              <w:ind w:left="261" w:right="178" w:hanging="82"/>
            </w:pPr>
            <w:r>
              <w:rPr>
                <w:b/>
                <w:spacing w:val="-1"/>
              </w:rPr>
              <w:t>Success</w:t>
            </w:r>
            <w:r>
              <w:rPr>
                <w:b/>
                <w:spacing w:val="22"/>
                <w:w w:val="99"/>
              </w:rPr>
              <w:t xml:space="preserve"> </w:t>
            </w:r>
            <w:r>
              <w:rPr>
                <w:b/>
              </w:rPr>
              <w:t>n</w:t>
            </w:r>
            <w:r>
              <w:rPr>
                <w:b/>
                <w:spacing w:val="-5"/>
              </w:rPr>
              <w:t xml:space="preserve"> </w:t>
            </w:r>
            <w:r>
              <w:rPr>
                <w:b/>
              </w:rPr>
              <w:t>(%)</w:t>
            </w:r>
          </w:p>
        </w:tc>
        <w:tc>
          <w:tcPr>
            <w:tcW w:w="720" w:type="dxa"/>
            <w:tcBorders>
              <w:top w:val="single" w:sz="5" w:space="0" w:color="000000"/>
              <w:left w:val="single" w:sz="5" w:space="0" w:color="000000"/>
              <w:bottom w:val="single" w:sz="5" w:space="0" w:color="000000"/>
              <w:right w:val="single" w:sz="5" w:space="0" w:color="000000"/>
            </w:tcBorders>
          </w:tcPr>
          <w:p w14:paraId="569B04CB" w14:textId="77777777" w:rsidR="004A2938" w:rsidRDefault="004A2938" w:rsidP="008618D1">
            <w:pPr>
              <w:pStyle w:val="TableParagraph"/>
              <w:keepNext/>
              <w:widowControl/>
              <w:spacing w:before="47"/>
            </w:pPr>
            <w:r>
              <w:rPr>
                <w:b/>
              </w:rPr>
              <w:t>N</w:t>
            </w:r>
          </w:p>
        </w:tc>
        <w:tc>
          <w:tcPr>
            <w:tcW w:w="1080" w:type="dxa"/>
            <w:tcBorders>
              <w:top w:val="single" w:sz="5" w:space="0" w:color="000000"/>
              <w:left w:val="single" w:sz="5" w:space="0" w:color="000000"/>
              <w:bottom w:val="single" w:sz="5" w:space="0" w:color="000000"/>
              <w:right w:val="single" w:sz="5" w:space="0" w:color="000000"/>
            </w:tcBorders>
          </w:tcPr>
          <w:p w14:paraId="1413B0E5" w14:textId="77777777" w:rsidR="004A2938" w:rsidRDefault="004A2938" w:rsidP="008618D1">
            <w:pPr>
              <w:pStyle w:val="TableParagraph"/>
              <w:keepNext/>
              <w:widowControl/>
              <w:spacing w:before="12" w:line="300" w:lineRule="exact"/>
              <w:ind w:left="261" w:right="178" w:hanging="82"/>
            </w:pPr>
            <w:r>
              <w:rPr>
                <w:b/>
                <w:spacing w:val="-1"/>
              </w:rPr>
              <w:t>Success</w:t>
            </w:r>
            <w:r>
              <w:rPr>
                <w:b/>
                <w:spacing w:val="22"/>
                <w:w w:val="99"/>
              </w:rPr>
              <w:t xml:space="preserve"> </w:t>
            </w:r>
            <w:r>
              <w:rPr>
                <w:b/>
              </w:rPr>
              <w:t>n</w:t>
            </w:r>
            <w:r>
              <w:rPr>
                <w:b/>
                <w:spacing w:val="-5"/>
              </w:rPr>
              <w:t xml:space="preserve"> </w:t>
            </w:r>
            <w:r>
              <w:rPr>
                <w:b/>
              </w:rPr>
              <w:t>(%)</w:t>
            </w:r>
          </w:p>
        </w:tc>
        <w:tc>
          <w:tcPr>
            <w:tcW w:w="2412" w:type="dxa"/>
            <w:tcBorders>
              <w:top w:val="single" w:sz="5" w:space="0" w:color="000000"/>
              <w:left w:val="single" w:sz="5" w:space="0" w:color="000000"/>
              <w:bottom w:val="single" w:sz="5" w:space="0" w:color="000000"/>
              <w:right w:val="single" w:sz="5" w:space="0" w:color="000000"/>
            </w:tcBorders>
          </w:tcPr>
          <w:p w14:paraId="5276102A" w14:textId="77777777" w:rsidR="004A2938" w:rsidRDefault="004A2938" w:rsidP="008618D1">
            <w:pPr>
              <w:pStyle w:val="TableParagraph"/>
              <w:keepNext/>
              <w:widowControl/>
              <w:spacing w:before="12" w:line="300" w:lineRule="exact"/>
              <w:ind w:left="668" w:right="668" w:firstLine="30"/>
            </w:pPr>
            <w:r>
              <w:rPr>
                <w:b/>
                <w:spacing w:val="-1"/>
              </w:rPr>
              <w:t>Difference</w:t>
            </w:r>
            <w:r>
              <w:rPr>
                <w:b/>
                <w:spacing w:val="-1"/>
                <w:position w:val="8"/>
                <w:sz w:val="14"/>
              </w:rPr>
              <w:t>a</w:t>
            </w:r>
            <w:r>
              <w:rPr>
                <w:b/>
                <w:spacing w:val="20"/>
                <w:position w:val="8"/>
                <w:sz w:val="14"/>
              </w:rPr>
              <w:t xml:space="preserve"> </w:t>
            </w:r>
            <w:r>
              <w:rPr>
                <w:b/>
              </w:rPr>
              <w:t>(95%</w:t>
            </w:r>
            <w:r>
              <w:rPr>
                <w:b/>
                <w:spacing w:val="-11"/>
              </w:rPr>
              <w:t xml:space="preserve"> </w:t>
            </w:r>
            <w:r>
              <w:rPr>
                <w:b/>
              </w:rPr>
              <w:t>CI)%</w:t>
            </w:r>
          </w:p>
        </w:tc>
      </w:tr>
      <w:tr w:rsidR="004A2938" w14:paraId="6A5FA50A" w14:textId="77777777" w:rsidTr="00E00B05">
        <w:trPr>
          <w:trHeight w:hRule="exact" w:val="610"/>
        </w:trPr>
        <w:tc>
          <w:tcPr>
            <w:tcW w:w="2610" w:type="dxa"/>
            <w:tcBorders>
              <w:top w:val="single" w:sz="5" w:space="0" w:color="000000"/>
              <w:left w:val="single" w:sz="5" w:space="0" w:color="000000"/>
              <w:bottom w:val="single" w:sz="5" w:space="0" w:color="000000"/>
              <w:right w:val="single" w:sz="5" w:space="0" w:color="000000"/>
            </w:tcBorders>
          </w:tcPr>
          <w:p w14:paraId="239AB403" w14:textId="77777777" w:rsidR="004A2938" w:rsidRDefault="004A2938" w:rsidP="008618D1">
            <w:pPr>
              <w:pStyle w:val="TableParagraph"/>
              <w:keepNext/>
              <w:widowControl/>
              <w:spacing w:before="11" w:line="300" w:lineRule="exact"/>
              <w:ind w:left="102" w:right="458"/>
            </w:pPr>
            <w:r>
              <w:rPr>
                <w:b/>
              </w:rPr>
              <w:t>Proven</w:t>
            </w:r>
            <w:r>
              <w:rPr>
                <w:b/>
                <w:spacing w:val="-9"/>
              </w:rPr>
              <w:t xml:space="preserve"> </w:t>
            </w:r>
            <w:r>
              <w:rPr>
                <w:b/>
              </w:rPr>
              <w:t>or</w:t>
            </w:r>
            <w:r>
              <w:rPr>
                <w:b/>
                <w:spacing w:val="-9"/>
              </w:rPr>
              <w:t xml:space="preserve"> </w:t>
            </w:r>
            <w:r>
              <w:rPr>
                <w:b/>
              </w:rPr>
              <w:t>Probable</w:t>
            </w:r>
            <w:r>
              <w:rPr>
                <w:b/>
                <w:w w:val="99"/>
              </w:rPr>
              <w:t xml:space="preserve"> </w:t>
            </w:r>
            <w:r>
              <w:rPr>
                <w:b/>
              </w:rPr>
              <w:t>Invasive</w:t>
            </w:r>
            <w:r>
              <w:rPr>
                <w:b/>
                <w:spacing w:val="-20"/>
              </w:rPr>
              <w:t xml:space="preserve"> </w:t>
            </w:r>
            <w:proofErr w:type="spellStart"/>
            <w:r>
              <w:rPr>
                <w:b/>
              </w:rPr>
              <w:t>Aspergillosis</w:t>
            </w:r>
            <w:proofErr w:type="spellEnd"/>
          </w:p>
        </w:tc>
        <w:tc>
          <w:tcPr>
            <w:tcW w:w="1170" w:type="dxa"/>
            <w:tcBorders>
              <w:top w:val="single" w:sz="5" w:space="0" w:color="000000"/>
              <w:left w:val="single" w:sz="5" w:space="0" w:color="000000"/>
              <w:bottom w:val="single" w:sz="5" w:space="0" w:color="000000"/>
              <w:right w:val="single" w:sz="5" w:space="0" w:color="000000"/>
            </w:tcBorders>
          </w:tcPr>
          <w:p w14:paraId="00F8955C" w14:textId="77777777" w:rsidR="004A2938" w:rsidRDefault="004A2938" w:rsidP="008618D1">
            <w:pPr>
              <w:pStyle w:val="TableParagraph"/>
              <w:keepNext/>
              <w:widowControl/>
              <w:spacing w:before="44"/>
            </w:pPr>
            <w:r>
              <w:t>123</w:t>
            </w:r>
          </w:p>
        </w:tc>
        <w:tc>
          <w:tcPr>
            <w:tcW w:w="1080" w:type="dxa"/>
            <w:tcBorders>
              <w:top w:val="single" w:sz="5" w:space="0" w:color="000000"/>
              <w:left w:val="single" w:sz="5" w:space="0" w:color="000000"/>
              <w:bottom w:val="single" w:sz="5" w:space="0" w:color="000000"/>
              <w:right w:val="single" w:sz="5" w:space="0" w:color="000000"/>
            </w:tcBorders>
          </w:tcPr>
          <w:p w14:paraId="5B869BB9" w14:textId="77777777" w:rsidR="004A2938" w:rsidRDefault="004A2938" w:rsidP="008618D1">
            <w:pPr>
              <w:pStyle w:val="TableParagraph"/>
              <w:keepNext/>
              <w:widowControl/>
              <w:spacing w:before="44"/>
              <w:ind w:left="130"/>
            </w:pPr>
            <w:r>
              <w:t>43</w:t>
            </w:r>
            <w:r>
              <w:rPr>
                <w:spacing w:val="-8"/>
              </w:rPr>
              <w:t xml:space="preserve"> </w:t>
            </w:r>
            <w:r>
              <w:rPr>
                <w:spacing w:val="-1"/>
              </w:rPr>
              <w:t>(35.0)</w:t>
            </w:r>
          </w:p>
        </w:tc>
        <w:tc>
          <w:tcPr>
            <w:tcW w:w="720" w:type="dxa"/>
            <w:tcBorders>
              <w:top w:val="single" w:sz="5" w:space="0" w:color="000000"/>
              <w:left w:val="single" w:sz="5" w:space="0" w:color="000000"/>
              <w:bottom w:val="single" w:sz="5" w:space="0" w:color="000000"/>
              <w:right w:val="single" w:sz="5" w:space="0" w:color="000000"/>
            </w:tcBorders>
          </w:tcPr>
          <w:p w14:paraId="5610F5FA" w14:textId="77777777" w:rsidR="004A2938" w:rsidRDefault="004A2938" w:rsidP="008618D1">
            <w:pPr>
              <w:pStyle w:val="TableParagraph"/>
              <w:keepNext/>
              <w:widowControl/>
              <w:spacing w:before="44"/>
              <w:ind w:left="188"/>
            </w:pPr>
            <w:r>
              <w:t>108</w:t>
            </w:r>
          </w:p>
        </w:tc>
        <w:tc>
          <w:tcPr>
            <w:tcW w:w="1080" w:type="dxa"/>
            <w:tcBorders>
              <w:top w:val="single" w:sz="5" w:space="0" w:color="000000"/>
              <w:left w:val="single" w:sz="5" w:space="0" w:color="000000"/>
              <w:bottom w:val="single" w:sz="5" w:space="0" w:color="000000"/>
              <w:right w:val="single" w:sz="5" w:space="0" w:color="000000"/>
            </w:tcBorders>
          </w:tcPr>
          <w:p w14:paraId="63B96118" w14:textId="77777777" w:rsidR="004A2938" w:rsidRDefault="004A2938" w:rsidP="008618D1">
            <w:pPr>
              <w:pStyle w:val="TableParagraph"/>
              <w:keepNext/>
              <w:widowControl/>
              <w:spacing w:before="44"/>
              <w:ind w:left="130"/>
            </w:pPr>
            <w:r>
              <w:t>42</w:t>
            </w:r>
            <w:r>
              <w:rPr>
                <w:spacing w:val="-8"/>
              </w:rPr>
              <w:t xml:space="preserve"> </w:t>
            </w:r>
            <w:r>
              <w:rPr>
                <w:spacing w:val="-1"/>
              </w:rPr>
              <w:t>(38.9)</w:t>
            </w:r>
          </w:p>
        </w:tc>
        <w:tc>
          <w:tcPr>
            <w:tcW w:w="2412" w:type="dxa"/>
            <w:tcBorders>
              <w:top w:val="single" w:sz="5" w:space="0" w:color="000000"/>
              <w:left w:val="single" w:sz="5" w:space="0" w:color="000000"/>
              <w:bottom w:val="single" w:sz="5" w:space="0" w:color="000000"/>
              <w:right w:val="single" w:sz="5" w:space="0" w:color="000000"/>
            </w:tcBorders>
          </w:tcPr>
          <w:p w14:paraId="59CEB76D" w14:textId="77777777" w:rsidR="004A2938" w:rsidRDefault="004A2938" w:rsidP="008618D1">
            <w:pPr>
              <w:pStyle w:val="TableParagraph"/>
              <w:keepNext/>
              <w:widowControl/>
              <w:spacing w:before="44"/>
              <w:ind w:left="524"/>
            </w:pPr>
            <w:r>
              <w:t>-4.0</w:t>
            </w:r>
            <w:r>
              <w:rPr>
                <w:spacing w:val="-7"/>
              </w:rPr>
              <w:t xml:space="preserve"> </w:t>
            </w:r>
            <w:r>
              <w:rPr>
                <w:spacing w:val="-1"/>
              </w:rPr>
              <w:t>(-16.3,</w:t>
            </w:r>
            <w:r>
              <w:rPr>
                <w:spacing w:val="-7"/>
              </w:rPr>
              <w:t xml:space="preserve"> </w:t>
            </w:r>
            <w:r>
              <w:rPr>
                <w:spacing w:val="-1"/>
              </w:rPr>
              <w:t>8.4)</w:t>
            </w:r>
          </w:p>
        </w:tc>
      </w:tr>
    </w:tbl>
    <w:p w14:paraId="724B65AB" w14:textId="77777777" w:rsidR="004A2938" w:rsidRDefault="004A2938" w:rsidP="008618D1">
      <w:pPr>
        <w:pStyle w:val="CLDTableFootnote"/>
        <w:keepNext/>
        <w:rPr>
          <w:szCs w:val="18"/>
        </w:rPr>
      </w:pPr>
      <w:proofErr w:type="spellStart"/>
      <w:r>
        <w:rPr>
          <w:position w:val="6"/>
          <w:sz w:val="12"/>
        </w:rPr>
        <w:t>a</w:t>
      </w:r>
      <w:proofErr w:type="spellEnd"/>
      <w:r>
        <w:rPr>
          <w:position w:val="6"/>
          <w:sz w:val="12"/>
        </w:rPr>
        <w:t xml:space="preserve">   </w:t>
      </w:r>
      <w:r>
        <w:rPr>
          <w:spacing w:val="6"/>
          <w:position w:val="6"/>
          <w:sz w:val="12"/>
        </w:rPr>
        <w:t xml:space="preserve"> </w:t>
      </w:r>
      <w:r>
        <w:t>Adjusted treatment difference (CRESEMBA-</w:t>
      </w:r>
      <w:proofErr w:type="spellStart"/>
      <w:r>
        <w:t>voriconazole</w:t>
      </w:r>
      <w:proofErr w:type="spellEnd"/>
      <w:r>
        <w:t>) by</w:t>
      </w:r>
      <w:r>
        <w:rPr>
          <w:spacing w:val="1"/>
        </w:rPr>
        <w:t xml:space="preserve"> </w:t>
      </w:r>
      <w:r>
        <w:t>Cochran-Mantel-</w:t>
      </w:r>
      <w:proofErr w:type="spellStart"/>
      <w:r>
        <w:t>Haenszel</w:t>
      </w:r>
      <w:proofErr w:type="spellEnd"/>
      <w:r>
        <w:t xml:space="preserve"> method</w:t>
      </w:r>
      <w:r>
        <w:rPr>
          <w:spacing w:val="-2"/>
        </w:rPr>
        <w:t xml:space="preserve"> </w:t>
      </w:r>
      <w:r>
        <w:t>stratified by</w:t>
      </w:r>
      <w:r>
        <w:rPr>
          <w:spacing w:val="1"/>
        </w:rPr>
        <w:t xml:space="preserve"> </w:t>
      </w:r>
      <w:r>
        <w:t>the randomization factors.</w:t>
      </w:r>
    </w:p>
    <w:p w14:paraId="7F64543B" w14:textId="77777777" w:rsidR="0050719D" w:rsidRPr="0050719D" w:rsidRDefault="0050719D" w:rsidP="00A712CB">
      <w:pPr>
        <w:pStyle w:val="CLDHeading4"/>
      </w:pPr>
      <w:r w:rsidRPr="0050719D">
        <w:t xml:space="preserve">Treatment of </w:t>
      </w:r>
      <w:proofErr w:type="spellStart"/>
      <w:r w:rsidRPr="0050719D">
        <w:t>mucormycosis</w:t>
      </w:r>
      <w:proofErr w:type="spellEnd"/>
    </w:p>
    <w:p w14:paraId="470047DB" w14:textId="7B33B56D" w:rsidR="0050719D" w:rsidRDefault="0050719D" w:rsidP="0050719D">
      <w:pPr>
        <w:pStyle w:val="CLDNormal"/>
        <w:rPr>
          <w:szCs w:val="22"/>
        </w:rPr>
      </w:pPr>
      <w:r w:rsidRPr="00212203">
        <w:rPr>
          <w:szCs w:val="22"/>
        </w:rPr>
        <w:t xml:space="preserve">In an open-label non-controlled study, 37 patients with proven or probable </w:t>
      </w:r>
      <w:proofErr w:type="spellStart"/>
      <w:r w:rsidRPr="00212203">
        <w:rPr>
          <w:szCs w:val="22"/>
        </w:rPr>
        <w:t>mucormycosis</w:t>
      </w:r>
      <w:proofErr w:type="spellEnd"/>
      <w:r w:rsidRPr="00212203">
        <w:rPr>
          <w:szCs w:val="22"/>
        </w:rPr>
        <w:t xml:space="preserve"> received </w:t>
      </w:r>
      <w:proofErr w:type="spellStart"/>
      <w:r w:rsidRPr="00212203">
        <w:rPr>
          <w:szCs w:val="22"/>
        </w:rPr>
        <w:t>isavuconazole</w:t>
      </w:r>
      <w:proofErr w:type="spellEnd"/>
      <w:r w:rsidRPr="00212203">
        <w:rPr>
          <w:szCs w:val="22"/>
        </w:rPr>
        <w:t xml:space="preserve"> at the same dose regimen as that used to treat invasive </w:t>
      </w:r>
      <w:proofErr w:type="spellStart"/>
      <w:r w:rsidRPr="00212203">
        <w:rPr>
          <w:szCs w:val="22"/>
        </w:rPr>
        <w:t>aspergillosis</w:t>
      </w:r>
      <w:proofErr w:type="spellEnd"/>
      <w:r w:rsidRPr="00212203">
        <w:rPr>
          <w:szCs w:val="22"/>
        </w:rPr>
        <w:t xml:space="preserve">. Median treatment duration was 84 days for the overall </w:t>
      </w:r>
      <w:proofErr w:type="spellStart"/>
      <w:r w:rsidRPr="00212203">
        <w:rPr>
          <w:szCs w:val="22"/>
        </w:rPr>
        <w:t>mucormycosis</w:t>
      </w:r>
      <w:proofErr w:type="spellEnd"/>
      <w:r w:rsidRPr="00212203">
        <w:rPr>
          <w:szCs w:val="22"/>
        </w:rPr>
        <w:t xml:space="preserve"> patient population, and 102 days for</w:t>
      </w:r>
      <w:r w:rsidRPr="00212203">
        <w:t xml:space="preserve"> </w:t>
      </w:r>
      <w:r w:rsidRPr="00212203">
        <w:rPr>
          <w:szCs w:val="22"/>
        </w:rPr>
        <w:t xml:space="preserve">the 21 patients not previously treated for </w:t>
      </w:r>
      <w:proofErr w:type="spellStart"/>
      <w:r w:rsidRPr="00212203">
        <w:rPr>
          <w:szCs w:val="22"/>
        </w:rPr>
        <w:t>mucormycosis</w:t>
      </w:r>
      <w:proofErr w:type="spellEnd"/>
      <w:r w:rsidRPr="00212203">
        <w:rPr>
          <w:szCs w:val="22"/>
        </w:rPr>
        <w:t xml:space="preserve">. For patients with probable or proven </w:t>
      </w:r>
      <w:proofErr w:type="spellStart"/>
      <w:r w:rsidRPr="00212203">
        <w:rPr>
          <w:szCs w:val="22"/>
        </w:rPr>
        <w:t>mucormycosis</w:t>
      </w:r>
      <w:proofErr w:type="spellEnd"/>
      <w:r w:rsidRPr="00212203">
        <w:rPr>
          <w:szCs w:val="22"/>
        </w:rPr>
        <w:t xml:space="preserve"> as defined by the independent Data Review Committee (DRC), all-cause mortality at Day 84 was 43.2% (16/37) for the overall patient population, 42.9% (9/21) for </w:t>
      </w:r>
      <w:proofErr w:type="spellStart"/>
      <w:r w:rsidRPr="00212203">
        <w:rPr>
          <w:szCs w:val="22"/>
        </w:rPr>
        <w:t>mucormycosis</w:t>
      </w:r>
      <w:proofErr w:type="spellEnd"/>
      <w:r w:rsidRPr="00212203">
        <w:rPr>
          <w:szCs w:val="22"/>
        </w:rPr>
        <w:t xml:space="preserve"> patients receiving </w:t>
      </w:r>
      <w:proofErr w:type="spellStart"/>
      <w:r w:rsidRPr="00212203">
        <w:rPr>
          <w:szCs w:val="22"/>
        </w:rPr>
        <w:t>isavuconazole</w:t>
      </w:r>
      <w:proofErr w:type="spellEnd"/>
      <w:r w:rsidRPr="00212203">
        <w:rPr>
          <w:szCs w:val="22"/>
        </w:rPr>
        <w:t xml:space="preserve"> as primary treatment, and 43.8% (7/16) for </w:t>
      </w:r>
      <w:proofErr w:type="spellStart"/>
      <w:r w:rsidRPr="00212203">
        <w:rPr>
          <w:szCs w:val="22"/>
        </w:rPr>
        <w:t>mucormycosis</w:t>
      </w:r>
      <w:proofErr w:type="spellEnd"/>
      <w:r w:rsidRPr="00212203">
        <w:rPr>
          <w:szCs w:val="22"/>
        </w:rPr>
        <w:t xml:space="preserve"> patients receiving </w:t>
      </w:r>
      <w:proofErr w:type="spellStart"/>
      <w:r w:rsidRPr="00212203">
        <w:rPr>
          <w:szCs w:val="22"/>
        </w:rPr>
        <w:t>isavuconazole</w:t>
      </w:r>
      <w:proofErr w:type="spellEnd"/>
      <w:r w:rsidRPr="00212203">
        <w:rPr>
          <w:szCs w:val="22"/>
        </w:rPr>
        <w:t xml:space="preserve"> who were refractory to, or intolerant of, prior antifungal therapy (mainly amphotericin B</w:t>
      </w:r>
      <w:r w:rsidRPr="00212203">
        <w:rPr>
          <w:szCs w:val="22"/>
        </w:rPr>
        <w:noBreakHyphen/>
        <w:t>based treatments). The DRC</w:t>
      </w:r>
      <w:r w:rsidRPr="00212203">
        <w:rPr>
          <w:szCs w:val="22"/>
        </w:rPr>
        <w:noBreakHyphen/>
        <w:t xml:space="preserve">assessed overall success rate at EOT was 11/35 (31.4%), with 5 patients considered completely cured and 6 patients partially cured. A stable response was observed in an additional 10/35 patients (28.6%). In 9 patients with </w:t>
      </w:r>
      <w:proofErr w:type="spellStart"/>
      <w:r w:rsidRPr="00212203">
        <w:rPr>
          <w:szCs w:val="22"/>
        </w:rPr>
        <w:t>mucormycosis</w:t>
      </w:r>
      <w:proofErr w:type="spellEnd"/>
      <w:r w:rsidRPr="00212203">
        <w:rPr>
          <w:szCs w:val="22"/>
        </w:rPr>
        <w:t xml:space="preserve"> due to </w:t>
      </w:r>
      <w:proofErr w:type="spellStart"/>
      <w:r w:rsidRPr="00212203">
        <w:rPr>
          <w:i/>
          <w:szCs w:val="22"/>
        </w:rPr>
        <w:t>Rhizopus</w:t>
      </w:r>
      <w:proofErr w:type="spellEnd"/>
      <w:r w:rsidRPr="00212203">
        <w:rPr>
          <w:szCs w:val="22"/>
        </w:rPr>
        <w:t xml:space="preserve"> spp., 4 patients showed a favourable response to </w:t>
      </w:r>
      <w:proofErr w:type="spellStart"/>
      <w:r w:rsidRPr="00212203">
        <w:rPr>
          <w:szCs w:val="22"/>
        </w:rPr>
        <w:t>isavuconazole</w:t>
      </w:r>
      <w:proofErr w:type="spellEnd"/>
      <w:r w:rsidRPr="00212203">
        <w:rPr>
          <w:szCs w:val="22"/>
        </w:rPr>
        <w:t xml:space="preserve">. In 5 patients with </w:t>
      </w:r>
      <w:proofErr w:type="spellStart"/>
      <w:r w:rsidRPr="00212203">
        <w:rPr>
          <w:szCs w:val="22"/>
        </w:rPr>
        <w:t>mucormycosis</w:t>
      </w:r>
      <w:proofErr w:type="spellEnd"/>
      <w:r w:rsidRPr="00212203">
        <w:rPr>
          <w:szCs w:val="22"/>
        </w:rPr>
        <w:t xml:space="preserve"> due to </w:t>
      </w:r>
      <w:proofErr w:type="spellStart"/>
      <w:r w:rsidRPr="00212203">
        <w:rPr>
          <w:i/>
          <w:szCs w:val="22"/>
        </w:rPr>
        <w:t>Rhizomucor</w:t>
      </w:r>
      <w:proofErr w:type="spellEnd"/>
      <w:r w:rsidRPr="00212203">
        <w:rPr>
          <w:szCs w:val="22"/>
        </w:rPr>
        <w:t xml:space="preserve"> spp., no favourable responses were observed. The clinical experience in other species is very limited (</w:t>
      </w:r>
      <w:proofErr w:type="spellStart"/>
      <w:r w:rsidRPr="00212203">
        <w:rPr>
          <w:i/>
          <w:szCs w:val="22"/>
        </w:rPr>
        <w:t>Lichtheimia</w:t>
      </w:r>
      <w:proofErr w:type="spellEnd"/>
      <w:r w:rsidRPr="00212203">
        <w:rPr>
          <w:szCs w:val="22"/>
        </w:rPr>
        <w:t xml:space="preserve"> spp. n=2, </w:t>
      </w:r>
      <w:proofErr w:type="spellStart"/>
      <w:r w:rsidRPr="00212203">
        <w:rPr>
          <w:i/>
          <w:szCs w:val="22"/>
        </w:rPr>
        <w:t>Cunninghamella</w:t>
      </w:r>
      <w:proofErr w:type="spellEnd"/>
      <w:r w:rsidRPr="00212203">
        <w:rPr>
          <w:szCs w:val="22"/>
        </w:rPr>
        <w:t xml:space="preserve"> spp. n=1, </w:t>
      </w:r>
      <w:proofErr w:type="spellStart"/>
      <w:r w:rsidRPr="00212203">
        <w:rPr>
          <w:i/>
          <w:szCs w:val="22"/>
        </w:rPr>
        <w:t>Actinomucor</w:t>
      </w:r>
      <w:proofErr w:type="spellEnd"/>
      <w:r w:rsidRPr="00212203">
        <w:rPr>
          <w:szCs w:val="22"/>
        </w:rPr>
        <w:t xml:space="preserve"> </w:t>
      </w:r>
      <w:proofErr w:type="spellStart"/>
      <w:r w:rsidRPr="00212203">
        <w:rPr>
          <w:szCs w:val="22"/>
        </w:rPr>
        <w:t>elegans</w:t>
      </w:r>
      <w:proofErr w:type="spellEnd"/>
      <w:r w:rsidRPr="00212203">
        <w:rPr>
          <w:szCs w:val="22"/>
        </w:rPr>
        <w:t xml:space="preserve"> n=1).</w:t>
      </w:r>
      <w:r w:rsidR="0062301C">
        <w:rPr>
          <w:szCs w:val="22"/>
        </w:rPr>
        <w:t xml:space="preserve"> Baseline risk factors are presented in Table 7.</w:t>
      </w:r>
    </w:p>
    <w:p w14:paraId="596E23AB" w14:textId="356F9F58" w:rsidR="00B97B4A" w:rsidRDefault="00B97B4A" w:rsidP="00E00B05">
      <w:pPr>
        <w:pStyle w:val="CLDTableTitle"/>
        <w:rPr>
          <w:bCs/>
        </w:rPr>
      </w:pPr>
      <w:r>
        <w:t>Table</w:t>
      </w:r>
      <w:r>
        <w:rPr>
          <w:spacing w:val="-7"/>
        </w:rPr>
        <w:t xml:space="preserve"> </w:t>
      </w:r>
      <w:r w:rsidR="0062301C">
        <w:rPr>
          <w:spacing w:val="-7"/>
        </w:rPr>
        <w:t>7</w:t>
      </w:r>
      <w:r>
        <w:t>.</w:t>
      </w:r>
      <w:r>
        <w:rPr>
          <w:spacing w:val="-6"/>
        </w:rPr>
        <w:t xml:space="preserve"> </w:t>
      </w:r>
      <w:r>
        <w:t>Baseline</w:t>
      </w:r>
      <w:r>
        <w:rPr>
          <w:spacing w:val="-7"/>
        </w:rPr>
        <w:t xml:space="preserve"> </w:t>
      </w:r>
      <w:r>
        <w:t>Risk</w:t>
      </w:r>
      <w:r>
        <w:rPr>
          <w:spacing w:val="-6"/>
        </w:rPr>
        <w:t xml:space="preserve"> </w:t>
      </w:r>
      <w:r>
        <w:t>Factors</w:t>
      </w:r>
      <w:r>
        <w:rPr>
          <w:spacing w:val="-7"/>
        </w:rPr>
        <w:t xml:space="preserve"> </w:t>
      </w:r>
      <w:r>
        <w:t>in</w:t>
      </w:r>
      <w:r>
        <w:rPr>
          <w:spacing w:val="-7"/>
        </w:rPr>
        <w:t xml:space="preserve"> </w:t>
      </w:r>
      <w:proofErr w:type="spellStart"/>
      <w:r>
        <w:t>Mucorales</w:t>
      </w:r>
      <w:proofErr w:type="spellEnd"/>
      <w:r>
        <w:rPr>
          <w:spacing w:val="-6"/>
        </w:rPr>
        <w:t xml:space="preserve"> </w:t>
      </w:r>
      <w:r>
        <w:t>Patients</w:t>
      </w:r>
    </w:p>
    <w:p w14:paraId="715B2AD0" w14:textId="77777777" w:rsidR="00B97B4A" w:rsidRDefault="00B97B4A" w:rsidP="00B97B4A">
      <w:pPr>
        <w:spacing w:before="4"/>
        <w:rPr>
          <w:b/>
          <w:bCs/>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3420"/>
        <w:gridCol w:w="1192"/>
        <w:gridCol w:w="1422"/>
        <w:gridCol w:w="1350"/>
        <w:gridCol w:w="1256"/>
      </w:tblGrid>
      <w:tr w:rsidR="00B97B4A" w14:paraId="4961CDCF" w14:textId="77777777" w:rsidTr="004060B7">
        <w:trPr>
          <w:trHeight w:hRule="exact" w:val="910"/>
        </w:trPr>
        <w:tc>
          <w:tcPr>
            <w:tcW w:w="3420" w:type="dxa"/>
            <w:tcBorders>
              <w:top w:val="single" w:sz="5" w:space="0" w:color="000000"/>
              <w:left w:val="single" w:sz="5" w:space="0" w:color="000000"/>
              <w:bottom w:val="single" w:sz="5" w:space="0" w:color="000000"/>
              <w:right w:val="single" w:sz="5" w:space="0" w:color="000000"/>
            </w:tcBorders>
          </w:tcPr>
          <w:p w14:paraId="518669A5" w14:textId="77777777" w:rsidR="00B97B4A" w:rsidRDefault="00B97B4A" w:rsidP="004060B7"/>
        </w:tc>
        <w:tc>
          <w:tcPr>
            <w:tcW w:w="1192" w:type="dxa"/>
            <w:tcBorders>
              <w:top w:val="single" w:sz="5" w:space="0" w:color="000000"/>
              <w:left w:val="single" w:sz="5" w:space="0" w:color="000000"/>
              <w:bottom w:val="single" w:sz="5" w:space="0" w:color="000000"/>
              <w:right w:val="single" w:sz="5" w:space="0" w:color="000000"/>
            </w:tcBorders>
          </w:tcPr>
          <w:p w14:paraId="2C8FB0FD" w14:textId="77777777" w:rsidR="00B97B4A" w:rsidRDefault="00B97B4A" w:rsidP="004060B7">
            <w:pPr>
              <w:pStyle w:val="TableParagraph"/>
              <w:spacing w:before="45" w:line="284" w:lineRule="auto"/>
              <w:ind w:left="192" w:right="193"/>
            </w:pPr>
            <w:r>
              <w:rPr>
                <w:b/>
                <w:spacing w:val="-1"/>
                <w:w w:val="95"/>
              </w:rPr>
              <w:t>Primary</w:t>
            </w:r>
            <w:r>
              <w:rPr>
                <w:b/>
                <w:spacing w:val="21"/>
                <w:w w:val="99"/>
              </w:rPr>
              <w:t xml:space="preserve"> </w:t>
            </w:r>
            <w:r>
              <w:rPr>
                <w:b/>
              </w:rPr>
              <w:t>N=21</w:t>
            </w:r>
          </w:p>
          <w:p w14:paraId="1F85AFC8" w14:textId="77777777" w:rsidR="00B97B4A" w:rsidRDefault="00B97B4A" w:rsidP="004060B7">
            <w:pPr>
              <w:pStyle w:val="TableParagraph"/>
              <w:spacing w:before="1" w:line="252" w:lineRule="exact"/>
            </w:pPr>
            <w:r>
              <w:rPr>
                <w:b/>
              </w:rPr>
              <w:t>n</w:t>
            </w:r>
            <w:r>
              <w:rPr>
                <w:b/>
                <w:spacing w:val="-5"/>
              </w:rPr>
              <w:t xml:space="preserve"> </w:t>
            </w:r>
            <w:r>
              <w:rPr>
                <w:b/>
              </w:rPr>
              <w:t>(%)</w:t>
            </w:r>
          </w:p>
        </w:tc>
        <w:tc>
          <w:tcPr>
            <w:tcW w:w="1422" w:type="dxa"/>
            <w:tcBorders>
              <w:top w:val="single" w:sz="5" w:space="0" w:color="000000"/>
              <w:left w:val="single" w:sz="5" w:space="0" w:color="000000"/>
              <w:bottom w:val="single" w:sz="5" w:space="0" w:color="000000"/>
              <w:right w:val="single" w:sz="5" w:space="0" w:color="000000"/>
            </w:tcBorders>
          </w:tcPr>
          <w:p w14:paraId="66B54546" w14:textId="77777777" w:rsidR="00B97B4A" w:rsidRDefault="00B97B4A" w:rsidP="004060B7">
            <w:pPr>
              <w:pStyle w:val="TableParagraph"/>
              <w:spacing w:before="45" w:line="284" w:lineRule="auto"/>
              <w:ind w:left="191" w:right="193"/>
            </w:pPr>
            <w:r>
              <w:rPr>
                <w:b/>
                <w:spacing w:val="-1"/>
                <w:w w:val="95"/>
              </w:rPr>
              <w:t>Refractory</w:t>
            </w:r>
            <w:r>
              <w:rPr>
                <w:b/>
                <w:spacing w:val="20"/>
                <w:w w:val="99"/>
              </w:rPr>
              <w:t xml:space="preserve"> </w:t>
            </w:r>
            <w:r>
              <w:rPr>
                <w:b/>
              </w:rPr>
              <w:t>N=11</w:t>
            </w:r>
          </w:p>
          <w:p w14:paraId="532F826B" w14:textId="77777777" w:rsidR="00B97B4A" w:rsidRDefault="00B97B4A" w:rsidP="004060B7">
            <w:pPr>
              <w:pStyle w:val="TableParagraph"/>
              <w:spacing w:before="1" w:line="252" w:lineRule="exact"/>
            </w:pPr>
            <w:r>
              <w:rPr>
                <w:b/>
              </w:rPr>
              <w:t>n</w:t>
            </w:r>
            <w:r>
              <w:rPr>
                <w:b/>
                <w:spacing w:val="-5"/>
              </w:rPr>
              <w:t xml:space="preserve"> </w:t>
            </w:r>
            <w:r>
              <w:rPr>
                <w:b/>
              </w:rPr>
              <w:t>(%)</w:t>
            </w:r>
          </w:p>
        </w:tc>
        <w:tc>
          <w:tcPr>
            <w:tcW w:w="1350" w:type="dxa"/>
            <w:tcBorders>
              <w:top w:val="single" w:sz="5" w:space="0" w:color="000000"/>
              <w:left w:val="single" w:sz="5" w:space="0" w:color="000000"/>
              <w:bottom w:val="single" w:sz="5" w:space="0" w:color="000000"/>
              <w:right w:val="single" w:sz="5" w:space="0" w:color="000000"/>
            </w:tcBorders>
          </w:tcPr>
          <w:p w14:paraId="60AB239A" w14:textId="77777777" w:rsidR="00B97B4A" w:rsidRDefault="00B97B4A" w:rsidP="004060B7">
            <w:pPr>
              <w:pStyle w:val="TableParagraph"/>
              <w:spacing w:before="45" w:line="284" w:lineRule="auto"/>
              <w:ind w:left="192" w:right="191"/>
            </w:pPr>
            <w:r>
              <w:rPr>
                <w:b/>
                <w:w w:val="95"/>
              </w:rPr>
              <w:t>Intolerant</w:t>
            </w:r>
            <w:r>
              <w:rPr>
                <w:b/>
                <w:w w:val="99"/>
              </w:rPr>
              <w:t xml:space="preserve"> </w:t>
            </w:r>
            <w:r>
              <w:rPr>
                <w:b/>
                <w:spacing w:val="-1"/>
              </w:rPr>
              <w:t>N=5</w:t>
            </w:r>
          </w:p>
          <w:p w14:paraId="2081B7E5" w14:textId="77777777" w:rsidR="00B97B4A" w:rsidRDefault="00B97B4A" w:rsidP="004060B7">
            <w:pPr>
              <w:pStyle w:val="TableParagraph"/>
              <w:spacing w:before="1" w:line="252" w:lineRule="exact"/>
            </w:pPr>
            <w:r>
              <w:rPr>
                <w:b/>
              </w:rPr>
              <w:t>n</w:t>
            </w:r>
            <w:r>
              <w:rPr>
                <w:b/>
                <w:spacing w:val="-5"/>
              </w:rPr>
              <w:t xml:space="preserve"> </w:t>
            </w:r>
            <w:r>
              <w:rPr>
                <w:b/>
              </w:rPr>
              <w:t>(%)</w:t>
            </w:r>
          </w:p>
        </w:tc>
        <w:tc>
          <w:tcPr>
            <w:tcW w:w="1256" w:type="dxa"/>
            <w:tcBorders>
              <w:top w:val="single" w:sz="5" w:space="0" w:color="000000"/>
              <w:left w:val="single" w:sz="5" w:space="0" w:color="000000"/>
              <w:bottom w:val="single" w:sz="5" w:space="0" w:color="000000"/>
              <w:right w:val="single" w:sz="5" w:space="0" w:color="000000"/>
            </w:tcBorders>
          </w:tcPr>
          <w:p w14:paraId="2B7883B7" w14:textId="77777777" w:rsidR="00B97B4A" w:rsidRDefault="00B97B4A" w:rsidP="004060B7">
            <w:pPr>
              <w:pStyle w:val="TableParagraph"/>
              <w:spacing w:before="11" w:line="300" w:lineRule="exact"/>
              <w:ind w:left="350" w:right="348" w:firstLine="20"/>
              <w:jc w:val="both"/>
            </w:pPr>
            <w:r>
              <w:rPr>
                <w:b/>
              </w:rPr>
              <w:t>Total</w:t>
            </w:r>
            <w:r>
              <w:rPr>
                <w:b/>
                <w:w w:val="99"/>
              </w:rPr>
              <w:t xml:space="preserve"> </w:t>
            </w:r>
            <w:r>
              <w:rPr>
                <w:b/>
              </w:rPr>
              <w:t>N=37</w:t>
            </w:r>
            <w:r>
              <w:rPr>
                <w:b/>
                <w:w w:val="99"/>
              </w:rPr>
              <w:t xml:space="preserve"> </w:t>
            </w:r>
            <w:r>
              <w:rPr>
                <w:b/>
              </w:rPr>
              <w:t>n</w:t>
            </w:r>
            <w:r>
              <w:rPr>
                <w:b/>
                <w:spacing w:val="-5"/>
              </w:rPr>
              <w:t xml:space="preserve"> </w:t>
            </w:r>
            <w:r>
              <w:rPr>
                <w:b/>
              </w:rPr>
              <w:t>(%)</w:t>
            </w:r>
          </w:p>
        </w:tc>
      </w:tr>
      <w:tr w:rsidR="00B97B4A" w14:paraId="2806E548" w14:textId="77777777" w:rsidTr="004060B7">
        <w:trPr>
          <w:trHeight w:hRule="exact" w:val="310"/>
        </w:trPr>
        <w:tc>
          <w:tcPr>
            <w:tcW w:w="3420" w:type="dxa"/>
            <w:tcBorders>
              <w:top w:val="single" w:sz="5" w:space="0" w:color="000000"/>
              <w:left w:val="single" w:sz="5" w:space="0" w:color="000000"/>
              <w:bottom w:val="single" w:sz="5" w:space="0" w:color="000000"/>
              <w:right w:val="single" w:sz="5" w:space="0" w:color="000000"/>
            </w:tcBorders>
          </w:tcPr>
          <w:p w14:paraId="48215F3B" w14:textId="77777777" w:rsidR="00B97B4A" w:rsidRDefault="00B97B4A" w:rsidP="004060B7">
            <w:pPr>
              <w:pStyle w:val="TableParagraph"/>
              <w:spacing w:before="45" w:line="252" w:lineRule="exact"/>
              <w:ind w:left="102"/>
            </w:pPr>
            <w:r>
              <w:rPr>
                <w:b/>
              </w:rPr>
              <w:t>Hematologic</w:t>
            </w:r>
            <w:r>
              <w:rPr>
                <w:b/>
                <w:spacing w:val="-23"/>
              </w:rPr>
              <w:t xml:space="preserve"> </w:t>
            </w:r>
            <w:r>
              <w:rPr>
                <w:b/>
              </w:rPr>
              <w:t>Malignancy</w:t>
            </w:r>
          </w:p>
        </w:tc>
        <w:tc>
          <w:tcPr>
            <w:tcW w:w="1192" w:type="dxa"/>
            <w:tcBorders>
              <w:top w:val="single" w:sz="5" w:space="0" w:color="000000"/>
              <w:left w:val="single" w:sz="5" w:space="0" w:color="000000"/>
              <w:bottom w:val="single" w:sz="5" w:space="0" w:color="000000"/>
              <w:right w:val="single" w:sz="5" w:space="0" w:color="000000"/>
            </w:tcBorders>
          </w:tcPr>
          <w:p w14:paraId="434F3CE4" w14:textId="77777777" w:rsidR="00B97B4A" w:rsidRDefault="00B97B4A" w:rsidP="004060B7">
            <w:pPr>
              <w:pStyle w:val="TableParagraph"/>
              <w:spacing w:before="44"/>
              <w:ind w:left="268"/>
            </w:pPr>
            <w:r>
              <w:t>11</w:t>
            </w:r>
            <w:r>
              <w:rPr>
                <w:spacing w:val="-6"/>
              </w:rPr>
              <w:t xml:space="preserve"> </w:t>
            </w:r>
            <w:r>
              <w:t>(52)</w:t>
            </w:r>
          </w:p>
        </w:tc>
        <w:tc>
          <w:tcPr>
            <w:tcW w:w="1422" w:type="dxa"/>
            <w:tcBorders>
              <w:top w:val="single" w:sz="5" w:space="0" w:color="000000"/>
              <w:left w:val="single" w:sz="5" w:space="0" w:color="000000"/>
              <w:bottom w:val="single" w:sz="5" w:space="0" w:color="000000"/>
              <w:right w:val="single" w:sz="5" w:space="0" w:color="000000"/>
            </w:tcBorders>
          </w:tcPr>
          <w:p w14:paraId="51DFC43A" w14:textId="77777777" w:rsidR="00B97B4A" w:rsidRDefault="00B97B4A" w:rsidP="004060B7">
            <w:pPr>
              <w:pStyle w:val="TableParagraph"/>
              <w:spacing w:before="44"/>
              <w:ind w:left="438"/>
            </w:pPr>
            <w:r>
              <w:t>7</w:t>
            </w:r>
            <w:r>
              <w:rPr>
                <w:spacing w:val="-5"/>
              </w:rPr>
              <w:t xml:space="preserve"> </w:t>
            </w:r>
            <w:r>
              <w:t>(64)</w:t>
            </w:r>
          </w:p>
        </w:tc>
        <w:tc>
          <w:tcPr>
            <w:tcW w:w="1350" w:type="dxa"/>
            <w:tcBorders>
              <w:top w:val="single" w:sz="5" w:space="0" w:color="000000"/>
              <w:left w:val="single" w:sz="5" w:space="0" w:color="000000"/>
              <w:bottom w:val="single" w:sz="5" w:space="0" w:color="000000"/>
              <w:right w:val="single" w:sz="5" w:space="0" w:color="000000"/>
            </w:tcBorders>
          </w:tcPr>
          <w:p w14:paraId="1077D744" w14:textId="77777777" w:rsidR="00B97B4A" w:rsidRDefault="00B97B4A" w:rsidP="004060B7">
            <w:pPr>
              <w:pStyle w:val="TableParagraph"/>
              <w:spacing w:before="44"/>
              <w:ind w:left="403"/>
            </w:pPr>
            <w:r>
              <w:t>4</w:t>
            </w:r>
            <w:r>
              <w:rPr>
                <w:spacing w:val="-5"/>
              </w:rPr>
              <w:t xml:space="preserve"> </w:t>
            </w:r>
            <w:r>
              <w:t>(80)</w:t>
            </w:r>
          </w:p>
        </w:tc>
        <w:tc>
          <w:tcPr>
            <w:tcW w:w="1256" w:type="dxa"/>
            <w:tcBorders>
              <w:top w:val="single" w:sz="5" w:space="0" w:color="000000"/>
              <w:left w:val="single" w:sz="5" w:space="0" w:color="000000"/>
              <w:bottom w:val="single" w:sz="5" w:space="0" w:color="000000"/>
              <w:right w:val="single" w:sz="5" w:space="0" w:color="000000"/>
            </w:tcBorders>
          </w:tcPr>
          <w:p w14:paraId="6089F849" w14:textId="77777777" w:rsidR="00B97B4A" w:rsidRDefault="00B97B4A" w:rsidP="004060B7">
            <w:pPr>
              <w:pStyle w:val="TableParagraph"/>
              <w:spacing w:before="44"/>
              <w:ind w:left="301"/>
            </w:pPr>
            <w:r>
              <w:t>22</w:t>
            </w:r>
            <w:r>
              <w:rPr>
                <w:spacing w:val="-6"/>
              </w:rPr>
              <w:t xml:space="preserve"> </w:t>
            </w:r>
            <w:r>
              <w:t>(60)</w:t>
            </w:r>
          </w:p>
        </w:tc>
      </w:tr>
      <w:tr w:rsidR="00B97B4A" w14:paraId="565F2941" w14:textId="77777777" w:rsidTr="004060B7">
        <w:trPr>
          <w:trHeight w:hRule="exact" w:val="611"/>
        </w:trPr>
        <w:tc>
          <w:tcPr>
            <w:tcW w:w="3420" w:type="dxa"/>
            <w:tcBorders>
              <w:top w:val="single" w:sz="5" w:space="0" w:color="000000"/>
              <w:left w:val="single" w:sz="5" w:space="0" w:color="000000"/>
              <w:bottom w:val="single" w:sz="5" w:space="0" w:color="000000"/>
              <w:right w:val="single" w:sz="5" w:space="0" w:color="000000"/>
            </w:tcBorders>
          </w:tcPr>
          <w:p w14:paraId="2B96D00D" w14:textId="77777777" w:rsidR="00B97B4A" w:rsidRDefault="00B97B4A" w:rsidP="004060B7">
            <w:pPr>
              <w:pStyle w:val="TableParagraph"/>
              <w:spacing w:before="12" w:line="300" w:lineRule="exact"/>
              <w:ind w:left="102" w:right="371"/>
            </w:pPr>
            <w:r>
              <w:rPr>
                <w:b/>
              </w:rPr>
              <w:t>Allogeneic</w:t>
            </w:r>
            <w:r>
              <w:rPr>
                <w:b/>
                <w:spacing w:val="-15"/>
              </w:rPr>
              <w:t xml:space="preserve"> </w:t>
            </w:r>
            <w:r>
              <w:rPr>
                <w:b/>
                <w:spacing w:val="-1"/>
              </w:rPr>
              <w:t>Hematopoietic</w:t>
            </w:r>
            <w:r>
              <w:rPr>
                <w:b/>
                <w:spacing w:val="-14"/>
              </w:rPr>
              <w:t xml:space="preserve"> </w:t>
            </w:r>
            <w:r>
              <w:rPr>
                <w:b/>
              </w:rPr>
              <w:t>Stem</w:t>
            </w:r>
            <w:r>
              <w:rPr>
                <w:b/>
                <w:spacing w:val="24"/>
                <w:w w:val="99"/>
              </w:rPr>
              <w:t xml:space="preserve"> </w:t>
            </w:r>
            <w:r>
              <w:rPr>
                <w:b/>
              </w:rPr>
              <w:t>Cell</w:t>
            </w:r>
            <w:r>
              <w:rPr>
                <w:b/>
                <w:spacing w:val="-15"/>
              </w:rPr>
              <w:t xml:space="preserve"> </w:t>
            </w:r>
            <w:r>
              <w:rPr>
                <w:b/>
              </w:rPr>
              <w:t>Transplant</w:t>
            </w:r>
          </w:p>
        </w:tc>
        <w:tc>
          <w:tcPr>
            <w:tcW w:w="1192" w:type="dxa"/>
            <w:tcBorders>
              <w:top w:val="single" w:sz="5" w:space="0" w:color="000000"/>
              <w:left w:val="single" w:sz="5" w:space="0" w:color="000000"/>
              <w:bottom w:val="single" w:sz="5" w:space="0" w:color="000000"/>
              <w:right w:val="single" w:sz="5" w:space="0" w:color="000000"/>
            </w:tcBorders>
          </w:tcPr>
          <w:p w14:paraId="53B854D8" w14:textId="77777777" w:rsidR="00B97B4A" w:rsidRDefault="00B97B4A" w:rsidP="004060B7">
            <w:pPr>
              <w:pStyle w:val="TableParagraph"/>
              <w:spacing w:before="171"/>
              <w:ind w:left="324"/>
            </w:pPr>
            <w:r>
              <w:t>4</w:t>
            </w:r>
            <w:r>
              <w:rPr>
                <w:spacing w:val="-5"/>
              </w:rPr>
              <w:t xml:space="preserve"> </w:t>
            </w:r>
            <w:r>
              <w:t>(19)</w:t>
            </w:r>
          </w:p>
        </w:tc>
        <w:tc>
          <w:tcPr>
            <w:tcW w:w="1422" w:type="dxa"/>
            <w:tcBorders>
              <w:top w:val="single" w:sz="5" w:space="0" w:color="000000"/>
              <w:left w:val="single" w:sz="5" w:space="0" w:color="000000"/>
              <w:bottom w:val="single" w:sz="5" w:space="0" w:color="000000"/>
              <w:right w:val="single" w:sz="5" w:space="0" w:color="000000"/>
            </w:tcBorders>
          </w:tcPr>
          <w:p w14:paraId="619BBF4E" w14:textId="77777777" w:rsidR="00B97B4A" w:rsidRDefault="00B97B4A" w:rsidP="004060B7">
            <w:pPr>
              <w:pStyle w:val="TableParagraph"/>
              <w:spacing w:before="171"/>
              <w:ind w:left="438"/>
            </w:pPr>
            <w:r>
              <w:t>4</w:t>
            </w:r>
            <w:r>
              <w:rPr>
                <w:spacing w:val="-5"/>
              </w:rPr>
              <w:t xml:space="preserve"> </w:t>
            </w:r>
            <w:r>
              <w:t>(36)</w:t>
            </w:r>
          </w:p>
        </w:tc>
        <w:tc>
          <w:tcPr>
            <w:tcW w:w="1350" w:type="dxa"/>
            <w:tcBorders>
              <w:top w:val="single" w:sz="5" w:space="0" w:color="000000"/>
              <w:left w:val="single" w:sz="5" w:space="0" w:color="000000"/>
              <w:bottom w:val="single" w:sz="5" w:space="0" w:color="000000"/>
              <w:right w:val="single" w:sz="5" w:space="0" w:color="000000"/>
            </w:tcBorders>
          </w:tcPr>
          <w:p w14:paraId="2F06EF33" w14:textId="77777777" w:rsidR="00B97B4A" w:rsidRDefault="00B97B4A" w:rsidP="004060B7">
            <w:pPr>
              <w:pStyle w:val="TableParagraph"/>
              <w:spacing w:before="171"/>
              <w:ind w:left="348"/>
            </w:pPr>
            <w:r>
              <w:t>5</w:t>
            </w:r>
            <w:r>
              <w:rPr>
                <w:spacing w:val="-6"/>
              </w:rPr>
              <w:t xml:space="preserve"> </w:t>
            </w:r>
            <w:r>
              <w:t>(100)</w:t>
            </w:r>
          </w:p>
        </w:tc>
        <w:tc>
          <w:tcPr>
            <w:tcW w:w="1256" w:type="dxa"/>
            <w:tcBorders>
              <w:top w:val="single" w:sz="5" w:space="0" w:color="000000"/>
              <w:left w:val="single" w:sz="5" w:space="0" w:color="000000"/>
              <w:bottom w:val="single" w:sz="5" w:space="0" w:color="000000"/>
              <w:right w:val="single" w:sz="5" w:space="0" w:color="000000"/>
            </w:tcBorders>
          </w:tcPr>
          <w:p w14:paraId="38134587" w14:textId="77777777" w:rsidR="00B97B4A" w:rsidRDefault="00B97B4A" w:rsidP="004060B7">
            <w:pPr>
              <w:pStyle w:val="TableParagraph"/>
              <w:spacing w:before="171"/>
              <w:ind w:left="301"/>
            </w:pPr>
            <w:r>
              <w:t>13</w:t>
            </w:r>
            <w:r>
              <w:rPr>
                <w:spacing w:val="-6"/>
              </w:rPr>
              <w:t xml:space="preserve"> </w:t>
            </w:r>
            <w:r>
              <w:t>(35)</w:t>
            </w:r>
          </w:p>
        </w:tc>
      </w:tr>
      <w:tr w:rsidR="00B97B4A" w14:paraId="413B8C28" w14:textId="77777777" w:rsidTr="004060B7">
        <w:trPr>
          <w:trHeight w:hRule="exact" w:val="310"/>
        </w:trPr>
        <w:tc>
          <w:tcPr>
            <w:tcW w:w="3420" w:type="dxa"/>
            <w:tcBorders>
              <w:top w:val="single" w:sz="5" w:space="0" w:color="000000"/>
              <w:left w:val="single" w:sz="5" w:space="0" w:color="000000"/>
              <w:bottom w:val="single" w:sz="5" w:space="0" w:color="000000"/>
              <w:right w:val="single" w:sz="5" w:space="0" w:color="000000"/>
            </w:tcBorders>
          </w:tcPr>
          <w:p w14:paraId="1BBE7AF5" w14:textId="77777777" w:rsidR="00B97B4A" w:rsidRDefault="00B97B4A" w:rsidP="004060B7">
            <w:pPr>
              <w:pStyle w:val="TableParagraph"/>
              <w:spacing w:before="40" w:line="258" w:lineRule="exact"/>
              <w:ind w:left="102"/>
              <w:rPr>
                <w:sz w:val="14"/>
                <w:szCs w:val="14"/>
              </w:rPr>
            </w:pPr>
            <w:r>
              <w:rPr>
                <w:b/>
              </w:rPr>
              <w:t>Neutropenia</w:t>
            </w:r>
            <w:r>
              <w:rPr>
                <w:b/>
                <w:position w:val="8"/>
                <w:sz w:val="14"/>
              </w:rPr>
              <w:t>a</w:t>
            </w:r>
          </w:p>
        </w:tc>
        <w:tc>
          <w:tcPr>
            <w:tcW w:w="1192" w:type="dxa"/>
            <w:tcBorders>
              <w:top w:val="single" w:sz="5" w:space="0" w:color="000000"/>
              <w:left w:val="single" w:sz="5" w:space="0" w:color="000000"/>
              <w:bottom w:val="single" w:sz="5" w:space="0" w:color="000000"/>
              <w:right w:val="single" w:sz="5" w:space="0" w:color="000000"/>
            </w:tcBorders>
          </w:tcPr>
          <w:p w14:paraId="757FC265" w14:textId="77777777" w:rsidR="00B97B4A" w:rsidRDefault="00B97B4A" w:rsidP="004060B7">
            <w:pPr>
              <w:pStyle w:val="TableParagraph"/>
              <w:spacing w:before="20"/>
              <w:ind w:left="324"/>
            </w:pPr>
            <w:r>
              <w:t>4</w:t>
            </w:r>
            <w:r>
              <w:rPr>
                <w:spacing w:val="-5"/>
              </w:rPr>
              <w:t xml:space="preserve"> </w:t>
            </w:r>
            <w:r>
              <w:t>(19)</w:t>
            </w:r>
          </w:p>
        </w:tc>
        <w:tc>
          <w:tcPr>
            <w:tcW w:w="1422" w:type="dxa"/>
            <w:tcBorders>
              <w:top w:val="single" w:sz="5" w:space="0" w:color="000000"/>
              <w:left w:val="single" w:sz="5" w:space="0" w:color="000000"/>
              <w:bottom w:val="single" w:sz="5" w:space="0" w:color="000000"/>
              <w:right w:val="single" w:sz="5" w:space="0" w:color="000000"/>
            </w:tcBorders>
          </w:tcPr>
          <w:p w14:paraId="4151A224" w14:textId="77777777" w:rsidR="00B97B4A" w:rsidRDefault="00B97B4A" w:rsidP="004060B7">
            <w:pPr>
              <w:pStyle w:val="TableParagraph"/>
              <w:spacing w:before="20"/>
              <w:ind w:left="438"/>
            </w:pPr>
            <w:r>
              <w:t>5</w:t>
            </w:r>
            <w:r>
              <w:rPr>
                <w:spacing w:val="-5"/>
              </w:rPr>
              <w:t xml:space="preserve"> </w:t>
            </w:r>
            <w:r>
              <w:t>(46)</w:t>
            </w:r>
          </w:p>
        </w:tc>
        <w:tc>
          <w:tcPr>
            <w:tcW w:w="1350" w:type="dxa"/>
            <w:tcBorders>
              <w:top w:val="single" w:sz="5" w:space="0" w:color="000000"/>
              <w:left w:val="single" w:sz="5" w:space="0" w:color="000000"/>
              <w:bottom w:val="single" w:sz="5" w:space="0" w:color="000000"/>
              <w:right w:val="single" w:sz="5" w:space="0" w:color="000000"/>
            </w:tcBorders>
          </w:tcPr>
          <w:p w14:paraId="73C605E2" w14:textId="77777777" w:rsidR="00B97B4A" w:rsidRDefault="00B97B4A" w:rsidP="004060B7">
            <w:pPr>
              <w:pStyle w:val="TableParagraph"/>
              <w:spacing w:before="20"/>
              <w:ind w:left="403"/>
            </w:pPr>
            <w:r>
              <w:t>1</w:t>
            </w:r>
            <w:r>
              <w:rPr>
                <w:spacing w:val="-5"/>
              </w:rPr>
              <w:t xml:space="preserve"> </w:t>
            </w:r>
            <w:r>
              <w:t>(20)</w:t>
            </w:r>
          </w:p>
        </w:tc>
        <w:tc>
          <w:tcPr>
            <w:tcW w:w="1256" w:type="dxa"/>
            <w:tcBorders>
              <w:top w:val="single" w:sz="5" w:space="0" w:color="000000"/>
              <w:left w:val="single" w:sz="5" w:space="0" w:color="000000"/>
              <w:bottom w:val="single" w:sz="5" w:space="0" w:color="000000"/>
              <w:right w:val="single" w:sz="5" w:space="0" w:color="000000"/>
            </w:tcBorders>
          </w:tcPr>
          <w:p w14:paraId="0EDCA1E5" w14:textId="77777777" w:rsidR="00B97B4A" w:rsidRDefault="00B97B4A" w:rsidP="004060B7">
            <w:pPr>
              <w:pStyle w:val="TableParagraph"/>
              <w:spacing w:before="20"/>
              <w:ind w:left="302"/>
            </w:pPr>
            <w:r>
              <w:t>10</w:t>
            </w:r>
            <w:r>
              <w:rPr>
                <w:spacing w:val="-6"/>
              </w:rPr>
              <w:t xml:space="preserve"> </w:t>
            </w:r>
            <w:r>
              <w:t>(27)</w:t>
            </w:r>
          </w:p>
        </w:tc>
      </w:tr>
      <w:tr w:rsidR="00B97B4A" w14:paraId="552DB791" w14:textId="77777777" w:rsidTr="004060B7">
        <w:trPr>
          <w:trHeight w:hRule="exact" w:val="310"/>
        </w:trPr>
        <w:tc>
          <w:tcPr>
            <w:tcW w:w="3420" w:type="dxa"/>
            <w:tcBorders>
              <w:top w:val="single" w:sz="5" w:space="0" w:color="000000"/>
              <w:left w:val="single" w:sz="5" w:space="0" w:color="000000"/>
              <w:bottom w:val="single" w:sz="5" w:space="0" w:color="000000"/>
              <w:right w:val="single" w:sz="5" w:space="0" w:color="000000"/>
            </w:tcBorders>
          </w:tcPr>
          <w:p w14:paraId="247CBCB0" w14:textId="77777777" w:rsidR="00B97B4A" w:rsidRDefault="00B97B4A" w:rsidP="004060B7">
            <w:pPr>
              <w:pStyle w:val="TableParagraph"/>
              <w:spacing w:before="45" w:line="252" w:lineRule="exact"/>
              <w:ind w:left="102"/>
            </w:pPr>
            <w:r>
              <w:rPr>
                <w:b/>
              </w:rPr>
              <w:t>Corticosteroid</w:t>
            </w:r>
            <w:r>
              <w:rPr>
                <w:b/>
                <w:spacing w:val="-17"/>
              </w:rPr>
              <w:t xml:space="preserve"> </w:t>
            </w:r>
            <w:r>
              <w:rPr>
                <w:b/>
              </w:rPr>
              <w:t>Use</w:t>
            </w:r>
          </w:p>
        </w:tc>
        <w:tc>
          <w:tcPr>
            <w:tcW w:w="1192" w:type="dxa"/>
            <w:tcBorders>
              <w:top w:val="single" w:sz="5" w:space="0" w:color="000000"/>
              <w:left w:val="single" w:sz="5" w:space="0" w:color="000000"/>
              <w:bottom w:val="single" w:sz="5" w:space="0" w:color="000000"/>
              <w:right w:val="single" w:sz="5" w:space="0" w:color="000000"/>
            </w:tcBorders>
          </w:tcPr>
          <w:p w14:paraId="605F83D4" w14:textId="77777777" w:rsidR="00B97B4A" w:rsidRDefault="00B97B4A" w:rsidP="004060B7">
            <w:pPr>
              <w:pStyle w:val="TableParagraph"/>
              <w:spacing w:before="21"/>
              <w:ind w:left="324"/>
            </w:pPr>
            <w:r>
              <w:t>5</w:t>
            </w:r>
            <w:r>
              <w:rPr>
                <w:spacing w:val="-5"/>
              </w:rPr>
              <w:t xml:space="preserve"> </w:t>
            </w:r>
            <w:r>
              <w:t>(24)</w:t>
            </w:r>
          </w:p>
        </w:tc>
        <w:tc>
          <w:tcPr>
            <w:tcW w:w="1422" w:type="dxa"/>
            <w:tcBorders>
              <w:top w:val="single" w:sz="5" w:space="0" w:color="000000"/>
              <w:left w:val="single" w:sz="5" w:space="0" w:color="000000"/>
              <w:bottom w:val="single" w:sz="5" w:space="0" w:color="000000"/>
              <w:right w:val="single" w:sz="5" w:space="0" w:color="000000"/>
            </w:tcBorders>
          </w:tcPr>
          <w:p w14:paraId="4B513854" w14:textId="77777777" w:rsidR="00B97B4A" w:rsidRDefault="00B97B4A" w:rsidP="004060B7">
            <w:pPr>
              <w:pStyle w:val="TableParagraph"/>
              <w:spacing w:before="21"/>
              <w:ind w:left="438"/>
            </w:pPr>
            <w:r>
              <w:t>3</w:t>
            </w:r>
            <w:r>
              <w:rPr>
                <w:spacing w:val="-5"/>
              </w:rPr>
              <w:t xml:space="preserve"> </w:t>
            </w:r>
            <w:r>
              <w:t>(27)</w:t>
            </w:r>
          </w:p>
        </w:tc>
        <w:tc>
          <w:tcPr>
            <w:tcW w:w="1350" w:type="dxa"/>
            <w:tcBorders>
              <w:top w:val="single" w:sz="5" w:space="0" w:color="000000"/>
              <w:left w:val="single" w:sz="5" w:space="0" w:color="000000"/>
              <w:bottom w:val="single" w:sz="5" w:space="0" w:color="000000"/>
              <w:right w:val="single" w:sz="5" w:space="0" w:color="000000"/>
            </w:tcBorders>
          </w:tcPr>
          <w:p w14:paraId="05EABFF7" w14:textId="77777777" w:rsidR="00B97B4A" w:rsidRDefault="00B97B4A" w:rsidP="004060B7">
            <w:pPr>
              <w:pStyle w:val="TableParagraph"/>
              <w:spacing w:before="21"/>
              <w:ind w:left="403"/>
            </w:pPr>
            <w:r>
              <w:t>2</w:t>
            </w:r>
            <w:r>
              <w:rPr>
                <w:spacing w:val="-5"/>
              </w:rPr>
              <w:t xml:space="preserve"> </w:t>
            </w:r>
            <w:r>
              <w:t>(40)</w:t>
            </w:r>
          </w:p>
        </w:tc>
        <w:tc>
          <w:tcPr>
            <w:tcW w:w="1256" w:type="dxa"/>
            <w:tcBorders>
              <w:top w:val="single" w:sz="5" w:space="0" w:color="000000"/>
              <w:left w:val="single" w:sz="5" w:space="0" w:color="000000"/>
              <w:bottom w:val="single" w:sz="5" w:space="0" w:color="000000"/>
              <w:right w:val="single" w:sz="5" w:space="0" w:color="000000"/>
            </w:tcBorders>
          </w:tcPr>
          <w:p w14:paraId="19D32B38" w14:textId="77777777" w:rsidR="00B97B4A" w:rsidRDefault="00B97B4A" w:rsidP="004060B7">
            <w:pPr>
              <w:pStyle w:val="TableParagraph"/>
              <w:spacing w:before="21"/>
              <w:ind w:left="302"/>
            </w:pPr>
            <w:r>
              <w:t>10</w:t>
            </w:r>
            <w:r>
              <w:rPr>
                <w:spacing w:val="-6"/>
              </w:rPr>
              <w:t xml:space="preserve"> </w:t>
            </w:r>
            <w:r>
              <w:t>(27)</w:t>
            </w:r>
          </w:p>
        </w:tc>
      </w:tr>
      <w:tr w:rsidR="00B97B4A" w14:paraId="43BE044C" w14:textId="77777777" w:rsidTr="004060B7">
        <w:trPr>
          <w:trHeight w:hRule="exact" w:val="311"/>
        </w:trPr>
        <w:tc>
          <w:tcPr>
            <w:tcW w:w="3420" w:type="dxa"/>
            <w:tcBorders>
              <w:top w:val="single" w:sz="5" w:space="0" w:color="000000"/>
              <w:left w:val="single" w:sz="5" w:space="0" w:color="000000"/>
              <w:bottom w:val="single" w:sz="5" w:space="0" w:color="000000"/>
              <w:right w:val="single" w:sz="5" w:space="0" w:color="000000"/>
            </w:tcBorders>
          </w:tcPr>
          <w:p w14:paraId="55E826AB" w14:textId="77777777" w:rsidR="00B97B4A" w:rsidRDefault="00B97B4A" w:rsidP="004060B7">
            <w:pPr>
              <w:pStyle w:val="TableParagraph"/>
              <w:spacing w:before="47" w:line="252" w:lineRule="exact"/>
              <w:ind w:left="102"/>
            </w:pPr>
            <w:r>
              <w:rPr>
                <w:b/>
              </w:rPr>
              <w:t>T-Cell</w:t>
            </w:r>
            <w:r>
              <w:rPr>
                <w:b/>
                <w:spacing w:val="-16"/>
              </w:rPr>
              <w:t xml:space="preserve"> </w:t>
            </w:r>
            <w:r>
              <w:rPr>
                <w:b/>
              </w:rPr>
              <w:t>Immunosuppressant</w:t>
            </w:r>
            <w:r>
              <w:rPr>
                <w:b/>
                <w:spacing w:val="-15"/>
              </w:rPr>
              <w:t xml:space="preserve"> </w:t>
            </w:r>
            <w:r>
              <w:rPr>
                <w:b/>
              </w:rPr>
              <w:t>Use</w:t>
            </w:r>
          </w:p>
        </w:tc>
        <w:tc>
          <w:tcPr>
            <w:tcW w:w="1192" w:type="dxa"/>
            <w:tcBorders>
              <w:top w:val="single" w:sz="5" w:space="0" w:color="000000"/>
              <w:left w:val="single" w:sz="5" w:space="0" w:color="000000"/>
              <w:bottom w:val="single" w:sz="5" w:space="0" w:color="000000"/>
              <w:right w:val="single" w:sz="5" w:space="0" w:color="000000"/>
            </w:tcBorders>
          </w:tcPr>
          <w:p w14:paraId="462044AA" w14:textId="77777777" w:rsidR="00B97B4A" w:rsidRDefault="00B97B4A" w:rsidP="004060B7">
            <w:pPr>
              <w:pStyle w:val="TableParagraph"/>
              <w:spacing w:before="21"/>
              <w:ind w:left="324"/>
            </w:pPr>
            <w:r>
              <w:t>7</w:t>
            </w:r>
            <w:r>
              <w:rPr>
                <w:spacing w:val="-5"/>
              </w:rPr>
              <w:t xml:space="preserve"> </w:t>
            </w:r>
            <w:r>
              <w:t>(33)</w:t>
            </w:r>
          </w:p>
        </w:tc>
        <w:tc>
          <w:tcPr>
            <w:tcW w:w="1422" w:type="dxa"/>
            <w:tcBorders>
              <w:top w:val="single" w:sz="5" w:space="0" w:color="000000"/>
              <w:left w:val="single" w:sz="5" w:space="0" w:color="000000"/>
              <w:bottom w:val="single" w:sz="5" w:space="0" w:color="000000"/>
              <w:right w:val="single" w:sz="5" w:space="0" w:color="000000"/>
            </w:tcBorders>
          </w:tcPr>
          <w:p w14:paraId="5EF6FFBA" w14:textId="77777777" w:rsidR="00B97B4A" w:rsidRDefault="00B97B4A" w:rsidP="004060B7">
            <w:pPr>
              <w:pStyle w:val="TableParagraph"/>
              <w:spacing w:before="21"/>
              <w:ind w:left="438"/>
            </w:pPr>
            <w:r>
              <w:t>6</w:t>
            </w:r>
            <w:r>
              <w:rPr>
                <w:spacing w:val="-5"/>
              </w:rPr>
              <w:t xml:space="preserve"> </w:t>
            </w:r>
            <w:r>
              <w:t>(55)</w:t>
            </w:r>
          </w:p>
        </w:tc>
        <w:tc>
          <w:tcPr>
            <w:tcW w:w="1350" w:type="dxa"/>
            <w:tcBorders>
              <w:top w:val="single" w:sz="5" w:space="0" w:color="000000"/>
              <w:left w:val="single" w:sz="5" w:space="0" w:color="000000"/>
              <w:bottom w:val="single" w:sz="5" w:space="0" w:color="000000"/>
              <w:right w:val="single" w:sz="5" w:space="0" w:color="000000"/>
            </w:tcBorders>
          </w:tcPr>
          <w:p w14:paraId="44BD77D5" w14:textId="77777777" w:rsidR="00B97B4A" w:rsidRDefault="00B97B4A" w:rsidP="004060B7">
            <w:pPr>
              <w:pStyle w:val="TableParagraph"/>
              <w:spacing w:before="21"/>
              <w:ind w:left="348"/>
            </w:pPr>
            <w:r>
              <w:t>5</w:t>
            </w:r>
            <w:r>
              <w:rPr>
                <w:spacing w:val="-6"/>
              </w:rPr>
              <w:t xml:space="preserve"> </w:t>
            </w:r>
            <w:r>
              <w:t>(100)</w:t>
            </w:r>
          </w:p>
        </w:tc>
        <w:tc>
          <w:tcPr>
            <w:tcW w:w="1256" w:type="dxa"/>
            <w:tcBorders>
              <w:top w:val="single" w:sz="5" w:space="0" w:color="000000"/>
              <w:left w:val="single" w:sz="5" w:space="0" w:color="000000"/>
              <w:bottom w:val="single" w:sz="5" w:space="0" w:color="000000"/>
              <w:right w:val="single" w:sz="5" w:space="0" w:color="000000"/>
            </w:tcBorders>
          </w:tcPr>
          <w:p w14:paraId="33AB0A7C" w14:textId="77777777" w:rsidR="00B97B4A" w:rsidRDefault="00B97B4A" w:rsidP="004060B7">
            <w:pPr>
              <w:pStyle w:val="TableParagraph"/>
              <w:spacing w:before="21"/>
              <w:ind w:left="301"/>
            </w:pPr>
            <w:r>
              <w:t>18</w:t>
            </w:r>
            <w:r>
              <w:rPr>
                <w:spacing w:val="-6"/>
              </w:rPr>
              <w:t xml:space="preserve"> </w:t>
            </w:r>
            <w:r>
              <w:t>(49)</w:t>
            </w:r>
          </w:p>
        </w:tc>
      </w:tr>
      <w:tr w:rsidR="00B97B4A" w14:paraId="222A70F4" w14:textId="77777777" w:rsidTr="004060B7">
        <w:trPr>
          <w:trHeight w:hRule="exact" w:val="310"/>
        </w:trPr>
        <w:tc>
          <w:tcPr>
            <w:tcW w:w="3420" w:type="dxa"/>
            <w:tcBorders>
              <w:top w:val="single" w:sz="5" w:space="0" w:color="000000"/>
              <w:left w:val="single" w:sz="5" w:space="0" w:color="000000"/>
              <w:bottom w:val="single" w:sz="5" w:space="0" w:color="000000"/>
              <w:right w:val="single" w:sz="5" w:space="0" w:color="000000"/>
            </w:tcBorders>
          </w:tcPr>
          <w:p w14:paraId="6BB7BBDC" w14:textId="77777777" w:rsidR="00B97B4A" w:rsidRDefault="00B97B4A" w:rsidP="004060B7">
            <w:pPr>
              <w:pStyle w:val="TableParagraph"/>
              <w:spacing w:before="45" w:line="252" w:lineRule="exact"/>
              <w:ind w:left="102"/>
            </w:pPr>
            <w:r>
              <w:rPr>
                <w:b/>
              </w:rPr>
              <w:t>Diabetic</w:t>
            </w:r>
          </w:p>
        </w:tc>
        <w:tc>
          <w:tcPr>
            <w:tcW w:w="1192" w:type="dxa"/>
            <w:tcBorders>
              <w:top w:val="single" w:sz="5" w:space="0" w:color="000000"/>
              <w:left w:val="single" w:sz="5" w:space="0" w:color="000000"/>
              <w:bottom w:val="single" w:sz="5" w:space="0" w:color="000000"/>
              <w:right w:val="single" w:sz="5" w:space="0" w:color="000000"/>
            </w:tcBorders>
          </w:tcPr>
          <w:p w14:paraId="02AEE87A" w14:textId="77777777" w:rsidR="00B97B4A" w:rsidRDefault="00B97B4A" w:rsidP="004060B7">
            <w:pPr>
              <w:pStyle w:val="TableParagraph"/>
              <w:spacing w:before="20"/>
              <w:ind w:left="324"/>
            </w:pPr>
            <w:r>
              <w:t>4</w:t>
            </w:r>
            <w:r>
              <w:rPr>
                <w:spacing w:val="-5"/>
              </w:rPr>
              <w:t xml:space="preserve"> </w:t>
            </w:r>
            <w:r>
              <w:t>(19)</w:t>
            </w:r>
          </w:p>
        </w:tc>
        <w:tc>
          <w:tcPr>
            <w:tcW w:w="1422" w:type="dxa"/>
            <w:tcBorders>
              <w:top w:val="single" w:sz="5" w:space="0" w:color="000000"/>
              <w:left w:val="single" w:sz="5" w:space="0" w:color="000000"/>
              <w:bottom w:val="single" w:sz="5" w:space="0" w:color="000000"/>
              <w:right w:val="single" w:sz="5" w:space="0" w:color="000000"/>
            </w:tcBorders>
          </w:tcPr>
          <w:p w14:paraId="0B19460C" w14:textId="77777777" w:rsidR="00B97B4A" w:rsidRDefault="00B97B4A" w:rsidP="004060B7">
            <w:pPr>
              <w:pStyle w:val="TableParagraph"/>
              <w:spacing w:before="20"/>
              <w:ind w:right="1"/>
            </w:pPr>
            <w:r>
              <w:t>0</w:t>
            </w:r>
          </w:p>
        </w:tc>
        <w:tc>
          <w:tcPr>
            <w:tcW w:w="1350" w:type="dxa"/>
            <w:tcBorders>
              <w:top w:val="single" w:sz="5" w:space="0" w:color="000000"/>
              <w:left w:val="single" w:sz="5" w:space="0" w:color="000000"/>
              <w:bottom w:val="single" w:sz="5" w:space="0" w:color="000000"/>
              <w:right w:val="single" w:sz="5" w:space="0" w:color="000000"/>
            </w:tcBorders>
          </w:tcPr>
          <w:p w14:paraId="63A0F6E7" w14:textId="77777777" w:rsidR="00B97B4A" w:rsidRDefault="00B97B4A" w:rsidP="004060B7">
            <w:pPr>
              <w:pStyle w:val="TableParagraph"/>
              <w:spacing w:before="20"/>
              <w:ind w:right="1"/>
            </w:pPr>
            <w:r>
              <w:t>0</w:t>
            </w:r>
          </w:p>
        </w:tc>
        <w:tc>
          <w:tcPr>
            <w:tcW w:w="1256" w:type="dxa"/>
            <w:tcBorders>
              <w:top w:val="single" w:sz="5" w:space="0" w:color="000000"/>
              <w:left w:val="single" w:sz="5" w:space="0" w:color="000000"/>
              <w:bottom w:val="single" w:sz="5" w:space="0" w:color="000000"/>
              <w:right w:val="single" w:sz="5" w:space="0" w:color="000000"/>
            </w:tcBorders>
          </w:tcPr>
          <w:p w14:paraId="312CE3C3" w14:textId="77777777" w:rsidR="00B97B4A" w:rsidRDefault="00B97B4A" w:rsidP="004060B7">
            <w:pPr>
              <w:pStyle w:val="TableParagraph"/>
              <w:spacing w:before="20"/>
              <w:ind w:left="356"/>
            </w:pPr>
            <w:r>
              <w:t>4</w:t>
            </w:r>
            <w:r>
              <w:rPr>
                <w:spacing w:val="-5"/>
              </w:rPr>
              <w:t xml:space="preserve"> </w:t>
            </w:r>
            <w:r>
              <w:t>(11)</w:t>
            </w:r>
          </w:p>
        </w:tc>
      </w:tr>
    </w:tbl>
    <w:p w14:paraId="513C148F" w14:textId="77777777" w:rsidR="00B97B4A" w:rsidRDefault="00B97B4A" w:rsidP="009509D2">
      <w:pPr>
        <w:pStyle w:val="CLDTableFootnote"/>
      </w:pPr>
      <w:r>
        <w:t>Therapy status</w:t>
      </w:r>
      <w:r>
        <w:rPr>
          <w:spacing w:val="-2"/>
        </w:rPr>
        <w:t xml:space="preserve"> </w:t>
      </w:r>
      <w:r>
        <w:t>assessed by</w:t>
      </w:r>
      <w:r>
        <w:rPr>
          <w:spacing w:val="1"/>
        </w:rPr>
        <w:t xml:space="preserve"> </w:t>
      </w:r>
      <w:r>
        <w:t>independent Data Review Committee: Primary</w:t>
      </w:r>
      <w:r>
        <w:rPr>
          <w:spacing w:val="1"/>
        </w:rPr>
        <w:t xml:space="preserve"> </w:t>
      </w:r>
      <w:r>
        <w:t>= patients received CRESEMBA as primary</w:t>
      </w:r>
      <w:r>
        <w:rPr>
          <w:spacing w:val="113"/>
        </w:rPr>
        <w:t xml:space="preserve"> </w:t>
      </w:r>
      <w:r>
        <w:t>treatment; refractory</w:t>
      </w:r>
      <w:r>
        <w:rPr>
          <w:spacing w:val="1"/>
        </w:rPr>
        <w:t xml:space="preserve"> </w:t>
      </w:r>
      <w:r>
        <w:t>= patient’s underlying</w:t>
      </w:r>
      <w:r>
        <w:rPr>
          <w:spacing w:val="-2"/>
        </w:rPr>
        <w:t xml:space="preserve"> </w:t>
      </w:r>
      <w:r>
        <w:t>infection not adequately treated by</w:t>
      </w:r>
      <w:r>
        <w:rPr>
          <w:spacing w:val="1"/>
        </w:rPr>
        <w:t xml:space="preserve"> </w:t>
      </w:r>
      <w:r>
        <w:t>prior therapy; intolerant = patients unable</w:t>
      </w:r>
      <w:r>
        <w:rPr>
          <w:spacing w:val="53"/>
        </w:rPr>
        <w:t xml:space="preserve"> </w:t>
      </w:r>
      <w:r>
        <w:t xml:space="preserve">to tolerate prior therapy. </w:t>
      </w:r>
      <w:r>
        <w:rPr>
          <w:position w:val="6"/>
          <w:sz w:val="12"/>
          <w:szCs w:val="12"/>
        </w:rPr>
        <w:t>a</w:t>
      </w:r>
      <w:r>
        <w:t>Neutropenia is defined</w:t>
      </w:r>
      <w:r>
        <w:rPr>
          <w:spacing w:val="-2"/>
        </w:rPr>
        <w:t xml:space="preserve"> </w:t>
      </w:r>
      <w:r>
        <w:t>as less than</w:t>
      </w:r>
      <w:r>
        <w:rPr>
          <w:spacing w:val="-2"/>
        </w:rPr>
        <w:t xml:space="preserve"> </w:t>
      </w:r>
      <w:r>
        <w:t>500 cells/mm</w:t>
      </w:r>
      <w:r>
        <w:rPr>
          <w:position w:val="6"/>
          <w:sz w:val="12"/>
          <w:szCs w:val="12"/>
        </w:rPr>
        <w:t>3</w:t>
      </w:r>
      <w:r>
        <w:t>.</w:t>
      </w:r>
    </w:p>
    <w:p w14:paraId="375E4ABC" w14:textId="77777777" w:rsidR="008618D1" w:rsidRDefault="008618D1" w:rsidP="009509D2">
      <w:pPr>
        <w:pStyle w:val="CLDNormal"/>
      </w:pPr>
    </w:p>
    <w:p w14:paraId="720240CC" w14:textId="287F9C9A" w:rsidR="009509D2" w:rsidRPr="009509D2" w:rsidRDefault="00B97B4A" w:rsidP="009509D2">
      <w:pPr>
        <w:pStyle w:val="CLDNormal"/>
      </w:pPr>
      <w:r w:rsidRPr="009509D2">
        <w:t xml:space="preserve">Patients were treated with CRESEMBA intravenously or via oral administration at the recommended doses. Median treatment duration was 102 days for patients classified as </w:t>
      </w:r>
      <w:r w:rsidRPr="009509D2">
        <w:lastRenderedPageBreak/>
        <w:t xml:space="preserve">primary, 33 days for refractory, and 85 days for intolerant </w:t>
      </w:r>
      <w:r w:rsidR="009509D2" w:rsidRPr="009509D2">
        <w:t>(</w:t>
      </w:r>
      <w:r w:rsidRPr="009509D2">
        <w:t xml:space="preserve">see </w:t>
      </w:r>
      <w:r w:rsidR="009509D2" w:rsidRPr="009509D2">
        <w:t>Section 4.2</w:t>
      </w:r>
      <w:r w:rsidR="00DF484F">
        <w:t xml:space="preserve"> </w:t>
      </w:r>
      <w:r w:rsidR="009509D2" w:rsidRPr="009509D2">
        <w:t>Dose and method of administration).</w:t>
      </w:r>
    </w:p>
    <w:p w14:paraId="73DE17FB" w14:textId="20F32F32" w:rsidR="00B97B4A" w:rsidRDefault="00B97B4A" w:rsidP="009509D2">
      <w:pPr>
        <w:pStyle w:val="BodyText"/>
      </w:pPr>
      <w:r>
        <w:t>For</w:t>
      </w:r>
      <w:r>
        <w:rPr>
          <w:spacing w:val="-6"/>
        </w:rPr>
        <w:t xml:space="preserve"> </w:t>
      </w:r>
      <w:r>
        <w:t>patients</w:t>
      </w:r>
      <w:r>
        <w:rPr>
          <w:spacing w:val="-6"/>
        </w:rPr>
        <w:t xml:space="preserve"> </w:t>
      </w:r>
      <w:r>
        <w:t>with</w:t>
      </w:r>
      <w:r>
        <w:rPr>
          <w:spacing w:val="-6"/>
        </w:rPr>
        <w:t xml:space="preserve"> </w:t>
      </w:r>
      <w:r>
        <w:t>invasive</w:t>
      </w:r>
      <w:r>
        <w:rPr>
          <w:spacing w:val="-5"/>
        </w:rPr>
        <w:t xml:space="preserve"> </w:t>
      </w:r>
      <w:proofErr w:type="spellStart"/>
      <w:r>
        <w:rPr>
          <w:spacing w:val="-1"/>
        </w:rPr>
        <w:t>mucormycosis</w:t>
      </w:r>
      <w:proofErr w:type="spellEnd"/>
      <w:r>
        <w:rPr>
          <w:spacing w:val="-1"/>
        </w:rPr>
        <w:t>,</w:t>
      </w:r>
      <w:r>
        <w:rPr>
          <w:spacing w:val="-6"/>
        </w:rPr>
        <w:t xml:space="preserve"> </w:t>
      </w:r>
      <w:r>
        <w:t>all-cause</w:t>
      </w:r>
      <w:r>
        <w:rPr>
          <w:spacing w:val="-5"/>
        </w:rPr>
        <w:t xml:space="preserve"> </w:t>
      </w:r>
      <w:r>
        <w:rPr>
          <w:spacing w:val="-1"/>
        </w:rPr>
        <w:t>mortality</w:t>
      </w:r>
      <w:r>
        <w:rPr>
          <w:spacing w:val="-5"/>
        </w:rPr>
        <w:t xml:space="preserve"> </w:t>
      </w:r>
      <w:r>
        <w:rPr>
          <w:spacing w:val="-1"/>
        </w:rPr>
        <w:t>through</w:t>
      </w:r>
      <w:r>
        <w:rPr>
          <w:spacing w:val="-6"/>
        </w:rPr>
        <w:t xml:space="preserve"> </w:t>
      </w:r>
      <w:r>
        <w:t>day</w:t>
      </w:r>
      <w:r>
        <w:rPr>
          <w:spacing w:val="-5"/>
        </w:rPr>
        <w:t xml:space="preserve"> </w:t>
      </w:r>
      <w:r>
        <w:t>42</w:t>
      </w:r>
      <w:r>
        <w:rPr>
          <w:spacing w:val="-6"/>
        </w:rPr>
        <w:t xml:space="preserve"> </w:t>
      </w:r>
      <w:r>
        <w:rPr>
          <w:spacing w:val="-1"/>
        </w:rPr>
        <w:t>and</w:t>
      </w:r>
      <w:r>
        <w:rPr>
          <w:spacing w:val="-6"/>
        </w:rPr>
        <w:t xml:space="preserve"> </w:t>
      </w:r>
      <w:r>
        <w:t>success</w:t>
      </w:r>
      <w:r>
        <w:rPr>
          <w:spacing w:val="-6"/>
        </w:rPr>
        <w:t xml:space="preserve"> </w:t>
      </w:r>
      <w:r>
        <w:t>in</w:t>
      </w:r>
      <w:r>
        <w:rPr>
          <w:spacing w:val="-5"/>
        </w:rPr>
        <w:t xml:space="preserve"> </w:t>
      </w:r>
      <w:r>
        <w:t>overall</w:t>
      </w:r>
      <w:r>
        <w:rPr>
          <w:spacing w:val="-6"/>
        </w:rPr>
        <w:t xml:space="preserve"> </w:t>
      </w:r>
      <w:r>
        <w:t>response</w:t>
      </w:r>
      <w:r>
        <w:rPr>
          <w:spacing w:val="-6"/>
        </w:rPr>
        <w:t xml:space="preserve"> </w:t>
      </w:r>
      <w:r>
        <w:t>at</w:t>
      </w:r>
      <w:r>
        <w:rPr>
          <w:spacing w:val="-6"/>
        </w:rPr>
        <w:t xml:space="preserve"> </w:t>
      </w:r>
      <w:r>
        <w:t>the</w:t>
      </w:r>
      <w:r w:rsidR="0062301C">
        <w:t xml:space="preserve"> </w:t>
      </w:r>
      <w:r>
        <w:t>End-of-Treatment</w:t>
      </w:r>
      <w:r>
        <w:rPr>
          <w:spacing w:val="-6"/>
        </w:rPr>
        <w:t xml:space="preserve"> </w:t>
      </w:r>
      <w:r>
        <w:t>as</w:t>
      </w:r>
      <w:r>
        <w:rPr>
          <w:spacing w:val="-6"/>
        </w:rPr>
        <w:t xml:space="preserve"> </w:t>
      </w:r>
      <w:r>
        <w:t>assessed</w:t>
      </w:r>
      <w:r>
        <w:rPr>
          <w:spacing w:val="-6"/>
        </w:rPr>
        <w:t xml:space="preserve"> </w:t>
      </w:r>
      <w:r>
        <w:t>by</w:t>
      </w:r>
      <w:r>
        <w:rPr>
          <w:spacing w:val="-6"/>
        </w:rPr>
        <w:t xml:space="preserve"> </w:t>
      </w:r>
      <w:r>
        <w:t>the</w:t>
      </w:r>
      <w:r>
        <w:rPr>
          <w:spacing w:val="-6"/>
        </w:rPr>
        <w:t xml:space="preserve"> </w:t>
      </w:r>
      <w:r>
        <w:t>independent</w:t>
      </w:r>
      <w:r>
        <w:rPr>
          <w:spacing w:val="-6"/>
        </w:rPr>
        <w:t xml:space="preserve"> </w:t>
      </w:r>
      <w:r>
        <w:t>Data</w:t>
      </w:r>
      <w:r>
        <w:rPr>
          <w:spacing w:val="-6"/>
        </w:rPr>
        <w:t xml:space="preserve"> </w:t>
      </w:r>
      <w:r>
        <w:t>Review</w:t>
      </w:r>
      <w:r>
        <w:rPr>
          <w:spacing w:val="-6"/>
        </w:rPr>
        <w:t xml:space="preserve"> </w:t>
      </w:r>
      <w:r>
        <w:t>Committee</w:t>
      </w:r>
      <w:r>
        <w:rPr>
          <w:spacing w:val="-6"/>
        </w:rPr>
        <w:t xml:space="preserve"> </w:t>
      </w:r>
      <w:r>
        <w:t>is</w:t>
      </w:r>
      <w:r>
        <w:rPr>
          <w:spacing w:val="-6"/>
        </w:rPr>
        <w:t xml:space="preserve"> </w:t>
      </w:r>
      <w:r>
        <w:t>shown</w:t>
      </w:r>
      <w:r>
        <w:rPr>
          <w:spacing w:val="-6"/>
        </w:rPr>
        <w:t xml:space="preserve"> </w:t>
      </w:r>
      <w:r>
        <w:t>in</w:t>
      </w:r>
      <w:r>
        <w:rPr>
          <w:spacing w:val="-6"/>
        </w:rPr>
        <w:t xml:space="preserve"> </w:t>
      </w:r>
      <w:r>
        <w:t>Table</w:t>
      </w:r>
      <w:r>
        <w:rPr>
          <w:spacing w:val="-7"/>
        </w:rPr>
        <w:t xml:space="preserve"> </w:t>
      </w:r>
      <w:r w:rsidR="0062301C">
        <w:rPr>
          <w:spacing w:val="-7"/>
        </w:rPr>
        <w:t>8</w:t>
      </w:r>
      <w:r>
        <w:t>.</w:t>
      </w:r>
      <w:r>
        <w:rPr>
          <w:spacing w:val="-6"/>
        </w:rPr>
        <w:t xml:space="preserve"> </w:t>
      </w:r>
      <w:r>
        <w:t>These</w:t>
      </w:r>
      <w:r>
        <w:rPr>
          <w:spacing w:val="-6"/>
        </w:rPr>
        <w:t xml:space="preserve"> </w:t>
      </w:r>
      <w:r>
        <w:t>results</w:t>
      </w:r>
      <w:r>
        <w:rPr>
          <w:spacing w:val="-6"/>
        </w:rPr>
        <w:t xml:space="preserve"> </w:t>
      </w:r>
      <w:r>
        <w:t>provide</w:t>
      </w:r>
      <w:r>
        <w:rPr>
          <w:spacing w:val="21"/>
          <w:w w:val="99"/>
        </w:rPr>
        <w:t xml:space="preserve"> </w:t>
      </w:r>
      <w:r>
        <w:t>evidence</w:t>
      </w:r>
      <w:r>
        <w:rPr>
          <w:spacing w:val="-6"/>
        </w:rPr>
        <w:t xml:space="preserve"> </w:t>
      </w:r>
      <w:r>
        <w:t>that</w:t>
      </w:r>
      <w:r>
        <w:rPr>
          <w:spacing w:val="-6"/>
        </w:rPr>
        <w:t xml:space="preserve"> </w:t>
      </w:r>
      <w:r>
        <w:t>CRESEMBA</w:t>
      </w:r>
      <w:r>
        <w:rPr>
          <w:spacing w:val="-5"/>
        </w:rPr>
        <w:t xml:space="preserve"> </w:t>
      </w:r>
      <w:r>
        <w:t>is</w:t>
      </w:r>
      <w:r>
        <w:rPr>
          <w:spacing w:val="-6"/>
        </w:rPr>
        <w:t xml:space="preserve"> </w:t>
      </w:r>
      <w:r>
        <w:t>effective</w:t>
      </w:r>
      <w:r>
        <w:rPr>
          <w:spacing w:val="-5"/>
        </w:rPr>
        <w:t xml:space="preserve"> </w:t>
      </w:r>
      <w:r>
        <w:t>for</w:t>
      </w:r>
      <w:r>
        <w:rPr>
          <w:spacing w:val="-6"/>
        </w:rPr>
        <w:t xml:space="preserve"> </w:t>
      </w:r>
      <w:r>
        <w:t>the</w:t>
      </w:r>
      <w:r>
        <w:rPr>
          <w:spacing w:val="-5"/>
        </w:rPr>
        <w:t xml:space="preserve"> </w:t>
      </w:r>
      <w:r>
        <w:rPr>
          <w:spacing w:val="-1"/>
        </w:rPr>
        <w:t>treatment</w:t>
      </w:r>
      <w:r>
        <w:rPr>
          <w:spacing w:val="-6"/>
        </w:rPr>
        <w:t xml:space="preserve"> </w:t>
      </w:r>
      <w:r>
        <w:t>for</w:t>
      </w:r>
      <w:r>
        <w:rPr>
          <w:spacing w:val="-5"/>
        </w:rPr>
        <w:t xml:space="preserve"> </w:t>
      </w:r>
      <w:proofErr w:type="spellStart"/>
      <w:r>
        <w:rPr>
          <w:spacing w:val="-1"/>
        </w:rPr>
        <w:t>mucormycosis</w:t>
      </w:r>
      <w:proofErr w:type="spellEnd"/>
      <w:r>
        <w:rPr>
          <w:spacing w:val="-1"/>
        </w:rPr>
        <w:t>,</w:t>
      </w:r>
      <w:r>
        <w:rPr>
          <w:spacing w:val="-6"/>
        </w:rPr>
        <w:t xml:space="preserve"> </w:t>
      </w:r>
      <w:r>
        <w:t>in</w:t>
      </w:r>
      <w:r>
        <w:rPr>
          <w:spacing w:val="-5"/>
        </w:rPr>
        <w:t xml:space="preserve"> </w:t>
      </w:r>
      <w:r>
        <w:t>light</w:t>
      </w:r>
      <w:r>
        <w:rPr>
          <w:spacing w:val="-6"/>
        </w:rPr>
        <w:t xml:space="preserve"> </w:t>
      </w:r>
      <w:r>
        <w:t>of</w:t>
      </w:r>
      <w:r>
        <w:rPr>
          <w:spacing w:val="-5"/>
        </w:rPr>
        <w:t xml:space="preserve"> </w:t>
      </w:r>
      <w:r>
        <w:rPr>
          <w:spacing w:val="-1"/>
        </w:rPr>
        <w:t>the</w:t>
      </w:r>
      <w:r>
        <w:rPr>
          <w:spacing w:val="-6"/>
        </w:rPr>
        <w:t xml:space="preserve"> </w:t>
      </w:r>
      <w:r>
        <w:rPr>
          <w:spacing w:val="-1"/>
        </w:rPr>
        <w:t>natural</w:t>
      </w:r>
      <w:r>
        <w:rPr>
          <w:spacing w:val="-5"/>
        </w:rPr>
        <w:t xml:space="preserve"> </w:t>
      </w:r>
      <w:r>
        <w:rPr>
          <w:spacing w:val="-1"/>
        </w:rPr>
        <w:t>history</w:t>
      </w:r>
      <w:r>
        <w:rPr>
          <w:spacing w:val="-4"/>
        </w:rPr>
        <w:t xml:space="preserve"> </w:t>
      </w:r>
      <w:r>
        <w:rPr>
          <w:spacing w:val="-1"/>
        </w:rPr>
        <w:t>of</w:t>
      </w:r>
      <w:r>
        <w:rPr>
          <w:spacing w:val="-6"/>
        </w:rPr>
        <w:t xml:space="preserve"> </w:t>
      </w:r>
      <w:r>
        <w:t>untreated</w:t>
      </w:r>
      <w:r>
        <w:rPr>
          <w:spacing w:val="61"/>
          <w:w w:val="99"/>
        </w:rPr>
        <w:t xml:space="preserve"> </w:t>
      </w:r>
      <w:proofErr w:type="spellStart"/>
      <w:r>
        <w:rPr>
          <w:spacing w:val="-1"/>
        </w:rPr>
        <w:t>mucormycosis</w:t>
      </w:r>
      <w:proofErr w:type="spellEnd"/>
      <w:r>
        <w:rPr>
          <w:spacing w:val="-1"/>
        </w:rPr>
        <w:t>.</w:t>
      </w:r>
      <w:r>
        <w:rPr>
          <w:spacing w:val="-7"/>
        </w:rPr>
        <w:t xml:space="preserve"> </w:t>
      </w:r>
      <w:r>
        <w:t>However,</w:t>
      </w:r>
      <w:r>
        <w:rPr>
          <w:spacing w:val="-7"/>
        </w:rPr>
        <w:t xml:space="preserve"> </w:t>
      </w:r>
      <w:r>
        <w:t>the</w:t>
      </w:r>
      <w:r>
        <w:rPr>
          <w:spacing w:val="-6"/>
        </w:rPr>
        <w:t xml:space="preserve"> </w:t>
      </w:r>
      <w:r>
        <w:t>efficacy</w:t>
      </w:r>
      <w:r>
        <w:rPr>
          <w:spacing w:val="-6"/>
        </w:rPr>
        <w:t xml:space="preserve"> </w:t>
      </w:r>
      <w:r>
        <w:t>of</w:t>
      </w:r>
      <w:r>
        <w:rPr>
          <w:spacing w:val="-6"/>
        </w:rPr>
        <w:t xml:space="preserve"> </w:t>
      </w:r>
      <w:r>
        <w:t>CRESEMBA</w:t>
      </w:r>
      <w:r>
        <w:rPr>
          <w:spacing w:val="-8"/>
        </w:rPr>
        <w:t xml:space="preserve"> </w:t>
      </w:r>
      <w:r>
        <w:t>for</w:t>
      </w:r>
      <w:r>
        <w:rPr>
          <w:spacing w:val="-6"/>
        </w:rPr>
        <w:t xml:space="preserve"> </w:t>
      </w:r>
      <w:r>
        <w:t>the</w:t>
      </w:r>
      <w:r>
        <w:rPr>
          <w:spacing w:val="-7"/>
        </w:rPr>
        <w:t xml:space="preserve"> </w:t>
      </w:r>
      <w:r>
        <w:rPr>
          <w:spacing w:val="-1"/>
        </w:rPr>
        <w:t>treatment</w:t>
      </w:r>
      <w:r>
        <w:rPr>
          <w:spacing w:val="-6"/>
        </w:rPr>
        <w:t xml:space="preserve"> </w:t>
      </w:r>
      <w:r>
        <w:t>for</w:t>
      </w:r>
      <w:r>
        <w:rPr>
          <w:spacing w:val="-7"/>
        </w:rPr>
        <w:t xml:space="preserve"> </w:t>
      </w:r>
      <w:r>
        <w:rPr>
          <w:spacing w:val="-1"/>
        </w:rPr>
        <w:t>invasive</w:t>
      </w:r>
      <w:r>
        <w:rPr>
          <w:spacing w:val="-6"/>
        </w:rPr>
        <w:t xml:space="preserve"> </w:t>
      </w:r>
      <w:proofErr w:type="spellStart"/>
      <w:r>
        <w:rPr>
          <w:spacing w:val="-1"/>
        </w:rPr>
        <w:t>mucormycosis</w:t>
      </w:r>
      <w:proofErr w:type="spellEnd"/>
      <w:r>
        <w:rPr>
          <w:spacing w:val="-7"/>
        </w:rPr>
        <w:t xml:space="preserve"> </w:t>
      </w:r>
      <w:r>
        <w:t>has</w:t>
      </w:r>
      <w:r>
        <w:rPr>
          <w:spacing w:val="-7"/>
        </w:rPr>
        <w:t xml:space="preserve"> </w:t>
      </w:r>
      <w:r>
        <w:t>not</w:t>
      </w:r>
      <w:r>
        <w:rPr>
          <w:spacing w:val="-6"/>
        </w:rPr>
        <w:t xml:space="preserve"> </w:t>
      </w:r>
      <w:r>
        <w:t>been</w:t>
      </w:r>
      <w:r>
        <w:rPr>
          <w:spacing w:val="73"/>
          <w:w w:val="99"/>
        </w:rPr>
        <w:t xml:space="preserve"> </w:t>
      </w:r>
      <w:r>
        <w:t>evaluated</w:t>
      </w:r>
      <w:r>
        <w:rPr>
          <w:spacing w:val="-9"/>
        </w:rPr>
        <w:t xml:space="preserve"> </w:t>
      </w:r>
      <w:r>
        <w:t>in</w:t>
      </w:r>
      <w:r>
        <w:rPr>
          <w:spacing w:val="-8"/>
        </w:rPr>
        <w:t xml:space="preserve"> </w:t>
      </w:r>
      <w:r>
        <w:t>concurrent,</w:t>
      </w:r>
      <w:r>
        <w:rPr>
          <w:spacing w:val="-8"/>
        </w:rPr>
        <w:t xml:space="preserve"> </w:t>
      </w:r>
      <w:r>
        <w:t>controlled</w:t>
      </w:r>
      <w:r>
        <w:rPr>
          <w:spacing w:val="-8"/>
        </w:rPr>
        <w:t xml:space="preserve"> </w:t>
      </w:r>
      <w:r>
        <w:rPr>
          <w:spacing w:val="-1"/>
        </w:rPr>
        <w:t>clinical</w:t>
      </w:r>
      <w:r>
        <w:rPr>
          <w:spacing w:val="-8"/>
        </w:rPr>
        <w:t xml:space="preserve"> </w:t>
      </w:r>
      <w:r>
        <w:t>trials.</w:t>
      </w:r>
    </w:p>
    <w:p w14:paraId="128987AA" w14:textId="174BD837" w:rsidR="001F72B3" w:rsidRDefault="001F72B3" w:rsidP="001F72B3">
      <w:pPr>
        <w:pStyle w:val="CLDTableTitle"/>
        <w:rPr>
          <w:bCs/>
        </w:rPr>
      </w:pPr>
      <w:r>
        <w:t>Table</w:t>
      </w:r>
      <w:r>
        <w:rPr>
          <w:spacing w:val="-8"/>
        </w:rPr>
        <w:t xml:space="preserve"> 8</w:t>
      </w:r>
      <w:r>
        <w:t>.</w:t>
      </w:r>
      <w:r>
        <w:rPr>
          <w:spacing w:val="-7"/>
        </w:rPr>
        <w:t xml:space="preserve"> </w:t>
      </w:r>
      <w:r>
        <w:t>All-Cause</w:t>
      </w:r>
      <w:r>
        <w:rPr>
          <w:spacing w:val="-7"/>
        </w:rPr>
        <w:t xml:space="preserve"> </w:t>
      </w:r>
      <w:r>
        <w:t>Mortality</w:t>
      </w:r>
      <w:r>
        <w:rPr>
          <w:spacing w:val="-8"/>
        </w:rPr>
        <w:t xml:space="preserve"> </w:t>
      </w:r>
      <w:r w:rsidRPr="001F72B3">
        <w:rPr>
          <w:spacing w:val="-8"/>
        </w:rPr>
        <w:t xml:space="preserve">through Day 42 </w:t>
      </w:r>
      <w:r>
        <w:t>and</w:t>
      </w:r>
      <w:r>
        <w:rPr>
          <w:spacing w:val="-7"/>
        </w:rPr>
        <w:t xml:space="preserve"> </w:t>
      </w:r>
      <w:r>
        <w:t>Overall</w:t>
      </w:r>
      <w:r>
        <w:rPr>
          <w:spacing w:val="-8"/>
        </w:rPr>
        <w:t xml:space="preserve"> </w:t>
      </w:r>
      <w:r>
        <w:t>Response</w:t>
      </w:r>
      <w:r>
        <w:rPr>
          <w:spacing w:val="-7"/>
        </w:rPr>
        <w:t xml:space="preserve"> </w:t>
      </w:r>
      <w:r>
        <w:t>Success</w:t>
      </w:r>
      <w:r>
        <w:rPr>
          <w:spacing w:val="-7"/>
        </w:rPr>
        <w:t xml:space="preserve"> </w:t>
      </w:r>
      <w:r>
        <w:t>in</w:t>
      </w:r>
      <w:r>
        <w:rPr>
          <w:spacing w:val="-7"/>
        </w:rPr>
        <w:t xml:space="preserve"> </w:t>
      </w:r>
      <w:proofErr w:type="spellStart"/>
      <w:r>
        <w:rPr>
          <w:spacing w:val="-1"/>
        </w:rPr>
        <w:t>Mucorales</w:t>
      </w:r>
      <w:proofErr w:type="spellEnd"/>
      <w:r>
        <w:rPr>
          <w:spacing w:val="-7"/>
        </w:rPr>
        <w:t xml:space="preserve"> </w:t>
      </w:r>
      <w:r>
        <w:t>Patients</w:t>
      </w:r>
    </w:p>
    <w:tbl>
      <w:tblPr>
        <w:tblW w:w="0" w:type="auto"/>
        <w:tblInd w:w="114" w:type="dxa"/>
        <w:tblLayout w:type="fixed"/>
        <w:tblCellMar>
          <w:left w:w="0" w:type="dxa"/>
          <w:right w:w="0" w:type="dxa"/>
        </w:tblCellMar>
        <w:tblLook w:val="01E0" w:firstRow="1" w:lastRow="1" w:firstColumn="1" w:lastColumn="1" w:noHBand="0" w:noVBand="0"/>
      </w:tblPr>
      <w:tblGrid>
        <w:gridCol w:w="1890"/>
        <w:gridCol w:w="1584"/>
        <w:gridCol w:w="1476"/>
        <w:gridCol w:w="1440"/>
        <w:gridCol w:w="1450"/>
      </w:tblGrid>
      <w:tr w:rsidR="001F72B3" w14:paraId="0DAFAF06" w14:textId="77777777" w:rsidTr="00D73D0B">
        <w:trPr>
          <w:trHeight w:hRule="exact" w:val="850"/>
        </w:trPr>
        <w:tc>
          <w:tcPr>
            <w:tcW w:w="1890" w:type="dxa"/>
            <w:tcBorders>
              <w:top w:val="single" w:sz="5" w:space="0" w:color="000000"/>
              <w:left w:val="single" w:sz="5" w:space="0" w:color="000000"/>
              <w:bottom w:val="single" w:sz="5" w:space="0" w:color="000000"/>
              <w:right w:val="single" w:sz="5" w:space="0" w:color="000000"/>
            </w:tcBorders>
          </w:tcPr>
          <w:p w14:paraId="741412C6" w14:textId="77777777" w:rsidR="001F72B3" w:rsidRDefault="001F72B3" w:rsidP="00D73D0B"/>
        </w:tc>
        <w:tc>
          <w:tcPr>
            <w:tcW w:w="1584" w:type="dxa"/>
            <w:tcBorders>
              <w:top w:val="single" w:sz="5" w:space="0" w:color="000000"/>
              <w:left w:val="single" w:sz="5" w:space="0" w:color="000000"/>
              <w:bottom w:val="single" w:sz="5" w:space="0" w:color="000000"/>
              <w:right w:val="single" w:sz="5" w:space="0" w:color="000000"/>
            </w:tcBorders>
          </w:tcPr>
          <w:p w14:paraId="41212E7D" w14:textId="77777777" w:rsidR="001F72B3" w:rsidRDefault="001F72B3" w:rsidP="00D73D0B">
            <w:pPr>
              <w:pStyle w:val="TableParagraph"/>
              <w:spacing w:before="165" w:line="284" w:lineRule="auto"/>
              <w:ind w:left="534" w:right="388" w:hanging="146"/>
            </w:pPr>
            <w:r>
              <w:rPr>
                <w:b/>
                <w:w w:val="95"/>
              </w:rPr>
              <w:t>Primary</w:t>
            </w:r>
            <w:r>
              <w:rPr>
                <w:b/>
                <w:w w:val="99"/>
              </w:rPr>
              <w:t xml:space="preserve"> </w:t>
            </w:r>
            <w:r>
              <w:rPr>
                <w:b/>
              </w:rPr>
              <w:t>N=21</w:t>
            </w:r>
          </w:p>
        </w:tc>
        <w:tc>
          <w:tcPr>
            <w:tcW w:w="1476" w:type="dxa"/>
            <w:tcBorders>
              <w:top w:val="single" w:sz="5" w:space="0" w:color="000000"/>
              <w:left w:val="single" w:sz="5" w:space="0" w:color="000000"/>
              <w:bottom w:val="single" w:sz="5" w:space="0" w:color="000000"/>
              <w:right w:val="single" w:sz="5" w:space="0" w:color="000000"/>
            </w:tcBorders>
          </w:tcPr>
          <w:p w14:paraId="3101554A" w14:textId="77777777" w:rsidR="001F72B3" w:rsidRDefault="001F72B3" w:rsidP="00D73D0B">
            <w:pPr>
              <w:pStyle w:val="TableParagraph"/>
              <w:spacing w:before="165" w:line="284" w:lineRule="auto"/>
              <w:ind w:left="480" w:right="219" w:hanging="262"/>
            </w:pPr>
            <w:r>
              <w:rPr>
                <w:b/>
                <w:spacing w:val="-1"/>
              </w:rPr>
              <w:t>Refractory</w:t>
            </w:r>
            <w:r>
              <w:rPr>
                <w:b/>
                <w:spacing w:val="20"/>
                <w:w w:val="99"/>
              </w:rPr>
              <w:t xml:space="preserve"> </w:t>
            </w:r>
            <w:r>
              <w:rPr>
                <w:b/>
              </w:rPr>
              <w:t>N=11</w:t>
            </w:r>
          </w:p>
        </w:tc>
        <w:tc>
          <w:tcPr>
            <w:tcW w:w="1440" w:type="dxa"/>
            <w:tcBorders>
              <w:top w:val="single" w:sz="5" w:space="0" w:color="000000"/>
              <w:left w:val="single" w:sz="5" w:space="0" w:color="000000"/>
              <w:bottom w:val="single" w:sz="5" w:space="0" w:color="000000"/>
              <w:right w:val="single" w:sz="5" w:space="0" w:color="000000"/>
            </w:tcBorders>
          </w:tcPr>
          <w:p w14:paraId="1B31D698" w14:textId="77777777" w:rsidR="001F72B3" w:rsidRDefault="001F72B3" w:rsidP="00D73D0B">
            <w:pPr>
              <w:pStyle w:val="TableParagraph"/>
              <w:spacing w:before="165" w:line="284" w:lineRule="auto"/>
              <w:ind w:left="516" w:right="235" w:hanging="279"/>
            </w:pPr>
            <w:r>
              <w:rPr>
                <w:b/>
                <w:w w:val="95"/>
              </w:rPr>
              <w:t>Intolerant</w:t>
            </w:r>
            <w:r>
              <w:rPr>
                <w:b/>
                <w:w w:val="99"/>
              </w:rPr>
              <w:t xml:space="preserve"> </w:t>
            </w:r>
            <w:r>
              <w:rPr>
                <w:b/>
                <w:spacing w:val="-1"/>
              </w:rPr>
              <w:t>N=5</w:t>
            </w:r>
          </w:p>
        </w:tc>
        <w:tc>
          <w:tcPr>
            <w:tcW w:w="1450" w:type="dxa"/>
            <w:tcBorders>
              <w:top w:val="single" w:sz="5" w:space="0" w:color="000000"/>
              <w:left w:val="single" w:sz="5" w:space="0" w:color="000000"/>
              <w:bottom w:val="single" w:sz="5" w:space="0" w:color="000000"/>
              <w:right w:val="single" w:sz="5" w:space="0" w:color="000000"/>
            </w:tcBorders>
          </w:tcPr>
          <w:p w14:paraId="62024F79" w14:textId="77777777" w:rsidR="001F72B3" w:rsidRDefault="001F72B3" w:rsidP="00D73D0B">
            <w:pPr>
              <w:pStyle w:val="TableParagraph"/>
              <w:spacing w:before="165" w:line="284" w:lineRule="auto"/>
              <w:ind w:left="467" w:right="464" w:firstLine="1"/>
            </w:pPr>
            <w:r>
              <w:rPr>
                <w:b/>
              </w:rPr>
              <w:t>Total</w:t>
            </w:r>
            <w:r>
              <w:rPr>
                <w:b/>
                <w:w w:val="99"/>
              </w:rPr>
              <w:t xml:space="preserve"> </w:t>
            </w:r>
            <w:r>
              <w:rPr>
                <w:b/>
                <w:w w:val="95"/>
              </w:rPr>
              <w:t>N=37</w:t>
            </w:r>
          </w:p>
        </w:tc>
      </w:tr>
      <w:tr w:rsidR="001F72B3" w14:paraId="7F8184AB" w14:textId="77777777" w:rsidTr="00D73D0B">
        <w:trPr>
          <w:trHeight w:hRule="exact" w:val="1151"/>
        </w:trPr>
        <w:tc>
          <w:tcPr>
            <w:tcW w:w="1890" w:type="dxa"/>
            <w:tcBorders>
              <w:top w:val="single" w:sz="5" w:space="0" w:color="000000"/>
              <w:left w:val="single" w:sz="5" w:space="0" w:color="000000"/>
              <w:bottom w:val="single" w:sz="5" w:space="0" w:color="000000"/>
              <w:right w:val="single" w:sz="5" w:space="0" w:color="000000"/>
            </w:tcBorders>
          </w:tcPr>
          <w:p w14:paraId="27DA3965" w14:textId="77777777" w:rsidR="001F72B3" w:rsidRDefault="001F72B3" w:rsidP="00D73D0B">
            <w:pPr>
              <w:pStyle w:val="TableParagraph"/>
              <w:spacing w:before="167" w:line="284" w:lineRule="auto"/>
              <w:ind w:left="102" w:right="232"/>
            </w:pPr>
            <w:r>
              <w:rPr>
                <w:b/>
              </w:rPr>
              <w:t>All-cause</w:t>
            </w:r>
            <w:r>
              <w:rPr>
                <w:b/>
                <w:w w:val="99"/>
              </w:rPr>
              <w:t xml:space="preserve"> </w:t>
            </w:r>
            <w:r>
              <w:rPr>
                <w:b/>
              </w:rPr>
              <w:t>Mortality</w:t>
            </w:r>
            <w:r>
              <w:rPr>
                <w:b/>
                <w:w w:val="99"/>
              </w:rPr>
              <w:t xml:space="preserve"> </w:t>
            </w:r>
            <w:r>
              <w:rPr>
                <w:b/>
              </w:rPr>
              <w:t>Through</w:t>
            </w:r>
            <w:r>
              <w:rPr>
                <w:b/>
                <w:spacing w:val="-8"/>
              </w:rPr>
              <w:t xml:space="preserve"> </w:t>
            </w:r>
            <w:r>
              <w:rPr>
                <w:b/>
              </w:rPr>
              <w:t>Day</w:t>
            </w:r>
            <w:r>
              <w:rPr>
                <w:b/>
                <w:spacing w:val="-7"/>
              </w:rPr>
              <w:t xml:space="preserve"> </w:t>
            </w:r>
            <w:r>
              <w:rPr>
                <w:b/>
              </w:rPr>
              <w:t>42</w:t>
            </w:r>
          </w:p>
        </w:tc>
        <w:tc>
          <w:tcPr>
            <w:tcW w:w="1584" w:type="dxa"/>
            <w:tcBorders>
              <w:top w:val="single" w:sz="5" w:space="0" w:color="000000"/>
              <w:left w:val="single" w:sz="5" w:space="0" w:color="000000"/>
              <w:bottom w:val="single" w:sz="5" w:space="0" w:color="000000"/>
              <w:right w:val="single" w:sz="5" w:space="0" w:color="000000"/>
            </w:tcBorders>
          </w:tcPr>
          <w:p w14:paraId="79D8A4B7" w14:textId="77777777" w:rsidR="001F72B3" w:rsidRDefault="001F72B3" w:rsidP="00D73D0B">
            <w:pPr>
              <w:pStyle w:val="TableParagraph"/>
              <w:spacing w:before="165"/>
              <w:ind w:left="428"/>
            </w:pPr>
            <w:r>
              <w:t>7</w:t>
            </w:r>
            <w:r>
              <w:rPr>
                <w:spacing w:val="-7"/>
              </w:rPr>
              <w:t xml:space="preserve"> </w:t>
            </w:r>
            <w:r>
              <w:rPr>
                <w:spacing w:val="-1"/>
              </w:rPr>
              <w:t>(33%)</w:t>
            </w:r>
          </w:p>
        </w:tc>
        <w:tc>
          <w:tcPr>
            <w:tcW w:w="1476" w:type="dxa"/>
            <w:tcBorders>
              <w:top w:val="single" w:sz="5" w:space="0" w:color="000000"/>
              <w:left w:val="single" w:sz="5" w:space="0" w:color="000000"/>
              <w:bottom w:val="single" w:sz="5" w:space="0" w:color="000000"/>
              <w:right w:val="single" w:sz="5" w:space="0" w:color="000000"/>
            </w:tcBorders>
          </w:tcPr>
          <w:p w14:paraId="0733F632" w14:textId="77777777" w:rsidR="001F72B3" w:rsidRDefault="001F72B3" w:rsidP="00D73D0B">
            <w:pPr>
              <w:pStyle w:val="TableParagraph"/>
              <w:spacing w:before="165"/>
              <w:ind w:left="374"/>
            </w:pPr>
            <w:r>
              <w:t>5</w:t>
            </w:r>
            <w:r>
              <w:rPr>
                <w:spacing w:val="-7"/>
              </w:rPr>
              <w:t xml:space="preserve"> </w:t>
            </w:r>
            <w:r>
              <w:rPr>
                <w:spacing w:val="-1"/>
              </w:rPr>
              <w:t>(46%)</w:t>
            </w:r>
          </w:p>
        </w:tc>
        <w:tc>
          <w:tcPr>
            <w:tcW w:w="1440" w:type="dxa"/>
            <w:tcBorders>
              <w:top w:val="single" w:sz="5" w:space="0" w:color="000000"/>
              <w:left w:val="single" w:sz="5" w:space="0" w:color="000000"/>
              <w:bottom w:val="single" w:sz="5" w:space="0" w:color="000000"/>
              <w:right w:val="single" w:sz="5" w:space="0" w:color="000000"/>
            </w:tcBorders>
          </w:tcPr>
          <w:p w14:paraId="6F789D6D" w14:textId="77777777" w:rsidR="001F72B3" w:rsidRDefault="001F72B3" w:rsidP="00D73D0B">
            <w:pPr>
              <w:pStyle w:val="TableParagraph"/>
              <w:spacing w:before="165"/>
              <w:ind w:left="356"/>
            </w:pPr>
            <w:r>
              <w:t>2</w:t>
            </w:r>
            <w:r>
              <w:rPr>
                <w:spacing w:val="-7"/>
              </w:rPr>
              <w:t xml:space="preserve"> </w:t>
            </w:r>
            <w:r>
              <w:rPr>
                <w:spacing w:val="-1"/>
              </w:rPr>
              <w:t>(40%)</w:t>
            </w:r>
          </w:p>
        </w:tc>
        <w:tc>
          <w:tcPr>
            <w:tcW w:w="1450" w:type="dxa"/>
            <w:tcBorders>
              <w:top w:val="single" w:sz="5" w:space="0" w:color="000000"/>
              <w:left w:val="single" w:sz="5" w:space="0" w:color="000000"/>
              <w:bottom w:val="single" w:sz="5" w:space="0" w:color="000000"/>
              <w:right w:val="single" w:sz="5" w:space="0" w:color="000000"/>
            </w:tcBorders>
          </w:tcPr>
          <w:p w14:paraId="013C4075" w14:textId="77777777" w:rsidR="001F72B3" w:rsidRDefault="001F72B3" w:rsidP="00D73D0B">
            <w:pPr>
              <w:pStyle w:val="TableParagraph"/>
              <w:spacing w:before="165"/>
              <w:ind w:left="306"/>
            </w:pPr>
            <w:r>
              <w:t>14</w:t>
            </w:r>
            <w:r>
              <w:rPr>
                <w:spacing w:val="-8"/>
              </w:rPr>
              <w:t xml:space="preserve"> </w:t>
            </w:r>
            <w:r>
              <w:rPr>
                <w:spacing w:val="-1"/>
              </w:rPr>
              <w:t>(38%)</w:t>
            </w:r>
          </w:p>
        </w:tc>
      </w:tr>
      <w:tr w:rsidR="001F72B3" w14:paraId="03C69460" w14:textId="77777777" w:rsidTr="00D73D0B">
        <w:trPr>
          <w:trHeight w:hRule="exact" w:val="1450"/>
        </w:trPr>
        <w:tc>
          <w:tcPr>
            <w:tcW w:w="1890" w:type="dxa"/>
            <w:tcBorders>
              <w:top w:val="single" w:sz="5" w:space="0" w:color="000000"/>
              <w:left w:val="single" w:sz="5" w:space="0" w:color="000000"/>
              <w:bottom w:val="single" w:sz="5" w:space="0" w:color="000000"/>
              <w:right w:val="single" w:sz="5" w:space="0" w:color="000000"/>
            </w:tcBorders>
          </w:tcPr>
          <w:p w14:paraId="26CB8EDB" w14:textId="77777777" w:rsidR="001F72B3" w:rsidRDefault="001F72B3" w:rsidP="00D73D0B">
            <w:pPr>
              <w:pStyle w:val="TableParagraph"/>
              <w:spacing w:before="165" w:line="284" w:lineRule="auto"/>
              <w:ind w:left="102" w:right="131"/>
            </w:pPr>
            <w:r>
              <w:rPr>
                <w:b/>
              </w:rPr>
              <w:t>Overall</w:t>
            </w:r>
            <w:r>
              <w:rPr>
                <w:b/>
                <w:spacing w:val="-16"/>
              </w:rPr>
              <w:t xml:space="preserve"> </w:t>
            </w:r>
            <w:r>
              <w:rPr>
                <w:b/>
              </w:rPr>
              <w:t>Response</w:t>
            </w:r>
            <w:r>
              <w:rPr>
                <w:b/>
                <w:w w:val="99"/>
              </w:rPr>
              <w:t xml:space="preserve"> </w:t>
            </w:r>
            <w:r>
              <w:rPr>
                <w:b/>
              </w:rPr>
              <w:t>Success</w:t>
            </w:r>
            <w:r>
              <w:rPr>
                <w:b/>
                <w:spacing w:val="-7"/>
              </w:rPr>
              <w:t xml:space="preserve"> </w:t>
            </w:r>
            <w:r>
              <w:rPr>
                <w:b/>
              </w:rPr>
              <w:t>Rate</w:t>
            </w:r>
            <w:r>
              <w:rPr>
                <w:b/>
                <w:spacing w:val="-7"/>
              </w:rPr>
              <w:t xml:space="preserve"> </w:t>
            </w:r>
            <w:r>
              <w:rPr>
                <w:b/>
              </w:rPr>
              <w:t>at</w:t>
            </w:r>
            <w:r>
              <w:rPr>
                <w:b/>
                <w:w w:val="99"/>
              </w:rPr>
              <w:t xml:space="preserve"> </w:t>
            </w:r>
            <w:r>
              <w:rPr>
                <w:b/>
              </w:rPr>
              <w:t>End-of-</w:t>
            </w:r>
            <w:r>
              <w:rPr>
                <w:b/>
                <w:w w:val="99"/>
              </w:rPr>
              <w:t xml:space="preserve"> </w:t>
            </w:r>
            <w:r>
              <w:rPr>
                <w:b/>
              </w:rPr>
              <w:t>Treatment</w:t>
            </w:r>
          </w:p>
        </w:tc>
        <w:tc>
          <w:tcPr>
            <w:tcW w:w="1584" w:type="dxa"/>
            <w:tcBorders>
              <w:top w:val="single" w:sz="5" w:space="0" w:color="000000"/>
              <w:left w:val="single" w:sz="5" w:space="0" w:color="000000"/>
              <w:bottom w:val="single" w:sz="5" w:space="0" w:color="000000"/>
              <w:right w:val="single" w:sz="5" w:space="0" w:color="000000"/>
            </w:tcBorders>
          </w:tcPr>
          <w:p w14:paraId="6A343ACD" w14:textId="77777777" w:rsidR="001F72B3" w:rsidRDefault="001F72B3" w:rsidP="00D73D0B">
            <w:pPr>
              <w:pStyle w:val="TableParagraph"/>
              <w:spacing w:before="149"/>
              <w:ind w:left="257"/>
            </w:pPr>
            <w:r>
              <w:t>6/19</w:t>
            </w:r>
            <w:r>
              <w:rPr>
                <w:position w:val="9"/>
                <w:sz w:val="14"/>
              </w:rPr>
              <w:t>a</w:t>
            </w:r>
            <w:r>
              <w:rPr>
                <w:spacing w:val="10"/>
                <w:position w:val="9"/>
                <w:sz w:val="14"/>
              </w:rPr>
              <w:t xml:space="preserve"> </w:t>
            </w:r>
            <w:r>
              <w:rPr>
                <w:spacing w:val="-1"/>
              </w:rPr>
              <w:t>(32%)</w:t>
            </w:r>
          </w:p>
        </w:tc>
        <w:tc>
          <w:tcPr>
            <w:tcW w:w="1476" w:type="dxa"/>
            <w:tcBorders>
              <w:top w:val="single" w:sz="5" w:space="0" w:color="000000"/>
              <w:left w:val="single" w:sz="5" w:space="0" w:color="000000"/>
              <w:bottom w:val="single" w:sz="5" w:space="0" w:color="000000"/>
              <w:right w:val="single" w:sz="5" w:space="0" w:color="000000"/>
            </w:tcBorders>
          </w:tcPr>
          <w:p w14:paraId="70C0C31B" w14:textId="77777777" w:rsidR="001F72B3" w:rsidRDefault="001F72B3" w:rsidP="00D73D0B">
            <w:pPr>
              <w:pStyle w:val="TableParagraph"/>
              <w:spacing w:before="164"/>
              <w:ind w:left="234"/>
            </w:pPr>
            <w:r>
              <w:t>4/11</w:t>
            </w:r>
            <w:r>
              <w:rPr>
                <w:spacing w:val="-10"/>
              </w:rPr>
              <w:t xml:space="preserve"> </w:t>
            </w:r>
            <w:r>
              <w:rPr>
                <w:spacing w:val="-1"/>
              </w:rPr>
              <w:t>(36%)</w:t>
            </w:r>
          </w:p>
        </w:tc>
        <w:tc>
          <w:tcPr>
            <w:tcW w:w="1440" w:type="dxa"/>
            <w:tcBorders>
              <w:top w:val="single" w:sz="5" w:space="0" w:color="000000"/>
              <w:left w:val="single" w:sz="5" w:space="0" w:color="000000"/>
              <w:bottom w:val="single" w:sz="5" w:space="0" w:color="000000"/>
              <w:right w:val="single" w:sz="5" w:space="0" w:color="000000"/>
            </w:tcBorders>
          </w:tcPr>
          <w:p w14:paraId="2E09CD95" w14:textId="77777777" w:rsidR="001F72B3" w:rsidRDefault="001F72B3" w:rsidP="00D73D0B">
            <w:pPr>
              <w:pStyle w:val="TableParagraph"/>
              <w:spacing w:before="164"/>
              <w:ind w:left="271"/>
            </w:pPr>
            <w:r>
              <w:t>1/5</w:t>
            </w:r>
            <w:r>
              <w:rPr>
                <w:spacing w:val="-9"/>
              </w:rPr>
              <w:t xml:space="preserve"> </w:t>
            </w:r>
            <w:r>
              <w:rPr>
                <w:spacing w:val="-1"/>
              </w:rPr>
              <w:t>(20%)</w:t>
            </w:r>
          </w:p>
        </w:tc>
        <w:tc>
          <w:tcPr>
            <w:tcW w:w="1450" w:type="dxa"/>
            <w:tcBorders>
              <w:top w:val="single" w:sz="5" w:space="0" w:color="000000"/>
              <w:left w:val="single" w:sz="5" w:space="0" w:color="000000"/>
              <w:bottom w:val="single" w:sz="5" w:space="0" w:color="000000"/>
              <w:right w:val="single" w:sz="5" w:space="0" w:color="000000"/>
            </w:tcBorders>
          </w:tcPr>
          <w:p w14:paraId="4920A0D3" w14:textId="77777777" w:rsidR="001F72B3" w:rsidRDefault="001F72B3" w:rsidP="00D73D0B">
            <w:pPr>
              <w:pStyle w:val="TableParagraph"/>
              <w:spacing w:before="149"/>
              <w:ind w:left="134"/>
            </w:pPr>
            <w:r>
              <w:rPr>
                <w:spacing w:val="-1"/>
              </w:rPr>
              <w:t>11/35</w:t>
            </w:r>
            <w:r>
              <w:rPr>
                <w:spacing w:val="-1"/>
                <w:position w:val="9"/>
                <w:sz w:val="14"/>
              </w:rPr>
              <w:t>a</w:t>
            </w:r>
            <w:r>
              <w:rPr>
                <w:spacing w:val="9"/>
                <w:position w:val="9"/>
                <w:sz w:val="14"/>
              </w:rPr>
              <w:t xml:space="preserve"> </w:t>
            </w:r>
            <w:r>
              <w:rPr>
                <w:spacing w:val="-1"/>
              </w:rPr>
              <w:t>(31%)</w:t>
            </w:r>
          </w:p>
        </w:tc>
      </w:tr>
    </w:tbl>
    <w:p w14:paraId="7436D28E" w14:textId="77777777" w:rsidR="001F72B3" w:rsidRDefault="001F72B3" w:rsidP="001F72B3">
      <w:pPr>
        <w:pStyle w:val="CLDTableFootnote"/>
        <w:rPr>
          <w:szCs w:val="18"/>
        </w:rPr>
      </w:pPr>
      <w:r>
        <w:rPr>
          <w:position w:val="6"/>
          <w:sz w:val="12"/>
        </w:rPr>
        <w:t xml:space="preserve">a   </w:t>
      </w:r>
      <w:r>
        <w:rPr>
          <w:spacing w:val="6"/>
          <w:position w:val="6"/>
          <w:sz w:val="12"/>
        </w:rPr>
        <w:t xml:space="preserve"> </w:t>
      </w:r>
      <w:r>
        <w:t>Two primary</w:t>
      </w:r>
      <w:r>
        <w:rPr>
          <w:spacing w:val="1"/>
        </w:rPr>
        <w:t xml:space="preserve"> </w:t>
      </w:r>
      <w:proofErr w:type="spellStart"/>
      <w:r>
        <w:t>mucormycosis</w:t>
      </w:r>
      <w:proofErr w:type="spellEnd"/>
      <w:r>
        <w:t xml:space="preserve"> patients were not assessed at End-of-Treatment due to ongoing treatment.</w:t>
      </w:r>
    </w:p>
    <w:p w14:paraId="2DC68397" w14:textId="34A31846" w:rsidR="00830B98" w:rsidRPr="00830B98" w:rsidRDefault="00003E72" w:rsidP="00755FFF">
      <w:pPr>
        <w:pStyle w:val="CLDHeading2"/>
      </w:pPr>
      <w:r>
        <w:t>5.2</w:t>
      </w:r>
      <w:r>
        <w:tab/>
      </w:r>
      <w:r w:rsidR="00B5568E">
        <w:t xml:space="preserve">Pharmacokinetic </w:t>
      </w:r>
      <w:r w:rsidR="00003485">
        <w:t>p</w:t>
      </w:r>
      <w:r w:rsidR="00112E5B">
        <w:t>roperties</w:t>
      </w:r>
      <w:r w:rsidR="00830B98">
        <w:t xml:space="preserve"> </w:t>
      </w:r>
    </w:p>
    <w:p w14:paraId="33B3124C" w14:textId="77777777" w:rsidR="00576ED3" w:rsidRPr="00212203" w:rsidRDefault="00576ED3" w:rsidP="00576ED3">
      <w:pPr>
        <w:pStyle w:val="CLDNormal"/>
      </w:pPr>
      <w:proofErr w:type="spellStart"/>
      <w:r w:rsidRPr="00212203">
        <w:t>Isavuconazonium</w:t>
      </w:r>
      <w:proofErr w:type="spellEnd"/>
      <w:r w:rsidRPr="00212203">
        <w:t xml:space="preserve"> </w:t>
      </w:r>
      <w:proofErr w:type="spellStart"/>
      <w:r w:rsidRPr="00212203">
        <w:t>sulfate</w:t>
      </w:r>
      <w:proofErr w:type="spellEnd"/>
      <w:r w:rsidRPr="00212203">
        <w:t xml:space="preserve"> is a water-soluble prodrug that can be administered as an intravenous infusion or orally as hard capsules.</w:t>
      </w:r>
      <w:r w:rsidRPr="00212203">
        <w:rPr>
          <w:rFonts w:eastAsia="TimesNewRoman"/>
        </w:rPr>
        <w:t xml:space="preserve"> Following administration, </w:t>
      </w:r>
      <w:proofErr w:type="spellStart"/>
      <w:r w:rsidRPr="00212203">
        <w:rPr>
          <w:rFonts w:eastAsia="TimesNewRoman"/>
        </w:rPr>
        <w:t>i</w:t>
      </w:r>
      <w:r w:rsidRPr="00212203">
        <w:t>savuconazonium</w:t>
      </w:r>
      <w:proofErr w:type="spellEnd"/>
      <w:r w:rsidRPr="00212203">
        <w:t xml:space="preserve"> </w:t>
      </w:r>
      <w:proofErr w:type="spellStart"/>
      <w:r w:rsidRPr="00212203">
        <w:t>sulfate</w:t>
      </w:r>
      <w:proofErr w:type="spellEnd"/>
      <w:r w:rsidRPr="00212203">
        <w:t xml:space="preserve"> is rapidly hydrolysed by plasma </w:t>
      </w:r>
      <w:proofErr w:type="spellStart"/>
      <w:r w:rsidRPr="00212203">
        <w:t>esterases</w:t>
      </w:r>
      <w:proofErr w:type="spellEnd"/>
      <w:r w:rsidRPr="00212203">
        <w:t xml:space="preserve"> to the active moiety </w:t>
      </w:r>
      <w:proofErr w:type="spellStart"/>
      <w:r w:rsidRPr="00212203">
        <w:t>isavuconazole</w:t>
      </w:r>
      <w:proofErr w:type="spellEnd"/>
      <w:r w:rsidRPr="00212203">
        <w:t>; plasma concentrations of the prodrug are very low, and detectable only for a short time after intravenous dosing.</w:t>
      </w:r>
    </w:p>
    <w:p w14:paraId="77D1AA4C" w14:textId="77777777" w:rsidR="003C6DC6" w:rsidRDefault="003C6DC6" w:rsidP="00755FFF">
      <w:pPr>
        <w:pStyle w:val="CLDHeading3"/>
      </w:pPr>
      <w:r>
        <w:t>Absorption</w:t>
      </w:r>
    </w:p>
    <w:p w14:paraId="417F2AC2" w14:textId="6FE708AC" w:rsidR="00576ED3" w:rsidRPr="00212203" w:rsidRDefault="00576ED3" w:rsidP="00576ED3">
      <w:pPr>
        <w:pStyle w:val="CLDNormal"/>
      </w:pPr>
      <w:r w:rsidRPr="00212203">
        <w:t xml:space="preserve">Following oral administration of CRESEMBA in healthy subjects, the active moiety </w:t>
      </w:r>
      <w:proofErr w:type="spellStart"/>
      <w:r w:rsidRPr="00212203">
        <w:t>isavuconazole</w:t>
      </w:r>
      <w:proofErr w:type="spellEnd"/>
      <w:r w:rsidRPr="00212203">
        <w:t xml:space="preserve"> is absorbed and reaches maximum plasma concentrations (</w:t>
      </w:r>
      <w:proofErr w:type="spellStart"/>
      <w:r w:rsidRPr="00212203">
        <w:t>C</w:t>
      </w:r>
      <w:r w:rsidRPr="00212203">
        <w:rPr>
          <w:vertAlign w:val="subscript"/>
        </w:rPr>
        <w:t>max</w:t>
      </w:r>
      <w:proofErr w:type="spellEnd"/>
      <w:r w:rsidRPr="00212203">
        <w:t xml:space="preserve">) approximately 2–3 hours after single and multiple dosing (see Table </w:t>
      </w:r>
      <w:r w:rsidR="00B62637">
        <w:t>9</w:t>
      </w:r>
      <w:r w:rsidRPr="00212203">
        <w:t xml:space="preserve">). </w:t>
      </w:r>
    </w:p>
    <w:p w14:paraId="469825C6" w14:textId="53B26C27" w:rsidR="00576ED3" w:rsidRDefault="00576ED3" w:rsidP="00576ED3">
      <w:pPr>
        <w:pStyle w:val="CLDTableTitle"/>
      </w:pPr>
      <w:r w:rsidRPr="00212203">
        <w:t xml:space="preserve">Table </w:t>
      </w:r>
      <w:r w:rsidR="00B62637">
        <w:t>9</w:t>
      </w:r>
      <w:r w:rsidR="001F72B3">
        <w:t>.</w:t>
      </w:r>
      <w:r w:rsidR="00B62637" w:rsidRPr="00212203">
        <w:t xml:space="preserve"> </w:t>
      </w:r>
      <w:r w:rsidRPr="00212203">
        <w:t xml:space="preserve">Steady state pharmacokinetic parameters of </w:t>
      </w:r>
      <w:proofErr w:type="spellStart"/>
      <w:r w:rsidRPr="00212203">
        <w:t>isavuconazole</w:t>
      </w:r>
      <w:proofErr w:type="spellEnd"/>
      <w:r w:rsidRPr="00212203">
        <w:t xml:space="preserve"> following oral administration of CRESEMBA</w:t>
      </w:r>
    </w:p>
    <w:tbl>
      <w:tblPr>
        <w:tblW w:w="9072" w:type="dxa"/>
        <w:tblInd w:w="108" w:type="dxa"/>
        <w:tblCellMar>
          <w:left w:w="0" w:type="dxa"/>
          <w:right w:w="0" w:type="dxa"/>
        </w:tblCellMar>
        <w:tblLook w:val="04A0" w:firstRow="1" w:lastRow="0" w:firstColumn="1" w:lastColumn="0" w:noHBand="0" w:noVBand="1"/>
      </w:tblPr>
      <w:tblGrid>
        <w:gridCol w:w="3085"/>
        <w:gridCol w:w="3101"/>
        <w:gridCol w:w="2886"/>
      </w:tblGrid>
      <w:tr w:rsidR="00576ED3" w:rsidRPr="00212203" w14:paraId="4F3BF7D1" w14:textId="77777777" w:rsidTr="0015753F">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EDF9D7" w14:textId="77777777" w:rsidR="00576ED3" w:rsidRPr="00576ED3" w:rsidRDefault="00576ED3" w:rsidP="00576ED3">
            <w:pPr>
              <w:pStyle w:val="CLDTableTextListText"/>
              <w:rPr>
                <w:rFonts w:eastAsia="MS Mincho"/>
                <w:b/>
              </w:rPr>
            </w:pPr>
            <w:r w:rsidRPr="00576ED3">
              <w:rPr>
                <w:b/>
              </w:rPr>
              <w:t>Parameter</w:t>
            </w:r>
          </w:p>
          <w:p w14:paraId="25968FF0" w14:textId="77777777" w:rsidR="00576ED3" w:rsidRPr="00212203" w:rsidRDefault="00576ED3" w:rsidP="00576ED3">
            <w:pPr>
              <w:pStyle w:val="CLDTableTextListText"/>
              <w:rPr>
                <w:rFonts w:eastAsia="MS Mincho"/>
              </w:rPr>
            </w:pPr>
            <w:r w:rsidRPr="00212203">
              <w:t>Statistic</w:t>
            </w:r>
          </w:p>
        </w:tc>
        <w:tc>
          <w:tcPr>
            <w:tcW w:w="31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1CB412" w14:textId="77777777" w:rsidR="00576ED3" w:rsidRPr="00576ED3" w:rsidRDefault="00576ED3" w:rsidP="00576ED3">
            <w:pPr>
              <w:pStyle w:val="CLDTableTextListText"/>
              <w:jc w:val="center"/>
              <w:rPr>
                <w:rFonts w:eastAsia="MS Mincho"/>
                <w:b/>
              </w:rPr>
            </w:pPr>
            <w:proofErr w:type="spellStart"/>
            <w:r w:rsidRPr="00576ED3">
              <w:rPr>
                <w:b/>
              </w:rPr>
              <w:t>Isavuconazole</w:t>
            </w:r>
            <w:proofErr w:type="spellEnd"/>
            <w:r w:rsidRPr="00576ED3">
              <w:rPr>
                <w:b/>
              </w:rPr>
              <w:t xml:space="preserve"> 200 mg</w:t>
            </w:r>
          </w:p>
          <w:p w14:paraId="1434CDC4" w14:textId="77777777" w:rsidR="00576ED3" w:rsidRPr="00576ED3" w:rsidRDefault="00576ED3" w:rsidP="00576ED3">
            <w:pPr>
              <w:pStyle w:val="CLDTableTextListText"/>
              <w:jc w:val="center"/>
              <w:rPr>
                <w:rFonts w:eastAsia="MS Mincho"/>
                <w:b/>
              </w:rPr>
            </w:pPr>
            <w:r w:rsidRPr="00576ED3">
              <w:rPr>
                <w:b/>
              </w:rPr>
              <w:t>(n = 37)</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686A9" w14:textId="77777777" w:rsidR="00576ED3" w:rsidRPr="00576ED3" w:rsidRDefault="00576ED3" w:rsidP="00576ED3">
            <w:pPr>
              <w:pStyle w:val="CLDTableTextListText"/>
              <w:jc w:val="center"/>
              <w:rPr>
                <w:rFonts w:eastAsia="MS Mincho"/>
                <w:b/>
              </w:rPr>
            </w:pPr>
            <w:proofErr w:type="spellStart"/>
            <w:r w:rsidRPr="00576ED3">
              <w:rPr>
                <w:b/>
              </w:rPr>
              <w:t>Isavuconazole</w:t>
            </w:r>
            <w:proofErr w:type="spellEnd"/>
            <w:r w:rsidRPr="00576ED3">
              <w:rPr>
                <w:b/>
              </w:rPr>
              <w:t xml:space="preserve"> 600 mg</w:t>
            </w:r>
          </w:p>
          <w:p w14:paraId="0328CC8D" w14:textId="77777777" w:rsidR="00576ED3" w:rsidRPr="00576ED3" w:rsidRDefault="00576ED3" w:rsidP="00576ED3">
            <w:pPr>
              <w:pStyle w:val="CLDTableTextListText"/>
              <w:jc w:val="center"/>
              <w:rPr>
                <w:rFonts w:eastAsia="MS Mincho"/>
                <w:b/>
              </w:rPr>
            </w:pPr>
            <w:r w:rsidRPr="00576ED3">
              <w:rPr>
                <w:b/>
              </w:rPr>
              <w:t>(n = 32)</w:t>
            </w:r>
          </w:p>
        </w:tc>
      </w:tr>
      <w:tr w:rsidR="00576ED3" w:rsidRPr="00212203" w14:paraId="4D471308" w14:textId="77777777" w:rsidTr="0015753F">
        <w:tc>
          <w:tcPr>
            <w:tcW w:w="907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EE86A" w14:textId="77777777" w:rsidR="00576ED3" w:rsidRPr="00576ED3" w:rsidRDefault="00576ED3" w:rsidP="00576ED3">
            <w:pPr>
              <w:pStyle w:val="CLDTableTextListText"/>
              <w:rPr>
                <w:rFonts w:eastAsia="MS Mincho"/>
                <w:b/>
              </w:rPr>
            </w:pPr>
            <w:proofErr w:type="spellStart"/>
            <w:r w:rsidRPr="00576ED3">
              <w:rPr>
                <w:b/>
              </w:rPr>
              <w:t>C</w:t>
            </w:r>
            <w:r w:rsidRPr="00576ED3">
              <w:rPr>
                <w:b/>
                <w:vertAlign w:val="subscript"/>
              </w:rPr>
              <w:t>max</w:t>
            </w:r>
            <w:proofErr w:type="spellEnd"/>
            <w:r w:rsidRPr="00576ED3">
              <w:rPr>
                <w:b/>
              </w:rPr>
              <w:t xml:space="preserve"> (ng/mL)</w:t>
            </w:r>
          </w:p>
        </w:tc>
      </w:tr>
      <w:tr w:rsidR="00576ED3" w:rsidRPr="00212203" w14:paraId="3C4E6DBF" w14:textId="77777777" w:rsidTr="0015753F">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202A8" w14:textId="77777777" w:rsidR="00576ED3" w:rsidRPr="00212203" w:rsidRDefault="00576ED3" w:rsidP="00576ED3">
            <w:pPr>
              <w:pStyle w:val="CLDTableTextListText"/>
              <w:rPr>
                <w:rFonts w:eastAsia="MS Mincho"/>
              </w:rPr>
            </w:pPr>
            <w:r w:rsidRPr="00212203">
              <w:t>Mean</w:t>
            </w:r>
          </w:p>
          <w:p w14:paraId="5A1CBE52" w14:textId="77777777" w:rsidR="00576ED3" w:rsidRPr="00212203" w:rsidRDefault="00576ED3" w:rsidP="00576ED3">
            <w:pPr>
              <w:pStyle w:val="CLDTableTextListText"/>
            </w:pPr>
            <w:r w:rsidRPr="00212203">
              <w:t>SD</w:t>
            </w:r>
          </w:p>
          <w:p w14:paraId="1BBE4115" w14:textId="77777777" w:rsidR="00576ED3" w:rsidRPr="00212203" w:rsidRDefault="00576ED3" w:rsidP="00576ED3">
            <w:pPr>
              <w:pStyle w:val="CLDTableTextListText"/>
            </w:pPr>
            <w:r w:rsidRPr="00212203">
              <w:t>CV %</w:t>
            </w:r>
          </w:p>
        </w:tc>
        <w:tc>
          <w:tcPr>
            <w:tcW w:w="3101" w:type="dxa"/>
            <w:tcBorders>
              <w:top w:val="nil"/>
              <w:left w:val="nil"/>
              <w:bottom w:val="single" w:sz="8" w:space="0" w:color="auto"/>
              <w:right w:val="single" w:sz="8" w:space="0" w:color="auto"/>
            </w:tcBorders>
            <w:tcMar>
              <w:top w:w="0" w:type="dxa"/>
              <w:left w:w="108" w:type="dxa"/>
              <w:bottom w:w="0" w:type="dxa"/>
              <w:right w:w="108" w:type="dxa"/>
            </w:tcMar>
            <w:hideMark/>
          </w:tcPr>
          <w:p w14:paraId="6CD38EAE" w14:textId="77777777" w:rsidR="00576ED3" w:rsidRPr="00212203" w:rsidRDefault="00576ED3" w:rsidP="00576ED3">
            <w:pPr>
              <w:pStyle w:val="CLDTableTextListText"/>
              <w:jc w:val="center"/>
              <w:rPr>
                <w:rFonts w:eastAsia="MS Mincho"/>
              </w:rPr>
            </w:pPr>
            <w:r w:rsidRPr="00212203">
              <w:t>7499</w:t>
            </w:r>
          </w:p>
          <w:p w14:paraId="0B159111" w14:textId="77777777" w:rsidR="00576ED3" w:rsidRPr="00212203" w:rsidRDefault="00576ED3" w:rsidP="00576ED3">
            <w:pPr>
              <w:pStyle w:val="CLDTableTextListText"/>
              <w:jc w:val="center"/>
            </w:pPr>
            <w:r w:rsidRPr="00212203">
              <w:t>1893.3</w:t>
            </w:r>
          </w:p>
          <w:p w14:paraId="556AE35C" w14:textId="77777777" w:rsidR="00576ED3" w:rsidRPr="00212203" w:rsidRDefault="00576ED3" w:rsidP="00576ED3">
            <w:pPr>
              <w:pStyle w:val="CLDTableTextListText"/>
              <w:jc w:val="center"/>
            </w:pPr>
            <w:r w:rsidRPr="00212203">
              <w:t>25.2</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00A12461" w14:textId="77777777" w:rsidR="00576ED3" w:rsidRPr="00212203" w:rsidRDefault="00576ED3" w:rsidP="00576ED3">
            <w:pPr>
              <w:pStyle w:val="CLDTableTextListText"/>
              <w:jc w:val="center"/>
              <w:rPr>
                <w:rFonts w:eastAsia="MS Mincho"/>
              </w:rPr>
            </w:pPr>
            <w:r w:rsidRPr="00212203">
              <w:t>20028</w:t>
            </w:r>
          </w:p>
          <w:p w14:paraId="40FD5C8E" w14:textId="77777777" w:rsidR="00576ED3" w:rsidRPr="00212203" w:rsidRDefault="00576ED3" w:rsidP="00576ED3">
            <w:pPr>
              <w:pStyle w:val="CLDTableTextListText"/>
              <w:jc w:val="center"/>
            </w:pPr>
            <w:r w:rsidRPr="00212203">
              <w:t>3584.3</w:t>
            </w:r>
          </w:p>
          <w:p w14:paraId="52D479B8" w14:textId="77777777" w:rsidR="00576ED3" w:rsidRPr="00212203" w:rsidRDefault="00576ED3" w:rsidP="00576ED3">
            <w:pPr>
              <w:pStyle w:val="CLDTableTextListText"/>
              <w:jc w:val="center"/>
            </w:pPr>
            <w:r w:rsidRPr="00212203">
              <w:t>17.9</w:t>
            </w:r>
          </w:p>
        </w:tc>
      </w:tr>
      <w:tr w:rsidR="00576ED3" w:rsidRPr="00212203" w14:paraId="34570AAD" w14:textId="77777777" w:rsidTr="0015753F">
        <w:tc>
          <w:tcPr>
            <w:tcW w:w="907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5136D" w14:textId="77777777" w:rsidR="00576ED3" w:rsidRPr="00576ED3" w:rsidRDefault="00576ED3" w:rsidP="00576ED3">
            <w:pPr>
              <w:pStyle w:val="CLDTableTextListText"/>
              <w:rPr>
                <w:rFonts w:eastAsia="MS Mincho"/>
                <w:b/>
              </w:rPr>
            </w:pPr>
            <w:proofErr w:type="spellStart"/>
            <w:r w:rsidRPr="00576ED3">
              <w:rPr>
                <w:b/>
              </w:rPr>
              <w:lastRenderedPageBreak/>
              <w:t>t</w:t>
            </w:r>
            <w:r w:rsidRPr="00576ED3">
              <w:rPr>
                <w:b/>
                <w:vertAlign w:val="subscript"/>
              </w:rPr>
              <w:t>max</w:t>
            </w:r>
            <w:proofErr w:type="spellEnd"/>
            <w:r w:rsidRPr="00576ED3">
              <w:rPr>
                <w:b/>
              </w:rPr>
              <w:t xml:space="preserve"> (h)</w:t>
            </w:r>
          </w:p>
        </w:tc>
      </w:tr>
      <w:tr w:rsidR="00576ED3" w:rsidRPr="00212203" w14:paraId="246487AB" w14:textId="77777777" w:rsidTr="0015753F">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14CAB" w14:textId="77777777" w:rsidR="00576ED3" w:rsidRPr="00212203" w:rsidRDefault="00576ED3" w:rsidP="00576ED3">
            <w:pPr>
              <w:pStyle w:val="CLDTableTextListText"/>
              <w:rPr>
                <w:rFonts w:eastAsia="MS Mincho"/>
              </w:rPr>
            </w:pPr>
            <w:r w:rsidRPr="00212203">
              <w:t>Median</w:t>
            </w:r>
          </w:p>
          <w:p w14:paraId="0626E9FB" w14:textId="77777777" w:rsidR="00576ED3" w:rsidRPr="00212203" w:rsidRDefault="00576ED3" w:rsidP="00576ED3">
            <w:pPr>
              <w:pStyle w:val="CLDTableTextListText"/>
              <w:rPr>
                <w:rFonts w:eastAsia="MS Mincho"/>
              </w:rPr>
            </w:pPr>
            <w:r w:rsidRPr="00212203">
              <w:t>Range</w:t>
            </w:r>
          </w:p>
        </w:tc>
        <w:tc>
          <w:tcPr>
            <w:tcW w:w="3101" w:type="dxa"/>
            <w:tcBorders>
              <w:top w:val="nil"/>
              <w:left w:val="nil"/>
              <w:bottom w:val="single" w:sz="8" w:space="0" w:color="auto"/>
              <w:right w:val="single" w:sz="8" w:space="0" w:color="auto"/>
            </w:tcBorders>
            <w:tcMar>
              <w:top w:w="0" w:type="dxa"/>
              <w:left w:w="108" w:type="dxa"/>
              <w:bottom w:w="0" w:type="dxa"/>
              <w:right w:w="108" w:type="dxa"/>
            </w:tcMar>
            <w:hideMark/>
          </w:tcPr>
          <w:p w14:paraId="1DEAFBF5" w14:textId="77777777" w:rsidR="00576ED3" w:rsidRPr="00212203" w:rsidRDefault="00576ED3" w:rsidP="00576ED3">
            <w:pPr>
              <w:pStyle w:val="CLDTableTextListText"/>
              <w:jc w:val="center"/>
              <w:rPr>
                <w:rFonts w:eastAsia="MS Mincho"/>
              </w:rPr>
            </w:pPr>
            <w:r w:rsidRPr="00212203">
              <w:t>3.0</w:t>
            </w:r>
          </w:p>
          <w:p w14:paraId="5AD09B34" w14:textId="77777777" w:rsidR="00576ED3" w:rsidRPr="00212203" w:rsidRDefault="00576ED3" w:rsidP="00576ED3">
            <w:pPr>
              <w:pStyle w:val="CLDTableTextListText"/>
              <w:jc w:val="center"/>
              <w:rPr>
                <w:rFonts w:eastAsia="MS Mincho"/>
              </w:rPr>
            </w:pPr>
            <w:r w:rsidRPr="00212203">
              <w:t>2.0 – 4.0</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0FDEF262" w14:textId="77777777" w:rsidR="00576ED3" w:rsidRPr="00212203" w:rsidRDefault="00576ED3" w:rsidP="00576ED3">
            <w:pPr>
              <w:pStyle w:val="CLDTableTextListText"/>
              <w:jc w:val="center"/>
              <w:rPr>
                <w:rFonts w:eastAsia="MS Mincho"/>
              </w:rPr>
            </w:pPr>
            <w:r w:rsidRPr="00212203">
              <w:t>4.0</w:t>
            </w:r>
          </w:p>
          <w:p w14:paraId="770560EE" w14:textId="77777777" w:rsidR="00576ED3" w:rsidRPr="00212203" w:rsidRDefault="00576ED3" w:rsidP="00576ED3">
            <w:pPr>
              <w:pStyle w:val="CLDTableTextListText"/>
              <w:jc w:val="center"/>
              <w:rPr>
                <w:rFonts w:eastAsia="MS Mincho"/>
              </w:rPr>
            </w:pPr>
            <w:r w:rsidRPr="00212203">
              <w:t>2.0 – 4.0</w:t>
            </w:r>
          </w:p>
        </w:tc>
      </w:tr>
      <w:tr w:rsidR="00576ED3" w:rsidRPr="00212203" w14:paraId="2EFD4299" w14:textId="77777777" w:rsidTr="0015753F">
        <w:tc>
          <w:tcPr>
            <w:tcW w:w="907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572AE" w14:textId="77777777" w:rsidR="00576ED3" w:rsidRPr="00576ED3" w:rsidRDefault="00576ED3" w:rsidP="00576ED3">
            <w:pPr>
              <w:pStyle w:val="CLDTableTextListText"/>
              <w:rPr>
                <w:rFonts w:eastAsia="MS Mincho"/>
                <w:b/>
              </w:rPr>
            </w:pPr>
            <w:r w:rsidRPr="00576ED3">
              <w:rPr>
                <w:b/>
              </w:rPr>
              <w:t>AUC (</w:t>
            </w:r>
            <w:proofErr w:type="spellStart"/>
            <w:r w:rsidRPr="00576ED3">
              <w:rPr>
                <w:b/>
              </w:rPr>
              <w:t>h•ng</w:t>
            </w:r>
            <w:proofErr w:type="spellEnd"/>
            <w:r w:rsidRPr="00576ED3">
              <w:rPr>
                <w:b/>
              </w:rPr>
              <w:t>/mL)</w:t>
            </w:r>
          </w:p>
        </w:tc>
      </w:tr>
      <w:tr w:rsidR="00576ED3" w:rsidRPr="00212203" w14:paraId="4FC722BB" w14:textId="77777777" w:rsidTr="00861773">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0A2B3" w14:textId="77777777" w:rsidR="00576ED3" w:rsidRPr="00212203" w:rsidRDefault="00576ED3" w:rsidP="00576ED3">
            <w:pPr>
              <w:pStyle w:val="CLDTableTextListText"/>
              <w:rPr>
                <w:rFonts w:eastAsia="MS Mincho"/>
              </w:rPr>
            </w:pPr>
            <w:r w:rsidRPr="00212203">
              <w:t>Mean</w:t>
            </w:r>
          </w:p>
          <w:p w14:paraId="5E9E92EE" w14:textId="77777777" w:rsidR="00576ED3" w:rsidRPr="00212203" w:rsidRDefault="00576ED3" w:rsidP="00576ED3">
            <w:pPr>
              <w:pStyle w:val="CLDTableTextListText"/>
            </w:pPr>
            <w:r w:rsidRPr="00212203">
              <w:t>SD</w:t>
            </w:r>
          </w:p>
          <w:p w14:paraId="04778F81" w14:textId="77777777" w:rsidR="00576ED3" w:rsidRPr="00212203" w:rsidRDefault="00576ED3" w:rsidP="00576ED3">
            <w:pPr>
              <w:pStyle w:val="CLDTableTextListText"/>
            </w:pPr>
            <w:r w:rsidRPr="00212203">
              <w:t>CV %</w:t>
            </w:r>
          </w:p>
        </w:tc>
        <w:tc>
          <w:tcPr>
            <w:tcW w:w="3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8EF92" w14:textId="77777777" w:rsidR="00576ED3" w:rsidRPr="00212203" w:rsidRDefault="00576ED3" w:rsidP="00576ED3">
            <w:pPr>
              <w:pStyle w:val="CLDTableTextListText"/>
              <w:jc w:val="center"/>
              <w:rPr>
                <w:rFonts w:eastAsia="MS Mincho"/>
              </w:rPr>
            </w:pPr>
            <w:r w:rsidRPr="00212203">
              <w:t>121402</w:t>
            </w:r>
          </w:p>
          <w:p w14:paraId="2C9BBE95" w14:textId="77777777" w:rsidR="00576ED3" w:rsidRPr="00212203" w:rsidRDefault="00576ED3" w:rsidP="00576ED3">
            <w:pPr>
              <w:pStyle w:val="CLDTableTextListText"/>
              <w:jc w:val="center"/>
            </w:pPr>
            <w:r w:rsidRPr="00212203">
              <w:t>35768.8</w:t>
            </w:r>
          </w:p>
          <w:p w14:paraId="6DEB2E6C" w14:textId="77777777" w:rsidR="00576ED3" w:rsidRPr="00212203" w:rsidRDefault="00576ED3" w:rsidP="00576ED3">
            <w:pPr>
              <w:pStyle w:val="CLDTableTextListText"/>
              <w:jc w:val="center"/>
            </w:pPr>
            <w:r w:rsidRPr="00212203">
              <w:t>29.5</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0CC55" w14:textId="77777777" w:rsidR="00576ED3" w:rsidRPr="00212203" w:rsidRDefault="00576ED3" w:rsidP="00576ED3">
            <w:pPr>
              <w:pStyle w:val="CLDTableTextListText"/>
              <w:jc w:val="center"/>
              <w:rPr>
                <w:rFonts w:eastAsia="MS Mincho"/>
              </w:rPr>
            </w:pPr>
            <w:r w:rsidRPr="00212203">
              <w:t>352805</w:t>
            </w:r>
          </w:p>
          <w:p w14:paraId="068BD6B0" w14:textId="77777777" w:rsidR="00576ED3" w:rsidRPr="00212203" w:rsidRDefault="00576ED3" w:rsidP="00576ED3">
            <w:pPr>
              <w:pStyle w:val="CLDTableTextListText"/>
              <w:jc w:val="center"/>
            </w:pPr>
            <w:r w:rsidRPr="00212203">
              <w:t>72018.5</w:t>
            </w:r>
          </w:p>
          <w:p w14:paraId="3DB7D084" w14:textId="77777777" w:rsidR="00576ED3" w:rsidRPr="00212203" w:rsidRDefault="00576ED3" w:rsidP="00576ED3">
            <w:pPr>
              <w:pStyle w:val="CLDTableTextListText"/>
              <w:jc w:val="center"/>
            </w:pPr>
            <w:r w:rsidRPr="00212203">
              <w:t>20.4</w:t>
            </w:r>
          </w:p>
        </w:tc>
      </w:tr>
    </w:tbl>
    <w:p w14:paraId="258C446A" w14:textId="39479DD9" w:rsidR="00576ED3" w:rsidRPr="000F3CBC" w:rsidRDefault="00576ED3" w:rsidP="00576ED3">
      <w:pPr>
        <w:pStyle w:val="CLDNormal"/>
        <w:rPr>
          <w:b/>
        </w:rPr>
      </w:pPr>
      <w:r w:rsidRPr="00212203">
        <w:t xml:space="preserve">As shown in Table </w:t>
      </w:r>
      <w:r w:rsidR="00B62637">
        <w:t>10</w:t>
      </w:r>
      <w:r w:rsidRPr="00212203">
        <w:t xml:space="preserve"> below, the absolute bioavailability of </w:t>
      </w:r>
      <w:proofErr w:type="spellStart"/>
      <w:r w:rsidRPr="00212203">
        <w:t>isavuconazole</w:t>
      </w:r>
      <w:proofErr w:type="spellEnd"/>
      <w:r w:rsidRPr="00212203">
        <w:t xml:space="preserve"> following oral administration of a single dose of CRESEMBA is 98%. Based on these findings, intravenous and oral dosing can be used interchangeably.</w:t>
      </w:r>
    </w:p>
    <w:p w14:paraId="1129603E" w14:textId="7EEBFA84" w:rsidR="00576ED3" w:rsidRPr="00212203" w:rsidRDefault="00576ED3" w:rsidP="00576ED3">
      <w:pPr>
        <w:pStyle w:val="CLDTableTitle"/>
      </w:pPr>
      <w:r w:rsidRPr="00212203">
        <w:t xml:space="preserve">Table </w:t>
      </w:r>
      <w:r w:rsidR="00B62637">
        <w:t>10</w:t>
      </w:r>
      <w:r w:rsidR="001F72B3">
        <w:t>.</w:t>
      </w:r>
      <w:r w:rsidRPr="00212203">
        <w:t xml:space="preserve"> Pharmacokinetic comparison for oral and intravenous dose (Mean)</w:t>
      </w:r>
    </w:p>
    <w:tbl>
      <w:tblPr>
        <w:tblW w:w="0" w:type="auto"/>
        <w:tblInd w:w="108" w:type="dxa"/>
        <w:tblCellMar>
          <w:left w:w="0" w:type="dxa"/>
          <w:right w:w="0" w:type="dxa"/>
        </w:tblCellMar>
        <w:tblLook w:val="04A0" w:firstRow="1" w:lastRow="0" w:firstColumn="1" w:lastColumn="0" w:noHBand="0" w:noVBand="1"/>
      </w:tblPr>
      <w:tblGrid>
        <w:gridCol w:w="2952"/>
        <w:gridCol w:w="2952"/>
        <w:gridCol w:w="2952"/>
      </w:tblGrid>
      <w:tr w:rsidR="00576ED3" w:rsidRPr="00212203" w14:paraId="4DEDB5C4" w14:textId="77777777" w:rsidTr="0015753F">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DD3CE" w14:textId="77777777" w:rsidR="00576ED3" w:rsidRPr="00212203" w:rsidRDefault="00576ED3" w:rsidP="00576ED3">
            <w:pPr>
              <w:pStyle w:val="CLDTableTextListText"/>
              <w:rPr>
                <w:rFonts w:eastAsia="MS Mincho"/>
              </w:rPr>
            </w:pP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938942" w14:textId="77777777" w:rsidR="00576ED3" w:rsidRPr="00212203" w:rsidRDefault="00576ED3" w:rsidP="00576ED3">
            <w:pPr>
              <w:pStyle w:val="CLDTableTextListText"/>
              <w:jc w:val="center"/>
              <w:rPr>
                <w:rFonts w:eastAsia="MS Mincho"/>
                <w:b/>
              </w:rPr>
            </w:pPr>
            <w:r w:rsidRPr="00212203">
              <w:rPr>
                <w:b/>
              </w:rPr>
              <w:t>ISA 400 mg oral</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599E6" w14:textId="77777777" w:rsidR="00576ED3" w:rsidRPr="00212203" w:rsidRDefault="00576ED3" w:rsidP="00576ED3">
            <w:pPr>
              <w:pStyle w:val="CLDTableTextListText"/>
              <w:jc w:val="center"/>
              <w:rPr>
                <w:rFonts w:eastAsia="MS Mincho"/>
                <w:b/>
              </w:rPr>
            </w:pPr>
            <w:r w:rsidRPr="00212203">
              <w:rPr>
                <w:b/>
              </w:rPr>
              <w:t xml:space="preserve">ISA 400 mg </w:t>
            </w:r>
            <w:proofErr w:type="spellStart"/>
            <w:r w:rsidRPr="00212203">
              <w:rPr>
                <w:b/>
              </w:rPr>
              <w:t>i.v.</w:t>
            </w:r>
            <w:proofErr w:type="spellEnd"/>
          </w:p>
        </w:tc>
      </w:tr>
      <w:tr w:rsidR="00576ED3" w:rsidRPr="00212203" w14:paraId="209E0BC1" w14:textId="77777777" w:rsidTr="0015753F">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2F64C" w14:textId="77777777" w:rsidR="00576ED3" w:rsidRPr="00212203" w:rsidRDefault="00576ED3" w:rsidP="00576ED3">
            <w:pPr>
              <w:pStyle w:val="CLDTableTextListText"/>
              <w:rPr>
                <w:rFonts w:eastAsia="MS Mincho"/>
              </w:rPr>
            </w:pPr>
            <w:r w:rsidRPr="00212203">
              <w:rPr>
                <w:bCs/>
              </w:rPr>
              <w:t>AUC (</w:t>
            </w:r>
            <w:proofErr w:type="spellStart"/>
            <w:r w:rsidRPr="00212203">
              <w:rPr>
                <w:bCs/>
              </w:rPr>
              <w:t>h</w:t>
            </w:r>
            <w:r w:rsidRPr="00212203">
              <w:rPr>
                <w:b/>
                <w:bCs/>
              </w:rPr>
              <w:t>•</w:t>
            </w:r>
            <w:r w:rsidRPr="00212203">
              <w:rPr>
                <w:bCs/>
              </w:rPr>
              <w:t>ng</w:t>
            </w:r>
            <w:proofErr w:type="spellEnd"/>
            <w:r w:rsidRPr="00212203">
              <w:rPr>
                <w:bCs/>
              </w:rPr>
              <w:t xml:space="preserve">/mL) </w:t>
            </w:r>
          </w:p>
        </w:tc>
        <w:tc>
          <w:tcPr>
            <w:tcW w:w="2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F9022" w14:textId="77777777" w:rsidR="00576ED3" w:rsidRPr="00212203" w:rsidRDefault="00576ED3" w:rsidP="00576ED3">
            <w:pPr>
              <w:pStyle w:val="CLDTableTextListText"/>
              <w:jc w:val="center"/>
              <w:rPr>
                <w:rFonts w:eastAsia="MS Mincho"/>
              </w:rPr>
            </w:pPr>
            <w:r w:rsidRPr="00212203">
              <w:rPr>
                <w:bCs/>
              </w:rPr>
              <w:t>189462.8</w:t>
            </w:r>
          </w:p>
        </w:tc>
        <w:tc>
          <w:tcPr>
            <w:tcW w:w="2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94FF9" w14:textId="77777777" w:rsidR="00576ED3" w:rsidRPr="00212203" w:rsidRDefault="00576ED3" w:rsidP="00576ED3">
            <w:pPr>
              <w:pStyle w:val="CLDTableTextListText"/>
              <w:jc w:val="center"/>
              <w:rPr>
                <w:rFonts w:eastAsia="MS Mincho"/>
              </w:rPr>
            </w:pPr>
            <w:r w:rsidRPr="00212203">
              <w:rPr>
                <w:bCs/>
              </w:rPr>
              <w:t>193906.8</w:t>
            </w:r>
          </w:p>
        </w:tc>
      </w:tr>
      <w:tr w:rsidR="00576ED3" w:rsidRPr="00212203" w14:paraId="459576BA" w14:textId="77777777" w:rsidTr="0015753F">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5AE2C" w14:textId="77777777" w:rsidR="00576ED3" w:rsidRPr="00212203" w:rsidRDefault="00576ED3" w:rsidP="00576ED3">
            <w:pPr>
              <w:pStyle w:val="CLDTableTextListText"/>
              <w:rPr>
                <w:rFonts w:eastAsia="MS Mincho"/>
              </w:rPr>
            </w:pPr>
            <w:r w:rsidRPr="00212203">
              <w:t>CV %</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14:paraId="2867BDA1" w14:textId="77777777" w:rsidR="00576ED3" w:rsidRPr="00212203" w:rsidRDefault="00576ED3" w:rsidP="00576ED3">
            <w:pPr>
              <w:pStyle w:val="CLDTableTextListText"/>
              <w:jc w:val="center"/>
              <w:rPr>
                <w:rFonts w:eastAsia="MS Mincho"/>
              </w:rPr>
            </w:pPr>
            <w:r w:rsidRPr="00212203">
              <w:t>36.5</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14:paraId="2EE295B1" w14:textId="77777777" w:rsidR="00576ED3" w:rsidRPr="00212203" w:rsidRDefault="00576ED3" w:rsidP="00576ED3">
            <w:pPr>
              <w:pStyle w:val="CLDTableTextListText"/>
              <w:jc w:val="center"/>
              <w:rPr>
                <w:rFonts w:eastAsia="MS Mincho"/>
              </w:rPr>
            </w:pPr>
            <w:r w:rsidRPr="00212203">
              <w:t>37.2</w:t>
            </w:r>
          </w:p>
        </w:tc>
      </w:tr>
      <w:tr w:rsidR="00576ED3" w:rsidRPr="00212203" w14:paraId="138348CD" w14:textId="77777777" w:rsidTr="0015753F">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885BB" w14:textId="77777777" w:rsidR="00576ED3" w:rsidRPr="00212203" w:rsidRDefault="00576ED3" w:rsidP="00576ED3">
            <w:pPr>
              <w:pStyle w:val="CLDTableTextListText"/>
              <w:rPr>
                <w:rFonts w:eastAsia="MS Mincho"/>
              </w:rPr>
            </w:pPr>
            <w:r w:rsidRPr="00212203">
              <w:t>Half-life (h)</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14:paraId="062F0757" w14:textId="77777777" w:rsidR="00576ED3" w:rsidRPr="00212203" w:rsidRDefault="00576ED3" w:rsidP="00576ED3">
            <w:pPr>
              <w:pStyle w:val="CLDTableTextListText"/>
              <w:jc w:val="center"/>
              <w:rPr>
                <w:rFonts w:eastAsia="MS Mincho"/>
              </w:rPr>
            </w:pPr>
            <w:r w:rsidRPr="00212203">
              <w:t>110</w:t>
            </w:r>
          </w:p>
        </w:tc>
        <w:tc>
          <w:tcPr>
            <w:tcW w:w="2952" w:type="dxa"/>
            <w:tcBorders>
              <w:top w:val="nil"/>
              <w:left w:val="nil"/>
              <w:bottom w:val="single" w:sz="8" w:space="0" w:color="auto"/>
              <w:right w:val="single" w:sz="8" w:space="0" w:color="auto"/>
            </w:tcBorders>
            <w:tcMar>
              <w:top w:w="0" w:type="dxa"/>
              <w:left w:w="108" w:type="dxa"/>
              <w:bottom w:w="0" w:type="dxa"/>
              <w:right w:w="108" w:type="dxa"/>
            </w:tcMar>
            <w:hideMark/>
          </w:tcPr>
          <w:p w14:paraId="5539551E" w14:textId="77777777" w:rsidR="00576ED3" w:rsidRPr="00212203" w:rsidRDefault="00576ED3" w:rsidP="00576ED3">
            <w:pPr>
              <w:pStyle w:val="CLDTableTextListText"/>
              <w:jc w:val="center"/>
              <w:rPr>
                <w:rFonts w:eastAsia="MS Mincho"/>
              </w:rPr>
            </w:pPr>
            <w:r w:rsidRPr="00212203">
              <w:t>115</w:t>
            </w:r>
          </w:p>
        </w:tc>
      </w:tr>
    </w:tbl>
    <w:p w14:paraId="2E8C9F57" w14:textId="77777777" w:rsidR="00576ED3" w:rsidRPr="00576ED3" w:rsidRDefault="00576ED3" w:rsidP="00452430">
      <w:pPr>
        <w:pStyle w:val="CLDHeading4"/>
        <w:rPr>
          <w:rFonts w:eastAsia="MS Mincho"/>
          <w:lang w:val="en-US"/>
        </w:rPr>
      </w:pPr>
      <w:r w:rsidRPr="00576ED3">
        <w:rPr>
          <w:rFonts w:eastAsia="MS Mincho"/>
          <w:lang w:val="en-US"/>
        </w:rPr>
        <w:t>Effect of food on absorption</w:t>
      </w:r>
    </w:p>
    <w:p w14:paraId="63C98F4A" w14:textId="77777777" w:rsidR="00576ED3" w:rsidRPr="00212203" w:rsidRDefault="00576ED3" w:rsidP="00576ED3">
      <w:pPr>
        <w:pStyle w:val="CLDNormal"/>
        <w:rPr>
          <w:szCs w:val="22"/>
        </w:rPr>
      </w:pPr>
      <w:r w:rsidRPr="00212203">
        <w:rPr>
          <w:rFonts w:eastAsia="TimesNewRoman"/>
          <w:szCs w:val="22"/>
        </w:rPr>
        <w:t xml:space="preserve">Oral administration of CRESEMBA equivalent to 400 mg </w:t>
      </w:r>
      <w:proofErr w:type="spellStart"/>
      <w:r w:rsidRPr="00212203">
        <w:rPr>
          <w:rFonts w:eastAsia="TimesNewRoman"/>
          <w:szCs w:val="22"/>
        </w:rPr>
        <w:t>isavuconazole</w:t>
      </w:r>
      <w:proofErr w:type="spellEnd"/>
      <w:r w:rsidRPr="00212203">
        <w:rPr>
          <w:szCs w:val="22"/>
        </w:rPr>
        <w:t xml:space="preserve"> with a high-fat meal reduced </w:t>
      </w:r>
      <w:proofErr w:type="spellStart"/>
      <w:r w:rsidRPr="00212203">
        <w:rPr>
          <w:szCs w:val="22"/>
        </w:rPr>
        <w:t>isavuconazole</w:t>
      </w:r>
      <w:proofErr w:type="spellEnd"/>
      <w:r w:rsidRPr="00212203">
        <w:rPr>
          <w:szCs w:val="22"/>
        </w:rPr>
        <w:t xml:space="preserve"> </w:t>
      </w:r>
      <w:proofErr w:type="spellStart"/>
      <w:r w:rsidRPr="00212203">
        <w:rPr>
          <w:szCs w:val="22"/>
        </w:rPr>
        <w:t>C</w:t>
      </w:r>
      <w:r w:rsidRPr="00212203">
        <w:rPr>
          <w:szCs w:val="22"/>
          <w:vertAlign w:val="subscript"/>
        </w:rPr>
        <w:t>max</w:t>
      </w:r>
      <w:proofErr w:type="spellEnd"/>
      <w:r w:rsidRPr="00212203">
        <w:rPr>
          <w:szCs w:val="22"/>
        </w:rPr>
        <w:t xml:space="preserve"> by 9% and increased AUC by 9%. CRESEMBA can be taken with or without food.</w:t>
      </w:r>
    </w:p>
    <w:p w14:paraId="468AFD0C" w14:textId="77777777" w:rsidR="003C6DC6" w:rsidRDefault="003C6DC6" w:rsidP="00755FFF">
      <w:pPr>
        <w:pStyle w:val="CLDHeading3"/>
      </w:pPr>
      <w:r>
        <w:t>Distribution</w:t>
      </w:r>
    </w:p>
    <w:p w14:paraId="5D1A962A" w14:textId="77777777" w:rsidR="00576ED3" w:rsidRPr="00212203" w:rsidRDefault="00576ED3" w:rsidP="00576ED3">
      <w:pPr>
        <w:pStyle w:val="CLDNormal"/>
      </w:pPr>
      <w:proofErr w:type="spellStart"/>
      <w:r w:rsidRPr="00212203">
        <w:t>Isavuconazole</w:t>
      </w:r>
      <w:proofErr w:type="spellEnd"/>
      <w:r w:rsidRPr="00212203">
        <w:t xml:space="preserve"> is extensively distributed, with a mean steady state volume of distribution (</w:t>
      </w:r>
      <w:proofErr w:type="spellStart"/>
      <w:r w:rsidRPr="00212203">
        <w:t>V</w:t>
      </w:r>
      <w:r w:rsidRPr="00212203">
        <w:rPr>
          <w:vertAlign w:val="subscript"/>
        </w:rPr>
        <w:t>ss</w:t>
      </w:r>
      <w:proofErr w:type="spellEnd"/>
      <w:r w:rsidRPr="00212203">
        <w:t xml:space="preserve">) of approximately 450 L. </w:t>
      </w:r>
      <w:proofErr w:type="spellStart"/>
      <w:r w:rsidRPr="00212203">
        <w:t>Isavuconazole</w:t>
      </w:r>
      <w:proofErr w:type="spellEnd"/>
      <w:r w:rsidRPr="00212203">
        <w:t xml:space="preserve"> is highly bound (&gt; 99%) to human plasma proteins, predominantly to albumin.</w:t>
      </w:r>
    </w:p>
    <w:p w14:paraId="5FFFBD2C" w14:textId="77777777" w:rsidR="003C6DC6" w:rsidRDefault="002A5064" w:rsidP="00755FFF">
      <w:pPr>
        <w:pStyle w:val="CLDHeading3"/>
      </w:pPr>
      <w:r>
        <w:t>Metabolism</w:t>
      </w:r>
    </w:p>
    <w:p w14:paraId="71091ABF" w14:textId="77777777" w:rsidR="0015753F" w:rsidRPr="00212203" w:rsidRDefault="0015753F" w:rsidP="0015753F">
      <w:pPr>
        <w:pStyle w:val="CLDNormal"/>
        <w:rPr>
          <w:strike/>
        </w:rPr>
      </w:pPr>
      <w:r w:rsidRPr="00212203">
        <w:rPr>
          <w:i/>
        </w:rPr>
        <w:t>In vitro / in vivo</w:t>
      </w:r>
      <w:r w:rsidRPr="00212203">
        <w:t xml:space="preserve"> studies indicate that CYP3A4, CYP3A5, and subsequently uridine diphosphate-glucuronosyltransferases (UGT), are involved in the metabolism of </w:t>
      </w:r>
      <w:proofErr w:type="spellStart"/>
      <w:r w:rsidRPr="00212203">
        <w:t>isavuconazole</w:t>
      </w:r>
      <w:proofErr w:type="spellEnd"/>
      <w:r w:rsidRPr="00212203">
        <w:t xml:space="preserve">. </w:t>
      </w:r>
    </w:p>
    <w:p w14:paraId="05540275" w14:textId="77777777" w:rsidR="0015753F" w:rsidRPr="00212203" w:rsidRDefault="0015753F" w:rsidP="0015753F">
      <w:pPr>
        <w:pStyle w:val="CLDNormal"/>
      </w:pPr>
      <w:r w:rsidRPr="00212203">
        <w:t xml:space="preserve">Following </w:t>
      </w:r>
      <w:r w:rsidRPr="00212203">
        <w:rPr>
          <w:lang w:eastAsia="ja-JP"/>
        </w:rPr>
        <w:t>single doses of [cyano</w:t>
      </w:r>
      <w:r w:rsidRPr="00212203">
        <w:rPr>
          <w:lang w:eastAsia="ja-JP"/>
        </w:rPr>
        <w:noBreakHyphen/>
      </w:r>
      <w:r w:rsidRPr="00212203">
        <w:rPr>
          <w:vertAlign w:val="superscript"/>
          <w:lang w:eastAsia="ja-JP"/>
        </w:rPr>
        <w:t>14</w:t>
      </w:r>
      <w:r w:rsidRPr="00212203">
        <w:rPr>
          <w:lang w:eastAsia="ja-JP"/>
        </w:rPr>
        <w:t xml:space="preserve">C] </w:t>
      </w:r>
      <w:proofErr w:type="spellStart"/>
      <w:r w:rsidRPr="00212203">
        <w:rPr>
          <w:lang w:eastAsia="ja-JP"/>
        </w:rPr>
        <w:t>isavuconazonium</w:t>
      </w:r>
      <w:proofErr w:type="spellEnd"/>
      <w:r w:rsidRPr="00212203">
        <w:rPr>
          <w:lang w:eastAsia="ja-JP"/>
        </w:rPr>
        <w:t xml:space="preserve"> and [pyridinylmethyl</w:t>
      </w:r>
      <w:r w:rsidRPr="00212203">
        <w:rPr>
          <w:lang w:eastAsia="ja-JP"/>
        </w:rPr>
        <w:noBreakHyphen/>
      </w:r>
      <w:r w:rsidRPr="00212203">
        <w:rPr>
          <w:vertAlign w:val="superscript"/>
          <w:lang w:eastAsia="ja-JP"/>
        </w:rPr>
        <w:t>14</w:t>
      </w:r>
      <w:r w:rsidRPr="00212203">
        <w:rPr>
          <w:lang w:eastAsia="ja-JP"/>
        </w:rPr>
        <w:t xml:space="preserve">C] </w:t>
      </w:r>
      <w:proofErr w:type="spellStart"/>
      <w:r w:rsidRPr="00212203">
        <w:rPr>
          <w:lang w:eastAsia="ja-JP"/>
        </w:rPr>
        <w:t>isavuconazonium</w:t>
      </w:r>
      <w:proofErr w:type="spellEnd"/>
      <w:r w:rsidRPr="00212203">
        <w:rPr>
          <w:lang w:eastAsia="ja-JP"/>
        </w:rPr>
        <w:t xml:space="preserve"> </w:t>
      </w:r>
      <w:proofErr w:type="spellStart"/>
      <w:r w:rsidRPr="00212203">
        <w:rPr>
          <w:lang w:eastAsia="ja-JP"/>
        </w:rPr>
        <w:t>sulfate</w:t>
      </w:r>
      <w:proofErr w:type="spellEnd"/>
      <w:r w:rsidRPr="00212203">
        <w:rPr>
          <w:lang w:eastAsia="ja-JP"/>
        </w:rPr>
        <w:t xml:space="preserve"> in humans, in </w:t>
      </w:r>
      <w:r w:rsidRPr="00212203">
        <w:t>addition to the active moiety (</w:t>
      </w:r>
      <w:proofErr w:type="spellStart"/>
      <w:r w:rsidRPr="00212203">
        <w:t>isavuconazole</w:t>
      </w:r>
      <w:proofErr w:type="spellEnd"/>
      <w:r w:rsidRPr="00212203">
        <w:t xml:space="preserve">) and the inactive cleavage product, a number of minor metabolites were identified. Except for the active moiety </w:t>
      </w:r>
      <w:proofErr w:type="spellStart"/>
      <w:r w:rsidRPr="00212203">
        <w:t>isavuconazole</w:t>
      </w:r>
      <w:proofErr w:type="spellEnd"/>
      <w:r w:rsidRPr="00212203">
        <w:t>, no individual metabolite was observed with an AUC &gt; 10% of total radio</w:t>
      </w:r>
      <w:r w:rsidRPr="00212203">
        <w:noBreakHyphen/>
        <w:t>labelled material.</w:t>
      </w:r>
    </w:p>
    <w:p w14:paraId="02EEF9BB" w14:textId="77777777" w:rsidR="003C6DC6" w:rsidRDefault="002A5064" w:rsidP="00755FFF">
      <w:pPr>
        <w:pStyle w:val="CLDHeading3"/>
      </w:pPr>
      <w:r>
        <w:t>Excretion</w:t>
      </w:r>
    </w:p>
    <w:p w14:paraId="24EF2964" w14:textId="77777777" w:rsidR="0015753F" w:rsidRPr="00212203" w:rsidRDefault="0015753F" w:rsidP="0015753F">
      <w:pPr>
        <w:pStyle w:val="CLDNormal"/>
      </w:pPr>
      <w:r w:rsidRPr="00212203">
        <w:rPr>
          <w:lang w:eastAsia="ja-JP"/>
        </w:rPr>
        <w:t xml:space="preserve">Following oral administration of radio-labelled </w:t>
      </w:r>
      <w:proofErr w:type="spellStart"/>
      <w:r w:rsidRPr="00212203">
        <w:rPr>
          <w:lang w:eastAsia="ja-JP"/>
        </w:rPr>
        <w:t>isavuconazonium</w:t>
      </w:r>
      <w:proofErr w:type="spellEnd"/>
      <w:r w:rsidRPr="00212203">
        <w:rPr>
          <w:lang w:eastAsia="ja-JP"/>
        </w:rPr>
        <w:t xml:space="preserve"> </w:t>
      </w:r>
      <w:proofErr w:type="spellStart"/>
      <w:r w:rsidRPr="00212203">
        <w:rPr>
          <w:lang w:eastAsia="ja-JP"/>
        </w:rPr>
        <w:t>sulfate</w:t>
      </w:r>
      <w:proofErr w:type="spellEnd"/>
      <w:r w:rsidRPr="00212203">
        <w:rPr>
          <w:lang w:eastAsia="ja-JP"/>
        </w:rPr>
        <w:t xml:space="preserve"> to healthy subjects, </w:t>
      </w:r>
      <w:r w:rsidRPr="00212203">
        <w:t xml:space="preserve">a mean of 46.1% of the radioactive dose was recovered in faeces, and 45.5% was recovered in urine. </w:t>
      </w:r>
    </w:p>
    <w:p w14:paraId="0613AC7D" w14:textId="77777777" w:rsidR="0015753F" w:rsidRPr="00212203" w:rsidRDefault="0015753F" w:rsidP="0015753F">
      <w:pPr>
        <w:pStyle w:val="CLDNormal"/>
        <w:rPr>
          <w:rFonts w:eastAsia="MS Mincho"/>
          <w:lang w:eastAsia="ja-JP"/>
        </w:rPr>
      </w:pPr>
      <w:r w:rsidRPr="00212203">
        <w:rPr>
          <w:rFonts w:eastAsia="MS Mincho"/>
          <w:lang w:eastAsia="ja-JP"/>
        </w:rPr>
        <w:t xml:space="preserve">Renal excretion of intact </w:t>
      </w:r>
      <w:proofErr w:type="spellStart"/>
      <w:r w:rsidRPr="00212203">
        <w:rPr>
          <w:rFonts w:eastAsia="MS Mincho"/>
          <w:lang w:eastAsia="ja-JP"/>
        </w:rPr>
        <w:t>isavuconazole</w:t>
      </w:r>
      <w:proofErr w:type="spellEnd"/>
      <w:r w:rsidRPr="00212203">
        <w:rPr>
          <w:rFonts w:eastAsia="MS Mincho"/>
          <w:lang w:eastAsia="ja-JP"/>
        </w:rPr>
        <w:t xml:space="preserve"> was less than 1% of the dose administered.  </w:t>
      </w:r>
    </w:p>
    <w:p w14:paraId="3BCCE2A5" w14:textId="77777777" w:rsidR="0015753F" w:rsidRDefault="0015753F" w:rsidP="0015753F">
      <w:pPr>
        <w:pStyle w:val="CLDNormal"/>
        <w:rPr>
          <w:rFonts w:eastAsia="MS Mincho"/>
          <w:lang w:eastAsia="ja-JP"/>
        </w:rPr>
      </w:pPr>
      <w:r w:rsidRPr="00212203">
        <w:rPr>
          <w:rFonts w:eastAsia="MS Mincho"/>
          <w:lang w:eastAsia="ja-JP"/>
        </w:rPr>
        <w:lastRenderedPageBreak/>
        <w:t xml:space="preserve">The inactive cleavage product is primarily eliminated by metabolism and subsequent renal excretion of the metabolites. </w:t>
      </w:r>
    </w:p>
    <w:p w14:paraId="3E1FA65D" w14:textId="77777777" w:rsidR="0015753F" w:rsidRPr="00212203" w:rsidRDefault="0015753F" w:rsidP="0015753F">
      <w:pPr>
        <w:pStyle w:val="CLDHeading3"/>
      </w:pPr>
      <w:r w:rsidRPr="00212203">
        <w:t>Linearity/non-linearity</w:t>
      </w:r>
    </w:p>
    <w:p w14:paraId="5F3E1021" w14:textId="77777777" w:rsidR="0015753F" w:rsidRPr="0015753F" w:rsidRDefault="0015753F" w:rsidP="0015753F">
      <w:pPr>
        <w:pStyle w:val="CLDNormal"/>
      </w:pPr>
      <w:r w:rsidRPr="0015753F">
        <w:t xml:space="preserve">Studies in healthy subjects have demonstrated that the pharmacokinetics of </w:t>
      </w:r>
      <w:proofErr w:type="spellStart"/>
      <w:r w:rsidRPr="0015753F">
        <w:t>isavuconazole</w:t>
      </w:r>
      <w:proofErr w:type="spellEnd"/>
      <w:r w:rsidRPr="0015753F">
        <w:t xml:space="preserve"> are proportional up to 600 mg per day. </w:t>
      </w:r>
    </w:p>
    <w:p w14:paraId="6AFDB3BA" w14:textId="77777777" w:rsidR="0015753F" w:rsidRPr="00212203" w:rsidRDefault="0015753F" w:rsidP="00EA1CC1">
      <w:pPr>
        <w:pStyle w:val="CLDHeading3"/>
      </w:pPr>
      <w:r w:rsidRPr="00212203">
        <w:t>Pharmacokinetics in special populations</w:t>
      </w:r>
    </w:p>
    <w:p w14:paraId="21E4DC6F" w14:textId="77777777" w:rsidR="00EA1CC1" w:rsidRPr="00EA1CC1" w:rsidRDefault="00EA1CC1" w:rsidP="00A712CB">
      <w:pPr>
        <w:pStyle w:val="CLDHeading4"/>
      </w:pPr>
      <w:r w:rsidRPr="00EA1CC1">
        <w:t>Paediatric patients</w:t>
      </w:r>
    </w:p>
    <w:p w14:paraId="63E95D86" w14:textId="77777777" w:rsidR="00EA1CC1" w:rsidRPr="00212203" w:rsidRDefault="00EA1CC1" w:rsidP="00EA1CC1">
      <w:pPr>
        <w:pStyle w:val="CLDNormal"/>
        <w:rPr>
          <w:szCs w:val="22"/>
        </w:rPr>
      </w:pPr>
      <w:r w:rsidRPr="00212203">
        <w:rPr>
          <w:szCs w:val="22"/>
        </w:rPr>
        <w:t>The pharmacokinetics in paediatric patients (&lt; 18 years) have not yet been evaluated. No data are available.</w:t>
      </w:r>
    </w:p>
    <w:p w14:paraId="0AB5B74C" w14:textId="77777777" w:rsidR="00EA1CC1" w:rsidRPr="00EA1CC1" w:rsidRDefault="00EA1CC1" w:rsidP="00A712CB">
      <w:pPr>
        <w:pStyle w:val="CLDHeading4"/>
      </w:pPr>
      <w:r w:rsidRPr="00EA1CC1">
        <w:t>Renal impairment</w:t>
      </w:r>
    </w:p>
    <w:p w14:paraId="78459B60" w14:textId="77777777" w:rsidR="00EA1CC1" w:rsidRPr="00212203" w:rsidRDefault="00EA1CC1" w:rsidP="00EA1CC1">
      <w:pPr>
        <w:pStyle w:val="CLDNormal"/>
        <w:rPr>
          <w:szCs w:val="22"/>
        </w:rPr>
      </w:pPr>
      <w:r w:rsidRPr="00212203">
        <w:rPr>
          <w:szCs w:val="22"/>
        </w:rPr>
        <w:t xml:space="preserve">No clinically relevant changes were observed in the total </w:t>
      </w:r>
      <w:proofErr w:type="spellStart"/>
      <w:r w:rsidRPr="00212203">
        <w:rPr>
          <w:szCs w:val="22"/>
        </w:rPr>
        <w:t>C</w:t>
      </w:r>
      <w:r w:rsidRPr="00212203">
        <w:rPr>
          <w:szCs w:val="22"/>
          <w:vertAlign w:val="subscript"/>
        </w:rPr>
        <w:t>max</w:t>
      </w:r>
      <w:proofErr w:type="spellEnd"/>
      <w:r w:rsidRPr="00212203">
        <w:rPr>
          <w:szCs w:val="22"/>
        </w:rPr>
        <w:t xml:space="preserve"> and AUC of </w:t>
      </w:r>
      <w:proofErr w:type="spellStart"/>
      <w:r w:rsidRPr="00212203">
        <w:rPr>
          <w:szCs w:val="22"/>
        </w:rPr>
        <w:t>isavuconazole</w:t>
      </w:r>
      <w:proofErr w:type="spellEnd"/>
      <w:r w:rsidRPr="00212203">
        <w:rPr>
          <w:szCs w:val="22"/>
        </w:rPr>
        <w:t xml:space="preserve"> in subjects with mild, moderate or severe renal impairment compared to subjects with normal renal function. Of the 403 patients who received CRESEMBA in the Phase 3 studies, 79 (20%) of patients had an estimated glomerular filtration rate (GFR) less than 60 mL/min/1.73 m</w:t>
      </w:r>
      <w:r w:rsidRPr="00212203">
        <w:rPr>
          <w:szCs w:val="22"/>
          <w:vertAlign w:val="superscript"/>
        </w:rPr>
        <w:t>2</w:t>
      </w:r>
      <w:r w:rsidRPr="00212203">
        <w:rPr>
          <w:szCs w:val="22"/>
        </w:rPr>
        <w:t xml:space="preserve">. No dose adjustment is required in patients with renal impairment, including those patients with end-stage renal disease. </w:t>
      </w:r>
      <w:proofErr w:type="spellStart"/>
      <w:r w:rsidRPr="00212203">
        <w:rPr>
          <w:szCs w:val="22"/>
        </w:rPr>
        <w:t>Isavuconazole</w:t>
      </w:r>
      <w:proofErr w:type="spellEnd"/>
      <w:r w:rsidRPr="00212203">
        <w:rPr>
          <w:szCs w:val="22"/>
        </w:rPr>
        <w:t xml:space="preserve"> is not readily </w:t>
      </w:r>
      <w:proofErr w:type="spellStart"/>
      <w:r w:rsidRPr="00212203">
        <w:rPr>
          <w:szCs w:val="22"/>
        </w:rPr>
        <w:t>dialysable</w:t>
      </w:r>
      <w:proofErr w:type="spellEnd"/>
      <w:r w:rsidRPr="00212203">
        <w:rPr>
          <w:szCs w:val="22"/>
        </w:rPr>
        <w:t xml:space="preserve"> (see </w:t>
      </w:r>
      <w:r w:rsidRPr="00832E58">
        <w:rPr>
          <w:szCs w:val="22"/>
        </w:rPr>
        <w:t>Section 4.2 Dose and method of administration</w:t>
      </w:r>
      <w:r w:rsidRPr="00212203">
        <w:rPr>
          <w:szCs w:val="22"/>
        </w:rPr>
        <w:t>).</w:t>
      </w:r>
    </w:p>
    <w:p w14:paraId="216697A1" w14:textId="77777777" w:rsidR="00EA1CC1" w:rsidRPr="00EA1CC1" w:rsidRDefault="00EA1CC1" w:rsidP="00A712CB">
      <w:pPr>
        <w:pStyle w:val="CLDHeading4"/>
      </w:pPr>
      <w:r w:rsidRPr="00EA1CC1">
        <w:t>Hepatic impairment</w:t>
      </w:r>
    </w:p>
    <w:p w14:paraId="77D3C8BC" w14:textId="77777777" w:rsidR="00EA1CC1" w:rsidRPr="00212203" w:rsidRDefault="00EA1CC1" w:rsidP="00EA1CC1">
      <w:pPr>
        <w:pStyle w:val="CLDNormal"/>
        <w:rPr>
          <w:szCs w:val="22"/>
        </w:rPr>
      </w:pPr>
      <w:r w:rsidRPr="00212203">
        <w:rPr>
          <w:szCs w:val="22"/>
        </w:rPr>
        <w:t xml:space="preserve">After a single 100 mg dose of </w:t>
      </w:r>
      <w:proofErr w:type="spellStart"/>
      <w:r w:rsidRPr="00212203">
        <w:rPr>
          <w:szCs w:val="22"/>
        </w:rPr>
        <w:t>isavuconazole</w:t>
      </w:r>
      <w:proofErr w:type="spellEnd"/>
      <w:r w:rsidRPr="00212203">
        <w:rPr>
          <w:szCs w:val="22"/>
        </w:rPr>
        <w:t xml:space="preserve"> was administered to 32 patients with mild (Child-Pugh Class A) hepatic insufficiency and 32 patients with moderate (Child-Pugh Class B) hepatic insufficiency (16 intravenous and 16 oral patients per Child-Pugh class), the least square mean systemic exposure (AUC) increased 64% in the Child-Pugh Class A group, and 84% in the Child</w:t>
      </w:r>
      <w:r w:rsidRPr="00212203">
        <w:rPr>
          <w:szCs w:val="22"/>
        </w:rPr>
        <w:noBreakHyphen/>
        <w:t>Pugh Class B group, relative to 32 age- and weight-matched healthy subjects with normal hepatic function. Mean plasma concentrations (</w:t>
      </w:r>
      <w:proofErr w:type="spellStart"/>
      <w:r w:rsidRPr="00212203">
        <w:rPr>
          <w:szCs w:val="22"/>
        </w:rPr>
        <w:t>C</w:t>
      </w:r>
      <w:r w:rsidRPr="00212203">
        <w:rPr>
          <w:szCs w:val="22"/>
          <w:vertAlign w:val="subscript"/>
        </w:rPr>
        <w:t>max</w:t>
      </w:r>
      <w:proofErr w:type="spellEnd"/>
      <w:r w:rsidRPr="00212203">
        <w:rPr>
          <w:szCs w:val="22"/>
        </w:rPr>
        <w:t xml:space="preserve">) were 2% lower in the Child-Pugh Class A group and 30% lower in the Child-Pugh Class B group. The population pharmacokinetic evaluation of </w:t>
      </w:r>
      <w:proofErr w:type="spellStart"/>
      <w:r w:rsidRPr="00212203">
        <w:rPr>
          <w:szCs w:val="22"/>
        </w:rPr>
        <w:t>isavuconazole</w:t>
      </w:r>
      <w:proofErr w:type="spellEnd"/>
      <w:r w:rsidRPr="00212203">
        <w:rPr>
          <w:szCs w:val="22"/>
        </w:rPr>
        <w:t xml:space="preserve"> in healthy subjects and patients with mild or moderate hepatic dysfunction demonstrated that the mild and moderate hepatic impairment populations had 40% and 48% lower </w:t>
      </w:r>
      <w:proofErr w:type="spellStart"/>
      <w:r w:rsidRPr="00212203">
        <w:rPr>
          <w:szCs w:val="22"/>
        </w:rPr>
        <w:t>isavuconazole</w:t>
      </w:r>
      <w:proofErr w:type="spellEnd"/>
      <w:r w:rsidRPr="00212203">
        <w:rPr>
          <w:szCs w:val="22"/>
        </w:rPr>
        <w:t xml:space="preserve"> clearance (CL) values, respectively, than the healthy population. </w:t>
      </w:r>
    </w:p>
    <w:p w14:paraId="12C8DEEB" w14:textId="77777777" w:rsidR="00EA1CC1" w:rsidRPr="00212203" w:rsidRDefault="00EA1CC1" w:rsidP="00EA1CC1">
      <w:pPr>
        <w:pStyle w:val="CLDNormal"/>
        <w:rPr>
          <w:szCs w:val="22"/>
        </w:rPr>
      </w:pPr>
      <w:r w:rsidRPr="00212203">
        <w:rPr>
          <w:szCs w:val="22"/>
        </w:rPr>
        <w:t xml:space="preserve">No dose adjustment is required in patients with mild to moderate hepatic impairment. </w:t>
      </w:r>
    </w:p>
    <w:p w14:paraId="3F1C9259" w14:textId="77777777" w:rsidR="00EA1CC1" w:rsidRDefault="00EA1CC1" w:rsidP="00EA1CC1">
      <w:pPr>
        <w:pStyle w:val="CLDNormal"/>
        <w:rPr>
          <w:szCs w:val="22"/>
        </w:rPr>
      </w:pPr>
      <w:r w:rsidRPr="00212203">
        <w:rPr>
          <w:szCs w:val="22"/>
        </w:rPr>
        <w:t>CRESEMBA has not been studied in patients with severe hepatic impairment (Child</w:t>
      </w:r>
      <w:r w:rsidRPr="00212203">
        <w:rPr>
          <w:szCs w:val="22"/>
        </w:rPr>
        <w:noBreakHyphen/>
        <w:t xml:space="preserve">Pugh Class C). Use in these patients is not recommended unless the potential benefit is considered to outweigh the risks. See </w:t>
      </w:r>
      <w:r w:rsidRPr="00832E58">
        <w:rPr>
          <w:szCs w:val="22"/>
        </w:rPr>
        <w:t>Section 4.2 Dose and method of administration</w:t>
      </w:r>
      <w:r w:rsidRPr="00212203">
        <w:rPr>
          <w:szCs w:val="22"/>
        </w:rPr>
        <w:t xml:space="preserve"> and </w:t>
      </w:r>
      <w:r w:rsidRPr="00832E58">
        <w:rPr>
          <w:szCs w:val="22"/>
        </w:rPr>
        <w:t>Section 4.4 Special warnings and precautions for use</w:t>
      </w:r>
      <w:r w:rsidRPr="00212203">
        <w:rPr>
          <w:szCs w:val="22"/>
        </w:rPr>
        <w:t xml:space="preserve">. </w:t>
      </w:r>
    </w:p>
    <w:p w14:paraId="33B6DBE5" w14:textId="03751913" w:rsidR="00112E5B" w:rsidRDefault="00003E72" w:rsidP="00755FFF">
      <w:pPr>
        <w:pStyle w:val="CLDHeading2"/>
      </w:pPr>
      <w:r>
        <w:t>5.3</w:t>
      </w:r>
      <w:r>
        <w:tab/>
      </w:r>
      <w:r w:rsidR="00003485">
        <w:t>Preclinical safety d</w:t>
      </w:r>
      <w:r w:rsidR="00EA1CC1">
        <w:t>ata</w:t>
      </w:r>
    </w:p>
    <w:p w14:paraId="091EB23E" w14:textId="77777777" w:rsidR="00887811" w:rsidRDefault="00887811" w:rsidP="00755FFF">
      <w:pPr>
        <w:pStyle w:val="CLDHeading3"/>
      </w:pPr>
      <w:proofErr w:type="spellStart"/>
      <w:r>
        <w:t>Genotoxicity</w:t>
      </w:r>
      <w:proofErr w:type="spellEnd"/>
      <w:r w:rsidR="003D017D">
        <w:t xml:space="preserve"> </w:t>
      </w:r>
    </w:p>
    <w:p w14:paraId="5D974A08" w14:textId="6BD04765" w:rsidR="00EA1CC1" w:rsidRPr="00212203" w:rsidRDefault="00EA1CC1" w:rsidP="00EA1CC1">
      <w:pPr>
        <w:pStyle w:val="CLDNormal"/>
        <w:rPr>
          <w:noProof/>
        </w:rPr>
      </w:pPr>
      <w:r w:rsidRPr="00212203">
        <w:rPr>
          <w:noProof/>
        </w:rPr>
        <w:t xml:space="preserve">Isavuconazole has no discernible mutagenic or genotoxic potential. Isavuconazole was negative in a bacterial reverse mutation assay, was weakly clastogenic at cytotoxic </w:t>
      </w:r>
      <w:r w:rsidRPr="00212203">
        <w:rPr>
          <w:noProof/>
        </w:rPr>
        <w:lastRenderedPageBreak/>
        <w:t xml:space="preserve">concentrations in the L5178Y tk+/- mouse lymphoma chromosome aberration assay, and showed no biologically relevant or statistically significant increase in the frequency of micronuclei in an </w:t>
      </w:r>
      <w:r w:rsidRPr="00212203">
        <w:rPr>
          <w:i/>
        </w:rPr>
        <w:t>in vivo</w:t>
      </w:r>
      <w:r w:rsidRPr="00212203">
        <w:rPr>
          <w:noProof/>
        </w:rPr>
        <w:t xml:space="preserve"> rat micronucleus test. </w:t>
      </w:r>
    </w:p>
    <w:p w14:paraId="0FFFF32B" w14:textId="77777777" w:rsidR="00887811" w:rsidRPr="00C035A6" w:rsidRDefault="00887811" w:rsidP="00755FFF">
      <w:pPr>
        <w:pStyle w:val="CLDHeading3"/>
        <w:rPr>
          <w:bCs/>
          <w:i/>
          <w:iCs w:val="0"/>
          <w:color w:val="FF0000"/>
        </w:rPr>
      </w:pPr>
      <w:r>
        <w:t>Carcinogenicity</w:t>
      </w:r>
      <w:r w:rsidRPr="001D2530">
        <w:rPr>
          <w:bCs/>
          <w:i/>
          <w:color w:val="7030A0"/>
        </w:rPr>
        <w:t xml:space="preserve"> </w:t>
      </w:r>
    </w:p>
    <w:p w14:paraId="69207F6D" w14:textId="3834E79D" w:rsidR="00EA1CC1" w:rsidRDefault="00EA1CC1" w:rsidP="00A712CB">
      <w:pPr>
        <w:pStyle w:val="CLDNormal"/>
        <w:rPr>
          <w:lang w:val="en-US"/>
        </w:rPr>
      </w:pPr>
      <w:r w:rsidRPr="00212203">
        <w:rPr>
          <w:lang w:val="en-US"/>
        </w:rPr>
        <w:t>No carcinogenicity studies have been performed.</w:t>
      </w:r>
      <w:r w:rsidR="007A79E1">
        <w:rPr>
          <w:lang w:val="en-US"/>
        </w:rPr>
        <w:t xml:space="preserve">  </w:t>
      </w:r>
      <w:r w:rsidR="007A79E1" w:rsidRPr="007A79E1">
        <w:rPr>
          <w:lang w:val="en-US"/>
        </w:rPr>
        <w:t>Hepatocellular adenomas and carcinomas have been reported in mice and rats in carcinogenicity studies for other drugs in the azole</w:t>
      </w:r>
      <w:r w:rsidR="007A79E1">
        <w:rPr>
          <w:lang w:val="en-US"/>
        </w:rPr>
        <w:t xml:space="preserve"> class at near recommended doses.   </w:t>
      </w:r>
      <w:r w:rsidRPr="00212203">
        <w:rPr>
          <w:lang w:val="en-US"/>
        </w:rPr>
        <w:t xml:space="preserve">  </w:t>
      </w:r>
    </w:p>
    <w:p w14:paraId="4FC6B467" w14:textId="4B71E898" w:rsidR="00112B3F" w:rsidRDefault="002B1AAB" w:rsidP="001D73D4">
      <w:pPr>
        <w:pStyle w:val="CLDHeading1"/>
      </w:pPr>
      <w:r>
        <w:t>6.</w:t>
      </w:r>
      <w:r>
        <w:tab/>
      </w:r>
      <w:r w:rsidR="0018348D">
        <w:t>PHARMACEUTICAL PARTICULARS</w:t>
      </w:r>
    </w:p>
    <w:p w14:paraId="1503AB50" w14:textId="77777777" w:rsidR="00830B98" w:rsidRDefault="002B1AAB" w:rsidP="00755FFF">
      <w:pPr>
        <w:pStyle w:val="CLDHeading2"/>
      </w:pPr>
      <w:r>
        <w:t>6.1</w:t>
      </w:r>
      <w:r>
        <w:tab/>
      </w:r>
      <w:r w:rsidR="00003485">
        <w:t>List of e</w:t>
      </w:r>
      <w:r w:rsidR="003556AB">
        <w:t>xcipients</w:t>
      </w:r>
    </w:p>
    <w:p w14:paraId="48CFD203" w14:textId="77777777" w:rsidR="00EA1CC1" w:rsidRPr="00EA1CC1" w:rsidRDefault="00EA1CC1" w:rsidP="00EA1CC1">
      <w:pPr>
        <w:pStyle w:val="CLDNormal"/>
        <w:rPr>
          <w:b/>
          <w:i/>
          <w:noProof/>
          <w:lang w:val="en-US"/>
        </w:rPr>
      </w:pPr>
      <w:r w:rsidRPr="00EA1CC1">
        <w:rPr>
          <w:b/>
          <w:i/>
          <w:noProof/>
          <w:lang w:val="en-US"/>
        </w:rPr>
        <w:t>Powder for injection</w:t>
      </w:r>
    </w:p>
    <w:p w14:paraId="67B88E89" w14:textId="77777777" w:rsidR="00EA1CC1" w:rsidRPr="00EA1CC1" w:rsidRDefault="00EA1CC1" w:rsidP="00EA1CC1">
      <w:pPr>
        <w:pStyle w:val="CLDNormal"/>
        <w:rPr>
          <w:noProof/>
          <w:szCs w:val="22"/>
          <w:lang w:val="en-US"/>
        </w:rPr>
      </w:pPr>
      <w:r w:rsidRPr="00212203">
        <w:rPr>
          <w:noProof/>
          <w:szCs w:val="22"/>
          <w:lang w:val="en-US"/>
        </w:rPr>
        <w:t>Mannitol</w:t>
      </w:r>
      <w:r>
        <w:rPr>
          <w:noProof/>
          <w:szCs w:val="22"/>
          <w:lang w:val="en-US"/>
        </w:rPr>
        <w:br/>
      </w:r>
      <w:r w:rsidRPr="00212203">
        <w:rPr>
          <w:noProof/>
          <w:szCs w:val="22"/>
        </w:rPr>
        <w:t>Sulfuric acid (for pH-adjustment)</w:t>
      </w:r>
    </w:p>
    <w:p w14:paraId="2E41089E" w14:textId="77777777" w:rsidR="00EA1CC1" w:rsidRPr="00EA1CC1" w:rsidRDefault="00EA1CC1" w:rsidP="00EA1CC1">
      <w:pPr>
        <w:pStyle w:val="CLDNormal"/>
        <w:rPr>
          <w:b/>
          <w:i/>
          <w:noProof/>
        </w:rPr>
      </w:pPr>
      <w:r w:rsidRPr="00EA1CC1">
        <w:rPr>
          <w:b/>
          <w:i/>
          <w:noProof/>
        </w:rPr>
        <w:t>Capsules</w:t>
      </w:r>
    </w:p>
    <w:p w14:paraId="0FF46FFD" w14:textId="77777777" w:rsidR="00EA1CC1" w:rsidRPr="00212203" w:rsidRDefault="00EA1CC1" w:rsidP="00EA1CC1">
      <w:pPr>
        <w:pStyle w:val="CLDNormal"/>
        <w:rPr>
          <w:noProof/>
          <w:szCs w:val="22"/>
        </w:rPr>
      </w:pPr>
      <w:r w:rsidRPr="00212203">
        <w:rPr>
          <w:noProof/>
          <w:szCs w:val="22"/>
        </w:rPr>
        <w:t>Capsule contents: Magnesium citrate, microcrystalline cellulose, purified talc, colloidal anhydrous silica, stearic acid</w:t>
      </w:r>
    </w:p>
    <w:p w14:paraId="2F79078A" w14:textId="77777777" w:rsidR="00EA1CC1" w:rsidRPr="00212203" w:rsidRDefault="00EA1CC1" w:rsidP="00EA1CC1">
      <w:pPr>
        <w:pStyle w:val="CLDNormal"/>
        <w:rPr>
          <w:noProof/>
          <w:szCs w:val="22"/>
        </w:rPr>
      </w:pPr>
      <w:r w:rsidRPr="00212203">
        <w:rPr>
          <w:noProof/>
          <w:szCs w:val="22"/>
        </w:rPr>
        <w:t>Capsule shell: hypromellose, purified water, iron oxide red (E172) (capsule body only), titanium dioxide (E171), gellan gum, potassium acetate, disodium edetate, sodium lauryl sulfate</w:t>
      </w:r>
    </w:p>
    <w:p w14:paraId="51230FAD" w14:textId="77777777" w:rsidR="00EA1CC1" w:rsidRPr="00212203" w:rsidRDefault="00EA1CC1" w:rsidP="00EA1CC1">
      <w:pPr>
        <w:pStyle w:val="CLDNormal"/>
        <w:rPr>
          <w:noProof/>
          <w:szCs w:val="22"/>
        </w:rPr>
      </w:pPr>
      <w:r w:rsidRPr="00212203">
        <w:rPr>
          <w:noProof/>
          <w:szCs w:val="22"/>
        </w:rPr>
        <w:t>Printing ink: shellac, propylene glycol, potassium hydroxide, iron oxide black (E172)</w:t>
      </w:r>
    </w:p>
    <w:p w14:paraId="491D31D2" w14:textId="77777777" w:rsidR="00830B98" w:rsidRPr="00C035A6" w:rsidRDefault="002B1AAB" w:rsidP="00755FFF">
      <w:pPr>
        <w:pStyle w:val="CLDHeading2"/>
        <w:rPr>
          <w:bCs/>
          <w:i/>
          <w:iCs/>
          <w:color w:val="FF0000"/>
        </w:rPr>
      </w:pPr>
      <w:r>
        <w:t>6.2</w:t>
      </w:r>
      <w:r>
        <w:tab/>
      </w:r>
      <w:r w:rsidR="003556AB">
        <w:t xml:space="preserve">Incompatibilities </w:t>
      </w:r>
    </w:p>
    <w:p w14:paraId="000D1431" w14:textId="77777777" w:rsidR="00EA1CC1" w:rsidRPr="00212203" w:rsidRDefault="00EA1CC1" w:rsidP="00EA1CC1">
      <w:pPr>
        <w:pStyle w:val="CLDNormal"/>
        <w:rPr>
          <w:lang w:val="en-US"/>
        </w:rPr>
      </w:pPr>
      <w:r w:rsidRPr="00212203">
        <w:t xml:space="preserve">See </w:t>
      </w:r>
      <w:r w:rsidRPr="00832E58">
        <w:t>Section 4.5 Interactions with other medicines and other forms of interactions</w:t>
      </w:r>
      <w:r w:rsidRPr="00212203">
        <w:t>.</w:t>
      </w:r>
    </w:p>
    <w:p w14:paraId="10CC598B" w14:textId="77777777" w:rsidR="00830B98" w:rsidRDefault="002B1AAB" w:rsidP="00755FFF">
      <w:pPr>
        <w:pStyle w:val="CLDHeading2"/>
      </w:pPr>
      <w:r>
        <w:t>6.3</w:t>
      </w:r>
      <w:r>
        <w:tab/>
      </w:r>
      <w:r w:rsidR="003556AB">
        <w:t>Shelf life</w:t>
      </w:r>
      <w:r w:rsidR="00830B98">
        <w:t xml:space="preserve"> </w:t>
      </w:r>
    </w:p>
    <w:p w14:paraId="0A93F6C1" w14:textId="77777777" w:rsidR="00EA1CC1" w:rsidRPr="00EA1CC1" w:rsidRDefault="00EA1CC1" w:rsidP="00EA1CC1">
      <w:pPr>
        <w:pStyle w:val="CLDNormal"/>
        <w:rPr>
          <w:b/>
          <w:i/>
          <w:noProof/>
          <w:lang w:val="en-US"/>
        </w:rPr>
      </w:pPr>
      <w:r w:rsidRPr="00EA1CC1">
        <w:rPr>
          <w:b/>
          <w:i/>
          <w:noProof/>
          <w:lang w:val="en-US"/>
        </w:rPr>
        <w:t>Powder for injection</w:t>
      </w:r>
    </w:p>
    <w:p w14:paraId="696DEF4B" w14:textId="1B15A4E1" w:rsidR="00EA1CC1" w:rsidRPr="00212203" w:rsidRDefault="00EA1CC1" w:rsidP="00EA1CC1">
      <w:pPr>
        <w:pStyle w:val="CLDNormal"/>
        <w:rPr>
          <w:noProof/>
          <w:szCs w:val="22"/>
        </w:rPr>
      </w:pPr>
      <w:r w:rsidRPr="00212203">
        <w:rPr>
          <w:i/>
          <w:noProof/>
          <w:szCs w:val="22"/>
        </w:rPr>
        <w:t>Unoponed vials:</w:t>
      </w:r>
      <w:r w:rsidRPr="00212203">
        <w:rPr>
          <w:noProof/>
          <w:szCs w:val="22"/>
        </w:rPr>
        <w:t xml:space="preserve"> </w:t>
      </w:r>
      <w:r w:rsidR="000456CA" w:rsidRPr="00BB0EEE">
        <w:rPr>
          <w:iCs/>
          <w:noProof/>
          <w:szCs w:val="22"/>
          <w:lang w:val="en-AU"/>
        </w:rPr>
        <w:t>In Australia, information on the shelf life can be found on the public summary of the Australian Register of Therapeutic Goods (ARTG). The expiry date can be found on the packaging.</w:t>
      </w:r>
    </w:p>
    <w:p w14:paraId="39820C32" w14:textId="77777777" w:rsidR="00EA1CC1" w:rsidRPr="00212203" w:rsidRDefault="00EA1CC1" w:rsidP="00EA1CC1">
      <w:pPr>
        <w:pStyle w:val="CLDNormal"/>
        <w:rPr>
          <w:noProof/>
          <w:szCs w:val="22"/>
        </w:rPr>
      </w:pPr>
      <w:r w:rsidRPr="00212203">
        <w:rPr>
          <w:i/>
          <w:noProof/>
          <w:szCs w:val="22"/>
        </w:rPr>
        <w:t>Reconstituted soluton:</w:t>
      </w:r>
      <w:r w:rsidRPr="00212203">
        <w:rPr>
          <w:noProof/>
          <w:szCs w:val="22"/>
        </w:rPr>
        <w:t xml:space="preserve"> Chemical and physical in-use stability after reconstitution and dilution has been demonstrated for 24 hours at 2°C to 8°C, or 6 hours at room temperature.</w:t>
      </w:r>
    </w:p>
    <w:p w14:paraId="4D1ABCC5" w14:textId="3FF440AE" w:rsidR="00EA1CC1" w:rsidRPr="00212203" w:rsidRDefault="00EA1CC1" w:rsidP="00EA1CC1">
      <w:pPr>
        <w:pStyle w:val="CLDNormal"/>
        <w:rPr>
          <w:noProof/>
          <w:szCs w:val="22"/>
        </w:rPr>
      </w:pPr>
      <w:r w:rsidRPr="00212203">
        <w:rPr>
          <w:noProof/>
          <w:szCs w:val="22"/>
        </w:rPr>
        <w:t>From a microbiological point of view, the product should be used immediately. If not used immediately, in-use storage times and conditions prior to use are the responsibility of the user and would normally not be longer than 24</w:t>
      </w:r>
      <w:r w:rsidRPr="00212203">
        <w:rPr>
          <w:szCs w:val="22"/>
        </w:rPr>
        <w:t> </w:t>
      </w:r>
      <w:r w:rsidRPr="00212203">
        <w:rPr>
          <w:noProof/>
          <w:szCs w:val="22"/>
        </w:rPr>
        <w:t>hours at 2°C to 8°C</w:t>
      </w:r>
      <w:r w:rsidR="0069736D">
        <w:rPr>
          <w:noProof/>
          <w:szCs w:val="22"/>
        </w:rPr>
        <w:t>.</w:t>
      </w:r>
      <w:r w:rsidRPr="00212203">
        <w:rPr>
          <w:noProof/>
          <w:szCs w:val="22"/>
        </w:rPr>
        <w:t xml:space="preserve"> </w:t>
      </w:r>
    </w:p>
    <w:p w14:paraId="15C8ACE8" w14:textId="77777777" w:rsidR="00EA1CC1" w:rsidRPr="00EA1CC1" w:rsidRDefault="00EA1CC1" w:rsidP="00EA1CC1">
      <w:pPr>
        <w:pStyle w:val="CLDNormal"/>
        <w:rPr>
          <w:b/>
          <w:i/>
          <w:noProof/>
        </w:rPr>
      </w:pPr>
      <w:r w:rsidRPr="00EA1CC1">
        <w:rPr>
          <w:b/>
          <w:i/>
          <w:noProof/>
        </w:rPr>
        <w:lastRenderedPageBreak/>
        <w:t>Capsules</w:t>
      </w:r>
    </w:p>
    <w:p w14:paraId="4E9E03DE" w14:textId="77777777" w:rsidR="000456CA" w:rsidRPr="000456CA" w:rsidRDefault="000456CA" w:rsidP="000456CA">
      <w:pPr>
        <w:pStyle w:val="CLDNormal"/>
        <w:rPr>
          <w:noProof/>
          <w:szCs w:val="22"/>
          <w:lang w:val="en-AU"/>
        </w:rPr>
      </w:pPr>
      <w:r w:rsidRPr="00660D9E">
        <w:rPr>
          <w:iCs/>
          <w:noProof/>
          <w:szCs w:val="22"/>
          <w:lang w:val="en-AU"/>
        </w:rPr>
        <w:t>In Australia, information on the shelf life can be found on the public summary of the Australian Register of Therapeutic Goods (ARTG). The expiry date can be found on the packaging.</w:t>
      </w:r>
    </w:p>
    <w:p w14:paraId="71B018AF" w14:textId="77777777" w:rsidR="003556AB" w:rsidRDefault="002B1AAB" w:rsidP="00755FFF">
      <w:pPr>
        <w:pStyle w:val="CLDHeading2"/>
      </w:pPr>
      <w:r>
        <w:t>6.4</w:t>
      </w:r>
      <w:r>
        <w:tab/>
      </w:r>
      <w:r w:rsidR="00003485">
        <w:t>Special precautions for s</w:t>
      </w:r>
      <w:r w:rsidR="003556AB">
        <w:t xml:space="preserve">torage </w:t>
      </w:r>
    </w:p>
    <w:p w14:paraId="0BAFE9FD" w14:textId="77777777" w:rsidR="00EA1CC1" w:rsidRPr="00EA1CC1" w:rsidRDefault="00EA1CC1" w:rsidP="00EA1CC1">
      <w:pPr>
        <w:pStyle w:val="CLDNormal"/>
        <w:rPr>
          <w:b/>
          <w:i/>
          <w:noProof/>
          <w:lang w:val="en-US"/>
        </w:rPr>
      </w:pPr>
      <w:r w:rsidRPr="00EA1CC1">
        <w:rPr>
          <w:b/>
          <w:i/>
          <w:noProof/>
          <w:lang w:val="en-US"/>
        </w:rPr>
        <w:t>Powder for injection</w:t>
      </w:r>
    </w:p>
    <w:p w14:paraId="76B03E7D" w14:textId="77777777" w:rsidR="00EA1CC1" w:rsidRPr="00212203" w:rsidRDefault="00EA1CC1" w:rsidP="00EA1CC1">
      <w:pPr>
        <w:pStyle w:val="CLDNormal"/>
        <w:rPr>
          <w:noProof/>
          <w:szCs w:val="22"/>
        </w:rPr>
      </w:pPr>
      <w:r w:rsidRPr="00212203">
        <w:rPr>
          <w:i/>
          <w:noProof/>
          <w:szCs w:val="22"/>
        </w:rPr>
        <w:t>Unoponed vials:</w:t>
      </w:r>
      <w:r w:rsidRPr="00212203">
        <w:rPr>
          <w:noProof/>
          <w:szCs w:val="22"/>
        </w:rPr>
        <w:t xml:space="preserve"> Store in a refrigerator (2°C to 8°C).</w:t>
      </w:r>
    </w:p>
    <w:p w14:paraId="625A285C" w14:textId="77777777" w:rsidR="00EA1CC1" w:rsidRPr="00212203" w:rsidRDefault="00EA1CC1" w:rsidP="00EA1CC1">
      <w:pPr>
        <w:pStyle w:val="CLDNormal"/>
        <w:rPr>
          <w:noProof/>
          <w:szCs w:val="22"/>
        </w:rPr>
      </w:pPr>
      <w:r w:rsidRPr="00212203">
        <w:rPr>
          <w:noProof/>
          <w:szCs w:val="22"/>
        </w:rPr>
        <w:t xml:space="preserve">For storage conditions after reconstitution and dilution of the medicinal product, See </w:t>
      </w:r>
      <w:r w:rsidRPr="00832E58">
        <w:rPr>
          <w:noProof/>
          <w:szCs w:val="22"/>
        </w:rPr>
        <w:t>Section 6.3 Shelf life</w:t>
      </w:r>
      <w:r w:rsidRPr="00212203">
        <w:rPr>
          <w:noProof/>
          <w:szCs w:val="22"/>
        </w:rPr>
        <w:t>.</w:t>
      </w:r>
    </w:p>
    <w:p w14:paraId="37CB4171" w14:textId="77777777" w:rsidR="00EA1CC1" w:rsidRPr="00EA1CC1" w:rsidRDefault="00EA1CC1" w:rsidP="00EA1CC1">
      <w:pPr>
        <w:pStyle w:val="CLDNormal"/>
        <w:rPr>
          <w:b/>
          <w:i/>
          <w:noProof/>
        </w:rPr>
      </w:pPr>
      <w:r w:rsidRPr="00EA1CC1">
        <w:rPr>
          <w:b/>
          <w:i/>
          <w:noProof/>
        </w:rPr>
        <w:t>Capsules</w:t>
      </w:r>
    </w:p>
    <w:p w14:paraId="0B9A54BC" w14:textId="77777777" w:rsidR="00EA1CC1" w:rsidRPr="00212203" w:rsidRDefault="00EA1CC1" w:rsidP="00EA1CC1">
      <w:pPr>
        <w:pStyle w:val="CLDNormal"/>
      </w:pPr>
      <w:r w:rsidRPr="00212203">
        <w:t>Store below 25°C.  Store in the original packaging in order to protect from moisture.</w:t>
      </w:r>
    </w:p>
    <w:p w14:paraId="3AB16B1E" w14:textId="77777777" w:rsidR="003556AB" w:rsidRPr="00460035" w:rsidRDefault="00E34962" w:rsidP="00755FFF">
      <w:pPr>
        <w:pStyle w:val="CLDHeading2"/>
        <w:rPr>
          <w:color w:val="7030A0"/>
        </w:rPr>
      </w:pPr>
      <w:r>
        <w:t>6.5</w:t>
      </w:r>
      <w:r>
        <w:tab/>
      </w:r>
      <w:r w:rsidR="00003485">
        <w:t>Nature and contents of c</w:t>
      </w:r>
      <w:r w:rsidR="003556AB">
        <w:t xml:space="preserve">ontainer </w:t>
      </w:r>
    </w:p>
    <w:p w14:paraId="436727ED" w14:textId="77777777" w:rsidR="00AA42F8" w:rsidRPr="00AA42F8" w:rsidRDefault="00AA42F8" w:rsidP="00AA42F8">
      <w:pPr>
        <w:pStyle w:val="CLDNormal"/>
        <w:rPr>
          <w:b/>
          <w:i/>
          <w:noProof/>
          <w:lang w:val="en-US"/>
        </w:rPr>
      </w:pPr>
      <w:r w:rsidRPr="00AA42F8">
        <w:rPr>
          <w:b/>
          <w:i/>
          <w:noProof/>
          <w:lang w:val="en-US"/>
        </w:rPr>
        <w:t>Powder for injection</w:t>
      </w:r>
    </w:p>
    <w:p w14:paraId="67739A9E" w14:textId="77777777" w:rsidR="00AA42F8" w:rsidRPr="00212203" w:rsidRDefault="00AA42F8" w:rsidP="00AA42F8">
      <w:pPr>
        <w:pStyle w:val="CLDNormal"/>
        <w:rPr>
          <w:noProof/>
          <w:szCs w:val="22"/>
        </w:rPr>
      </w:pPr>
      <w:r w:rsidRPr="00212203">
        <w:rPr>
          <w:noProof/>
          <w:szCs w:val="22"/>
        </w:rPr>
        <w:t xml:space="preserve">One 10 mL Type I glass vial with </w:t>
      </w:r>
      <w:r w:rsidR="00F11D9E">
        <w:rPr>
          <w:noProof/>
          <w:szCs w:val="22"/>
        </w:rPr>
        <w:t>teflon coated</w:t>
      </w:r>
      <w:r w:rsidR="00F11D9E" w:rsidRPr="00212203">
        <w:rPr>
          <w:noProof/>
          <w:szCs w:val="22"/>
        </w:rPr>
        <w:t xml:space="preserve"> </w:t>
      </w:r>
      <w:r w:rsidR="00F11D9E">
        <w:rPr>
          <w:noProof/>
          <w:szCs w:val="22"/>
        </w:rPr>
        <w:t xml:space="preserve">butyl </w:t>
      </w:r>
      <w:r w:rsidRPr="00212203">
        <w:rPr>
          <w:noProof/>
          <w:szCs w:val="22"/>
        </w:rPr>
        <w:t>rubber stopper and an alumin</w:t>
      </w:r>
      <w:r w:rsidR="00C32EE4">
        <w:rPr>
          <w:noProof/>
          <w:szCs w:val="22"/>
        </w:rPr>
        <w:t>i</w:t>
      </w:r>
      <w:r w:rsidRPr="00212203">
        <w:rPr>
          <w:noProof/>
          <w:szCs w:val="22"/>
        </w:rPr>
        <w:t>um</w:t>
      </w:r>
      <w:r w:rsidR="00F11D9E">
        <w:rPr>
          <w:noProof/>
          <w:szCs w:val="22"/>
        </w:rPr>
        <w:t xml:space="preserve"> flip-off</w:t>
      </w:r>
      <w:r w:rsidRPr="00212203">
        <w:rPr>
          <w:noProof/>
          <w:szCs w:val="22"/>
        </w:rPr>
        <w:t xml:space="preserve"> cap with plastic seal. </w:t>
      </w:r>
    </w:p>
    <w:p w14:paraId="58FF9256" w14:textId="77777777" w:rsidR="00AA42F8" w:rsidRPr="00AA42F8" w:rsidRDefault="00AA42F8" w:rsidP="00AA42F8">
      <w:pPr>
        <w:pStyle w:val="CLDNormal"/>
        <w:rPr>
          <w:b/>
          <w:i/>
          <w:noProof/>
        </w:rPr>
      </w:pPr>
      <w:r w:rsidRPr="00AA42F8">
        <w:rPr>
          <w:b/>
          <w:i/>
          <w:noProof/>
        </w:rPr>
        <w:t>Capsules</w:t>
      </w:r>
    </w:p>
    <w:p w14:paraId="5F9DDF82" w14:textId="77777777" w:rsidR="00F11D9E" w:rsidRPr="00212203" w:rsidRDefault="00AA42F8" w:rsidP="00AA42F8">
      <w:pPr>
        <w:pStyle w:val="CLDNormal"/>
        <w:rPr>
          <w:noProof/>
          <w:szCs w:val="22"/>
        </w:rPr>
      </w:pPr>
      <w:r w:rsidRPr="00212203">
        <w:rPr>
          <w:noProof/>
          <w:szCs w:val="22"/>
        </w:rPr>
        <w:t>14 hard capsules (in two alumin</w:t>
      </w:r>
      <w:r w:rsidR="00C32EE4">
        <w:rPr>
          <w:noProof/>
          <w:szCs w:val="22"/>
        </w:rPr>
        <w:t>i</w:t>
      </w:r>
      <w:r w:rsidRPr="00212203">
        <w:rPr>
          <w:noProof/>
          <w:szCs w:val="22"/>
        </w:rPr>
        <w:t>um</w:t>
      </w:r>
      <w:r w:rsidR="00F11D9E">
        <w:rPr>
          <w:noProof/>
          <w:szCs w:val="22"/>
        </w:rPr>
        <w:t>/aluminium</w:t>
      </w:r>
      <w:r w:rsidRPr="00212203">
        <w:rPr>
          <w:noProof/>
          <w:szCs w:val="22"/>
        </w:rPr>
        <w:t xml:space="preserve"> blisters), with each capsule pocket connected to a pocket with desiccant.</w:t>
      </w:r>
    </w:p>
    <w:p w14:paraId="46945824" w14:textId="77777777" w:rsidR="003556AB" w:rsidRPr="00460035" w:rsidRDefault="00E34962" w:rsidP="00755FFF">
      <w:pPr>
        <w:pStyle w:val="CLDHeading2"/>
        <w:rPr>
          <w:color w:val="7030A0"/>
        </w:rPr>
      </w:pPr>
      <w:r>
        <w:t>6.6</w:t>
      </w:r>
      <w:r>
        <w:tab/>
      </w:r>
      <w:r w:rsidR="00003485">
        <w:t>Special precautions for d</w:t>
      </w:r>
      <w:r w:rsidR="003556AB">
        <w:t>isposal</w:t>
      </w:r>
      <w:r w:rsidR="003556AB" w:rsidRPr="00C035A6">
        <w:rPr>
          <w:bCs/>
          <w:i/>
          <w:iCs/>
          <w:color w:val="FF0000"/>
        </w:rPr>
        <w:t xml:space="preserve"> </w:t>
      </w:r>
    </w:p>
    <w:p w14:paraId="440635B8" w14:textId="77777777" w:rsidR="007E659A" w:rsidRDefault="00902136" w:rsidP="00243A31">
      <w:pPr>
        <w:pStyle w:val="CLDNormal"/>
      </w:pPr>
      <w:r w:rsidRPr="00902136">
        <w:t>In Australia, any unused medicine or waste material should be disposed of by taking to your local pharmacy.</w:t>
      </w:r>
    </w:p>
    <w:p w14:paraId="3D47A91D" w14:textId="77777777" w:rsidR="00902136" w:rsidRDefault="00003485" w:rsidP="00755FFF">
      <w:pPr>
        <w:pStyle w:val="CLDHeading2"/>
      </w:pPr>
      <w:r>
        <w:t>6.7</w:t>
      </w:r>
      <w:r>
        <w:tab/>
        <w:t>Physicochemical p</w:t>
      </w:r>
      <w:r w:rsidR="00902136">
        <w:t xml:space="preserve">roperties </w:t>
      </w:r>
    </w:p>
    <w:p w14:paraId="012F8C24" w14:textId="77777777" w:rsidR="00AA42F8" w:rsidRPr="00212203" w:rsidRDefault="00AA42F8" w:rsidP="00AA42F8">
      <w:pPr>
        <w:pStyle w:val="CLDNormal"/>
        <w:rPr>
          <w:lang w:val="en-US"/>
        </w:rPr>
      </w:pPr>
      <w:r w:rsidRPr="00212203">
        <w:rPr>
          <w:lang w:val="en-AU"/>
        </w:rPr>
        <w:t xml:space="preserve">CRESEMBA contains </w:t>
      </w:r>
      <w:proofErr w:type="spellStart"/>
      <w:r w:rsidRPr="00212203">
        <w:rPr>
          <w:lang w:val="en-AU"/>
        </w:rPr>
        <w:t>isavuconazonium</w:t>
      </w:r>
      <w:proofErr w:type="spellEnd"/>
      <w:r w:rsidRPr="00212203">
        <w:rPr>
          <w:lang w:val="en-AU"/>
        </w:rPr>
        <w:t xml:space="preserve"> </w:t>
      </w:r>
      <w:proofErr w:type="spellStart"/>
      <w:r w:rsidRPr="00212203">
        <w:rPr>
          <w:lang w:val="en-AU"/>
        </w:rPr>
        <w:t>sulfate</w:t>
      </w:r>
      <w:proofErr w:type="spellEnd"/>
      <w:r w:rsidRPr="00212203">
        <w:rPr>
          <w:lang w:val="en-AU"/>
        </w:rPr>
        <w:t xml:space="preserve">, which is the prodrug of </w:t>
      </w:r>
      <w:proofErr w:type="spellStart"/>
      <w:r w:rsidRPr="00212203">
        <w:rPr>
          <w:lang w:val="en-AU"/>
        </w:rPr>
        <w:t>isavuconazole</w:t>
      </w:r>
      <w:proofErr w:type="spellEnd"/>
      <w:r w:rsidRPr="00212203">
        <w:rPr>
          <w:lang w:val="en-AU"/>
        </w:rPr>
        <w:t xml:space="preserve">, an azole antifungal drug.  </w:t>
      </w:r>
      <w:proofErr w:type="spellStart"/>
      <w:r w:rsidRPr="00212203">
        <w:rPr>
          <w:lang w:val="en-AU"/>
        </w:rPr>
        <w:t>Isavuconazonium</w:t>
      </w:r>
      <w:proofErr w:type="spellEnd"/>
      <w:r w:rsidRPr="00212203">
        <w:rPr>
          <w:lang w:val="en-AU"/>
        </w:rPr>
        <w:t xml:space="preserve"> </w:t>
      </w:r>
      <w:proofErr w:type="spellStart"/>
      <w:r w:rsidRPr="00212203">
        <w:rPr>
          <w:lang w:val="en-AU"/>
        </w:rPr>
        <w:t>sulfate</w:t>
      </w:r>
      <w:proofErr w:type="spellEnd"/>
      <w:r w:rsidRPr="00212203">
        <w:rPr>
          <w:lang w:val="en-AU"/>
        </w:rPr>
        <w:t xml:space="preserve"> drug substance is an amorphous, white to yellowish-white powder. The chemical name of </w:t>
      </w:r>
      <w:proofErr w:type="spellStart"/>
      <w:r w:rsidRPr="00212203">
        <w:rPr>
          <w:lang w:val="en-AU"/>
        </w:rPr>
        <w:t>isavuconazonium</w:t>
      </w:r>
      <w:proofErr w:type="spellEnd"/>
      <w:r w:rsidRPr="00212203">
        <w:rPr>
          <w:lang w:val="en-AU"/>
        </w:rPr>
        <w:t xml:space="preserve"> </w:t>
      </w:r>
      <w:proofErr w:type="spellStart"/>
      <w:r w:rsidRPr="00212203">
        <w:rPr>
          <w:lang w:val="en-AU"/>
        </w:rPr>
        <w:t>sulfate</w:t>
      </w:r>
      <w:proofErr w:type="spellEnd"/>
      <w:r w:rsidRPr="00212203">
        <w:rPr>
          <w:lang w:val="en-AU"/>
        </w:rPr>
        <w:t xml:space="preserve"> is 1-{(2</w:t>
      </w:r>
      <w:r w:rsidRPr="00212203">
        <w:rPr>
          <w:i/>
          <w:iCs/>
          <w:lang w:val="en-AU"/>
        </w:rPr>
        <w:t>R</w:t>
      </w:r>
      <w:r w:rsidRPr="00212203">
        <w:rPr>
          <w:lang w:val="en-AU"/>
        </w:rPr>
        <w:t>,3</w:t>
      </w:r>
      <w:r w:rsidRPr="00212203">
        <w:rPr>
          <w:i/>
          <w:iCs/>
          <w:lang w:val="en-AU"/>
        </w:rPr>
        <w:t>R</w:t>
      </w:r>
      <w:r w:rsidRPr="00212203">
        <w:rPr>
          <w:lang w:val="en-AU"/>
        </w:rPr>
        <w:t>)-3-[4-(4-Cyanophenyl)-1,3-thiazol-2-yl]-2-(2,5-difluorophenyl)-2-hydroxybutyl}-4-[(1</w:t>
      </w:r>
      <w:r w:rsidRPr="00212203">
        <w:rPr>
          <w:i/>
          <w:iCs/>
          <w:lang w:val="en-AU"/>
        </w:rPr>
        <w:t>RS</w:t>
      </w:r>
      <w:r w:rsidRPr="00212203">
        <w:rPr>
          <w:lang w:val="en-AU"/>
        </w:rPr>
        <w:t>)-1-({methyl[3-({[(methylamino)acetyl]oxy}methyl)pyridin-2-yl]carbamoyl}oxy)ethyl]-1</w:t>
      </w:r>
      <w:r w:rsidRPr="00212203">
        <w:rPr>
          <w:i/>
          <w:iCs/>
          <w:lang w:val="en-AU"/>
        </w:rPr>
        <w:t>H</w:t>
      </w:r>
      <w:r w:rsidRPr="00212203">
        <w:rPr>
          <w:lang w:val="en-AU"/>
        </w:rPr>
        <w:t xml:space="preserve">-1,2,4-triazol-4-ium </w:t>
      </w:r>
      <w:proofErr w:type="spellStart"/>
      <w:r w:rsidRPr="00212203">
        <w:rPr>
          <w:lang w:val="en-AU"/>
        </w:rPr>
        <w:t>monosulfate</w:t>
      </w:r>
      <w:proofErr w:type="spellEnd"/>
      <w:r w:rsidRPr="00212203">
        <w:rPr>
          <w:lang w:val="en-AU"/>
        </w:rPr>
        <w:t>. The empirical formula is C</w:t>
      </w:r>
      <w:r w:rsidRPr="00212203">
        <w:rPr>
          <w:sz w:val="14"/>
          <w:szCs w:val="14"/>
          <w:lang w:val="en-AU"/>
        </w:rPr>
        <w:t>35</w:t>
      </w:r>
      <w:r w:rsidRPr="00212203">
        <w:rPr>
          <w:lang w:val="en-AU"/>
        </w:rPr>
        <w:t>H</w:t>
      </w:r>
      <w:r w:rsidRPr="00212203">
        <w:rPr>
          <w:sz w:val="14"/>
          <w:szCs w:val="14"/>
          <w:lang w:val="en-AU"/>
        </w:rPr>
        <w:t>35</w:t>
      </w:r>
      <w:r w:rsidRPr="00212203">
        <w:rPr>
          <w:lang w:val="en-AU"/>
        </w:rPr>
        <w:t>F</w:t>
      </w:r>
      <w:r w:rsidRPr="00212203">
        <w:rPr>
          <w:sz w:val="14"/>
          <w:szCs w:val="14"/>
          <w:lang w:val="en-AU"/>
        </w:rPr>
        <w:t>2</w:t>
      </w:r>
      <w:r w:rsidRPr="00212203">
        <w:rPr>
          <w:lang w:val="en-AU"/>
        </w:rPr>
        <w:t>N</w:t>
      </w:r>
      <w:r w:rsidRPr="00212203">
        <w:rPr>
          <w:sz w:val="14"/>
          <w:szCs w:val="14"/>
          <w:lang w:val="en-AU"/>
        </w:rPr>
        <w:t>8</w:t>
      </w:r>
      <w:r w:rsidRPr="00212203">
        <w:rPr>
          <w:lang w:val="en-AU"/>
        </w:rPr>
        <w:t>O</w:t>
      </w:r>
      <w:r w:rsidRPr="00212203">
        <w:rPr>
          <w:sz w:val="14"/>
          <w:szCs w:val="14"/>
          <w:lang w:val="en-AU"/>
        </w:rPr>
        <w:t>5</w:t>
      </w:r>
      <w:r w:rsidRPr="00212203">
        <w:rPr>
          <w:lang w:val="en-AU"/>
        </w:rPr>
        <w:t>S·HSO</w:t>
      </w:r>
      <w:r w:rsidRPr="00212203">
        <w:rPr>
          <w:sz w:val="14"/>
          <w:szCs w:val="14"/>
          <w:lang w:val="en-AU"/>
        </w:rPr>
        <w:t>4</w:t>
      </w:r>
      <w:r w:rsidRPr="00212203">
        <w:rPr>
          <w:lang w:val="en-AU"/>
        </w:rPr>
        <w:t>, the molecular weight is 814.84</w:t>
      </w:r>
    </w:p>
    <w:p w14:paraId="181FE2F3" w14:textId="77777777" w:rsidR="00902136" w:rsidRPr="00C035A6" w:rsidRDefault="00902136" w:rsidP="00755FFF">
      <w:pPr>
        <w:pStyle w:val="CLDHeading3"/>
        <w:rPr>
          <w:bCs/>
          <w:i/>
          <w:iCs w:val="0"/>
          <w:color w:val="FF0000"/>
        </w:rPr>
      </w:pPr>
      <w:r>
        <w:lastRenderedPageBreak/>
        <w:t xml:space="preserve">Chemical structure </w:t>
      </w:r>
    </w:p>
    <w:p w14:paraId="1A523BA7" w14:textId="77777777" w:rsidR="00AA42F8" w:rsidRPr="00212203" w:rsidRDefault="00AA42F8" w:rsidP="00A712CB">
      <w:pPr>
        <w:pStyle w:val="CLDNormal"/>
        <w:rPr>
          <w:lang w:val="en-US"/>
        </w:rPr>
      </w:pPr>
      <w:r w:rsidRPr="00212203">
        <w:rPr>
          <w:noProof/>
          <w:lang w:val="en-AU" w:eastAsia="en-AU"/>
        </w:rPr>
        <w:drawing>
          <wp:inline distT="0" distB="0" distL="0" distR="0" wp14:anchorId="34751B7C" wp14:editId="0BAC38A5">
            <wp:extent cx="4057650" cy="23089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4855" cy="2318772"/>
                    </a:xfrm>
                    <a:prstGeom prst="rect">
                      <a:avLst/>
                    </a:prstGeom>
                    <a:noFill/>
                    <a:ln>
                      <a:noFill/>
                    </a:ln>
                  </pic:spPr>
                </pic:pic>
              </a:graphicData>
            </a:graphic>
          </wp:inline>
        </w:drawing>
      </w:r>
    </w:p>
    <w:p w14:paraId="5FC73D8F" w14:textId="77777777" w:rsidR="00902136" w:rsidRDefault="00902136" w:rsidP="00755FFF">
      <w:pPr>
        <w:pStyle w:val="CLDHeading3"/>
      </w:pPr>
      <w:r>
        <w:t>CAS number</w:t>
      </w:r>
    </w:p>
    <w:p w14:paraId="79918EDE" w14:textId="77777777" w:rsidR="00AA42F8" w:rsidRPr="00212203" w:rsidRDefault="00AA42F8" w:rsidP="00AA42F8">
      <w:pPr>
        <w:pStyle w:val="CLDNormal"/>
        <w:rPr>
          <w:lang w:val="en-US"/>
        </w:rPr>
      </w:pPr>
      <w:r w:rsidRPr="00212203">
        <w:rPr>
          <w:lang w:val="en-US"/>
        </w:rPr>
        <w:t>946075-13-4</w:t>
      </w:r>
    </w:p>
    <w:p w14:paraId="6022E32B" w14:textId="77777777" w:rsidR="00EB4D43" w:rsidRPr="00DB3A4B" w:rsidRDefault="00E34962" w:rsidP="001D73D4">
      <w:pPr>
        <w:pStyle w:val="CLDHeading1"/>
      </w:pPr>
      <w:r>
        <w:t>7.</w:t>
      </w:r>
      <w:r>
        <w:tab/>
      </w:r>
      <w:r w:rsidR="0018348D" w:rsidRPr="00003485">
        <w:t>MEDICINE SCHEDULE (POISONS STANDARD)</w:t>
      </w:r>
      <w:r w:rsidR="00315AB0">
        <w:t xml:space="preserve"> </w:t>
      </w:r>
    </w:p>
    <w:p w14:paraId="3571C0AA" w14:textId="77777777" w:rsidR="00233E31" w:rsidRPr="00212203" w:rsidRDefault="00233E31" w:rsidP="00233E31">
      <w:pPr>
        <w:pStyle w:val="CLDNormal"/>
        <w:rPr>
          <w:lang w:val="en-US"/>
        </w:rPr>
      </w:pPr>
      <w:r w:rsidRPr="00212203">
        <w:rPr>
          <w:lang w:val="en-US"/>
        </w:rPr>
        <w:t xml:space="preserve">Schedule 4 Prescription Only Medicine </w:t>
      </w:r>
    </w:p>
    <w:p w14:paraId="67F8FDA4" w14:textId="77777777" w:rsidR="00EB4D43" w:rsidRPr="00DB3A4B" w:rsidRDefault="00E34962" w:rsidP="001D73D4">
      <w:pPr>
        <w:pStyle w:val="CLDHeading1"/>
      </w:pPr>
      <w:r>
        <w:t>8.</w:t>
      </w:r>
      <w:r>
        <w:tab/>
      </w:r>
      <w:r w:rsidR="00FE40A4">
        <w:t>SPONSOR</w:t>
      </w:r>
    </w:p>
    <w:p w14:paraId="56276C25" w14:textId="77777777" w:rsidR="00AE7292" w:rsidRDefault="00AE7292" w:rsidP="005B3F04">
      <w:pPr>
        <w:spacing w:after="200" w:line="276" w:lineRule="auto"/>
        <w:jc w:val="left"/>
        <w:rPr>
          <w:rFonts w:eastAsiaTheme="minorHAnsi"/>
          <w:szCs w:val="24"/>
          <w:lang w:val="en-US"/>
        </w:rPr>
      </w:pPr>
      <w:r>
        <w:rPr>
          <w:rFonts w:eastAsiaTheme="minorHAnsi"/>
          <w:szCs w:val="24"/>
          <w:lang w:val="en-US"/>
        </w:rPr>
        <w:t>Pfizer Australia Pty Ltd</w:t>
      </w:r>
      <w:r>
        <w:rPr>
          <w:rFonts w:eastAsiaTheme="minorHAnsi"/>
          <w:szCs w:val="24"/>
          <w:lang w:val="en-US"/>
        </w:rPr>
        <w:br/>
        <w:t>Level 17, 151 Clarence Street</w:t>
      </w:r>
      <w:r>
        <w:rPr>
          <w:rFonts w:eastAsiaTheme="minorHAnsi"/>
          <w:szCs w:val="24"/>
          <w:lang w:val="en-US"/>
        </w:rPr>
        <w:br/>
        <w:t>Sydney NSW 2000</w:t>
      </w:r>
      <w:r>
        <w:rPr>
          <w:rFonts w:eastAsiaTheme="minorHAnsi"/>
          <w:szCs w:val="24"/>
          <w:lang w:val="en-US"/>
        </w:rPr>
        <w:br/>
        <w:t>Toll Free Number 1800 675 229</w:t>
      </w:r>
      <w:r>
        <w:rPr>
          <w:rFonts w:eastAsiaTheme="minorHAnsi"/>
          <w:szCs w:val="24"/>
          <w:lang w:val="en-US"/>
        </w:rPr>
        <w:br/>
      </w:r>
      <w:hyperlink r:id="rId15" w:history="1">
        <w:r w:rsidRPr="00E93385">
          <w:rPr>
            <w:rStyle w:val="Hyperlink"/>
            <w:rFonts w:eastAsiaTheme="minorHAnsi"/>
            <w:szCs w:val="24"/>
            <w:lang w:val="en-US"/>
          </w:rPr>
          <w:t>www.pfizer.com.au</w:t>
        </w:r>
      </w:hyperlink>
    </w:p>
    <w:p w14:paraId="021D5A2F" w14:textId="74B110F1" w:rsidR="00EB4D43" w:rsidRPr="00DB3A4B" w:rsidRDefault="00E34962" w:rsidP="001D73D4">
      <w:pPr>
        <w:pStyle w:val="CLDHeading1"/>
      </w:pPr>
      <w:r>
        <w:t>9.</w:t>
      </w:r>
      <w:r w:rsidRPr="00003485">
        <w:tab/>
      </w:r>
      <w:r w:rsidR="0018348D" w:rsidRPr="00003485">
        <w:t>DATE OF FIRST APPROVAL</w:t>
      </w:r>
      <w:r w:rsidR="003556AB">
        <w:t xml:space="preserve"> </w:t>
      </w:r>
    </w:p>
    <w:p w14:paraId="3B195E7E" w14:textId="6B2FEB78" w:rsidR="009E6153" w:rsidRPr="00CE2973" w:rsidRDefault="00CE2973" w:rsidP="00233E31">
      <w:pPr>
        <w:pStyle w:val="CLDNormal"/>
      </w:pPr>
      <w:r w:rsidRPr="00CE2973">
        <w:t>17 May 2019</w:t>
      </w:r>
    </w:p>
    <w:p w14:paraId="574AE210" w14:textId="77777777" w:rsidR="003556AB" w:rsidRPr="00DB3A4B" w:rsidRDefault="00E34962" w:rsidP="001D73D4">
      <w:pPr>
        <w:pStyle w:val="CLDHeading1"/>
      </w:pPr>
      <w:r w:rsidRPr="00003485">
        <w:t>10.</w:t>
      </w:r>
      <w:r w:rsidRPr="00003485">
        <w:tab/>
      </w:r>
      <w:r w:rsidR="0018348D" w:rsidRPr="00003485">
        <w:t xml:space="preserve">DATE OF REVISION </w:t>
      </w:r>
    </w:p>
    <w:p w14:paraId="6ECF6BEE" w14:textId="1F642887" w:rsidR="003556AB" w:rsidRDefault="001421CE" w:rsidP="00EF15DF">
      <w:pPr>
        <w:pStyle w:val="CLDNormal"/>
      </w:pPr>
      <w:r>
        <w:t>Not applicable</w:t>
      </w:r>
    </w:p>
    <w:p w14:paraId="1EAB3BFD" w14:textId="77777777" w:rsidR="001D3E05" w:rsidRPr="001D3E05" w:rsidRDefault="001D3E05" w:rsidP="001D3E05">
      <w:pPr>
        <w:jc w:val="left"/>
        <w:rPr>
          <w:b/>
          <w:color w:val="FF0000"/>
          <w:szCs w:val="24"/>
          <w:lang w:val="en-AU"/>
        </w:rPr>
      </w:pPr>
      <w:r w:rsidRPr="001D3E05">
        <w:rPr>
          <w:vertAlign w:val="superscript"/>
          <w:lang w:val="en-AU"/>
        </w:rPr>
        <w:sym w:font="Symbol" w:char="F0D2"/>
      </w:r>
      <w:r w:rsidRPr="001D3E05">
        <w:rPr>
          <w:lang w:val="en-AU"/>
        </w:rPr>
        <w:t xml:space="preserve"> Registered trademark</w:t>
      </w:r>
    </w:p>
    <w:p w14:paraId="6073765E" w14:textId="77777777" w:rsidR="001D3E05" w:rsidRDefault="001D3E05" w:rsidP="00EF15DF">
      <w:pPr>
        <w:pStyle w:val="CLDNormal"/>
      </w:pPr>
    </w:p>
    <w:p w14:paraId="231C7856" w14:textId="77777777" w:rsidR="009E6153" w:rsidRDefault="009E6153" w:rsidP="00A712CB">
      <w:pPr>
        <w:pStyle w:val="CLDNormal"/>
      </w:pPr>
    </w:p>
    <w:sectPr w:rsidR="009E6153" w:rsidSect="005A1080">
      <w:headerReference w:type="even" r:id="rId16"/>
      <w:headerReference w:type="default" r:id="rId17"/>
      <w:footerReference w:type="even" r:id="rId18"/>
      <w:footerReference w:type="default" r:id="rId19"/>
      <w:headerReference w:type="first" r:id="rId20"/>
      <w:footerReference w:type="first" r:id="rId21"/>
      <w:type w:val="oddPage"/>
      <w:pgSz w:w="11907" w:h="16840" w:code="9"/>
      <w:pgMar w:top="1440" w:right="1440" w:bottom="1440" w:left="1440" w:header="567" w:footer="567" w:gutter="0"/>
      <w:cols w:space="73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6EB7C" w14:textId="77777777" w:rsidR="0043736A" w:rsidRDefault="0043736A">
      <w:r>
        <w:separator/>
      </w:r>
    </w:p>
  </w:endnote>
  <w:endnote w:type="continuationSeparator" w:id="0">
    <w:p w14:paraId="3AB23325" w14:textId="77777777" w:rsidR="0043736A" w:rsidRDefault="0043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591B3" w14:textId="77777777" w:rsidR="0043736A" w:rsidRPr="00054F74" w:rsidRDefault="0043736A" w:rsidP="00054F74">
    <w:r w:rsidRPr="00054F74">
      <w:t>Version: &lt;insert filename&gt;</w:t>
    </w:r>
    <w:r w:rsidRPr="00054F74">
      <w:tab/>
      <w:t>Supersedes: &lt;insert filename&gt;</w:t>
    </w:r>
  </w:p>
  <w:p w14:paraId="75237BCE" w14:textId="77777777" w:rsidR="0043736A" w:rsidRPr="00054F74" w:rsidRDefault="0043736A" w:rsidP="00054F74">
    <w:r w:rsidRPr="00054F74">
      <w:t>MOH Approved:</w:t>
    </w:r>
  </w:p>
  <w:p w14:paraId="6D5190BC" w14:textId="77777777" w:rsidR="0043736A" w:rsidRPr="00054F74" w:rsidRDefault="0043736A"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A38BD" w14:textId="343C2A00" w:rsidR="0043736A" w:rsidRPr="00362D9D" w:rsidRDefault="0043736A" w:rsidP="00362D9D">
    <w:pPr>
      <w:pStyle w:val="CLDFooter"/>
    </w:pPr>
    <w:r w:rsidRPr="00362D9D">
      <w:t>Version</w:t>
    </w:r>
    <w:r>
      <w:t xml:space="preserve"> </w:t>
    </w:r>
    <w:r w:rsidRPr="00362D9D">
      <w:t xml:space="preserve">: </w:t>
    </w:r>
    <w:r w:rsidRPr="006C013A">
      <w:t>pfpcresa1</w:t>
    </w:r>
    <w:r>
      <w:t>0</w:t>
    </w:r>
    <w:r w:rsidR="008618D1">
      <w:t>5</w:t>
    </w:r>
    <w:r>
      <w:t>19</w:t>
    </w:r>
    <w:r w:rsidRPr="00362D9D">
      <w:t xml:space="preserve"> </w:t>
    </w:r>
    <w:r w:rsidRPr="00362D9D">
      <w:tab/>
      <w:t xml:space="preserve">Supersedes: </w:t>
    </w:r>
    <w:r>
      <w:t>N/A</w:t>
    </w:r>
  </w:p>
  <w:p w14:paraId="1EFF62EF" w14:textId="6930AEBA" w:rsidR="0043736A" w:rsidRPr="00054F74" w:rsidRDefault="0043736A" w:rsidP="0008662E">
    <w:pPr>
      <w:pStyle w:val="CLDFooter"/>
    </w:pPr>
    <w:r w:rsidRPr="00C531EF">
      <w:tab/>
      <w:t xml:space="preserve">Page </w:t>
    </w:r>
    <w:r>
      <w:fldChar w:fldCharType="begin"/>
    </w:r>
    <w:r>
      <w:instrText xml:space="preserve"> PAGE </w:instrText>
    </w:r>
    <w:r>
      <w:fldChar w:fldCharType="separate"/>
    </w:r>
    <w:r w:rsidR="000E23D0">
      <w:rPr>
        <w:noProof/>
      </w:rPr>
      <w:t>2</w:t>
    </w:r>
    <w:r>
      <w:fldChar w:fldCharType="end"/>
    </w:r>
    <w:r w:rsidRPr="00C531EF">
      <w:t xml:space="preserve"> of </w:t>
    </w:r>
    <w:r>
      <w:fldChar w:fldCharType="begin"/>
    </w:r>
    <w:r>
      <w:instrText xml:space="preserve"> NUMPAGES </w:instrText>
    </w:r>
    <w:r>
      <w:fldChar w:fldCharType="separate"/>
    </w:r>
    <w:r w:rsidR="000E23D0">
      <w:rPr>
        <w:noProof/>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40944" w14:textId="77777777" w:rsidR="0043736A" w:rsidRDefault="004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9AE4" w14:textId="77777777" w:rsidR="0043736A" w:rsidRDefault="0043736A">
      <w:r>
        <w:separator/>
      </w:r>
    </w:p>
  </w:footnote>
  <w:footnote w:type="continuationSeparator" w:id="0">
    <w:p w14:paraId="5F470D01" w14:textId="77777777" w:rsidR="0043736A" w:rsidRDefault="0043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E2BF" w14:textId="77777777" w:rsidR="0043736A" w:rsidRDefault="0043736A"/>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43736A" w14:paraId="2E992A0F" w14:textId="77777777" w:rsidTr="00343757">
      <w:tc>
        <w:tcPr>
          <w:tcW w:w="9855" w:type="dxa"/>
          <w:gridSpan w:val="6"/>
          <w:shd w:val="clear" w:color="auto" w:fill="E6E6E6"/>
        </w:tcPr>
        <w:p w14:paraId="41ECA595" w14:textId="77777777" w:rsidR="0043736A" w:rsidRPr="00EB4D43" w:rsidRDefault="0043736A" w:rsidP="00343757">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59B4D63E" wp14:editId="098BE25E">
                <wp:extent cx="42291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43736A" w14:paraId="6DE2F473" w14:textId="77777777" w:rsidTr="00343757">
      <w:tc>
        <w:tcPr>
          <w:tcW w:w="1410" w:type="dxa"/>
          <w:shd w:val="clear" w:color="auto" w:fill="E6E6E6"/>
        </w:tcPr>
        <w:p w14:paraId="44EF4EA0" w14:textId="77777777" w:rsidR="0043736A" w:rsidRPr="00EB4D43" w:rsidRDefault="0043736A"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2BA82D6A" w14:textId="77777777" w:rsidR="0043736A" w:rsidRPr="00EB4D43" w:rsidRDefault="0043736A"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43736A" w14:paraId="70E6CA74" w14:textId="77777777" w:rsidTr="00343757">
      <w:tc>
        <w:tcPr>
          <w:tcW w:w="1410" w:type="dxa"/>
          <w:shd w:val="clear" w:color="auto" w:fill="E6E6E6"/>
        </w:tcPr>
        <w:p w14:paraId="36C8E1C7" w14:textId="77777777" w:rsidR="0043736A" w:rsidRPr="00EB4D43" w:rsidRDefault="0043736A"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538A6ED3" w14:textId="77777777" w:rsidR="0043736A" w:rsidRPr="00EB4D43" w:rsidRDefault="0043736A" w:rsidP="00343757">
          <w:pPr>
            <w:pStyle w:val="Heading1"/>
            <w:keepNext w:val="0"/>
            <w:spacing w:before="120" w:after="0"/>
            <w:rPr>
              <w:rFonts w:ascii="Arial" w:hAnsi="Arial" w:cs="Arial"/>
              <w:sz w:val="20"/>
            </w:rPr>
          </w:pPr>
          <w:bookmarkStart w:id="2" w:name="_WPG-RA-30-01"/>
          <w:bookmarkEnd w:id="2"/>
          <w:r>
            <w:rPr>
              <w:rFonts w:ascii="Arial" w:hAnsi="Arial" w:cs="Arial"/>
              <w:sz w:val="20"/>
            </w:rPr>
            <w:t>WPG-RA-30-01</w:t>
          </w:r>
        </w:p>
      </w:tc>
      <w:tc>
        <w:tcPr>
          <w:tcW w:w="1468" w:type="dxa"/>
          <w:shd w:val="clear" w:color="auto" w:fill="E6E6E6"/>
        </w:tcPr>
        <w:p w14:paraId="00CA8533" w14:textId="77777777" w:rsidR="0043736A" w:rsidRPr="00EB4D43" w:rsidRDefault="0043736A"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464A242" w14:textId="77777777" w:rsidR="0043736A" w:rsidRPr="00EB4D43" w:rsidRDefault="0043736A"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53B1A8AD" w14:textId="77777777" w:rsidR="0043736A" w:rsidRPr="00EB4D43" w:rsidRDefault="0043736A"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61A0CD09" w14:textId="77777777" w:rsidR="0043736A" w:rsidRPr="00EB4D43" w:rsidRDefault="0043736A"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43736A" w14:paraId="17316CE8" w14:textId="77777777" w:rsidTr="00343757">
      <w:trPr>
        <w:cantSplit/>
      </w:trPr>
      <w:tc>
        <w:tcPr>
          <w:tcW w:w="1410" w:type="dxa"/>
          <w:shd w:val="clear" w:color="auto" w:fill="E6E6E6"/>
        </w:tcPr>
        <w:p w14:paraId="60F1AB77" w14:textId="77777777" w:rsidR="0043736A" w:rsidRPr="00EB4D43" w:rsidRDefault="0043736A"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324BE0A7" w14:textId="77777777" w:rsidR="0043736A" w:rsidRPr="00EB4D43" w:rsidRDefault="0043736A"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23F63A24" w14:textId="77777777" w:rsidR="0043736A" w:rsidRPr="00EB4D43" w:rsidRDefault="0043736A"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382137E4" w14:textId="77777777" w:rsidR="0043736A" w:rsidRPr="00EB4D43" w:rsidRDefault="0043736A" w:rsidP="00343757">
          <w:pPr>
            <w:pStyle w:val="Heading3"/>
            <w:jc w:val="left"/>
            <w:rPr>
              <w:rFonts w:ascii="Arial" w:hAnsi="Arial" w:cs="Arial"/>
              <w:i w:val="0"/>
              <w:sz w:val="20"/>
            </w:rPr>
          </w:pPr>
        </w:p>
      </w:tc>
      <w:tc>
        <w:tcPr>
          <w:tcW w:w="1786" w:type="dxa"/>
          <w:gridSpan w:val="2"/>
          <w:shd w:val="clear" w:color="auto" w:fill="E6E6E6"/>
        </w:tcPr>
        <w:p w14:paraId="6D6A043C" w14:textId="77777777" w:rsidR="0043736A" w:rsidRPr="00EB4D43" w:rsidRDefault="0043736A" w:rsidP="00343757">
          <w:pPr>
            <w:pStyle w:val="Heading3"/>
            <w:jc w:val="left"/>
            <w:rPr>
              <w:rFonts w:ascii="Arial" w:hAnsi="Arial" w:cs="Arial"/>
              <w:i w:val="0"/>
              <w:snapToGrid w:val="0"/>
              <w:sz w:val="20"/>
            </w:rPr>
          </w:pPr>
        </w:p>
      </w:tc>
    </w:tr>
  </w:tbl>
  <w:p w14:paraId="5E2BC48A" w14:textId="77777777" w:rsidR="0043736A" w:rsidRDefault="0043736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0E23D0" w:rsidRPr="002E7F61" w14:paraId="5DDB5E62" w14:textId="77777777" w:rsidTr="0097197E">
      <w:trPr>
        <w:trHeight w:val="590"/>
      </w:trPr>
      <w:tc>
        <w:tcPr>
          <w:tcW w:w="8720" w:type="dxa"/>
          <w:shd w:val="clear" w:color="auto" w:fill="E4F2E0"/>
        </w:tcPr>
        <w:p w14:paraId="12CD023B" w14:textId="77777777" w:rsidR="000E23D0" w:rsidRPr="002E7F61" w:rsidRDefault="000E23D0" w:rsidP="000E23D0">
          <w:pPr>
            <w:pStyle w:val="Footer"/>
            <w:rPr>
              <w:b/>
              <w:sz w:val="18"/>
              <w:szCs w:val="18"/>
            </w:rPr>
          </w:pPr>
          <w:r w:rsidRPr="002E7F61">
            <w:rPr>
              <w:b/>
              <w:sz w:val="18"/>
              <w:szCs w:val="18"/>
            </w:rPr>
            <w:t xml:space="preserve">Attachment 1: Product </w:t>
          </w:r>
          <w:r w:rsidRPr="00C6703C">
            <w:rPr>
              <w:b/>
              <w:sz w:val="18"/>
              <w:szCs w:val="18"/>
            </w:rPr>
            <w:t xml:space="preserve">AusPAR </w:t>
          </w:r>
          <w:proofErr w:type="spellStart"/>
          <w:r w:rsidRPr="00C6703C">
            <w:rPr>
              <w:b/>
              <w:sz w:val="18"/>
              <w:szCs w:val="18"/>
            </w:rPr>
            <w:t>Cresemba</w:t>
          </w:r>
          <w:proofErr w:type="spellEnd"/>
          <w:r w:rsidRPr="00C6703C">
            <w:rPr>
              <w:b/>
              <w:sz w:val="18"/>
              <w:szCs w:val="18"/>
            </w:rPr>
            <w:t xml:space="preserve"> </w:t>
          </w:r>
          <w:proofErr w:type="spellStart"/>
          <w:r w:rsidRPr="00C6703C">
            <w:rPr>
              <w:b/>
              <w:sz w:val="18"/>
              <w:szCs w:val="18"/>
            </w:rPr>
            <w:t>isavuconazole</w:t>
          </w:r>
          <w:proofErr w:type="spellEnd"/>
          <w:r w:rsidRPr="00C6703C">
            <w:rPr>
              <w:b/>
              <w:sz w:val="18"/>
              <w:szCs w:val="18"/>
            </w:rPr>
            <w:t xml:space="preserve"> Pfizer Australia Pty. Ltd. PM-2018-02483-1-2 FINAL 17 December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5D6C0B4D" w14:textId="77777777" w:rsidR="0043736A" w:rsidRDefault="00437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CC65C" w14:textId="77777777" w:rsidR="0043736A" w:rsidRDefault="0043736A"/>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43736A" w14:paraId="73C615E3" w14:textId="77777777" w:rsidTr="00121B3A">
      <w:tc>
        <w:tcPr>
          <w:tcW w:w="9855" w:type="dxa"/>
          <w:gridSpan w:val="6"/>
          <w:shd w:val="clear" w:color="auto" w:fill="E6E6E6"/>
        </w:tcPr>
        <w:p w14:paraId="00A27744" w14:textId="77777777" w:rsidR="0043736A" w:rsidRPr="00EB4D43" w:rsidRDefault="0043736A" w:rsidP="00121B3A">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5677DB75" wp14:editId="4F2AF0E5">
                <wp:extent cx="422910" cy="252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43736A" w14:paraId="25159A71" w14:textId="77777777" w:rsidTr="00121B3A">
      <w:tc>
        <w:tcPr>
          <w:tcW w:w="1410" w:type="dxa"/>
          <w:shd w:val="clear" w:color="auto" w:fill="E6E6E6"/>
        </w:tcPr>
        <w:p w14:paraId="1142896C" w14:textId="77777777" w:rsidR="0043736A" w:rsidRPr="00EB4D43" w:rsidRDefault="0043736A"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409EBF17" w14:textId="77777777" w:rsidR="0043736A" w:rsidRPr="00EB4D43" w:rsidRDefault="0043736A"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43736A" w14:paraId="78D1DECE" w14:textId="77777777" w:rsidTr="00121B3A">
      <w:tc>
        <w:tcPr>
          <w:tcW w:w="1410" w:type="dxa"/>
          <w:shd w:val="clear" w:color="auto" w:fill="E6E6E6"/>
        </w:tcPr>
        <w:p w14:paraId="48D2A6A9" w14:textId="77777777" w:rsidR="0043736A" w:rsidRPr="00EB4D43" w:rsidRDefault="0043736A"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5450716B" w14:textId="77777777" w:rsidR="0043736A" w:rsidRPr="00EB4D43" w:rsidRDefault="0043736A"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2D1BEF69" w14:textId="77777777" w:rsidR="0043736A" w:rsidRPr="00EB4D43" w:rsidRDefault="0043736A"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23BC6B4F" w14:textId="77777777" w:rsidR="0043736A" w:rsidRPr="00EB4D43" w:rsidRDefault="0043736A"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0E6D7937" w14:textId="77777777" w:rsidR="0043736A" w:rsidRPr="00EB4D43" w:rsidRDefault="0043736A"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18CFD959" w14:textId="77777777" w:rsidR="0043736A" w:rsidRPr="00EB4D43" w:rsidRDefault="0043736A"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43736A" w14:paraId="1CB38872" w14:textId="77777777" w:rsidTr="00121B3A">
      <w:trPr>
        <w:cantSplit/>
      </w:trPr>
      <w:tc>
        <w:tcPr>
          <w:tcW w:w="1410" w:type="dxa"/>
          <w:shd w:val="clear" w:color="auto" w:fill="E6E6E6"/>
        </w:tcPr>
        <w:p w14:paraId="265D7CDF" w14:textId="77777777" w:rsidR="0043736A" w:rsidRPr="00EB4D43" w:rsidRDefault="0043736A"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6B8C508C" w14:textId="77777777" w:rsidR="0043736A" w:rsidRPr="00EB4D43" w:rsidRDefault="0043736A"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00FB0D63" w14:textId="77777777" w:rsidR="0043736A" w:rsidRPr="00EB4D43" w:rsidRDefault="0043736A"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3A3D52A0" w14:textId="77777777" w:rsidR="0043736A" w:rsidRPr="00EB4D43" w:rsidRDefault="0043736A"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5D979ECA" w14:textId="77777777" w:rsidR="0043736A" w:rsidRPr="00EB4D43" w:rsidRDefault="0043736A" w:rsidP="00121B3A">
          <w:pPr>
            <w:pStyle w:val="Heading3"/>
            <w:jc w:val="left"/>
            <w:rPr>
              <w:rFonts w:ascii="Arial" w:hAnsi="Arial" w:cs="Arial"/>
              <w:i w:val="0"/>
              <w:snapToGrid w:val="0"/>
              <w:sz w:val="20"/>
            </w:rPr>
          </w:pPr>
        </w:p>
      </w:tc>
    </w:tr>
  </w:tbl>
  <w:p w14:paraId="2E8647D2" w14:textId="77777777" w:rsidR="0043736A" w:rsidRDefault="0043736A" w:rsidP="006D46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6007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3A96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D00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840B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A88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2E4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F1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CA1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049C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AAAB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6666EA"/>
    <w:multiLevelType w:val="hybridMultilevel"/>
    <w:tmpl w:val="E9B8F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80019D"/>
    <w:multiLevelType w:val="hybridMultilevel"/>
    <w:tmpl w:val="3AB8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B6411D"/>
    <w:multiLevelType w:val="hybridMultilevel"/>
    <w:tmpl w:val="92123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7715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EA506D"/>
    <w:multiLevelType w:val="hybridMultilevel"/>
    <w:tmpl w:val="6792E7F8"/>
    <w:lvl w:ilvl="0" w:tplc="BDAC27A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9" w15:restartNumberingAfterBreak="0">
    <w:nsid w:val="3A1F761A"/>
    <w:multiLevelType w:val="hybridMultilevel"/>
    <w:tmpl w:val="2FA8C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30AFD"/>
    <w:multiLevelType w:val="hybridMultilevel"/>
    <w:tmpl w:val="593A7D78"/>
    <w:lvl w:ilvl="0" w:tplc="D060B204">
      <w:numFmt w:val="bullet"/>
      <w:pStyle w:val="ListParagraph"/>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4961D3"/>
    <w:multiLevelType w:val="hybridMultilevel"/>
    <w:tmpl w:val="7236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CF07E3"/>
    <w:multiLevelType w:val="hybridMultilevel"/>
    <w:tmpl w:val="934E8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28" w15:restartNumberingAfterBreak="0">
    <w:nsid w:val="7B537283"/>
    <w:multiLevelType w:val="hybridMultilevel"/>
    <w:tmpl w:val="99AA9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5"/>
  </w:num>
  <w:num w:numId="4">
    <w:abstractNumId w:val="24"/>
  </w:num>
  <w:num w:numId="5">
    <w:abstractNumId w:val="22"/>
  </w:num>
  <w:num w:numId="6">
    <w:abstractNumId w:val="18"/>
  </w:num>
  <w:num w:numId="7">
    <w:abstractNumId w:val="27"/>
  </w:num>
  <w:num w:numId="8">
    <w:abstractNumId w:val="23"/>
  </w:num>
  <w:num w:numId="9">
    <w:abstractNumId w:val="9"/>
  </w:num>
  <w:num w:numId="10">
    <w:abstractNumId w:val="9"/>
  </w:num>
  <w:num w:numId="11">
    <w:abstractNumId w:val="8"/>
  </w:num>
  <w:num w:numId="12">
    <w:abstractNumId w:val="17"/>
  </w:num>
  <w:num w:numId="13">
    <w:abstractNumId w:val="9"/>
  </w:num>
  <w:num w:numId="14">
    <w:abstractNumId w:val="17"/>
  </w:num>
  <w:num w:numId="15">
    <w:abstractNumId w:val="9"/>
  </w:num>
  <w:num w:numId="16">
    <w:abstractNumId w:val="17"/>
  </w:num>
  <w:num w:numId="17">
    <w:abstractNumId w:val="9"/>
  </w:num>
  <w:num w:numId="18">
    <w:abstractNumId w:val="17"/>
  </w:num>
  <w:num w:numId="19">
    <w:abstractNumId w:val="10"/>
  </w:num>
  <w:num w:numId="20">
    <w:abstractNumId w:val="12"/>
  </w:num>
  <w:num w:numId="21">
    <w:abstractNumId w:val="9"/>
  </w:num>
  <w:num w:numId="22">
    <w:abstractNumId w:val="17"/>
  </w:num>
  <w:num w:numId="23">
    <w:abstractNumId w:val="10"/>
  </w:num>
  <w:num w:numId="24">
    <w:abstractNumId w:val="12"/>
  </w:num>
  <w:num w:numId="25">
    <w:abstractNumId w:val="9"/>
  </w:num>
  <w:num w:numId="26">
    <w:abstractNumId w:val="17"/>
  </w:num>
  <w:num w:numId="27">
    <w:abstractNumId w:val="21"/>
  </w:num>
  <w:num w:numId="28">
    <w:abstractNumId w:val="14"/>
  </w:num>
  <w:num w:numId="29">
    <w:abstractNumId w:val="28"/>
  </w:num>
  <w:num w:numId="30">
    <w:abstractNumId w:val="20"/>
  </w:num>
  <w:num w:numId="31">
    <w:abstractNumId w:val="19"/>
  </w:num>
  <w:num w:numId="32">
    <w:abstractNumId w:val="15"/>
  </w:num>
  <w:num w:numId="33">
    <w:abstractNumId w:val="26"/>
  </w:num>
  <w:num w:numId="34">
    <w:abstractNumId w:val="11"/>
  </w:num>
  <w:num w:numId="35">
    <w:abstractNumId w:val="7"/>
  </w:num>
  <w:num w:numId="36">
    <w:abstractNumId w:val="6"/>
  </w:num>
  <w:num w:numId="37">
    <w:abstractNumId w:val="5"/>
  </w:num>
  <w:num w:numId="38">
    <w:abstractNumId w:val="4"/>
  </w:num>
  <w:num w:numId="39">
    <w:abstractNumId w:val="3"/>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D9"/>
    <w:rsid w:val="00003485"/>
    <w:rsid w:val="00003E18"/>
    <w:rsid w:val="00003E72"/>
    <w:rsid w:val="00021A08"/>
    <w:rsid w:val="00030516"/>
    <w:rsid w:val="00033CD4"/>
    <w:rsid w:val="0004004D"/>
    <w:rsid w:val="00041A12"/>
    <w:rsid w:val="00042C4F"/>
    <w:rsid w:val="000456CA"/>
    <w:rsid w:val="00050846"/>
    <w:rsid w:val="00051B9D"/>
    <w:rsid w:val="00054F74"/>
    <w:rsid w:val="00055A21"/>
    <w:rsid w:val="000804CE"/>
    <w:rsid w:val="0008662E"/>
    <w:rsid w:val="00095635"/>
    <w:rsid w:val="000A30A5"/>
    <w:rsid w:val="000D3BF1"/>
    <w:rsid w:val="000D5911"/>
    <w:rsid w:val="000E23D0"/>
    <w:rsid w:val="000E37D2"/>
    <w:rsid w:val="000E6F74"/>
    <w:rsid w:val="000F67F5"/>
    <w:rsid w:val="000F7A64"/>
    <w:rsid w:val="00100ED7"/>
    <w:rsid w:val="001103B7"/>
    <w:rsid w:val="001121A8"/>
    <w:rsid w:val="00112B3F"/>
    <w:rsid w:val="00112E5B"/>
    <w:rsid w:val="00121B3A"/>
    <w:rsid w:val="001257E5"/>
    <w:rsid w:val="00132BE4"/>
    <w:rsid w:val="00137BF6"/>
    <w:rsid w:val="00137F73"/>
    <w:rsid w:val="00141722"/>
    <w:rsid w:val="001421CE"/>
    <w:rsid w:val="00156E48"/>
    <w:rsid w:val="00157277"/>
    <w:rsid w:val="0015753F"/>
    <w:rsid w:val="00166ABF"/>
    <w:rsid w:val="001714BE"/>
    <w:rsid w:val="00171E79"/>
    <w:rsid w:val="001726CE"/>
    <w:rsid w:val="0018348D"/>
    <w:rsid w:val="0018471B"/>
    <w:rsid w:val="00185992"/>
    <w:rsid w:val="00192AC6"/>
    <w:rsid w:val="001A5F7E"/>
    <w:rsid w:val="001B0E15"/>
    <w:rsid w:val="001B1A33"/>
    <w:rsid w:val="001B1F17"/>
    <w:rsid w:val="001B38CA"/>
    <w:rsid w:val="001B4896"/>
    <w:rsid w:val="001B6BE9"/>
    <w:rsid w:val="001B7FC9"/>
    <w:rsid w:val="001C41B9"/>
    <w:rsid w:val="001C7C13"/>
    <w:rsid w:val="001D2530"/>
    <w:rsid w:val="001D3E05"/>
    <w:rsid w:val="001D5271"/>
    <w:rsid w:val="001D5FC9"/>
    <w:rsid w:val="001D73D4"/>
    <w:rsid w:val="001F1840"/>
    <w:rsid w:val="001F72B3"/>
    <w:rsid w:val="0020215B"/>
    <w:rsid w:val="002042BC"/>
    <w:rsid w:val="00213632"/>
    <w:rsid w:val="002147E1"/>
    <w:rsid w:val="00221B59"/>
    <w:rsid w:val="00233E31"/>
    <w:rsid w:val="00243A31"/>
    <w:rsid w:val="00243ADE"/>
    <w:rsid w:val="00244711"/>
    <w:rsid w:val="002622C0"/>
    <w:rsid w:val="00265117"/>
    <w:rsid w:val="00265DCB"/>
    <w:rsid w:val="00271624"/>
    <w:rsid w:val="00273560"/>
    <w:rsid w:val="0027724C"/>
    <w:rsid w:val="00281FD5"/>
    <w:rsid w:val="00282564"/>
    <w:rsid w:val="0028341A"/>
    <w:rsid w:val="00286F13"/>
    <w:rsid w:val="002870DB"/>
    <w:rsid w:val="0029199D"/>
    <w:rsid w:val="00291C8C"/>
    <w:rsid w:val="00292E35"/>
    <w:rsid w:val="00294A15"/>
    <w:rsid w:val="00295C4B"/>
    <w:rsid w:val="00295D2D"/>
    <w:rsid w:val="00296E1B"/>
    <w:rsid w:val="00297704"/>
    <w:rsid w:val="002A5064"/>
    <w:rsid w:val="002B1775"/>
    <w:rsid w:val="002B1AAB"/>
    <w:rsid w:val="002B1F97"/>
    <w:rsid w:val="002B261C"/>
    <w:rsid w:val="002B6A8D"/>
    <w:rsid w:val="002C0516"/>
    <w:rsid w:val="002C432E"/>
    <w:rsid w:val="002C4B66"/>
    <w:rsid w:val="002C52FA"/>
    <w:rsid w:val="002D1795"/>
    <w:rsid w:val="002D2038"/>
    <w:rsid w:val="002D3319"/>
    <w:rsid w:val="002D62BC"/>
    <w:rsid w:val="002F5236"/>
    <w:rsid w:val="002F5C6E"/>
    <w:rsid w:val="002F6F96"/>
    <w:rsid w:val="0030452B"/>
    <w:rsid w:val="003121CD"/>
    <w:rsid w:val="00314A8A"/>
    <w:rsid w:val="00315AB0"/>
    <w:rsid w:val="003271E4"/>
    <w:rsid w:val="0032795C"/>
    <w:rsid w:val="003341F1"/>
    <w:rsid w:val="003368DE"/>
    <w:rsid w:val="0034316D"/>
    <w:rsid w:val="00343757"/>
    <w:rsid w:val="0034484A"/>
    <w:rsid w:val="00352BD6"/>
    <w:rsid w:val="003556AB"/>
    <w:rsid w:val="00361911"/>
    <w:rsid w:val="00362C5A"/>
    <w:rsid w:val="00362D9D"/>
    <w:rsid w:val="0036357D"/>
    <w:rsid w:val="00364CD6"/>
    <w:rsid w:val="00365EA8"/>
    <w:rsid w:val="00370447"/>
    <w:rsid w:val="0037167C"/>
    <w:rsid w:val="003812E1"/>
    <w:rsid w:val="00383C60"/>
    <w:rsid w:val="0038717D"/>
    <w:rsid w:val="00394879"/>
    <w:rsid w:val="00395AD9"/>
    <w:rsid w:val="003960D6"/>
    <w:rsid w:val="00396174"/>
    <w:rsid w:val="003B255D"/>
    <w:rsid w:val="003B4317"/>
    <w:rsid w:val="003C2929"/>
    <w:rsid w:val="003C4BE5"/>
    <w:rsid w:val="003C6DC6"/>
    <w:rsid w:val="003D017D"/>
    <w:rsid w:val="003D1056"/>
    <w:rsid w:val="003D4153"/>
    <w:rsid w:val="003E3F04"/>
    <w:rsid w:val="003E6DCC"/>
    <w:rsid w:val="004053A7"/>
    <w:rsid w:val="004060B7"/>
    <w:rsid w:val="004100DD"/>
    <w:rsid w:val="00432FC2"/>
    <w:rsid w:val="00433191"/>
    <w:rsid w:val="00433361"/>
    <w:rsid w:val="0043736A"/>
    <w:rsid w:val="00437C19"/>
    <w:rsid w:val="004402BD"/>
    <w:rsid w:val="00444939"/>
    <w:rsid w:val="00452430"/>
    <w:rsid w:val="00460035"/>
    <w:rsid w:val="00464A76"/>
    <w:rsid w:val="00466724"/>
    <w:rsid w:val="00475942"/>
    <w:rsid w:val="00476452"/>
    <w:rsid w:val="004779F5"/>
    <w:rsid w:val="00486C8C"/>
    <w:rsid w:val="00486E55"/>
    <w:rsid w:val="004A1702"/>
    <w:rsid w:val="004A2938"/>
    <w:rsid w:val="004A333D"/>
    <w:rsid w:val="004A4A05"/>
    <w:rsid w:val="004A4A54"/>
    <w:rsid w:val="004A5EA8"/>
    <w:rsid w:val="004B3432"/>
    <w:rsid w:val="004B7338"/>
    <w:rsid w:val="004C6630"/>
    <w:rsid w:val="004D3C8A"/>
    <w:rsid w:val="004D4F38"/>
    <w:rsid w:val="004E139A"/>
    <w:rsid w:val="00506F82"/>
    <w:rsid w:val="0050719D"/>
    <w:rsid w:val="00520868"/>
    <w:rsid w:val="00523954"/>
    <w:rsid w:val="0052396C"/>
    <w:rsid w:val="0053184B"/>
    <w:rsid w:val="00534AF6"/>
    <w:rsid w:val="005451AD"/>
    <w:rsid w:val="005469E0"/>
    <w:rsid w:val="00554880"/>
    <w:rsid w:val="00557910"/>
    <w:rsid w:val="00562DB2"/>
    <w:rsid w:val="00563804"/>
    <w:rsid w:val="00566B7C"/>
    <w:rsid w:val="00576ED3"/>
    <w:rsid w:val="00581D7D"/>
    <w:rsid w:val="00583508"/>
    <w:rsid w:val="00585695"/>
    <w:rsid w:val="00587809"/>
    <w:rsid w:val="00591258"/>
    <w:rsid w:val="005A1080"/>
    <w:rsid w:val="005A2454"/>
    <w:rsid w:val="005A454A"/>
    <w:rsid w:val="005A5C66"/>
    <w:rsid w:val="005B2A88"/>
    <w:rsid w:val="005B3F04"/>
    <w:rsid w:val="005B7CFC"/>
    <w:rsid w:val="005F0573"/>
    <w:rsid w:val="005F4524"/>
    <w:rsid w:val="005F464B"/>
    <w:rsid w:val="005F645C"/>
    <w:rsid w:val="005F69D0"/>
    <w:rsid w:val="005F6B69"/>
    <w:rsid w:val="00602505"/>
    <w:rsid w:val="0061777E"/>
    <w:rsid w:val="0062301C"/>
    <w:rsid w:val="0062454C"/>
    <w:rsid w:val="00630D86"/>
    <w:rsid w:val="00636841"/>
    <w:rsid w:val="00643055"/>
    <w:rsid w:val="00643249"/>
    <w:rsid w:val="00651AAC"/>
    <w:rsid w:val="00652772"/>
    <w:rsid w:val="006540AD"/>
    <w:rsid w:val="00660D9E"/>
    <w:rsid w:val="00675710"/>
    <w:rsid w:val="006763E2"/>
    <w:rsid w:val="00683128"/>
    <w:rsid w:val="0069346B"/>
    <w:rsid w:val="0069736D"/>
    <w:rsid w:val="006B3CD9"/>
    <w:rsid w:val="006B4EBF"/>
    <w:rsid w:val="006B546D"/>
    <w:rsid w:val="006C013A"/>
    <w:rsid w:val="006C45D0"/>
    <w:rsid w:val="006C4FE9"/>
    <w:rsid w:val="006D2175"/>
    <w:rsid w:val="006D2EF5"/>
    <w:rsid w:val="006D4645"/>
    <w:rsid w:val="006E67FF"/>
    <w:rsid w:val="006E7F40"/>
    <w:rsid w:val="006F6762"/>
    <w:rsid w:val="00710299"/>
    <w:rsid w:val="00715857"/>
    <w:rsid w:val="00717425"/>
    <w:rsid w:val="00721F4D"/>
    <w:rsid w:val="00725DF7"/>
    <w:rsid w:val="00731A5A"/>
    <w:rsid w:val="00732127"/>
    <w:rsid w:val="007403A4"/>
    <w:rsid w:val="00745032"/>
    <w:rsid w:val="00747F6B"/>
    <w:rsid w:val="00755FFF"/>
    <w:rsid w:val="007633BB"/>
    <w:rsid w:val="007703ED"/>
    <w:rsid w:val="00772C2A"/>
    <w:rsid w:val="00777FAE"/>
    <w:rsid w:val="00787D1C"/>
    <w:rsid w:val="00795C33"/>
    <w:rsid w:val="00795CC0"/>
    <w:rsid w:val="007A79E1"/>
    <w:rsid w:val="007B017E"/>
    <w:rsid w:val="007B305B"/>
    <w:rsid w:val="007B4A20"/>
    <w:rsid w:val="007B7FE3"/>
    <w:rsid w:val="007E5605"/>
    <w:rsid w:val="007E659A"/>
    <w:rsid w:val="007E68C2"/>
    <w:rsid w:val="007F3748"/>
    <w:rsid w:val="007F4DBF"/>
    <w:rsid w:val="00807203"/>
    <w:rsid w:val="008072C0"/>
    <w:rsid w:val="00807A52"/>
    <w:rsid w:val="00824F6A"/>
    <w:rsid w:val="00825619"/>
    <w:rsid w:val="008257C3"/>
    <w:rsid w:val="00825B7F"/>
    <w:rsid w:val="00825D96"/>
    <w:rsid w:val="00830B98"/>
    <w:rsid w:val="00832E58"/>
    <w:rsid w:val="00837C3E"/>
    <w:rsid w:val="008510A1"/>
    <w:rsid w:val="00855265"/>
    <w:rsid w:val="00861773"/>
    <w:rsid w:val="008618D1"/>
    <w:rsid w:val="00865C0E"/>
    <w:rsid w:val="008768CF"/>
    <w:rsid w:val="00887811"/>
    <w:rsid w:val="008A3D36"/>
    <w:rsid w:val="008A3EF8"/>
    <w:rsid w:val="008B175F"/>
    <w:rsid w:val="008B1870"/>
    <w:rsid w:val="008C3CD4"/>
    <w:rsid w:val="008C5A9B"/>
    <w:rsid w:val="008C5D34"/>
    <w:rsid w:val="008D0410"/>
    <w:rsid w:val="008D22E0"/>
    <w:rsid w:val="008D6C52"/>
    <w:rsid w:val="008E1814"/>
    <w:rsid w:val="008E435F"/>
    <w:rsid w:val="008E60FE"/>
    <w:rsid w:val="008F2853"/>
    <w:rsid w:val="008F58DB"/>
    <w:rsid w:val="00900DB6"/>
    <w:rsid w:val="009013C8"/>
    <w:rsid w:val="00902136"/>
    <w:rsid w:val="009021BA"/>
    <w:rsid w:val="00904B18"/>
    <w:rsid w:val="009053D7"/>
    <w:rsid w:val="00920B4C"/>
    <w:rsid w:val="00924C8B"/>
    <w:rsid w:val="00932B9D"/>
    <w:rsid w:val="009330C4"/>
    <w:rsid w:val="00935162"/>
    <w:rsid w:val="00937FB1"/>
    <w:rsid w:val="009456D9"/>
    <w:rsid w:val="00945BCB"/>
    <w:rsid w:val="009509D2"/>
    <w:rsid w:val="009549B6"/>
    <w:rsid w:val="00966088"/>
    <w:rsid w:val="00966E66"/>
    <w:rsid w:val="009710C9"/>
    <w:rsid w:val="00973CF6"/>
    <w:rsid w:val="00975A28"/>
    <w:rsid w:val="00975A34"/>
    <w:rsid w:val="00981E05"/>
    <w:rsid w:val="00995EFD"/>
    <w:rsid w:val="009A4719"/>
    <w:rsid w:val="009A5B62"/>
    <w:rsid w:val="009A6793"/>
    <w:rsid w:val="009A7E36"/>
    <w:rsid w:val="009C4DB7"/>
    <w:rsid w:val="009D15DA"/>
    <w:rsid w:val="009D5648"/>
    <w:rsid w:val="009D7074"/>
    <w:rsid w:val="009E6153"/>
    <w:rsid w:val="009F0494"/>
    <w:rsid w:val="00A003FE"/>
    <w:rsid w:val="00A03495"/>
    <w:rsid w:val="00A05DE7"/>
    <w:rsid w:val="00A15CBC"/>
    <w:rsid w:val="00A17B9C"/>
    <w:rsid w:val="00A24B92"/>
    <w:rsid w:val="00A25922"/>
    <w:rsid w:val="00A260FA"/>
    <w:rsid w:val="00A26D6C"/>
    <w:rsid w:val="00A40391"/>
    <w:rsid w:val="00A415D5"/>
    <w:rsid w:val="00A4315B"/>
    <w:rsid w:val="00A514D7"/>
    <w:rsid w:val="00A52C16"/>
    <w:rsid w:val="00A55235"/>
    <w:rsid w:val="00A64439"/>
    <w:rsid w:val="00A712CB"/>
    <w:rsid w:val="00A81983"/>
    <w:rsid w:val="00A81E72"/>
    <w:rsid w:val="00A8354D"/>
    <w:rsid w:val="00A87039"/>
    <w:rsid w:val="00A928F8"/>
    <w:rsid w:val="00A94543"/>
    <w:rsid w:val="00A9599B"/>
    <w:rsid w:val="00AA40F4"/>
    <w:rsid w:val="00AA42F8"/>
    <w:rsid w:val="00AB06D0"/>
    <w:rsid w:val="00AB0F10"/>
    <w:rsid w:val="00AC1A3A"/>
    <w:rsid w:val="00AC1C62"/>
    <w:rsid w:val="00AC67AC"/>
    <w:rsid w:val="00AC701C"/>
    <w:rsid w:val="00AD3674"/>
    <w:rsid w:val="00AE0A71"/>
    <w:rsid w:val="00AE7292"/>
    <w:rsid w:val="00AF0346"/>
    <w:rsid w:val="00AF1CB4"/>
    <w:rsid w:val="00AF35B9"/>
    <w:rsid w:val="00AF57E1"/>
    <w:rsid w:val="00B020AD"/>
    <w:rsid w:val="00B0502A"/>
    <w:rsid w:val="00B11EA5"/>
    <w:rsid w:val="00B20342"/>
    <w:rsid w:val="00B21546"/>
    <w:rsid w:val="00B30713"/>
    <w:rsid w:val="00B30B3F"/>
    <w:rsid w:val="00B317A5"/>
    <w:rsid w:val="00B351BA"/>
    <w:rsid w:val="00B363EF"/>
    <w:rsid w:val="00B42647"/>
    <w:rsid w:val="00B43A0B"/>
    <w:rsid w:val="00B5568E"/>
    <w:rsid w:val="00B57AA1"/>
    <w:rsid w:val="00B62637"/>
    <w:rsid w:val="00B67A48"/>
    <w:rsid w:val="00B7219F"/>
    <w:rsid w:val="00B86CD8"/>
    <w:rsid w:val="00B942D4"/>
    <w:rsid w:val="00B97B4A"/>
    <w:rsid w:val="00BA69CD"/>
    <w:rsid w:val="00BB1906"/>
    <w:rsid w:val="00BB5E6A"/>
    <w:rsid w:val="00BC5AEF"/>
    <w:rsid w:val="00BC7B24"/>
    <w:rsid w:val="00BE023B"/>
    <w:rsid w:val="00BE30DB"/>
    <w:rsid w:val="00BF02FD"/>
    <w:rsid w:val="00BF2435"/>
    <w:rsid w:val="00C00650"/>
    <w:rsid w:val="00C019CA"/>
    <w:rsid w:val="00C035A6"/>
    <w:rsid w:val="00C15112"/>
    <w:rsid w:val="00C32EE4"/>
    <w:rsid w:val="00C40E91"/>
    <w:rsid w:val="00C55569"/>
    <w:rsid w:val="00C6355E"/>
    <w:rsid w:val="00C73EDC"/>
    <w:rsid w:val="00C81178"/>
    <w:rsid w:val="00C82FF2"/>
    <w:rsid w:val="00C87653"/>
    <w:rsid w:val="00C953C3"/>
    <w:rsid w:val="00CB477B"/>
    <w:rsid w:val="00CB61F4"/>
    <w:rsid w:val="00CB6F65"/>
    <w:rsid w:val="00CC04DA"/>
    <w:rsid w:val="00CC2CBA"/>
    <w:rsid w:val="00CC2FE3"/>
    <w:rsid w:val="00CC3AA1"/>
    <w:rsid w:val="00CC4903"/>
    <w:rsid w:val="00CC597C"/>
    <w:rsid w:val="00CD3191"/>
    <w:rsid w:val="00CD6A00"/>
    <w:rsid w:val="00CD7E76"/>
    <w:rsid w:val="00CE2973"/>
    <w:rsid w:val="00CE4784"/>
    <w:rsid w:val="00CE6B5F"/>
    <w:rsid w:val="00CE7290"/>
    <w:rsid w:val="00CE7AE7"/>
    <w:rsid w:val="00CF5D40"/>
    <w:rsid w:val="00CF70FB"/>
    <w:rsid w:val="00CF7923"/>
    <w:rsid w:val="00D01328"/>
    <w:rsid w:val="00D01713"/>
    <w:rsid w:val="00D15732"/>
    <w:rsid w:val="00D2173C"/>
    <w:rsid w:val="00D25467"/>
    <w:rsid w:val="00D353F5"/>
    <w:rsid w:val="00D46F5F"/>
    <w:rsid w:val="00D50484"/>
    <w:rsid w:val="00D536FE"/>
    <w:rsid w:val="00D53A91"/>
    <w:rsid w:val="00D870C1"/>
    <w:rsid w:val="00DA78AA"/>
    <w:rsid w:val="00DB1A71"/>
    <w:rsid w:val="00DB1E3C"/>
    <w:rsid w:val="00DB23C7"/>
    <w:rsid w:val="00DB7467"/>
    <w:rsid w:val="00DC094E"/>
    <w:rsid w:val="00DC7C74"/>
    <w:rsid w:val="00DC7EF5"/>
    <w:rsid w:val="00DD4681"/>
    <w:rsid w:val="00DE5E86"/>
    <w:rsid w:val="00DE6DDA"/>
    <w:rsid w:val="00DF240B"/>
    <w:rsid w:val="00DF484F"/>
    <w:rsid w:val="00DF5209"/>
    <w:rsid w:val="00DF68E1"/>
    <w:rsid w:val="00E00B05"/>
    <w:rsid w:val="00E01367"/>
    <w:rsid w:val="00E10EEA"/>
    <w:rsid w:val="00E11F1D"/>
    <w:rsid w:val="00E20C47"/>
    <w:rsid w:val="00E31F8E"/>
    <w:rsid w:val="00E33D7C"/>
    <w:rsid w:val="00E34962"/>
    <w:rsid w:val="00E36B36"/>
    <w:rsid w:val="00E4558F"/>
    <w:rsid w:val="00E47138"/>
    <w:rsid w:val="00E60520"/>
    <w:rsid w:val="00E66FC8"/>
    <w:rsid w:val="00E717EC"/>
    <w:rsid w:val="00E721DD"/>
    <w:rsid w:val="00E73F7C"/>
    <w:rsid w:val="00E7586C"/>
    <w:rsid w:val="00E82E09"/>
    <w:rsid w:val="00E91814"/>
    <w:rsid w:val="00EA1CC1"/>
    <w:rsid w:val="00EA4365"/>
    <w:rsid w:val="00EB4D43"/>
    <w:rsid w:val="00EC2007"/>
    <w:rsid w:val="00EC2384"/>
    <w:rsid w:val="00EC2C85"/>
    <w:rsid w:val="00EC3015"/>
    <w:rsid w:val="00ED662A"/>
    <w:rsid w:val="00ED7288"/>
    <w:rsid w:val="00EF15DF"/>
    <w:rsid w:val="00EF1DAA"/>
    <w:rsid w:val="00EF3605"/>
    <w:rsid w:val="00EF4B91"/>
    <w:rsid w:val="00F0229A"/>
    <w:rsid w:val="00F05654"/>
    <w:rsid w:val="00F1074E"/>
    <w:rsid w:val="00F11D9E"/>
    <w:rsid w:val="00F16826"/>
    <w:rsid w:val="00F22CD6"/>
    <w:rsid w:val="00F22E28"/>
    <w:rsid w:val="00F31239"/>
    <w:rsid w:val="00F479F4"/>
    <w:rsid w:val="00F52013"/>
    <w:rsid w:val="00F60C18"/>
    <w:rsid w:val="00F64C49"/>
    <w:rsid w:val="00F67C23"/>
    <w:rsid w:val="00F84D67"/>
    <w:rsid w:val="00F90DBC"/>
    <w:rsid w:val="00F973EC"/>
    <w:rsid w:val="00FA448F"/>
    <w:rsid w:val="00FB20C0"/>
    <w:rsid w:val="00FB2FED"/>
    <w:rsid w:val="00FC14F2"/>
    <w:rsid w:val="00FC238D"/>
    <w:rsid w:val="00FD08D0"/>
    <w:rsid w:val="00FD1E35"/>
    <w:rsid w:val="00FD25C0"/>
    <w:rsid w:val="00FD29E1"/>
    <w:rsid w:val="00FD6E1D"/>
    <w:rsid w:val="00FE08EC"/>
    <w:rsid w:val="00FE40A4"/>
    <w:rsid w:val="00FF029B"/>
    <w:rsid w:val="00FF1090"/>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D684F6B"/>
  <w15:docId w15:val="{D724B528-7522-494E-9961-00BC17D4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uiPriority="1"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0C1"/>
    <w:pPr>
      <w:spacing w:after="240"/>
      <w:jc w:val="both"/>
    </w:pPr>
    <w:rPr>
      <w:sz w:val="24"/>
      <w:lang w:val="en-GB"/>
    </w:rPr>
  </w:style>
  <w:style w:type="paragraph" w:styleId="Heading1">
    <w:name w:val="heading 1"/>
    <w:basedOn w:val="Normal"/>
    <w:next w:val="Normal"/>
    <w:rsid w:val="00244711"/>
    <w:pPr>
      <w:keepNext/>
      <w:spacing w:before="360" w:line="280" w:lineRule="exact"/>
      <w:outlineLvl w:val="0"/>
    </w:pPr>
    <w:rPr>
      <w:b/>
      <w:caps/>
      <w:kern w:val="28"/>
      <w:sz w:val="28"/>
    </w:rPr>
  </w:style>
  <w:style w:type="paragraph" w:styleId="Heading2">
    <w:name w:val="heading 2"/>
    <w:basedOn w:val="Normal"/>
    <w:next w:val="Normal"/>
    <w:link w:val="Heading2Char"/>
    <w:uiPriority w:val="1"/>
    <w:qFormat/>
    <w:rsid w:val="00244711"/>
    <w:pPr>
      <w:keepNext/>
      <w:spacing w:before="240" w:after="120" w:line="280" w:lineRule="exact"/>
      <w:outlineLvl w:val="1"/>
    </w:pPr>
    <w:rPr>
      <w:b/>
    </w:rPr>
  </w:style>
  <w:style w:type="paragraph" w:styleId="Heading3">
    <w:name w:val="heading 3"/>
    <w:basedOn w:val="Normal"/>
    <w:next w:val="Normal"/>
    <w:link w:val="Heading3Char"/>
    <w:uiPriority w:val="9"/>
    <w:qFormat/>
    <w:rsid w:val="00244711"/>
    <w:pPr>
      <w:keepNext/>
      <w:spacing w:before="120" w:after="120"/>
      <w:outlineLvl w:val="2"/>
    </w:pPr>
    <w:rPr>
      <w:b/>
      <w:i/>
      <w:iCs/>
    </w:rPr>
  </w:style>
  <w:style w:type="paragraph" w:styleId="Heading4">
    <w:name w:val="heading 4"/>
    <w:basedOn w:val="Normal"/>
    <w:next w:val="Normal"/>
    <w:link w:val="Heading4Char"/>
    <w:uiPriority w:val="9"/>
    <w:qFormat/>
    <w:rsid w:val="00244711"/>
    <w:pPr>
      <w:keepNext/>
      <w:outlineLvl w:val="3"/>
    </w:pPr>
    <w:rPr>
      <w:i/>
      <w:iCs/>
    </w:rPr>
  </w:style>
  <w:style w:type="paragraph" w:styleId="Heading5">
    <w:name w:val="heading 5"/>
    <w:basedOn w:val="Normal"/>
    <w:next w:val="Normal"/>
    <w:rsid w:val="00244711"/>
    <w:pPr>
      <w:spacing w:before="240" w:after="60"/>
      <w:outlineLvl w:val="4"/>
    </w:pPr>
    <w:rPr>
      <w:b/>
      <w:bCs/>
      <w:i/>
      <w:iCs/>
      <w:sz w:val="26"/>
      <w:szCs w:val="26"/>
    </w:rPr>
  </w:style>
  <w:style w:type="paragraph" w:styleId="Heading6">
    <w:name w:val="heading 6"/>
    <w:basedOn w:val="Normal"/>
    <w:next w:val="Normal"/>
    <w:rsid w:val="00945BCB"/>
    <w:pPr>
      <w:keepNext/>
      <w:outlineLvl w:val="5"/>
    </w:pPr>
    <w:rPr>
      <w:rFonts w:ascii="Times" w:hAnsi="Times"/>
      <w:b/>
      <w:color w:val="3366FF"/>
      <w:sz w:val="22"/>
      <w:u w:val="double"/>
    </w:rPr>
  </w:style>
  <w:style w:type="paragraph" w:styleId="Heading7">
    <w:name w:val="heading 7"/>
    <w:basedOn w:val="Normal"/>
    <w:next w:val="Normal"/>
    <w:rsid w:val="00945BCB"/>
    <w:pPr>
      <w:keepNext/>
      <w:outlineLvl w:val="6"/>
    </w:pPr>
    <w:rPr>
      <w:rFonts w:ascii="Times" w:hAnsi="Times"/>
      <w:bCs/>
      <w:color w:val="3366FF"/>
      <w:sz w:val="22"/>
      <w:u w:val="double"/>
    </w:rPr>
  </w:style>
  <w:style w:type="paragraph" w:styleId="Heading8">
    <w:name w:val="heading 8"/>
    <w:basedOn w:val="Normal"/>
    <w:next w:val="Normal"/>
    <w:rsid w:val="00945BCB"/>
    <w:pPr>
      <w:keepNext/>
      <w:outlineLvl w:val="7"/>
    </w:pPr>
    <w:rPr>
      <w:b/>
      <w:sz w:val="22"/>
    </w:rPr>
  </w:style>
  <w:style w:type="paragraph" w:styleId="Heading9">
    <w:name w:val="heading 9"/>
    <w:basedOn w:val="Normal"/>
    <w:next w:val="Normal"/>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534AF6"/>
    <w:pPr>
      <w:numPr>
        <w:numId w:val="23"/>
      </w:numPr>
      <w:spacing w:before="20" w:after="20"/>
    </w:pPr>
    <w:rPr>
      <w:color w:val="7030A0"/>
    </w:rPr>
  </w:style>
  <w:style w:type="paragraph" w:customStyle="1" w:styleId="Figure">
    <w:name w:val="Figure"/>
    <w:basedOn w:val="Normal"/>
    <w:next w:val="Normal"/>
    <w:semiHidden/>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1D73D4"/>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4"/>
      </w:numPr>
    </w:pPr>
  </w:style>
  <w:style w:type="character" w:customStyle="1" w:styleId="Heading4Char">
    <w:name w:val="Heading 4 Char"/>
    <w:link w:val="Heading4"/>
    <w:uiPriority w:val="9"/>
    <w:rsid w:val="00EB4D43"/>
    <w:rPr>
      <w:i/>
      <w:iCs/>
      <w:sz w:val="24"/>
      <w:lang w:val="en-GB"/>
    </w:rPr>
  </w:style>
  <w:style w:type="paragraph" w:customStyle="1" w:styleId="FigureFootnote">
    <w:name w:val="Figure Footnote"/>
    <w:basedOn w:val="Normal"/>
    <w:next w:val="Normal"/>
    <w:semiHidden/>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basedOn w:val="Normal"/>
    <w:link w:val="CommentTextChar"/>
    <w:rsid w:val="00D01713"/>
    <w:rPr>
      <w:sz w:val="20"/>
    </w:rPr>
  </w:style>
  <w:style w:type="character" w:customStyle="1" w:styleId="CommentTextChar">
    <w:name w:val="Comment Text Char"/>
    <w:basedOn w:val="DefaultParagraphFont"/>
    <w:link w:val="CommentText"/>
    <w:rsid w:val="00D01713"/>
    <w:rPr>
      <w:lang w:val="en-GB"/>
    </w:rPr>
  </w:style>
  <w:style w:type="paragraph" w:styleId="CommentSubject">
    <w:name w:val="annotation subject"/>
    <w:basedOn w:val="CommentText"/>
    <w:next w:val="CommentText"/>
    <w:link w:val="CommentSubjectChar"/>
    <w:rsid w:val="00D01713"/>
    <w:rPr>
      <w:b/>
      <w:bCs/>
    </w:rPr>
  </w:style>
  <w:style w:type="character" w:customStyle="1" w:styleId="CommentSubjectChar">
    <w:name w:val="Comment Subject Char"/>
    <w:basedOn w:val="CommentTextChar"/>
    <w:link w:val="CommentSubject"/>
    <w:rsid w:val="00D01713"/>
    <w:rPr>
      <w:b/>
      <w:bCs/>
      <w:lang w:val="en-GB"/>
    </w:rPr>
  </w:style>
  <w:style w:type="character" w:styleId="Hyperlink">
    <w:name w:val="Hyperlink"/>
    <w:basedOn w:val="DefaultParagraphFont"/>
    <w:uiPriority w:val="99"/>
    <w:rsid w:val="00BF02FD"/>
    <w:rPr>
      <w:color w:val="0000FF" w:themeColor="hyperlink"/>
      <w:u w:val="single"/>
    </w:rPr>
  </w:style>
  <w:style w:type="character" w:styleId="FollowedHyperlink">
    <w:name w:val="FollowedHyperlink"/>
    <w:basedOn w:val="DefaultParagraphFont"/>
    <w:rsid w:val="00FD6E1D"/>
    <w:rPr>
      <w:color w:val="800080" w:themeColor="followedHyperlink"/>
      <w:u w:val="single"/>
    </w:rPr>
  </w:style>
  <w:style w:type="paragraph" w:styleId="BalloonText">
    <w:name w:val="Balloon Text"/>
    <w:basedOn w:val="Normal"/>
    <w:link w:val="BalloonTextChar"/>
    <w:rsid w:val="00643055"/>
    <w:pPr>
      <w:spacing w:after="0"/>
    </w:pPr>
    <w:rPr>
      <w:rFonts w:ascii="Tahoma" w:hAnsi="Tahoma" w:cs="Tahoma"/>
      <w:sz w:val="16"/>
      <w:szCs w:val="16"/>
    </w:rPr>
  </w:style>
  <w:style w:type="character" w:customStyle="1" w:styleId="BalloonTextChar">
    <w:name w:val="Balloon Text Char"/>
    <w:basedOn w:val="DefaultParagraphFont"/>
    <w:link w:val="BalloonText"/>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030516"/>
    <w:pPr>
      <w:tabs>
        <w:tab w:val="center" w:pos="4513"/>
        <w:tab w:val="right" w:pos="9026"/>
      </w:tabs>
      <w:spacing w:after="0"/>
    </w:pPr>
  </w:style>
  <w:style w:type="character" w:customStyle="1" w:styleId="HeaderChar">
    <w:name w:val="Header Char"/>
    <w:basedOn w:val="DefaultParagraphFont"/>
    <w:link w:val="Header"/>
    <w:rsid w:val="00030516"/>
    <w:rPr>
      <w:sz w:val="24"/>
      <w:lang w:val="en-GB"/>
    </w:rPr>
  </w:style>
  <w:style w:type="paragraph" w:styleId="ListParagraph">
    <w:name w:val="List Paragraph"/>
    <w:basedOn w:val="Normal"/>
    <w:uiPriority w:val="99"/>
    <w:qFormat/>
    <w:rsid w:val="009330C4"/>
    <w:pPr>
      <w:numPr>
        <w:numId w:val="30"/>
      </w:numPr>
      <w:spacing w:after="200" w:line="276" w:lineRule="auto"/>
      <w:contextualSpacing/>
      <w:jc w:val="left"/>
    </w:pPr>
    <w:rPr>
      <w:rFonts w:eastAsiaTheme="minorHAnsi"/>
      <w:szCs w:val="24"/>
      <w:lang w:val="en"/>
    </w:rPr>
  </w:style>
  <w:style w:type="paragraph" w:styleId="Caption">
    <w:name w:val="caption"/>
    <w:basedOn w:val="Normal"/>
    <w:next w:val="Normal"/>
    <w:uiPriority w:val="35"/>
    <w:unhideWhenUsed/>
    <w:qFormat/>
    <w:rsid w:val="009330C4"/>
    <w:pPr>
      <w:keepNext/>
      <w:spacing w:after="200"/>
      <w:jc w:val="left"/>
    </w:pPr>
    <w:rPr>
      <w:rFonts w:eastAsiaTheme="minorHAnsi"/>
      <w:b/>
      <w:iCs/>
      <w:szCs w:val="18"/>
      <w:lang w:val="en"/>
    </w:rPr>
  </w:style>
  <w:style w:type="character" w:customStyle="1" w:styleId="Heading3Char">
    <w:name w:val="Heading 3 Char"/>
    <w:basedOn w:val="DefaultParagraphFont"/>
    <w:link w:val="Heading3"/>
    <w:uiPriority w:val="9"/>
    <w:rsid w:val="00C953C3"/>
    <w:rPr>
      <w:b/>
      <w:i/>
      <w:iCs/>
      <w:sz w:val="24"/>
      <w:lang w:val="en-GB"/>
    </w:rPr>
  </w:style>
  <w:style w:type="paragraph" w:customStyle="1" w:styleId="TableParagraph">
    <w:name w:val="Table Paragraph"/>
    <w:basedOn w:val="Normal"/>
    <w:uiPriority w:val="1"/>
    <w:qFormat/>
    <w:rsid w:val="002C4B66"/>
    <w:pPr>
      <w:widowControl w:val="0"/>
      <w:autoSpaceDE w:val="0"/>
      <w:autoSpaceDN w:val="0"/>
      <w:spacing w:after="0" w:line="210" w:lineRule="exact"/>
      <w:ind w:left="465"/>
      <w:jc w:val="center"/>
    </w:pPr>
    <w:rPr>
      <w:sz w:val="22"/>
      <w:szCs w:val="22"/>
      <w:lang w:val="en-US"/>
    </w:rPr>
  </w:style>
  <w:style w:type="paragraph" w:styleId="Bibliography">
    <w:name w:val="Bibliography"/>
    <w:basedOn w:val="Normal"/>
    <w:next w:val="Normal"/>
    <w:uiPriority w:val="37"/>
    <w:semiHidden/>
    <w:unhideWhenUsed/>
    <w:rsid w:val="005A1080"/>
  </w:style>
  <w:style w:type="paragraph" w:styleId="BlockText">
    <w:name w:val="Block Text"/>
    <w:basedOn w:val="Normal"/>
    <w:semiHidden/>
    <w:unhideWhenUsed/>
    <w:rsid w:val="005A108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A1080"/>
    <w:pPr>
      <w:spacing w:after="120"/>
    </w:pPr>
  </w:style>
  <w:style w:type="character" w:customStyle="1" w:styleId="BodyTextChar">
    <w:name w:val="Body Text Char"/>
    <w:basedOn w:val="DefaultParagraphFont"/>
    <w:link w:val="BodyText"/>
    <w:semiHidden/>
    <w:rsid w:val="005A1080"/>
    <w:rPr>
      <w:sz w:val="24"/>
      <w:lang w:val="en-GB"/>
    </w:rPr>
  </w:style>
  <w:style w:type="paragraph" w:styleId="BodyText2">
    <w:name w:val="Body Text 2"/>
    <w:basedOn w:val="Normal"/>
    <w:link w:val="BodyText2Char"/>
    <w:semiHidden/>
    <w:unhideWhenUsed/>
    <w:rsid w:val="005A1080"/>
    <w:pPr>
      <w:spacing w:after="120" w:line="480" w:lineRule="auto"/>
    </w:pPr>
  </w:style>
  <w:style w:type="character" w:customStyle="1" w:styleId="BodyText2Char">
    <w:name w:val="Body Text 2 Char"/>
    <w:basedOn w:val="DefaultParagraphFont"/>
    <w:link w:val="BodyText2"/>
    <w:semiHidden/>
    <w:rsid w:val="005A1080"/>
    <w:rPr>
      <w:sz w:val="24"/>
      <w:lang w:val="en-GB"/>
    </w:rPr>
  </w:style>
  <w:style w:type="paragraph" w:styleId="BodyText3">
    <w:name w:val="Body Text 3"/>
    <w:basedOn w:val="Normal"/>
    <w:link w:val="BodyText3Char"/>
    <w:semiHidden/>
    <w:unhideWhenUsed/>
    <w:rsid w:val="005A1080"/>
    <w:pPr>
      <w:spacing w:after="120"/>
    </w:pPr>
    <w:rPr>
      <w:sz w:val="16"/>
      <w:szCs w:val="16"/>
    </w:rPr>
  </w:style>
  <w:style w:type="character" w:customStyle="1" w:styleId="BodyText3Char">
    <w:name w:val="Body Text 3 Char"/>
    <w:basedOn w:val="DefaultParagraphFont"/>
    <w:link w:val="BodyText3"/>
    <w:semiHidden/>
    <w:rsid w:val="005A1080"/>
    <w:rPr>
      <w:sz w:val="16"/>
      <w:szCs w:val="16"/>
      <w:lang w:val="en-GB"/>
    </w:rPr>
  </w:style>
  <w:style w:type="paragraph" w:styleId="BodyTextFirstIndent">
    <w:name w:val="Body Text First Indent"/>
    <w:basedOn w:val="BodyText"/>
    <w:link w:val="BodyTextFirstIndentChar"/>
    <w:rsid w:val="005A1080"/>
    <w:pPr>
      <w:spacing w:after="240"/>
      <w:ind w:firstLine="360"/>
    </w:pPr>
  </w:style>
  <w:style w:type="character" w:customStyle="1" w:styleId="BodyTextFirstIndentChar">
    <w:name w:val="Body Text First Indent Char"/>
    <w:basedOn w:val="BodyTextChar"/>
    <w:link w:val="BodyTextFirstIndent"/>
    <w:rsid w:val="005A1080"/>
    <w:rPr>
      <w:sz w:val="24"/>
      <w:lang w:val="en-GB"/>
    </w:rPr>
  </w:style>
  <w:style w:type="paragraph" w:styleId="BodyTextIndent">
    <w:name w:val="Body Text Indent"/>
    <w:basedOn w:val="Normal"/>
    <w:link w:val="BodyTextIndentChar"/>
    <w:semiHidden/>
    <w:unhideWhenUsed/>
    <w:rsid w:val="005A1080"/>
    <w:pPr>
      <w:spacing w:after="120"/>
      <w:ind w:left="283"/>
    </w:pPr>
  </w:style>
  <w:style w:type="character" w:customStyle="1" w:styleId="BodyTextIndentChar">
    <w:name w:val="Body Text Indent Char"/>
    <w:basedOn w:val="DefaultParagraphFont"/>
    <w:link w:val="BodyTextIndent"/>
    <w:semiHidden/>
    <w:rsid w:val="005A1080"/>
    <w:rPr>
      <w:sz w:val="24"/>
      <w:lang w:val="en-GB"/>
    </w:rPr>
  </w:style>
  <w:style w:type="paragraph" w:styleId="BodyTextFirstIndent2">
    <w:name w:val="Body Text First Indent 2"/>
    <w:basedOn w:val="BodyTextIndent"/>
    <w:link w:val="BodyTextFirstIndent2Char"/>
    <w:semiHidden/>
    <w:unhideWhenUsed/>
    <w:rsid w:val="005A1080"/>
    <w:pPr>
      <w:spacing w:after="240"/>
      <w:ind w:left="360" w:firstLine="360"/>
    </w:pPr>
  </w:style>
  <w:style w:type="character" w:customStyle="1" w:styleId="BodyTextFirstIndent2Char">
    <w:name w:val="Body Text First Indent 2 Char"/>
    <w:basedOn w:val="BodyTextIndentChar"/>
    <w:link w:val="BodyTextFirstIndent2"/>
    <w:semiHidden/>
    <w:rsid w:val="005A1080"/>
    <w:rPr>
      <w:sz w:val="24"/>
      <w:lang w:val="en-GB"/>
    </w:rPr>
  </w:style>
  <w:style w:type="paragraph" w:styleId="BodyTextIndent2">
    <w:name w:val="Body Text Indent 2"/>
    <w:basedOn w:val="Normal"/>
    <w:link w:val="BodyTextIndent2Char"/>
    <w:semiHidden/>
    <w:unhideWhenUsed/>
    <w:rsid w:val="005A1080"/>
    <w:pPr>
      <w:spacing w:after="120" w:line="480" w:lineRule="auto"/>
      <w:ind w:left="283"/>
    </w:pPr>
  </w:style>
  <w:style w:type="character" w:customStyle="1" w:styleId="BodyTextIndent2Char">
    <w:name w:val="Body Text Indent 2 Char"/>
    <w:basedOn w:val="DefaultParagraphFont"/>
    <w:link w:val="BodyTextIndent2"/>
    <w:semiHidden/>
    <w:rsid w:val="005A1080"/>
    <w:rPr>
      <w:sz w:val="24"/>
      <w:lang w:val="en-GB"/>
    </w:rPr>
  </w:style>
  <w:style w:type="paragraph" w:styleId="BodyTextIndent3">
    <w:name w:val="Body Text Indent 3"/>
    <w:basedOn w:val="Normal"/>
    <w:link w:val="BodyTextIndent3Char"/>
    <w:semiHidden/>
    <w:unhideWhenUsed/>
    <w:rsid w:val="005A1080"/>
    <w:pPr>
      <w:spacing w:after="120"/>
      <w:ind w:left="283"/>
    </w:pPr>
    <w:rPr>
      <w:sz w:val="16"/>
      <w:szCs w:val="16"/>
    </w:rPr>
  </w:style>
  <w:style w:type="character" w:customStyle="1" w:styleId="BodyTextIndent3Char">
    <w:name w:val="Body Text Indent 3 Char"/>
    <w:basedOn w:val="DefaultParagraphFont"/>
    <w:link w:val="BodyTextIndent3"/>
    <w:semiHidden/>
    <w:rsid w:val="005A1080"/>
    <w:rPr>
      <w:sz w:val="16"/>
      <w:szCs w:val="16"/>
      <w:lang w:val="en-GB"/>
    </w:rPr>
  </w:style>
  <w:style w:type="paragraph" w:styleId="Closing">
    <w:name w:val="Closing"/>
    <w:basedOn w:val="Normal"/>
    <w:link w:val="ClosingChar"/>
    <w:semiHidden/>
    <w:unhideWhenUsed/>
    <w:rsid w:val="005A1080"/>
    <w:pPr>
      <w:spacing w:after="0"/>
      <w:ind w:left="4252"/>
    </w:pPr>
  </w:style>
  <w:style w:type="character" w:customStyle="1" w:styleId="ClosingChar">
    <w:name w:val="Closing Char"/>
    <w:basedOn w:val="DefaultParagraphFont"/>
    <w:link w:val="Closing"/>
    <w:semiHidden/>
    <w:rsid w:val="005A1080"/>
    <w:rPr>
      <w:sz w:val="24"/>
      <w:lang w:val="en-GB"/>
    </w:rPr>
  </w:style>
  <w:style w:type="paragraph" w:styleId="Date">
    <w:name w:val="Date"/>
    <w:basedOn w:val="Normal"/>
    <w:next w:val="Normal"/>
    <w:link w:val="DateChar"/>
    <w:rsid w:val="005A1080"/>
  </w:style>
  <w:style w:type="character" w:customStyle="1" w:styleId="DateChar">
    <w:name w:val="Date Char"/>
    <w:basedOn w:val="DefaultParagraphFont"/>
    <w:link w:val="Date"/>
    <w:rsid w:val="005A1080"/>
    <w:rPr>
      <w:sz w:val="24"/>
      <w:lang w:val="en-GB"/>
    </w:rPr>
  </w:style>
  <w:style w:type="paragraph" w:styleId="DocumentMap">
    <w:name w:val="Document Map"/>
    <w:basedOn w:val="Normal"/>
    <w:link w:val="DocumentMapChar"/>
    <w:semiHidden/>
    <w:unhideWhenUsed/>
    <w:rsid w:val="005A1080"/>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A1080"/>
    <w:rPr>
      <w:rFonts w:ascii="Segoe UI" w:hAnsi="Segoe UI" w:cs="Segoe UI"/>
      <w:sz w:val="16"/>
      <w:szCs w:val="16"/>
      <w:lang w:val="en-GB"/>
    </w:rPr>
  </w:style>
  <w:style w:type="paragraph" w:styleId="E-mailSignature">
    <w:name w:val="E-mail Signature"/>
    <w:basedOn w:val="Normal"/>
    <w:link w:val="E-mailSignatureChar"/>
    <w:semiHidden/>
    <w:unhideWhenUsed/>
    <w:rsid w:val="005A1080"/>
    <w:pPr>
      <w:spacing w:after="0"/>
    </w:pPr>
  </w:style>
  <w:style w:type="character" w:customStyle="1" w:styleId="E-mailSignatureChar">
    <w:name w:val="E-mail Signature Char"/>
    <w:basedOn w:val="DefaultParagraphFont"/>
    <w:link w:val="E-mailSignature"/>
    <w:semiHidden/>
    <w:rsid w:val="005A1080"/>
    <w:rPr>
      <w:sz w:val="24"/>
      <w:lang w:val="en-GB"/>
    </w:rPr>
  </w:style>
  <w:style w:type="paragraph" w:styleId="EndnoteText">
    <w:name w:val="endnote text"/>
    <w:basedOn w:val="Normal"/>
    <w:link w:val="EndnoteTextChar"/>
    <w:semiHidden/>
    <w:unhideWhenUsed/>
    <w:rsid w:val="005A1080"/>
    <w:pPr>
      <w:spacing w:after="0"/>
    </w:pPr>
    <w:rPr>
      <w:sz w:val="20"/>
    </w:rPr>
  </w:style>
  <w:style w:type="character" w:customStyle="1" w:styleId="EndnoteTextChar">
    <w:name w:val="Endnote Text Char"/>
    <w:basedOn w:val="DefaultParagraphFont"/>
    <w:link w:val="EndnoteText"/>
    <w:semiHidden/>
    <w:rsid w:val="005A1080"/>
    <w:rPr>
      <w:lang w:val="en-GB"/>
    </w:rPr>
  </w:style>
  <w:style w:type="paragraph" w:styleId="EnvelopeAddress">
    <w:name w:val="envelope address"/>
    <w:basedOn w:val="Normal"/>
    <w:semiHidden/>
    <w:unhideWhenUsed/>
    <w:rsid w:val="005A1080"/>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5A1080"/>
    <w:pPr>
      <w:spacing w:after="0"/>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5A1080"/>
    <w:pPr>
      <w:spacing w:after="0"/>
    </w:pPr>
    <w:rPr>
      <w:sz w:val="20"/>
    </w:rPr>
  </w:style>
  <w:style w:type="character" w:customStyle="1" w:styleId="FootnoteTextChar">
    <w:name w:val="Footnote Text Char"/>
    <w:basedOn w:val="DefaultParagraphFont"/>
    <w:link w:val="FootnoteText"/>
    <w:semiHidden/>
    <w:rsid w:val="005A1080"/>
    <w:rPr>
      <w:lang w:val="en-GB"/>
    </w:rPr>
  </w:style>
  <w:style w:type="paragraph" w:styleId="HTMLAddress">
    <w:name w:val="HTML Address"/>
    <w:basedOn w:val="Normal"/>
    <w:link w:val="HTMLAddressChar"/>
    <w:semiHidden/>
    <w:unhideWhenUsed/>
    <w:rsid w:val="005A1080"/>
    <w:pPr>
      <w:spacing w:after="0"/>
    </w:pPr>
    <w:rPr>
      <w:i/>
      <w:iCs/>
    </w:rPr>
  </w:style>
  <w:style w:type="character" w:customStyle="1" w:styleId="HTMLAddressChar">
    <w:name w:val="HTML Address Char"/>
    <w:basedOn w:val="DefaultParagraphFont"/>
    <w:link w:val="HTMLAddress"/>
    <w:semiHidden/>
    <w:rsid w:val="005A1080"/>
    <w:rPr>
      <w:i/>
      <w:iCs/>
      <w:sz w:val="24"/>
      <w:lang w:val="en-GB"/>
    </w:rPr>
  </w:style>
  <w:style w:type="paragraph" w:styleId="HTMLPreformatted">
    <w:name w:val="HTML Preformatted"/>
    <w:basedOn w:val="Normal"/>
    <w:link w:val="HTMLPreformattedChar"/>
    <w:semiHidden/>
    <w:unhideWhenUsed/>
    <w:rsid w:val="005A1080"/>
    <w:pPr>
      <w:spacing w:after="0"/>
    </w:pPr>
    <w:rPr>
      <w:rFonts w:ascii="Consolas" w:hAnsi="Consolas"/>
      <w:sz w:val="20"/>
    </w:rPr>
  </w:style>
  <w:style w:type="character" w:customStyle="1" w:styleId="HTMLPreformattedChar">
    <w:name w:val="HTML Preformatted Char"/>
    <w:basedOn w:val="DefaultParagraphFont"/>
    <w:link w:val="HTMLPreformatted"/>
    <w:semiHidden/>
    <w:rsid w:val="005A1080"/>
    <w:rPr>
      <w:rFonts w:ascii="Consolas" w:hAnsi="Consolas"/>
      <w:lang w:val="en-GB"/>
    </w:rPr>
  </w:style>
  <w:style w:type="paragraph" w:styleId="Index1">
    <w:name w:val="index 1"/>
    <w:basedOn w:val="Normal"/>
    <w:next w:val="Normal"/>
    <w:autoRedefine/>
    <w:semiHidden/>
    <w:unhideWhenUsed/>
    <w:rsid w:val="005A1080"/>
    <w:pPr>
      <w:spacing w:after="0"/>
      <w:ind w:left="240" w:hanging="240"/>
    </w:pPr>
  </w:style>
  <w:style w:type="paragraph" w:styleId="Index2">
    <w:name w:val="index 2"/>
    <w:basedOn w:val="Normal"/>
    <w:next w:val="Normal"/>
    <w:autoRedefine/>
    <w:semiHidden/>
    <w:unhideWhenUsed/>
    <w:rsid w:val="005A1080"/>
    <w:pPr>
      <w:spacing w:after="0"/>
      <w:ind w:left="480" w:hanging="240"/>
    </w:pPr>
  </w:style>
  <w:style w:type="paragraph" w:styleId="Index3">
    <w:name w:val="index 3"/>
    <w:basedOn w:val="Normal"/>
    <w:next w:val="Normal"/>
    <w:autoRedefine/>
    <w:semiHidden/>
    <w:unhideWhenUsed/>
    <w:rsid w:val="005A1080"/>
    <w:pPr>
      <w:spacing w:after="0"/>
      <w:ind w:left="720" w:hanging="240"/>
    </w:pPr>
  </w:style>
  <w:style w:type="paragraph" w:styleId="Index4">
    <w:name w:val="index 4"/>
    <w:basedOn w:val="Normal"/>
    <w:next w:val="Normal"/>
    <w:autoRedefine/>
    <w:semiHidden/>
    <w:unhideWhenUsed/>
    <w:rsid w:val="005A1080"/>
    <w:pPr>
      <w:spacing w:after="0"/>
      <w:ind w:left="960" w:hanging="240"/>
    </w:pPr>
  </w:style>
  <w:style w:type="paragraph" w:styleId="Index5">
    <w:name w:val="index 5"/>
    <w:basedOn w:val="Normal"/>
    <w:next w:val="Normal"/>
    <w:autoRedefine/>
    <w:semiHidden/>
    <w:unhideWhenUsed/>
    <w:rsid w:val="005A1080"/>
    <w:pPr>
      <w:spacing w:after="0"/>
      <w:ind w:left="1200" w:hanging="240"/>
    </w:pPr>
  </w:style>
  <w:style w:type="paragraph" w:styleId="Index6">
    <w:name w:val="index 6"/>
    <w:basedOn w:val="Normal"/>
    <w:next w:val="Normal"/>
    <w:autoRedefine/>
    <w:semiHidden/>
    <w:unhideWhenUsed/>
    <w:rsid w:val="005A1080"/>
    <w:pPr>
      <w:spacing w:after="0"/>
      <w:ind w:left="1440" w:hanging="240"/>
    </w:pPr>
  </w:style>
  <w:style w:type="paragraph" w:styleId="Index7">
    <w:name w:val="index 7"/>
    <w:basedOn w:val="Normal"/>
    <w:next w:val="Normal"/>
    <w:autoRedefine/>
    <w:semiHidden/>
    <w:unhideWhenUsed/>
    <w:rsid w:val="005A1080"/>
    <w:pPr>
      <w:spacing w:after="0"/>
      <w:ind w:left="1680" w:hanging="240"/>
    </w:pPr>
  </w:style>
  <w:style w:type="paragraph" w:styleId="Index8">
    <w:name w:val="index 8"/>
    <w:basedOn w:val="Normal"/>
    <w:next w:val="Normal"/>
    <w:autoRedefine/>
    <w:semiHidden/>
    <w:unhideWhenUsed/>
    <w:rsid w:val="005A1080"/>
    <w:pPr>
      <w:spacing w:after="0"/>
      <w:ind w:left="1920" w:hanging="240"/>
    </w:pPr>
  </w:style>
  <w:style w:type="paragraph" w:styleId="Index9">
    <w:name w:val="index 9"/>
    <w:basedOn w:val="Normal"/>
    <w:next w:val="Normal"/>
    <w:autoRedefine/>
    <w:semiHidden/>
    <w:unhideWhenUsed/>
    <w:rsid w:val="005A1080"/>
    <w:pPr>
      <w:spacing w:after="0"/>
      <w:ind w:left="2160" w:hanging="240"/>
    </w:pPr>
  </w:style>
  <w:style w:type="paragraph" w:styleId="IndexHeading">
    <w:name w:val="index heading"/>
    <w:basedOn w:val="Normal"/>
    <w:next w:val="Index1"/>
    <w:semiHidden/>
    <w:unhideWhenUsed/>
    <w:rsid w:val="005A10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A10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A1080"/>
    <w:rPr>
      <w:i/>
      <w:iCs/>
      <w:color w:val="4F81BD" w:themeColor="accent1"/>
      <w:sz w:val="24"/>
      <w:lang w:val="en-GB"/>
    </w:rPr>
  </w:style>
  <w:style w:type="paragraph" w:styleId="List">
    <w:name w:val="List"/>
    <w:basedOn w:val="Normal"/>
    <w:semiHidden/>
    <w:unhideWhenUsed/>
    <w:rsid w:val="005A1080"/>
    <w:pPr>
      <w:ind w:left="283" w:hanging="283"/>
      <w:contextualSpacing/>
    </w:pPr>
  </w:style>
  <w:style w:type="paragraph" w:styleId="List2">
    <w:name w:val="List 2"/>
    <w:basedOn w:val="Normal"/>
    <w:semiHidden/>
    <w:unhideWhenUsed/>
    <w:rsid w:val="005A1080"/>
    <w:pPr>
      <w:ind w:left="566" w:hanging="283"/>
      <w:contextualSpacing/>
    </w:pPr>
  </w:style>
  <w:style w:type="paragraph" w:styleId="List3">
    <w:name w:val="List 3"/>
    <w:basedOn w:val="Normal"/>
    <w:semiHidden/>
    <w:unhideWhenUsed/>
    <w:rsid w:val="005A1080"/>
    <w:pPr>
      <w:ind w:left="849" w:hanging="283"/>
      <w:contextualSpacing/>
    </w:pPr>
  </w:style>
  <w:style w:type="paragraph" w:styleId="List4">
    <w:name w:val="List 4"/>
    <w:basedOn w:val="Normal"/>
    <w:rsid w:val="005A1080"/>
    <w:pPr>
      <w:ind w:left="1132" w:hanging="283"/>
      <w:contextualSpacing/>
    </w:pPr>
  </w:style>
  <w:style w:type="paragraph" w:styleId="List5">
    <w:name w:val="List 5"/>
    <w:basedOn w:val="Normal"/>
    <w:rsid w:val="005A1080"/>
    <w:pPr>
      <w:ind w:left="1415" w:hanging="283"/>
      <w:contextualSpacing/>
    </w:pPr>
  </w:style>
  <w:style w:type="paragraph" w:styleId="ListBullet">
    <w:name w:val="List Bullet"/>
    <w:basedOn w:val="Normal"/>
    <w:semiHidden/>
    <w:unhideWhenUsed/>
    <w:rsid w:val="005A1080"/>
    <w:pPr>
      <w:numPr>
        <w:numId w:val="9"/>
      </w:numPr>
      <w:contextualSpacing/>
    </w:pPr>
  </w:style>
  <w:style w:type="paragraph" w:styleId="ListBullet2">
    <w:name w:val="List Bullet 2"/>
    <w:basedOn w:val="Normal"/>
    <w:semiHidden/>
    <w:unhideWhenUsed/>
    <w:rsid w:val="005A1080"/>
    <w:pPr>
      <w:numPr>
        <w:numId w:val="35"/>
      </w:numPr>
      <w:contextualSpacing/>
    </w:pPr>
  </w:style>
  <w:style w:type="paragraph" w:styleId="ListBullet3">
    <w:name w:val="List Bullet 3"/>
    <w:basedOn w:val="Normal"/>
    <w:semiHidden/>
    <w:unhideWhenUsed/>
    <w:rsid w:val="005A1080"/>
    <w:pPr>
      <w:numPr>
        <w:numId w:val="36"/>
      </w:numPr>
      <w:contextualSpacing/>
    </w:pPr>
  </w:style>
  <w:style w:type="paragraph" w:styleId="ListBullet4">
    <w:name w:val="List Bullet 4"/>
    <w:basedOn w:val="Normal"/>
    <w:semiHidden/>
    <w:unhideWhenUsed/>
    <w:rsid w:val="005A1080"/>
    <w:pPr>
      <w:numPr>
        <w:numId w:val="37"/>
      </w:numPr>
      <w:contextualSpacing/>
    </w:pPr>
  </w:style>
  <w:style w:type="paragraph" w:styleId="ListBullet5">
    <w:name w:val="List Bullet 5"/>
    <w:basedOn w:val="Normal"/>
    <w:semiHidden/>
    <w:unhideWhenUsed/>
    <w:rsid w:val="005A1080"/>
    <w:pPr>
      <w:numPr>
        <w:numId w:val="38"/>
      </w:numPr>
      <w:contextualSpacing/>
    </w:pPr>
  </w:style>
  <w:style w:type="paragraph" w:styleId="ListContinue">
    <w:name w:val="List Continue"/>
    <w:basedOn w:val="Normal"/>
    <w:semiHidden/>
    <w:unhideWhenUsed/>
    <w:rsid w:val="005A1080"/>
    <w:pPr>
      <w:spacing w:after="120"/>
      <w:ind w:left="283"/>
      <w:contextualSpacing/>
    </w:pPr>
  </w:style>
  <w:style w:type="paragraph" w:styleId="ListContinue2">
    <w:name w:val="List Continue 2"/>
    <w:basedOn w:val="Normal"/>
    <w:semiHidden/>
    <w:unhideWhenUsed/>
    <w:rsid w:val="005A1080"/>
    <w:pPr>
      <w:spacing w:after="120"/>
      <w:ind w:left="566"/>
      <w:contextualSpacing/>
    </w:pPr>
  </w:style>
  <w:style w:type="paragraph" w:styleId="ListContinue3">
    <w:name w:val="List Continue 3"/>
    <w:basedOn w:val="Normal"/>
    <w:semiHidden/>
    <w:unhideWhenUsed/>
    <w:rsid w:val="005A1080"/>
    <w:pPr>
      <w:spacing w:after="120"/>
      <w:ind w:left="849"/>
      <w:contextualSpacing/>
    </w:pPr>
  </w:style>
  <w:style w:type="paragraph" w:styleId="ListContinue4">
    <w:name w:val="List Continue 4"/>
    <w:basedOn w:val="Normal"/>
    <w:semiHidden/>
    <w:unhideWhenUsed/>
    <w:rsid w:val="005A1080"/>
    <w:pPr>
      <w:spacing w:after="120"/>
      <w:ind w:left="1132"/>
      <w:contextualSpacing/>
    </w:pPr>
  </w:style>
  <w:style w:type="paragraph" w:styleId="ListContinue5">
    <w:name w:val="List Continue 5"/>
    <w:basedOn w:val="Normal"/>
    <w:semiHidden/>
    <w:unhideWhenUsed/>
    <w:rsid w:val="005A1080"/>
    <w:pPr>
      <w:spacing w:after="120"/>
      <w:ind w:left="1415"/>
      <w:contextualSpacing/>
    </w:pPr>
  </w:style>
  <w:style w:type="paragraph" w:styleId="ListNumber">
    <w:name w:val="List Number"/>
    <w:basedOn w:val="Normal"/>
    <w:rsid w:val="005A1080"/>
    <w:pPr>
      <w:numPr>
        <w:numId w:val="11"/>
      </w:numPr>
      <w:contextualSpacing/>
    </w:pPr>
  </w:style>
  <w:style w:type="paragraph" w:styleId="ListNumber2">
    <w:name w:val="List Number 2"/>
    <w:basedOn w:val="Normal"/>
    <w:semiHidden/>
    <w:unhideWhenUsed/>
    <w:rsid w:val="005A1080"/>
    <w:pPr>
      <w:numPr>
        <w:numId w:val="39"/>
      </w:numPr>
      <w:contextualSpacing/>
    </w:pPr>
  </w:style>
  <w:style w:type="paragraph" w:styleId="ListNumber3">
    <w:name w:val="List Number 3"/>
    <w:basedOn w:val="Normal"/>
    <w:semiHidden/>
    <w:unhideWhenUsed/>
    <w:rsid w:val="005A1080"/>
    <w:pPr>
      <w:numPr>
        <w:numId w:val="40"/>
      </w:numPr>
      <w:contextualSpacing/>
    </w:pPr>
  </w:style>
  <w:style w:type="paragraph" w:styleId="ListNumber4">
    <w:name w:val="List Number 4"/>
    <w:basedOn w:val="Normal"/>
    <w:semiHidden/>
    <w:unhideWhenUsed/>
    <w:rsid w:val="005A1080"/>
    <w:pPr>
      <w:numPr>
        <w:numId w:val="41"/>
      </w:numPr>
      <w:contextualSpacing/>
    </w:pPr>
  </w:style>
  <w:style w:type="paragraph" w:styleId="ListNumber5">
    <w:name w:val="List Number 5"/>
    <w:basedOn w:val="Normal"/>
    <w:semiHidden/>
    <w:unhideWhenUsed/>
    <w:rsid w:val="005A1080"/>
    <w:pPr>
      <w:numPr>
        <w:numId w:val="42"/>
      </w:numPr>
      <w:contextualSpacing/>
    </w:pPr>
  </w:style>
  <w:style w:type="paragraph" w:styleId="MacroText">
    <w:name w:val="macro"/>
    <w:link w:val="MacroTextChar"/>
    <w:semiHidden/>
    <w:unhideWhenUsed/>
    <w:rsid w:val="005A108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rPr>
  </w:style>
  <w:style w:type="character" w:customStyle="1" w:styleId="MacroTextChar">
    <w:name w:val="Macro Text Char"/>
    <w:basedOn w:val="DefaultParagraphFont"/>
    <w:link w:val="MacroText"/>
    <w:semiHidden/>
    <w:rsid w:val="005A1080"/>
    <w:rPr>
      <w:rFonts w:ascii="Consolas" w:hAnsi="Consolas"/>
      <w:lang w:val="en-GB"/>
    </w:rPr>
  </w:style>
  <w:style w:type="paragraph" w:styleId="MessageHeader">
    <w:name w:val="Message Header"/>
    <w:basedOn w:val="Normal"/>
    <w:link w:val="MessageHeaderChar"/>
    <w:semiHidden/>
    <w:unhideWhenUsed/>
    <w:rsid w:val="005A10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5A10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5A1080"/>
    <w:pPr>
      <w:jc w:val="both"/>
    </w:pPr>
    <w:rPr>
      <w:sz w:val="24"/>
      <w:lang w:val="en-GB"/>
    </w:rPr>
  </w:style>
  <w:style w:type="paragraph" w:styleId="NormalWeb">
    <w:name w:val="Normal (Web)"/>
    <w:basedOn w:val="Normal"/>
    <w:semiHidden/>
    <w:unhideWhenUsed/>
    <w:rsid w:val="005A1080"/>
    <w:rPr>
      <w:szCs w:val="24"/>
    </w:rPr>
  </w:style>
  <w:style w:type="paragraph" w:styleId="NormalIndent">
    <w:name w:val="Normal Indent"/>
    <w:basedOn w:val="Normal"/>
    <w:semiHidden/>
    <w:unhideWhenUsed/>
    <w:rsid w:val="005A1080"/>
    <w:pPr>
      <w:ind w:left="720"/>
    </w:pPr>
  </w:style>
  <w:style w:type="paragraph" w:styleId="NoteHeading">
    <w:name w:val="Note Heading"/>
    <w:basedOn w:val="Normal"/>
    <w:next w:val="Normal"/>
    <w:link w:val="NoteHeadingChar"/>
    <w:semiHidden/>
    <w:unhideWhenUsed/>
    <w:rsid w:val="005A1080"/>
    <w:pPr>
      <w:spacing w:after="0"/>
    </w:pPr>
  </w:style>
  <w:style w:type="character" w:customStyle="1" w:styleId="NoteHeadingChar">
    <w:name w:val="Note Heading Char"/>
    <w:basedOn w:val="DefaultParagraphFont"/>
    <w:link w:val="NoteHeading"/>
    <w:semiHidden/>
    <w:rsid w:val="005A1080"/>
    <w:rPr>
      <w:sz w:val="24"/>
      <w:lang w:val="en-GB"/>
    </w:rPr>
  </w:style>
  <w:style w:type="paragraph" w:styleId="PlainText">
    <w:name w:val="Plain Text"/>
    <w:basedOn w:val="Normal"/>
    <w:link w:val="PlainTextChar"/>
    <w:semiHidden/>
    <w:unhideWhenUsed/>
    <w:rsid w:val="005A1080"/>
    <w:pPr>
      <w:spacing w:after="0"/>
    </w:pPr>
    <w:rPr>
      <w:rFonts w:ascii="Consolas" w:hAnsi="Consolas"/>
      <w:sz w:val="21"/>
      <w:szCs w:val="21"/>
    </w:rPr>
  </w:style>
  <w:style w:type="character" w:customStyle="1" w:styleId="PlainTextChar">
    <w:name w:val="Plain Text Char"/>
    <w:basedOn w:val="DefaultParagraphFont"/>
    <w:link w:val="PlainText"/>
    <w:semiHidden/>
    <w:rsid w:val="005A1080"/>
    <w:rPr>
      <w:rFonts w:ascii="Consolas" w:hAnsi="Consolas"/>
      <w:sz w:val="21"/>
      <w:szCs w:val="21"/>
      <w:lang w:val="en-GB"/>
    </w:rPr>
  </w:style>
  <w:style w:type="paragraph" w:styleId="Quote">
    <w:name w:val="Quote"/>
    <w:basedOn w:val="Normal"/>
    <w:next w:val="Normal"/>
    <w:link w:val="QuoteChar"/>
    <w:uiPriority w:val="29"/>
    <w:qFormat/>
    <w:rsid w:val="005A10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1080"/>
    <w:rPr>
      <w:i/>
      <w:iCs/>
      <w:color w:val="404040" w:themeColor="text1" w:themeTint="BF"/>
      <w:sz w:val="24"/>
      <w:lang w:val="en-GB"/>
    </w:rPr>
  </w:style>
  <w:style w:type="paragraph" w:styleId="Salutation">
    <w:name w:val="Salutation"/>
    <w:basedOn w:val="Normal"/>
    <w:next w:val="Normal"/>
    <w:link w:val="SalutationChar"/>
    <w:rsid w:val="005A1080"/>
  </w:style>
  <w:style w:type="character" w:customStyle="1" w:styleId="SalutationChar">
    <w:name w:val="Salutation Char"/>
    <w:basedOn w:val="DefaultParagraphFont"/>
    <w:link w:val="Salutation"/>
    <w:rsid w:val="005A1080"/>
    <w:rPr>
      <w:sz w:val="24"/>
      <w:lang w:val="en-GB"/>
    </w:rPr>
  </w:style>
  <w:style w:type="paragraph" w:styleId="Signature">
    <w:name w:val="Signature"/>
    <w:basedOn w:val="Normal"/>
    <w:link w:val="SignatureChar"/>
    <w:semiHidden/>
    <w:unhideWhenUsed/>
    <w:rsid w:val="005A1080"/>
    <w:pPr>
      <w:spacing w:after="0"/>
      <w:ind w:left="4252"/>
    </w:pPr>
  </w:style>
  <w:style w:type="character" w:customStyle="1" w:styleId="SignatureChar">
    <w:name w:val="Signature Char"/>
    <w:basedOn w:val="DefaultParagraphFont"/>
    <w:link w:val="Signature"/>
    <w:semiHidden/>
    <w:rsid w:val="005A1080"/>
    <w:rPr>
      <w:sz w:val="24"/>
      <w:lang w:val="en-GB"/>
    </w:rPr>
  </w:style>
  <w:style w:type="paragraph" w:styleId="Subtitle">
    <w:name w:val="Subtitle"/>
    <w:basedOn w:val="Normal"/>
    <w:next w:val="Normal"/>
    <w:link w:val="SubtitleChar"/>
    <w:qFormat/>
    <w:rsid w:val="005A10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A10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semiHidden/>
    <w:unhideWhenUsed/>
    <w:rsid w:val="005A1080"/>
    <w:pPr>
      <w:spacing w:after="0"/>
      <w:ind w:left="240" w:hanging="240"/>
    </w:pPr>
  </w:style>
  <w:style w:type="paragraph" w:styleId="TableofFigures">
    <w:name w:val="table of figures"/>
    <w:basedOn w:val="Normal"/>
    <w:next w:val="Normal"/>
    <w:semiHidden/>
    <w:unhideWhenUsed/>
    <w:rsid w:val="005A1080"/>
    <w:pPr>
      <w:spacing w:after="0"/>
    </w:pPr>
  </w:style>
  <w:style w:type="paragraph" w:styleId="Title">
    <w:name w:val="Title"/>
    <w:basedOn w:val="Normal"/>
    <w:next w:val="Normal"/>
    <w:link w:val="TitleChar"/>
    <w:qFormat/>
    <w:rsid w:val="005A10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10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semiHidden/>
    <w:unhideWhenUsed/>
    <w:rsid w:val="005A1080"/>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5A1080"/>
    <w:pPr>
      <w:spacing w:after="100"/>
    </w:pPr>
  </w:style>
  <w:style w:type="paragraph" w:styleId="TOC2">
    <w:name w:val="toc 2"/>
    <w:basedOn w:val="Normal"/>
    <w:next w:val="Normal"/>
    <w:autoRedefine/>
    <w:semiHidden/>
    <w:unhideWhenUsed/>
    <w:rsid w:val="005A1080"/>
    <w:pPr>
      <w:spacing w:after="100"/>
      <w:ind w:left="240"/>
    </w:pPr>
  </w:style>
  <w:style w:type="paragraph" w:styleId="TOC3">
    <w:name w:val="toc 3"/>
    <w:basedOn w:val="Normal"/>
    <w:next w:val="Normal"/>
    <w:autoRedefine/>
    <w:semiHidden/>
    <w:unhideWhenUsed/>
    <w:rsid w:val="005A1080"/>
    <w:pPr>
      <w:spacing w:after="100"/>
      <w:ind w:left="480"/>
    </w:pPr>
  </w:style>
  <w:style w:type="paragraph" w:styleId="TOC4">
    <w:name w:val="toc 4"/>
    <w:basedOn w:val="Normal"/>
    <w:next w:val="Normal"/>
    <w:autoRedefine/>
    <w:semiHidden/>
    <w:unhideWhenUsed/>
    <w:rsid w:val="005A1080"/>
    <w:pPr>
      <w:spacing w:after="100"/>
      <w:ind w:left="720"/>
    </w:pPr>
  </w:style>
  <w:style w:type="paragraph" w:styleId="TOC5">
    <w:name w:val="toc 5"/>
    <w:basedOn w:val="Normal"/>
    <w:next w:val="Normal"/>
    <w:autoRedefine/>
    <w:semiHidden/>
    <w:unhideWhenUsed/>
    <w:rsid w:val="005A1080"/>
    <w:pPr>
      <w:spacing w:after="100"/>
      <w:ind w:left="960"/>
    </w:pPr>
  </w:style>
  <w:style w:type="paragraph" w:styleId="TOC6">
    <w:name w:val="toc 6"/>
    <w:basedOn w:val="Normal"/>
    <w:next w:val="Normal"/>
    <w:autoRedefine/>
    <w:semiHidden/>
    <w:unhideWhenUsed/>
    <w:rsid w:val="005A1080"/>
    <w:pPr>
      <w:spacing w:after="100"/>
      <w:ind w:left="1200"/>
    </w:pPr>
  </w:style>
  <w:style w:type="paragraph" w:styleId="TOC7">
    <w:name w:val="toc 7"/>
    <w:basedOn w:val="Normal"/>
    <w:next w:val="Normal"/>
    <w:autoRedefine/>
    <w:semiHidden/>
    <w:unhideWhenUsed/>
    <w:rsid w:val="005A1080"/>
    <w:pPr>
      <w:spacing w:after="100"/>
      <w:ind w:left="1440"/>
    </w:pPr>
  </w:style>
  <w:style w:type="paragraph" w:styleId="TOC8">
    <w:name w:val="toc 8"/>
    <w:basedOn w:val="Normal"/>
    <w:next w:val="Normal"/>
    <w:autoRedefine/>
    <w:semiHidden/>
    <w:unhideWhenUsed/>
    <w:rsid w:val="005A1080"/>
    <w:pPr>
      <w:spacing w:after="100"/>
      <w:ind w:left="1680"/>
    </w:pPr>
  </w:style>
  <w:style w:type="paragraph" w:styleId="TOC9">
    <w:name w:val="toc 9"/>
    <w:basedOn w:val="Normal"/>
    <w:next w:val="Normal"/>
    <w:autoRedefine/>
    <w:semiHidden/>
    <w:unhideWhenUsed/>
    <w:rsid w:val="005A1080"/>
    <w:pPr>
      <w:spacing w:after="100"/>
      <w:ind w:left="1920"/>
    </w:pPr>
  </w:style>
  <w:style w:type="paragraph" w:styleId="TOCHeading">
    <w:name w:val="TOC Heading"/>
    <w:basedOn w:val="Heading1"/>
    <w:next w:val="Normal"/>
    <w:uiPriority w:val="39"/>
    <w:semiHidden/>
    <w:unhideWhenUsed/>
    <w:qFormat/>
    <w:rsid w:val="005A1080"/>
    <w:pPr>
      <w:keepLines/>
      <w:spacing w:before="240" w:after="0" w:line="240" w:lineRule="auto"/>
      <w:outlineLvl w:val="9"/>
    </w:pPr>
    <w:rPr>
      <w:rFonts w:asciiTheme="majorHAnsi" w:eastAsiaTheme="majorEastAsia" w:hAnsiTheme="majorHAnsi" w:cstheme="majorBidi"/>
      <w:b w:val="0"/>
      <w:caps w:val="0"/>
      <w:color w:val="365F91" w:themeColor="accent1" w:themeShade="BF"/>
      <w:kern w:val="0"/>
      <w:sz w:val="32"/>
      <w:szCs w:val="32"/>
    </w:rPr>
  </w:style>
  <w:style w:type="character" w:customStyle="1" w:styleId="Heading2Char">
    <w:name w:val="Heading 2 Char"/>
    <w:basedOn w:val="DefaultParagraphFont"/>
    <w:link w:val="Heading2"/>
    <w:uiPriority w:val="1"/>
    <w:rsid w:val="004A2938"/>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1352024814">
      <w:bodyDiv w:val="1"/>
      <w:marLeft w:val="0"/>
      <w:marRight w:val="0"/>
      <w:marTop w:val="0"/>
      <w:marBottom w:val="0"/>
      <w:divBdr>
        <w:top w:val="none" w:sz="0" w:space="0" w:color="auto"/>
        <w:left w:val="none" w:sz="0" w:space="0" w:color="auto"/>
        <w:bottom w:val="none" w:sz="0" w:space="0" w:color="auto"/>
        <w:right w:val="none" w:sz="0" w:space="0" w:color="auto"/>
      </w:divBdr>
    </w:div>
    <w:div w:id="1388990468">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fizer.com.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P11\Documents\P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943AA0D36B544B7848D8A7440ECBC" ma:contentTypeVersion="1" ma:contentTypeDescription="Create a new document." ma:contentTypeScope="" ma:versionID="5d14258014e16152000cd21a524a6870">
  <xsd:schema xmlns:xsd="http://www.w3.org/2001/XMLSchema" xmlns:xs="http://www.w3.org/2001/XMLSchema" xmlns:p="http://schemas.microsoft.com/office/2006/metadata/properties" xmlns:ns2="0ff93743-7fc6-41d8-bce7-25e7a24fd47b" targetNamespace="http://schemas.microsoft.com/office/2006/metadata/properties" ma:root="true" ma:fieldsID="2a5d46b639ad32acc0961db284908e7f" ns2:_="">
    <xsd:import namespace="0ff93743-7fc6-41d8-bce7-25e7a24fd47b"/>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93743-7fc6-41d8-bce7-25e7a24fd47b"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0ff93743-7fc6-41d8-bce7-25e7a24fd47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2.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3.xml><?xml version="1.0" encoding="utf-8"?>
<ds:datastoreItem xmlns:ds="http://schemas.openxmlformats.org/officeDocument/2006/customXml" ds:itemID="{9BE6DB27-7D8E-43E8-B9B3-A860174D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93743-7fc6-41d8-bce7-25e7a24f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03078-3F3F-4D2F-B2B5-D5EE4A9F9F67}">
  <ds:schemaRefs>
    <ds:schemaRef ds:uri="http://schemas.microsoft.com/office/2006/metadata/properties"/>
    <ds:schemaRef ds:uri="http://purl.org/dc/terms/"/>
    <ds:schemaRef ds:uri="0ff93743-7fc6-41d8-bce7-25e7a24fd47b"/>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0511359-A21F-46D6-B8E5-6B6A4F7D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 template</Template>
  <TotalTime>9</TotalTime>
  <Pages>29</Pages>
  <Words>7685</Words>
  <Characters>49708</Characters>
  <Application>Microsoft Office Word</Application>
  <DocSecurity>0</DocSecurity>
  <Lines>1308</Lines>
  <Paragraphs>717</Paragraphs>
  <ScaleCrop>false</ScaleCrop>
  <HeadingPairs>
    <vt:vector size="2" baseType="variant">
      <vt:variant>
        <vt:lpstr>Title</vt:lpstr>
      </vt:variant>
      <vt:variant>
        <vt:i4>1</vt:i4>
      </vt:variant>
    </vt:vector>
  </HeadingPairs>
  <TitlesOfParts>
    <vt:vector size="1" baseType="lpstr">
      <vt:lpstr>PI Template</vt:lpstr>
    </vt:vector>
  </TitlesOfParts>
  <Company>Pharmacia &amp; Upjohn</Company>
  <LinksUpToDate>false</LinksUpToDate>
  <CharactersWithSpaces>56676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Isavuconazole (as sulphate)</dc:title>
  <dc:subject>prescription medicines</dc:subject>
  <dc:creator>Carly English</dc:creator>
  <cp:lastPrinted>2019-03-18T05:14:00Z</cp:lastPrinted>
  <dcterms:created xsi:type="dcterms:W3CDTF">2020-01-21T22:44:00Z</dcterms:created>
  <dcterms:modified xsi:type="dcterms:W3CDTF">2020-01-21T22:53:00Z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0x0101003E1943AA0D36B544B7848D8A7440ECBC</vt:lpwstr>
  </property>
</Properties>
</file>