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403A74B" w14:textId="77777777" w:rsidTr="00BF1190">
        <w:trPr>
          <w:trHeight w:val="1863"/>
        </w:trPr>
        <w:tc>
          <w:tcPr>
            <w:tcW w:w="3652" w:type="dxa"/>
            <w:tcBorders>
              <w:top w:val="nil"/>
              <w:left w:val="nil"/>
              <w:bottom w:val="nil"/>
              <w:right w:val="nil"/>
            </w:tcBorders>
          </w:tcPr>
          <w:p w14:paraId="4F9DCE64" w14:textId="15A46F78" w:rsidR="008E7846" w:rsidRPr="00096AA7" w:rsidRDefault="00CB6FA7" w:rsidP="00096AA7">
            <w:pPr>
              <w:rPr>
                <w:rFonts w:ascii="Arial" w:hAnsi="Arial" w:cs="Arial"/>
                <w:b/>
                <w:color w:val="002C47"/>
                <w:sz w:val="36"/>
                <w:szCs w:val="36"/>
              </w:rPr>
            </w:pPr>
            <w:r>
              <w:rPr>
                <w:rFonts w:ascii="Arial" w:hAnsi="Arial" w:cs="Arial"/>
                <w:b/>
                <w:color w:val="002C47"/>
                <w:sz w:val="36"/>
                <w:szCs w:val="36"/>
              </w:rPr>
              <w:t xml:space="preserve">November </w:t>
            </w:r>
            <w:r w:rsidR="00740C6F">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E0696D1" w14:textId="77777777" w:rsidTr="0032583B">
        <w:trPr>
          <w:trHeight w:val="868"/>
        </w:trPr>
        <w:tc>
          <w:tcPr>
            <w:tcW w:w="9079" w:type="dxa"/>
          </w:tcPr>
          <w:p w14:paraId="4B35E7B3" w14:textId="0C2A0A64"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740C6F">
              <w:rPr>
                <w:color w:val="FFFFFF" w:themeColor="background1"/>
              </w:rPr>
              <w:t>I</w:t>
            </w:r>
            <w:r w:rsidR="00740C6F" w:rsidRPr="00740C6F">
              <w:rPr>
                <w:color w:val="FFFFFF" w:themeColor="background1"/>
              </w:rPr>
              <w:t>satuximab</w:t>
            </w:r>
          </w:p>
        </w:tc>
      </w:tr>
      <w:tr w:rsidR="0032583B" w:rsidRPr="00B64760" w14:paraId="33E8E5B6" w14:textId="77777777" w:rsidTr="0032583B">
        <w:tc>
          <w:tcPr>
            <w:tcW w:w="9079" w:type="dxa"/>
          </w:tcPr>
          <w:p w14:paraId="0DD4B322" w14:textId="0EE3157E" w:rsidR="0032583B" w:rsidRPr="008E7846" w:rsidRDefault="0032583B" w:rsidP="00740C6F">
            <w:pPr>
              <w:pStyle w:val="Subtitle"/>
              <w:rPr>
                <w:color w:val="FFFFFF" w:themeColor="background1"/>
              </w:rPr>
            </w:pPr>
            <w:r w:rsidRPr="008E7846">
              <w:rPr>
                <w:color w:val="FFFFFF" w:themeColor="background1"/>
              </w:rPr>
              <w:t xml:space="preserve">Proprietary Product Name: </w:t>
            </w:r>
            <w:r w:rsidR="00740C6F">
              <w:rPr>
                <w:color w:val="FFFFFF" w:themeColor="background1"/>
              </w:rPr>
              <w:t>Sarclisa</w:t>
            </w:r>
          </w:p>
        </w:tc>
      </w:tr>
      <w:tr w:rsidR="0032583B" w:rsidRPr="00B64760" w14:paraId="78C4D5C5" w14:textId="77777777" w:rsidTr="0032583B">
        <w:trPr>
          <w:trHeight w:val="486"/>
        </w:trPr>
        <w:tc>
          <w:tcPr>
            <w:tcW w:w="9079" w:type="dxa"/>
          </w:tcPr>
          <w:p w14:paraId="08C1401A" w14:textId="38BC3606" w:rsidR="0032583B" w:rsidRPr="008E7846" w:rsidRDefault="0032583B" w:rsidP="0032583B">
            <w:pPr>
              <w:pStyle w:val="Subtitle"/>
              <w:rPr>
                <w:color w:val="FFFFFF" w:themeColor="background1"/>
              </w:rPr>
            </w:pPr>
            <w:r w:rsidRPr="008E7846">
              <w:rPr>
                <w:color w:val="FFFFFF" w:themeColor="background1"/>
              </w:rPr>
              <w:t xml:space="preserve">Sponsor: </w:t>
            </w:r>
            <w:r w:rsidR="00D124DD" w:rsidRPr="00167558">
              <w:rPr>
                <w:rFonts w:eastAsiaTheme="minorHAnsi" w:cs="Cambria"/>
                <w:color w:val="FFFFFF" w:themeColor="background1"/>
              </w:rPr>
              <w:t>Sanofi-A</w:t>
            </w:r>
            <w:r w:rsidR="00740C6F" w:rsidRPr="00167558">
              <w:rPr>
                <w:rFonts w:eastAsiaTheme="minorHAnsi" w:cs="Cambria"/>
                <w:color w:val="FFFFFF" w:themeColor="background1"/>
              </w:rPr>
              <w:t xml:space="preserve">ventis </w:t>
            </w:r>
            <w:r w:rsidR="00D124DD" w:rsidRPr="00167558">
              <w:rPr>
                <w:rFonts w:eastAsiaTheme="minorHAnsi" w:cs="Cambria"/>
                <w:color w:val="FFFFFF" w:themeColor="background1"/>
              </w:rPr>
              <w:t xml:space="preserve">Australia </w:t>
            </w:r>
            <w:r w:rsidR="00740C6F" w:rsidRPr="00167558">
              <w:rPr>
                <w:rFonts w:eastAsiaTheme="minorHAnsi" w:cs="Cambria"/>
                <w:color w:val="FFFFFF" w:themeColor="background1"/>
              </w:rPr>
              <w:t>Pty Ltd</w:t>
            </w:r>
          </w:p>
        </w:tc>
      </w:tr>
    </w:tbl>
    <w:p w14:paraId="3249ECD7" w14:textId="77777777" w:rsidR="008E7846" w:rsidRPr="0085156D" w:rsidRDefault="008E7846" w:rsidP="0085156D">
      <w:r w:rsidRPr="0085156D">
        <w:br w:type="page"/>
      </w:r>
    </w:p>
    <w:p w14:paraId="590FBAC3" w14:textId="77777777" w:rsidR="008E7846" w:rsidRPr="001F6CBA" w:rsidRDefault="008E7846" w:rsidP="008E7846">
      <w:pPr>
        <w:pStyle w:val="NonTOCHeading2"/>
      </w:pPr>
      <w:r w:rsidRPr="001F6CBA">
        <w:lastRenderedPageBreak/>
        <w:t>About the Therapeutic Goods Administration (TGA)</w:t>
      </w:r>
    </w:p>
    <w:p w14:paraId="4B7CAFB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96D05E0"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6871D6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88070CD"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2746DFE" w14:textId="11A9C662"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7AC9D7C" w14:textId="77777777" w:rsidR="008E7846" w:rsidRDefault="008E7846" w:rsidP="00875A6B">
      <w:pPr>
        <w:pStyle w:val="NonTOCHeading2"/>
      </w:pPr>
      <w:r>
        <w:t>About AusPARs</w:t>
      </w:r>
    </w:p>
    <w:p w14:paraId="342293C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D8B611B" w14:textId="77777777" w:rsidR="008E7846" w:rsidRDefault="008E7846" w:rsidP="008E7846">
      <w:pPr>
        <w:pStyle w:val="ListBullet"/>
        <w:numPr>
          <w:ilvl w:val="0"/>
          <w:numId w:val="3"/>
        </w:numPr>
        <w:ind w:left="357" w:hanging="357"/>
      </w:pPr>
      <w:r>
        <w:t>AusPARs are prepared and published by the TGA.</w:t>
      </w:r>
    </w:p>
    <w:p w14:paraId="5719044D"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75C6E05A"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999C97D"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BD3B6B9" w14:textId="77777777" w:rsidR="00924482" w:rsidRPr="00DF1D7F" w:rsidRDefault="00924482" w:rsidP="00F54B65">
      <w:pPr>
        <w:pStyle w:val="LegalSubheading"/>
        <w:spacing w:before="3120"/>
      </w:pPr>
      <w:r w:rsidRPr="00DF1D7F">
        <w:t>Copyright</w:t>
      </w:r>
    </w:p>
    <w:p w14:paraId="1415A9C8" w14:textId="392C501B" w:rsidR="00924482" w:rsidRDefault="00924482" w:rsidP="00924482">
      <w:pPr>
        <w:pStyle w:val="LegalCopy"/>
      </w:pPr>
      <w:r w:rsidRPr="00191B3B">
        <w:rPr>
          <w:rFonts w:cs="Arial"/>
          <w:lang w:val="en-GB"/>
        </w:rPr>
        <w:t>© Comm</w:t>
      </w:r>
      <w:r>
        <w:rPr>
          <w:rFonts w:cs="Arial"/>
          <w:lang w:val="en-GB"/>
        </w:rPr>
        <w:t xml:space="preserve">onwealth of Australia </w:t>
      </w:r>
      <w:r w:rsidR="00B870E9">
        <w:rPr>
          <w:rFonts w:cs="Arial"/>
          <w:lang w:val="en-GB"/>
        </w:rPr>
        <w:t>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1E1F1794"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9D84BE7" w14:textId="77777777" w:rsidR="0089635C" w:rsidRPr="0089635C" w:rsidRDefault="0089635C" w:rsidP="0010788A">
          <w:pPr>
            <w:pStyle w:val="Contents"/>
          </w:pPr>
          <w:r w:rsidRPr="0010788A">
            <w:t>Conte</w:t>
          </w:r>
          <w:bookmarkStart w:id="2" w:name="_GoBack"/>
          <w:bookmarkEnd w:id="2"/>
          <w:r w:rsidRPr="0010788A">
            <w:t>nts</w:t>
          </w:r>
        </w:p>
        <w:p w14:paraId="47AE00CD" w14:textId="6E481E4A" w:rsidR="00B069B3"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55918728" w:history="1">
            <w:r w:rsidR="00B069B3" w:rsidRPr="00F31739">
              <w:rPr>
                <w:rStyle w:val="Hyperlink"/>
                <w:noProof/>
              </w:rPr>
              <w:t>Common abbreviations</w:t>
            </w:r>
            <w:r w:rsidR="00B069B3">
              <w:rPr>
                <w:noProof/>
                <w:webHidden/>
              </w:rPr>
              <w:tab/>
            </w:r>
            <w:r w:rsidR="00B069B3">
              <w:rPr>
                <w:noProof/>
                <w:webHidden/>
              </w:rPr>
              <w:fldChar w:fldCharType="begin"/>
            </w:r>
            <w:r w:rsidR="00B069B3">
              <w:rPr>
                <w:noProof/>
                <w:webHidden/>
              </w:rPr>
              <w:instrText xml:space="preserve"> PAGEREF _Toc55918728 \h </w:instrText>
            </w:r>
            <w:r w:rsidR="00B069B3">
              <w:rPr>
                <w:noProof/>
                <w:webHidden/>
              </w:rPr>
            </w:r>
            <w:r w:rsidR="00B069B3">
              <w:rPr>
                <w:noProof/>
                <w:webHidden/>
              </w:rPr>
              <w:fldChar w:fldCharType="separate"/>
            </w:r>
            <w:r w:rsidR="00B069B3">
              <w:rPr>
                <w:noProof/>
                <w:webHidden/>
              </w:rPr>
              <w:t>4</w:t>
            </w:r>
            <w:r w:rsidR="00B069B3">
              <w:rPr>
                <w:noProof/>
                <w:webHidden/>
              </w:rPr>
              <w:fldChar w:fldCharType="end"/>
            </w:r>
          </w:hyperlink>
        </w:p>
        <w:p w14:paraId="79619010" w14:textId="3F139B6E" w:rsidR="00B069B3" w:rsidRDefault="00B069B3">
          <w:pPr>
            <w:pStyle w:val="TOC2"/>
            <w:rPr>
              <w:rFonts w:asciiTheme="minorHAnsi" w:eastAsiaTheme="minorEastAsia" w:hAnsiTheme="minorHAnsi" w:cstheme="minorBidi"/>
              <w:b w:val="0"/>
              <w:noProof/>
              <w:sz w:val="22"/>
              <w:lang w:eastAsia="en-AU"/>
            </w:rPr>
          </w:pPr>
          <w:hyperlink w:anchor="_Toc55918729" w:history="1">
            <w:r w:rsidRPr="00F31739">
              <w:rPr>
                <w:rStyle w:val="Hyperlink"/>
                <w:noProof/>
              </w:rPr>
              <w:t>I. Introduction to product submission</w:t>
            </w:r>
            <w:r>
              <w:rPr>
                <w:noProof/>
                <w:webHidden/>
              </w:rPr>
              <w:tab/>
            </w:r>
            <w:r>
              <w:rPr>
                <w:noProof/>
                <w:webHidden/>
              </w:rPr>
              <w:fldChar w:fldCharType="begin"/>
            </w:r>
            <w:r>
              <w:rPr>
                <w:noProof/>
                <w:webHidden/>
              </w:rPr>
              <w:instrText xml:space="preserve"> PAGEREF _Toc55918729 \h </w:instrText>
            </w:r>
            <w:r>
              <w:rPr>
                <w:noProof/>
                <w:webHidden/>
              </w:rPr>
            </w:r>
            <w:r>
              <w:rPr>
                <w:noProof/>
                <w:webHidden/>
              </w:rPr>
              <w:fldChar w:fldCharType="separate"/>
            </w:r>
            <w:r>
              <w:rPr>
                <w:noProof/>
                <w:webHidden/>
              </w:rPr>
              <w:t>7</w:t>
            </w:r>
            <w:r>
              <w:rPr>
                <w:noProof/>
                <w:webHidden/>
              </w:rPr>
              <w:fldChar w:fldCharType="end"/>
            </w:r>
          </w:hyperlink>
        </w:p>
        <w:p w14:paraId="2EE09C9E" w14:textId="391F8A57" w:rsidR="00B069B3" w:rsidRDefault="00B069B3">
          <w:pPr>
            <w:pStyle w:val="TOC3"/>
            <w:rPr>
              <w:rFonts w:asciiTheme="minorHAnsi" w:eastAsiaTheme="minorEastAsia" w:hAnsiTheme="minorHAnsi" w:cstheme="minorBidi"/>
              <w:noProof/>
              <w:lang w:eastAsia="en-AU"/>
            </w:rPr>
          </w:pPr>
          <w:hyperlink w:anchor="_Toc55918730" w:history="1">
            <w:r w:rsidRPr="00F31739">
              <w:rPr>
                <w:rStyle w:val="Hyperlink"/>
                <w:noProof/>
                <w:lang w:eastAsia="en-AU"/>
              </w:rPr>
              <w:t>Submission details</w:t>
            </w:r>
            <w:r>
              <w:rPr>
                <w:noProof/>
                <w:webHidden/>
              </w:rPr>
              <w:tab/>
            </w:r>
            <w:r>
              <w:rPr>
                <w:noProof/>
                <w:webHidden/>
              </w:rPr>
              <w:fldChar w:fldCharType="begin"/>
            </w:r>
            <w:r>
              <w:rPr>
                <w:noProof/>
                <w:webHidden/>
              </w:rPr>
              <w:instrText xml:space="preserve"> PAGEREF _Toc55918730 \h </w:instrText>
            </w:r>
            <w:r>
              <w:rPr>
                <w:noProof/>
                <w:webHidden/>
              </w:rPr>
            </w:r>
            <w:r>
              <w:rPr>
                <w:noProof/>
                <w:webHidden/>
              </w:rPr>
              <w:fldChar w:fldCharType="separate"/>
            </w:r>
            <w:r>
              <w:rPr>
                <w:noProof/>
                <w:webHidden/>
              </w:rPr>
              <w:t>7</w:t>
            </w:r>
            <w:r>
              <w:rPr>
                <w:noProof/>
                <w:webHidden/>
              </w:rPr>
              <w:fldChar w:fldCharType="end"/>
            </w:r>
          </w:hyperlink>
        </w:p>
        <w:p w14:paraId="79E514F7" w14:textId="08068D56" w:rsidR="00B069B3" w:rsidRDefault="00B069B3">
          <w:pPr>
            <w:pStyle w:val="TOC3"/>
            <w:rPr>
              <w:rFonts w:asciiTheme="minorHAnsi" w:eastAsiaTheme="minorEastAsia" w:hAnsiTheme="minorHAnsi" w:cstheme="minorBidi"/>
              <w:noProof/>
              <w:lang w:eastAsia="en-AU"/>
            </w:rPr>
          </w:pPr>
          <w:hyperlink w:anchor="_Toc55918731" w:history="1">
            <w:r w:rsidRPr="00F31739">
              <w:rPr>
                <w:rStyle w:val="Hyperlink"/>
                <w:noProof/>
              </w:rPr>
              <w:t>Product background</w:t>
            </w:r>
            <w:r>
              <w:rPr>
                <w:noProof/>
                <w:webHidden/>
              </w:rPr>
              <w:tab/>
            </w:r>
            <w:r>
              <w:rPr>
                <w:noProof/>
                <w:webHidden/>
              </w:rPr>
              <w:fldChar w:fldCharType="begin"/>
            </w:r>
            <w:r>
              <w:rPr>
                <w:noProof/>
                <w:webHidden/>
              </w:rPr>
              <w:instrText xml:space="preserve"> PAGEREF _Toc55918731 \h </w:instrText>
            </w:r>
            <w:r>
              <w:rPr>
                <w:noProof/>
                <w:webHidden/>
              </w:rPr>
            </w:r>
            <w:r>
              <w:rPr>
                <w:noProof/>
                <w:webHidden/>
              </w:rPr>
              <w:fldChar w:fldCharType="separate"/>
            </w:r>
            <w:r>
              <w:rPr>
                <w:noProof/>
                <w:webHidden/>
              </w:rPr>
              <w:t>8</w:t>
            </w:r>
            <w:r>
              <w:rPr>
                <w:noProof/>
                <w:webHidden/>
              </w:rPr>
              <w:fldChar w:fldCharType="end"/>
            </w:r>
          </w:hyperlink>
        </w:p>
        <w:p w14:paraId="64623114" w14:textId="751CDFA8" w:rsidR="00B069B3" w:rsidRDefault="00B069B3">
          <w:pPr>
            <w:pStyle w:val="TOC3"/>
            <w:rPr>
              <w:rFonts w:asciiTheme="minorHAnsi" w:eastAsiaTheme="minorEastAsia" w:hAnsiTheme="minorHAnsi" w:cstheme="minorBidi"/>
              <w:noProof/>
              <w:lang w:eastAsia="en-AU"/>
            </w:rPr>
          </w:pPr>
          <w:hyperlink w:anchor="_Toc55918732" w:history="1">
            <w:r w:rsidRPr="00F31739">
              <w:rPr>
                <w:rStyle w:val="Hyperlink"/>
                <w:noProof/>
              </w:rPr>
              <w:t>Regulatory status</w:t>
            </w:r>
            <w:r>
              <w:rPr>
                <w:noProof/>
                <w:webHidden/>
              </w:rPr>
              <w:tab/>
            </w:r>
            <w:r>
              <w:rPr>
                <w:noProof/>
                <w:webHidden/>
              </w:rPr>
              <w:fldChar w:fldCharType="begin"/>
            </w:r>
            <w:r>
              <w:rPr>
                <w:noProof/>
                <w:webHidden/>
              </w:rPr>
              <w:instrText xml:space="preserve"> PAGEREF _Toc55918732 \h </w:instrText>
            </w:r>
            <w:r>
              <w:rPr>
                <w:noProof/>
                <w:webHidden/>
              </w:rPr>
            </w:r>
            <w:r>
              <w:rPr>
                <w:noProof/>
                <w:webHidden/>
              </w:rPr>
              <w:fldChar w:fldCharType="separate"/>
            </w:r>
            <w:r>
              <w:rPr>
                <w:noProof/>
                <w:webHidden/>
              </w:rPr>
              <w:t>10</w:t>
            </w:r>
            <w:r>
              <w:rPr>
                <w:noProof/>
                <w:webHidden/>
              </w:rPr>
              <w:fldChar w:fldCharType="end"/>
            </w:r>
          </w:hyperlink>
        </w:p>
        <w:p w14:paraId="2601B518" w14:textId="0B48F98A" w:rsidR="00B069B3" w:rsidRDefault="00B069B3">
          <w:pPr>
            <w:pStyle w:val="TOC3"/>
            <w:rPr>
              <w:rFonts w:asciiTheme="minorHAnsi" w:eastAsiaTheme="minorEastAsia" w:hAnsiTheme="minorHAnsi" w:cstheme="minorBidi"/>
              <w:noProof/>
              <w:lang w:eastAsia="en-AU"/>
            </w:rPr>
          </w:pPr>
          <w:hyperlink w:anchor="_Toc55918733" w:history="1">
            <w:r w:rsidRPr="00F31739">
              <w:rPr>
                <w:rStyle w:val="Hyperlink"/>
                <w:noProof/>
              </w:rPr>
              <w:t>Product Information</w:t>
            </w:r>
            <w:r>
              <w:rPr>
                <w:noProof/>
                <w:webHidden/>
              </w:rPr>
              <w:tab/>
            </w:r>
            <w:r>
              <w:rPr>
                <w:noProof/>
                <w:webHidden/>
              </w:rPr>
              <w:fldChar w:fldCharType="begin"/>
            </w:r>
            <w:r>
              <w:rPr>
                <w:noProof/>
                <w:webHidden/>
              </w:rPr>
              <w:instrText xml:space="preserve"> PAGEREF _Toc55918733 \h </w:instrText>
            </w:r>
            <w:r>
              <w:rPr>
                <w:noProof/>
                <w:webHidden/>
              </w:rPr>
            </w:r>
            <w:r>
              <w:rPr>
                <w:noProof/>
                <w:webHidden/>
              </w:rPr>
              <w:fldChar w:fldCharType="separate"/>
            </w:r>
            <w:r>
              <w:rPr>
                <w:noProof/>
                <w:webHidden/>
              </w:rPr>
              <w:t>10</w:t>
            </w:r>
            <w:r>
              <w:rPr>
                <w:noProof/>
                <w:webHidden/>
              </w:rPr>
              <w:fldChar w:fldCharType="end"/>
            </w:r>
          </w:hyperlink>
        </w:p>
        <w:p w14:paraId="2A8D119E" w14:textId="01A871BD" w:rsidR="00B069B3" w:rsidRDefault="00B069B3">
          <w:pPr>
            <w:pStyle w:val="TOC2"/>
            <w:rPr>
              <w:rFonts w:asciiTheme="minorHAnsi" w:eastAsiaTheme="minorEastAsia" w:hAnsiTheme="minorHAnsi" w:cstheme="minorBidi"/>
              <w:b w:val="0"/>
              <w:noProof/>
              <w:sz w:val="22"/>
              <w:lang w:eastAsia="en-AU"/>
            </w:rPr>
          </w:pPr>
          <w:hyperlink w:anchor="_Toc55918734" w:history="1">
            <w:r w:rsidRPr="00F31739">
              <w:rPr>
                <w:rStyle w:val="Hyperlink"/>
                <w:noProof/>
              </w:rPr>
              <w:t>II. Registration timeline</w:t>
            </w:r>
            <w:r>
              <w:rPr>
                <w:noProof/>
                <w:webHidden/>
              </w:rPr>
              <w:tab/>
            </w:r>
            <w:r>
              <w:rPr>
                <w:noProof/>
                <w:webHidden/>
              </w:rPr>
              <w:fldChar w:fldCharType="begin"/>
            </w:r>
            <w:r>
              <w:rPr>
                <w:noProof/>
                <w:webHidden/>
              </w:rPr>
              <w:instrText xml:space="preserve"> PAGEREF _Toc55918734 \h </w:instrText>
            </w:r>
            <w:r>
              <w:rPr>
                <w:noProof/>
                <w:webHidden/>
              </w:rPr>
            </w:r>
            <w:r>
              <w:rPr>
                <w:noProof/>
                <w:webHidden/>
              </w:rPr>
              <w:fldChar w:fldCharType="separate"/>
            </w:r>
            <w:r>
              <w:rPr>
                <w:noProof/>
                <w:webHidden/>
              </w:rPr>
              <w:t>10</w:t>
            </w:r>
            <w:r>
              <w:rPr>
                <w:noProof/>
                <w:webHidden/>
              </w:rPr>
              <w:fldChar w:fldCharType="end"/>
            </w:r>
          </w:hyperlink>
        </w:p>
        <w:p w14:paraId="00E9A136" w14:textId="3748D722" w:rsidR="00B069B3" w:rsidRDefault="00B069B3">
          <w:pPr>
            <w:pStyle w:val="TOC2"/>
            <w:rPr>
              <w:rFonts w:asciiTheme="minorHAnsi" w:eastAsiaTheme="minorEastAsia" w:hAnsiTheme="minorHAnsi" w:cstheme="minorBidi"/>
              <w:b w:val="0"/>
              <w:noProof/>
              <w:sz w:val="22"/>
              <w:lang w:eastAsia="en-AU"/>
            </w:rPr>
          </w:pPr>
          <w:hyperlink w:anchor="_Toc55918735" w:history="1">
            <w:r w:rsidRPr="00F31739">
              <w:rPr>
                <w:rStyle w:val="Hyperlink"/>
                <w:noProof/>
              </w:rPr>
              <w:t>III. Submission overview and risk/benefit assessment</w:t>
            </w:r>
            <w:r>
              <w:rPr>
                <w:noProof/>
                <w:webHidden/>
              </w:rPr>
              <w:tab/>
            </w:r>
            <w:r>
              <w:rPr>
                <w:noProof/>
                <w:webHidden/>
              </w:rPr>
              <w:fldChar w:fldCharType="begin"/>
            </w:r>
            <w:r>
              <w:rPr>
                <w:noProof/>
                <w:webHidden/>
              </w:rPr>
              <w:instrText xml:space="preserve"> PAGEREF _Toc55918735 \h </w:instrText>
            </w:r>
            <w:r>
              <w:rPr>
                <w:noProof/>
                <w:webHidden/>
              </w:rPr>
            </w:r>
            <w:r>
              <w:rPr>
                <w:noProof/>
                <w:webHidden/>
              </w:rPr>
              <w:fldChar w:fldCharType="separate"/>
            </w:r>
            <w:r>
              <w:rPr>
                <w:noProof/>
                <w:webHidden/>
              </w:rPr>
              <w:t>11</w:t>
            </w:r>
            <w:r>
              <w:rPr>
                <w:noProof/>
                <w:webHidden/>
              </w:rPr>
              <w:fldChar w:fldCharType="end"/>
            </w:r>
          </w:hyperlink>
        </w:p>
        <w:p w14:paraId="1DDA3AAF" w14:textId="656EE668" w:rsidR="00B069B3" w:rsidRDefault="00B069B3">
          <w:pPr>
            <w:pStyle w:val="TOC3"/>
            <w:rPr>
              <w:rFonts w:asciiTheme="minorHAnsi" w:eastAsiaTheme="minorEastAsia" w:hAnsiTheme="minorHAnsi" w:cstheme="minorBidi"/>
              <w:noProof/>
              <w:lang w:eastAsia="en-AU"/>
            </w:rPr>
          </w:pPr>
          <w:hyperlink w:anchor="_Toc55918736" w:history="1">
            <w:r w:rsidRPr="00F31739">
              <w:rPr>
                <w:rStyle w:val="Hyperlink"/>
                <w:noProof/>
              </w:rPr>
              <w:t>Quality</w:t>
            </w:r>
            <w:r>
              <w:rPr>
                <w:noProof/>
                <w:webHidden/>
              </w:rPr>
              <w:tab/>
            </w:r>
            <w:r>
              <w:rPr>
                <w:noProof/>
                <w:webHidden/>
              </w:rPr>
              <w:fldChar w:fldCharType="begin"/>
            </w:r>
            <w:r>
              <w:rPr>
                <w:noProof/>
                <w:webHidden/>
              </w:rPr>
              <w:instrText xml:space="preserve"> PAGEREF _Toc55918736 \h </w:instrText>
            </w:r>
            <w:r>
              <w:rPr>
                <w:noProof/>
                <w:webHidden/>
              </w:rPr>
            </w:r>
            <w:r>
              <w:rPr>
                <w:noProof/>
                <w:webHidden/>
              </w:rPr>
              <w:fldChar w:fldCharType="separate"/>
            </w:r>
            <w:r>
              <w:rPr>
                <w:noProof/>
                <w:webHidden/>
              </w:rPr>
              <w:t>11</w:t>
            </w:r>
            <w:r>
              <w:rPr>
                <w:noProof/>
                <w:webHidden/>
              </w:rPr>
              <w:fldChar w:fldCharType="end"/>
            </w:r>
          </w:hyperlink>
        </w:p>
        <w:p w14:paraId="580A098A" w14:textId="498FB838" w:rsidR="00B069B3" w:rsidRDefault="00B069B3">
          <w:pPr>
            <w:pStyle w:val="TOC3"/>
            <w:rPr>
              <w:rFonts w:asciiTheme="minorHAnsi" w:eastAsiaTheme="minorEastAsia" w:hAnsiTheme="minorHAnsi" w:cstheme="minorBidi"/>
              <w:noProof/>
              <w:lang w:eastAsia="en-AU"/>
            </w:rPr>
          </w:pPr>
          <w:hyperlink w:anchor="_Toc55918737" w:history="1">
            <w:r w:rsidRPr="00F31739">
              <w:rPr>
                <w:rStyle w:val="Hyperlink"/>
                <w:noProof/>
              </w:rPr>
              <w:t>Nonclinical</w:t>
            </w:r>
            <w:r>
              <w:rPr>
                <w:noProof/>
                <w:webHidden/>
              </w:rPr>
              <w:tab/>
            </w:r>
            <w:r>
              <w:rPr>
                <w:noProof/>
                <w:webHidden/>
              </w:rPr>
              <w:fldChar w:fldCharType="begin"/>
            </w:r>
            <w:r>
              <w:rPr>
                <w:noProof/>
                <w:webHidden/>
              </w:rPr>
              <w:instrText xml:space="preserve"> PAGEREF _Toc55918737 \h </w:instrText>
            </w:r>
            <w:r>
              <w:rPr>
                <w:noProof/>
                <w:webHidden/>
              </w:rPr>
            </w:r>
            <w:r>
              <w:rPr>
                <w:noProof/>
                <w:webHidden/>
              </w:rPr>
              <w:fldChar w:fldCharType="separate"/>
            </w:r>
            <w:r>
              <w:rPr>
                <w:noProof/>
                <w:webHidden/>
              </w:rPr>
              <w:t>11</w:t>
            </w:r>
            <w:r>
              <w:rPr>
                <w:noProof/>
                <w:webHidden/>
              </w:rPr>
              <w:fldChar w:fldCharType="end"/>
            </w:r>
          </w:hyperlink>
        </w:p>
        <w:p w14:paraId="141CE0CB" w14:textId="5F60EA21" w:rsidR="00B069B3" w:rsidRDefault="00B069B3">
          <w:pPr>
            <w:pStyle w:val="TOC3"/>
            <w:rPr>
              <w:rFonts w:asciiTheme="minorHAnsi" w:eastAsiaTheme="minorEastAsia" w:hAnsiTheme="minorHAnsi" w:cstheme="minorBidi"/>
              <w:noProof/>
              <w:lang w:eastAsia="en-AU"/>
            </w:rPr>
          </w:pPr>
          <w:hyperlink w:anchor="_Toc55918738" w:history="1">
            <w:r w:rsidRPr="00F31739">
              <w:rPr>
                <w:rStyle w:val="Hyperlink"/>
                <w:noProof/>
              </w:rPr>
              <w:t>Clinical</w:t>
            </w:r>
            <w:r>
              <w:rPr>
                <w:noProof/>
                <w:webHidden/>
              </w:rPr>
              <w:tab/>
            </w:r>
            <w:r>
              <w:rPr>
                <w:noProof/>
                <w:webHidden/>
              </w:rPr>
              <w:fldChar w:fldCharType="begin"/>
            </w:r>
            <w:r>
              <w:rPr>
                <w:noProof/>
                <w:webHidden/>
              </w:rPr>
              <w:instrText xml:space="preserve"> PAGEREF _Toc55918738 \h </w:instrText>
            </w:r>
            <w:r>
              <w:rPr>
                <w:noProof/>
                <w:webHidden/>
              </w:rPr>
            </w:r>
            <w:r>
              <w:rPr>
                <w:noProof/>
                <w:webHidden/>
              </w:rPr>
              <w:fldChar w:fldCharType="separate"/>
            </w:r>
            <w:r>
              <w:rPr>
                <w:noProof/>
                <w:webHidden/>
              </w:rPr>
              <w:t>13</w:t>
            </w:r>
            <w:r>
              <w:rPr>
                <w:noProof/>
                <w:webHidden/>
              </w:rPr>
              <w:fldChar w:fldCharType="end"/>
            </w:r>
          </w:hyperlink>
        </w:p>
        <w:p w14:paraId="32E88BE3" w14:textId="689BC2EB" w:rsidR="00B069B3" w:rsidRDefault="00B069B3">
          <w:pPr>
            <w:pStyle w:val="TOC3"/>
            <w:rPr>
              <w:rFonts w:asciiTheme="minorHAnsi" w:eastAsiaTheme="minorEastAsia" w:hAnsiTheme="minorHAnsi" w:cstheme="minorBidi"/>
              <w:noProof/>
              <w:lang w:eastAsia="en-AU"/>
            </w:rPr>
          </w:pPr>
          <w:hyperlink w:anchor="_Toc55918739" w:history="1">
            <w:r w:rsidRPr="00F31739">
              <w:rPr>
                <w:rStyle w:val="Hyperlink"/>
                <w:noProof/>
                <w:lang w:eastAsia="en-AU"/>
              </w:rPr>
              <w:t>Risk management plan</w:t>
            </w:r>
            <w:r>
              <w:rPr>
                <w:noProof/>
                <w:webHidden/>
              </w:rPr>
              <w:tab/>
            </w:r>
            <w:r>
              <w:rPr>
                <w:noProof/>
                <w:webHidden/>
              </w:rPr>
              <w:fldChar w:fldCharType="begin"/>
            </w:r>
            <w:r>
              <w:rPr>
                <w:noProof/>
                <w:webHidden/>
              </w:rPr>
              <w:instrText xml:space="preserve"> PAGEREF _Toc55918739 \h </w:instrText>
            </w:r>
            <w:r>
              <w:rPr>
                <w:noProof/>
                <w:webHidden/>
              </w:rPr>
            </w:r>
            <w:r>
              <w:rPr>
                <w:noProof/>
                <w:webHidden/>
              </w:rPr>
              <w:fldChar w:fldCharType="separate"/>
            </w:r>
            <w:r>
              <w:rPr>
                <w:noProof/>
                <w:webHidden/>
              </w:rPr>
              <w:t>23</w:t>
            </w:r>
            <w:r>
              <w:rPr>
                <w:noProof/>
                <w:webHidden/>
              </w:rPr>
              <w:fldChar w:fldCharType="end"/>
            </w:r>
          </w:hyperlink>
        </w:p>
        <w:p w14:paraId="1E4B4986" w14:textId="23751B43" w:rsidR="00B069B3" w:rsidRDefault="00B069B3">
          <w:pPr>
            <w:pStyle w:val="TOC3"/>
            <w:rPr>
              <w:rFonts w:asciiTheme="minorHAnsi" w:eastAsiaTheme="minorEastAsia" w:hAnsiTheme="minorHAnsi" w:cstheme="minorBidi"/>
              <w:noProof/>
              <w:lang w:eastAsia="en-AU"/>
            </w:rPr>
          </w:pPr>
          <w:hyperlink w:anchor="_Toc55918740" w:history="1">
            <w:r w:rsidRPr="00F31739">
              <w:rPr>
                <w:rStyle w:val="Hyperlink"/>
                <w:noProof/>
              </w:rPr>
              <w:t>Risk-benefit analysis</w:t>
            </w:r>
            <w:r>
              <w:rPr>
                <w:noProof/>
                <w:webHidden/>
              </w:rPr>
              <w:tab/>
            </w:r>
            <w:r>
              <w:rPr>
                <w:noProof/>
                <w:webHidden/>
              </w:rPr>
              <w:fldChar w:fldCharType="begin"/>
            </w:r>
            <w:r>
              <w:rPr>
                <w:noProof/>
                <w:webHidden/>
              </w:rPr>
              <w:instrText xml:space="preserve"> PAGEREF _Toc55918740 \h </w:instrText>
            </w:r>
            <w:r>
              <w:rPr>
                <w:noProof/>
                <w:webHidden/>
              </w:rPr>
            </w:r>
            <w:r>
              <w:rPr>
                <w:noProof/>
                <w:webHidden/>
              </w:rPr>
              <w:fldChar w:fldCharType="separate"/>
            </w:r>
            <w:r>
              <w:rPr>
                <w:noProof/>
                <w:webHidden/>
              </w:rPr>
              <w:t>24</w:t>
            </w:r>
            <w:r>
              <w:rPr>
                <w:noProof/>
                <w:webHidden/>
              </w:rPr>
              <w:fldChar w:fldCharType="end"/>
            </w:r>
          </w:hyperlink>
        </w:p>
        <w:p w14:paraId="49506D26" w14:textId="5C799AE0" w:rsidR="00B069B3" w:rsidRDefault="00B069B3">
          <w:pPr>
            <w:pStyle w:val="TOC3"/>
            <w:rPr>
              <w:rFonts w:asciiTheme="minorHAnsi" w:eastAsiaTheme="minorEastAsia" w:hAnsiTheme="minorHAnsi" w:cstheme="minorBidi"/>
              <w:noProof/>
              <w:lang w:eastAsia="en-AU"/>
            </w:rPr>
          </w:pPr>
          <w:hyperlink w:anchor="_Toc55918741" w:history="1">
            <w:r w:rsidRPr="00F31739">
              <w:rPr>
                <w:rStyle w:val="Hyperlink"/>
                <w:noProof/>
              </w:rPr>
              <w:t>Outcome</w:t>
            </w:r>
            <w:r>
              <w:rPr>
                <w:noProof/>
                <w:webHidden/>
              </w:rPr>
              <w:tab/>
            </w:r>
            <w:r>
              <w:rPr>
                <w:noProof/>
                <w:webHidden/>
              </w:rPr>
              <w:fldChar w:fldCharType="begin"/>
            </w:r>
            <w:r>
              <w:rPr>
                <w:noProof/>
                <w:webHidden/>
              </w:rPr>
              <w:instrText xml:space="preserve"> PAGEREF _Toc55918741 \h </w:instrText>
            </w:r>
            <w:r>
              <w:rPr>
                <w:noProof/>
                <w:webHidden/>
              </w:rPr>
            </w:r>
            <w:r>
              <w:rPr>
                <w:noProof/>
                <w:webHidden/>
              </w:rPr>
              <w:fldChar w:fldCharType="separate"/>
            </w:r>
            <w:r>
              <w:rPr>
                <w:noProof/>
                <w:webHidden/>
              </w:rPr>
              <w:t>36</w:t>
            </w:r>
            <w:r>
              <w:rPr>
                <w:noProof/>
                <w:webHidden/>
              </w:rPr>
              <w:fldChar w:fldCharType="end"/>
            </w:r>
          </w:hyperlink>
        </w:p>
        <w:p w14:paraId="2D7831FB" w14:textId="589F10B1" w:rsidR="00B069B3" w:rsidRDefault="00B069B3">
          <w:pPr>
            <w:pStyle w:val="TOC2"/>
            <w:rPr>
              <w:rFonts w:asciiTheme="minorHAnsi" w:eastAsiaTheme="minorEastAsia" w:hAnsiTheme="minorHAnsi" w:cstheme="minorBidi"/>
              <w:b w:val="0"/>
              <w:noProof/>
              <w:sz w:val="22"/>
              <w:lang w:eastAsia="en-AU"/>
            </w:rPr>
          </w:pPr>
          <w:hyperlink w:anchor="_Toc55918742" w:history="1">
            <w:r w:rsidRPr="00F31739">
              <w:rPr>
                <w:rStyle w:val="Hyperlink"/>
                <w:noProof/>
              </w:rPr>
              <w:t>Attachment 1. Product Information</w:t>
            </w:r>
            <w:r>
              <w:rPr>
                <w:noProof/>
                <w:webHidden/>
              </w:rPr>
              <w:tab/>
            </w:r>
            <w:r>
              <w:rPr>
                <w:noProof/>
                <w:webHidden/>
              </w:rPr>
              <w:fldChar w:fldCharType="begin"/>
            </w:r>
            <w:r>
              <w:rPr>
                <w:noProof/>
                <w:webHidden/>
              </w:rPr>
              <w:instrText xml:space="preserve"> PAGEREF _Toc55918742 \h </w:instrText>
            </w:r>
            <w:r>
              <w:rPr>
                <w:noProof/>
                <w:webHidden/>
              </w:rPr>
            </w:r>
            <w:r>
              <w:rPr>
                <w:noProof/>
                <w:webHidden/>
              </w:rPr>
              <w:fldChar w:fldCharType="separate"/>
            </w:r>
            <w:r>
              <w:rPr>
                <w:noProof/>
                <w:webHidden/>
              </w:rPr>
              <w:t>37</w:t>
            </w:r>
            <w:r>
              <w:rPr>
                <w:noProof/>
                <w:webHidden/>
              </w:rPr>
              <w:fldChar w:fldCharType="end"/>
            </w:r>
          </w:hyperlink>
        </w:p>
        <w:p w14:paraId="07C266A1" w14:textId="2F04012E" w:rsidR="003A7F6C" w:rsidRPr="00B811C6" w:rsidRDefault="00960520" w:rsidP="00B811C6">
          <w:pPr>
            <w:pStyle w:val="TOC2"/>
          </w:pPr>
          <w:r>
            <w:fldChar w:fldCharType="end"/>
          </w:r>
        </w:p>
      </w:sdtContent>
    </w:sdt>
    <w:bookmarkStart w:id="3" w:name="_Toc314842482" w:displacedByCustomXml="prev"/>
    <w:p w14:paraId="47E7D05B" w14:textId="77777777" w:rsidR="00FD119B" w:rsidRDefault="00FD119B">
      <w:pPr>
        <w:spacing w:before="0" w:after="200" w:line="0" w:lineRule="auto"/>
      </w:pPr>
      <w:r>
        <w:br w:type="page"/>
      </w:r>
    </w:p>
    <w:p w14:paraId="2C5E1E81" w14:textId="576514A0" w:rsidR="00C52E24" w:rsidRPr="00C52E24" w:rsidRDefault="006B37C4" w:rsidP="00167558">
      <w:pPr>
        <w:pStyle w:val="Heading2"/>
      </w:pPr>
      <w:bookmarkStart w:id="4" w:name="_Toc55918728"/>
      <w:r>
        <w:lastRenderedPageBreak/>
        <w:t>Common abbreviations</w:t>
      </w:r>
      <w:bookmarkEnd w:id="4"/>
    </w:p>
    <w:tbl>
      <w:tblPr>
        <w:tblStyle w:val="TableTGAblue"/>
        <w:tblW w:w="0" w:type="auto"/>
        <w:tblLook w:val="04A0" w:firstRow="1" w:lastRow="0" w:firstColumn="1" w:lastColumn="0" w:noHBand="0" w:noVBand="1"/>
      </w:tblPr>
      <w:tblGrid>
        <w:gridCol w:w="1804"/>
        <w:gridCol w:w="6680"/>
      </w:tblGrid>
      <w:tr w:rsidR="00FD119B" w:rsidRPr="00FD119B" w14:paraId="0FFC1FAA" w14:textId="77777777" w:rsidTr="00167558">
        <w:trPr>
          <w:cnfStyle w:val="100000000000" w:firstRow="1" w:lastRow="0" w:firstColumn="0" w:lastColumn="0" w:oddVBand="0" w:evenVBand="0" w:oddHBand="0" w:evenHBand="0" w:firstRowFirstColumn="0" w:firstRowLastColumn="0" w:lastRowFirstColumn="0" w:lastRowLastColumn="0"/>
        </w:trPr>
        <w:tc>
          <w:tcPr>
            <w:tcW w:w="1804" w:type="dxa"/>
          </w:tcPr>
          <w:p w14:paraId="31C4FDC7" w14:textId="77777777" w:rsidR="00FD119B" w:rsidRPr="00FD119B" w:rsidRDefault="00FD119B" w:rsidP="006C41F3">
            <w:pPr>
              <w:keepNext w:val="0"/>
              <w:ind w:right="0"/>
              <w:rPr>
                <w:szCs w:val="22"/>
                <w:lang w:eastAsia="en-US"/>
              </w:rPr>
            </w:pPr>
            <w:r w:rsidRPr="00FD119B">
              <w:rPr>
                <w:szCs w:val="22"/>
                <w:lang w:eastAsia="en-US"/>
              </w:rPr>
              <w:t>Abbreviation</w:t>
            </w:r>
          </w:p>
        </w:tc>
        <w:tc>
          <w:tcPr>
            <w:tcW w:w="6680" w:type="dxa"/>
          </w:tcPr>
          <w:p w14:paraId="6D4876A2" w14:textId="77777777" w:rsidR="00FD119B" w:rsidRPr="00FD119B" w:rsidRDefault="00FD119B" w:rsidP="006C41F3">
            <w:pPr>
              <w:keepNext w:val="0"/>
              <w:ind w:right="0"/>
              <w:rPr>
                <w:szCs w:val="22"/>
                <w:lang w:eastAsia="en-US"/>
              </w:rPr>
            </w:pPr>
            <w:r w:rsidRPr="00FD119B">
              <w:rPr>
                <w:szCs w:val="22"/>
                <w:lang w:eastAsia="en-US"/>
              </w:rPr>
              <w:t>Meaning</w:t>
            </w:r>
          </w:p>
        </w:tc>
      </w:tr>
      <w:tr w:rsidR="00A11F7B" w:rsidRPr="00FD119B" w14:paraId="02156DE3" w14:textId="77777777" w:rsidTr="00167558">
        <w:tc>
          <w:tcPr>
            <w:tcW w:w="1804" w:type="dxa"/>
          </w:tcPr>
          <w:p w14:paraId="27B003D7" w14:textId="77777777" w:rsidR="00A11F7B" w:rsidRPr="00FD119B" w:rsidRDefault="00A11F7B" w:rsidP="0069017C">
            <w:r>
              <w:t>ACM</w:t>
            </w:r>
          </w:p>
        </w:tc>
        <w:tc>
          <w:tcPr>
            <w:tcW w:w="6680" w:type="dxa"/>
          </w:tcPr>
          <w:p w14:paraId="26901F81" w14:textId="77777777" w:rsidR="00A11F7B" w:rsidRPr="00FD119B" w:rsidRDefault="00A11F7B" w:rsidP="00306DB5">
            <w:r>
              <w:t>Advisory Committee on Medicines</w:t>
            </w:r>
          </w:p>
        </w:tc>
      </w:tr>
      <w:tr w:rsidR="00A11F7B" w:rsidRPr="00FD119B" w14:paraId="209530C5" w14:textId="77777777" w:rsidTr="00167558">
        <w:tc>
          <w:tcPr>
            <w:tcW w:w="1804" w:type="dxa"/>
          </w:tcPr>
          <w:p w14:paraId="0B253EA9" w14:textId="77777777" w:rsidR="00A11F7B" w:rsidRPr="000F476B" w:rsidRDefault="00A11F7B" w:rsidP="006C41F3">
            <w:r w:rsidRPr="000F476B">
              <w:t>ADA</w:t>
            </w:r>
          </w:p>
        </w:tc>
        <w:tc>
          <w:tcPr>
            <w:tcW w:w="6680" w:type="dxa"/>
          </w:tcPr>
          <w:p w14:paraId="2EE19EC8" w14:textId="77777777" w:rsidR="00A11F7B" w:rsidRDefault="00A11F7B">
            <w:r>
              <w:t>Anti-drug antibody</w:t>
            </w:r>
          </w:p>
        </w:tc>
      </w:tr>
      <w:tr w:rsidR="00A11F7B" w:rsidRPr="00FD119B" w14:paraId="7B928C67" w14:textId="77777777" w:rsidTr="00167558">
        <w:tc>
          <w:tcPr>
            <w:tcW w:w="1804" w:type="dxa"/>
          </w:tcPr>
          <w:p w14:paraId="167CC328" w14:textId="77777777" w:rsidR="00A11F7B" w:rsidRPr="00705754" w:rsidRDefault="00A11F7B" w:rsidP="006C41F3">
            <w:pPr>
              <w:rPr>
                <w:rFonts w:asciiTheme="minorHAnsi" w:eastAsiaTheme="minorHAnsi" w:hAnsiTheme="minorHAnsi" w:cs="TeXGyrePagella-Regular"/>
                <w:color w:val="000000"/>
              </w:rPr>
            </w:pPr>
            <w:r w:rsidRPr="00705754">
              <w:rPr>
                <w:rFonts w:asciiTheme="minorHAnsi" w:hAnsiTheme="minorHAnsi"/>
              </w:rPr>
              <w:t>ADCC</w:t>
            </w:r>
          </w:p>
        </w:tc>
        <w:tc>
          <w:tcPr>
            <w:tcW w:w="6680" w:type="dxa"/>
          </w:tcPr>
          <w:p w14:paraId="4B579F99" w14:textId="77777777" w:rsidR="00A11F7B" w:rsidRPr="00FD119B" w:rsidDel="0031006E" w:rsidRDefault="00A11F7B">
            <w:r>
              <w:rPr>
                <w:rFonts w:asciiTheme="minorHAnsi" w:hAnsiTheme="minorHAnsi"/>
              </w:rPr>
              <w:t>A</w:t>
            </w:r>
            <w:r w:rsidRPr="00705754">
              <w:rPr>
                <w:rFonts w:asciiTheme="minorHAnsi" w:hAnsiTheme="minorHAnsi"/>
              </w:rPr>
              <w:t>ntibody depend</w:t>
            </w:r>
            <w:r>
              <w:rPr>
                <w:rFonts w:asciiTheme="minorHAnsi" w:hAnsiTheme="minorHAnsi"/>
              </w:rPr>
              <w:t>ent cell mediated cytotoxicity</w:t>
            </w:r>
          </w:p>
        </w:tc>
      </w:tr>
      <w:tr w:rsidR="00A11F7B" w:rsidRPr="00FD119B" w14:paraId="437B27E1" w14:textId="77777777" w:rsidTr="00167558">
        <w:tc>
          <w:tcPr>
            <w:tcW w:w="1804" w:type="dxa"/>
          </w:tcPr>
          <w:p w14:paraId="40214F71" w14:textId="77777777" w:rsidR="00A11F7B" w:rsidRPr="00705754" w:rsidRDefault="00A11F7B" w:rsidP="006C41F3">
            <w:pPr>
              <w:rPr>
                <w:rFonts w:asciiTheme="minorHAnsi" w:eastAsiaTheme="minorHAnsi" w:hAnsiTheme="minorHAnsi" w:cs="TeXGyrePagella-Regular"/>
                <w:color w:val="000000"/>
              </w:rPr>
            </w:pPr>
            <w:r w:rsidRPr="00705754">
              <w:rPr>
                <w:rFonts w:asciiTheme="minorHAnsi" w:hAnsiTheme="minorHAnsi"/>
              </w:rPr>
              <w:t>ADCP</w:t>
            </w:r>
          </w:p>
        </w:tc>
        <w:tc>
          <w:tcPr>
            <w:tcW w:w="6680" w:type="dxa"/>
          </w:tcPr>
          <w:p w14:paraId="58F17DFD" w14:textId="77777777" w:rsidR="00A11F7B" w:rsidRPr="00FD119B" w:rsidDel="0031006E" w:rsidRDefault="00A11F7B">
            <w:r>
              <w:rPr>
                <w:rFonts w:asciiTheme="minorHAnsi" w:hAnsiTheme="minorHAnsi"/>
              </w:rPr>
              <w:t>A</w:t>
            </w:r>
            <w:r w:rsidRPr="00705754">
              <w:rPr>
                <w:rFonts w:asciiTheme="minorHAnsi" w:hAnsiTheme="minorHAnsi"/>
              </w:rPr>
              <w:t>ntibody d</w:t>
            </w:r>
            <w:r>
              <w:rPr>
                <w:rFonts w:asciiTheme="minorHAnsi" w:hAnsiTheme="minorHAnsi"/>
              </w:rPr>
              <w:t>ependent cellular phagocytosis</w:t>
            </w:r>
          </w:p>
        </w:tc>
      </w:tr>
      <w:tr w:rsidR="00A11F7B" w:rsidRPr="00FD119B" w14:paraId="6E6ABE2B" w14:textId="77777777" w:rsidTr="00E87767">
        <w:tc>
          <w:tcPr>
            <w:tcW w:w="1804" w:type="dxa"/>
          </w:tcPr>
          <w:p w14:paraId="66B5BBD3" w14:textId="77777777" w:rsidR="00A11F7B" w:rsidRDefault="00A11F7B" w:rsidP="006C41F3">
            <w:r>
              <w:t>AE</w:t>
            </w:r>
          </w:p>
        </w:tc>
        <w:tc>
          <w:tcPr>
            <w:tcW w:w="6680" w:type="dxa"/>
          </w:tcPr>
          <w:p w14:paraId="64F38CBB" w14:textId="77777777" w:rsidR="00A11F7B" w:rsidRDefault="00A11F7B" w:rsidP="00EC1F86">
            <w:r>
              <w:t>Adverse event</w:t>
            </w:r>
          </w:p>
        </w:tc>
      </w:tr>
      <w:tr w:rsidR="00A11F7B" w:rsidRPr="00FD119B" w14:paraId="56B75CB2" w14:textId="77777777" w:rsidTr="00167558">
        <w:tc>
          <w:tcPr>
            <w:tcW w:w="1804" w:type="dxa"/>
          </w:tcPr>
          <w:p w14:paraId="100E6877" w14:textId="77777777" w:rsidR="00A11F7B" w:rsidRPr="00FD119B" w:rsidRDefault="00A11F7B" w:rsidP="0069017C">
            <w:r>
              <w:t>ARTG</w:t>
            </w:r>
          </w:p>
        </w:tc>
        <w:tc>
          <w:tcPr>
            <w:tcW w:w="6680" w:type="dxa"/>
          </w:tcPr>
          <w:p w14:paraId="13CA65FD" w14:textId="77777777" w:rsidR="00A11F7B" w:rsidRPr="00FD119B" w:rsidRDefault="00A11F7B" w:rsidP="00306DB5">
            <w:r>
              <w:t>Australian Register of Therapeutic Goods</w:t>
            </w:r>
          </w:p>
        </w:tc>
      </w:tr>
      <w:tr w:rsidR="00A11F7B" w:rsidRPr="00FD119B" w14:paraId="7287F242" w14:textId="77777777" w:rsidTr="00E87767">
        <w:tc>
          <w:tcPr>
            <w:tcW w:w="1804" w:type="dxa"/>
          </w:tcPr>
          <w:p w14:paraId="536C04EF" w14:textId="77777777" w:rsidR="00A11F7B" w:rsidRDefault="00A11F7B" w:rsidP="006C41F3">
            <w:r w:rsidRPr="002C18D2">
              <w:t>ASA</w:t>
            </w:r>
          </w:p>
        </w:tc>
        <w:tc>
          <w:tcPr>
            <w:tcW w:w="6680" w:type="dxa"/>
          </w:tcPr>
          <w:p w14:paraId="720630B8" w14:textId="77777777" w:rsidR="00A11F7B" w:rsidRDefault="00A11F7B" w:rsidP="00A11F7B">
            <w:r>
              <w:t>Australian specific Annex</w:t>
            </w:r>
          </w:p>
        </w:tc>
      </w:tr>
      <w:tr w:rsidR="00A11F7B" w:rsidRPr="00FD119B" w14:paraId="739DC72C" w14:textId="77777777" w:rsidTr="00167558">
        <w:tc>
          <w:tcPr>
            <w:tcW w:w="1804" w:type="dxa"/>
          </w:tcPr>
          <w:p w14:paraId="6465D213" w14:textId="77777777" w:rsidR="00A11F7B" w:rsidRDefault="00A11F7B" w:rsidP="006C41F3">
            <w:r w:rsidRPr="00504D5C">
              <w:t>BOR</w:t>
            </w:r>
          </w:p>
        </w:tc>
        <w:tc>
          <w:tcPr>
            <w:tcW w:w="6680" w:type="dxa"/>
          </w:tcPr>
          <w:p w14:paraId="313905BC" w14:textId="77777777" w:rsidR="00A11F7B" w:rsidRDefault="00A11F7B" w:rsidP="00A11F7B">
            <w:r>
              <w:t>Best overall response</w:t>
            </w:r>
          </w:p>
        </w:tc>
      </w:tr>
      <w:tr w:rsidR="00A11F7B" w:rsidRPr="00FD119B" w14:paraId="1FB2EBF8" w14:textId="77777777" w:rsidTr="00167558">
        <w:tc>
          <w:tcPr>
            <w:tcW w:w="1804" w:type="dxa"/>
          </w:tcPr>
          <w:p w14:paraId="06EEE6F0" w14:textId="77777777" w:rsidR="00A11F7B" w:rsidRDefault="00A11F7B" w:rsidP="006C41F3">
            <w:r>
              <w:t>BPM</w:t>
            </w:r>
          </w:p>
        </w:tc>
        <w:tc>
          <w:tcPr>
            <w:tcW w:w="6680" w:type="dxa"/>
          </w:tcPr>
          <w:p w14:paraId="161E33B9" w14:textId="77777777" w:rsidR="00A11F7B" w:rsidRDefault="00A11F7B" w:rsidP="00EC1F86">
            <w:r>
              <w:t>Beats per minute</w:t>
            </w:r>
          </w:p>
        </w:tc>
      </w:tr>
      <w:tr w:rsidR="00A11F7B" w:rsidRPr="00FD119B" w14:paraId="7C957121" w14:textId="77777777" w:rsidTr="00167558">
        <w:tc>
          <w:tcPr>
            <w:tcW w:w="1804" w:type="dxa"/>
          </w:tcPr>
          <w:p w14:paraId="2E133F91" w14:textId="77777777" w:rsidR="00A11F7B" w:rsidRDefault="00A11F7B" w:rsidP="006C41F3">
            <w:r w:rsidRPr="00447CB8">
              <w:t>CBR</w:t>
            </w:r>
          </w:p>
        </w:tc>
        <w:tc>
          <w:tcPr>
            <w:tcW w:w="6680" w:type="dxa"/>
          </w:tcPr>
          <w:p w14:paraId="337A798A" w14:textId="77777777" w:rsidR="00A11F7B" w:rsidRDefault="00A11F7B">
            <w:r>
              <w:t>Clinical benefit rate</w:t>
            </w:r>
          </w:p>
        </w:tc>
      </w:tr>
      <w:tr w:rsidR="00A11F7B" w:rsidRPr="00FD119B" w14:paraId="32DCB46D" w14:textId="77777777" w:rsidTr="00167558">
        <w:tc>
          <w:tcPr>
            <w:tcW w:w="1804" w:type="dxa"/>
          </w:tcPr>
          <w:p w14:paraId="0C220291" w14:textId="77777777" w:rsidR="00A11F7B" w:rsidRPr="00705754" w:rsidRDefault="00A11F7B" w:rsidP="006C41F3">
            <w:pPr>
              <w:rPr>
                <w:rFonts w:asciiTheme="minorHAnsi" w:eastAsiaTheme="minorHAnsi" w:hAnsiTheme="minorHAnsi" w:cs="TeXGyrePagella-Regular"/>
                <w:color w:val="000000"/>
              </w:rPr>
            </w:pPr>
            <w:r w:rsidRPr="00705754">
              <w:rPr>
                <w:rFonts w:asciiTheme="minorHAnsi" w:eastAsia="ArialMT" w:hAnsiTheme="minorHAnsi" w:cs="Arial"/>
              </w:rPr>
              <w:t>CD38</w:t>
            </w:r>
          </w:p>
        </w:tc>
        <w:tc>
          <w:tcPr>
            <w:tcW w:w="6680" w:type="dxa"/>
          </w:tcPr>
          <w:p w14:paraId="0FC926A8" w14:textId="77777777" w:rsidR="00A11F7B" w:rsidRPr="00FD119B" w:rsidDel="0031006E" w:rsidRDefault="00A11F7B">
            <w:r>
              <w:rPr>
                <w:rFonts w:asciiTheme="minorHAnsi" w:eastAsia="ArialMT" w:hAnsiTheme="minorHAnsi" w:cs="ArialMT"/>
              </w:rPr>
              <w:t>Cluster of differentiation 38</w:t>
            </w:r>
          </w:p>
        </w:tc>
      </w:tr>
      <w:tr w:rsidR="00A11F7B" w:rsidRPr="00FD119B" w14:paraId="2E84F429" w14:textId="77777777" w:rsidTr="00167558">
        <w:tc>
          <w:tcPr>
            <w:tcW w:w="1804" w:type="dxa"/>
          </w:tcPr>
          <w:p w14:paraId="580298AE" w14:textId="77777777" w:rsidR="00A11F7B" w:rsidRPr="00705754" w:rsidRDefault="00A11F7B" w:rsidP="006C41F3">
            <w:pPr>
              <w:rPr>
                <w:rFonts w:asciiTheme="minorHAnsi" w:eastAsiaTheme="minorHAnsi" w:hAnsiTheme="minorHAnsi" w:cs="TeXGyrePagella-Regular"/>
                <w:color w:val="000000"/>
              </w:rPr>
            </w:pPr>
            <w:r w:rsidRPr="00705754">
              <w:rPr>
                <w:rFonts w:asciiTheme="minorHAnsi" w:hAnsiTheme="minorHAnsi"/>
              </w:rPr>
              <w:t>CDC</w:t>
            </w:r>
          </w:p>
        </w:tc>
        <w:tc>
          <w:tcPr>
            <w:tcW w:w="6680" w:type="dxa"/>
          </w:tcPr>
          <w:p w14:paraId="76A8384E" w14:textId="77777777" w:rsidR="00A11F7B" w:rsidRPr="00FD119B" w:rsidDel="0031006E" w:rsidRDefault="00A11F7B">
            <w:r>
              <w:rPr>
                <w:rFonts w:asciiTheme="minorHAnsi" w:hAnsiTheme="minorHAnsi"/>
              </w:rPr>
              <w:t>C</w:t>
            </w:r>
            <w:r w:rsidRPr="00705754">
              <w:rPr>
                <w:rFonts w:asciiTheme="minorHAnsi" w:hAnsiTheme="minorHAnsi"/>
              </w:rPr>
              <w:t>om</w:t>
            </w:r>
            <w:r>
              <w:rPr>
                <w:rFonts w:asciiTheme="minorHAnsi" w:hAnsiTheme="minorHAnsi"/>
              </w:rPr>
              <w:t>plement dependent cytotoxicity</w:t>
            </w:r>
          </w:p>
        </w:tc>
      </w:tr>
      <w:tr w:rsidR="00DF4CFD" w:rsidRPr="00FD119B" w14:paraId="2F83B866" w14:textId="77777777" w:rsidTr="00167558">
        <w:tc>
          <w:tcPr>
            <w:tcW w:w="1804" w:type="dxa"/>
          </w:tcPr>
          <w:p w14:paraId="316B0E72" w14:textId="30712558" w:rsidR="00DF4CFD" w:rsidRPr="00705754" w:rsidRDefault="00DF4CFD" w:rsidP="006C41F3">
            <w:pPr>
              <w:rPr>
                <w:rFonts w:asciiTheme="minorHAnsi" w:hAnsiTheme="minorHAnsi"/>
              </w:rPr>
            </w:pPr>
            <w:r>
              <w:rPr>
                <w:rFonts w:asciiTheme="minorHAnsi" w:hAnsiTheme="minorHAnsi"/>
              </w:rPr>
              <w:t>CHMP</w:t>
            </w:r>
          </w:p>
        </w:tc>
        <w:tc>
          <w:tcPr>
            <w:tcW w:w="6680" w:type="dxa"/>
          </w:tcPr>
          <w:p w14:paraId="731609D2" w14:textId="41ADB8B4" w:rsidR="00DF4CFD" w:rsidRDefault="00DF4CFD">
            <w:pPr>
              <w:rPr>
                <w:rFonts w:asciiTheme="minorHAnsi" w:hAnsiTheme="minorHAnsi"/>
              </w:rPr>
            </w:pPr>
            <w:r w:rsidRPr="00DF4CFD">
              <w:rPr>
                <w:rFonts w:asciiTheme="minorHAnsi" w:hAnsiTheme="minorHAnsi"/>
              </w:rPr>
              <w:t>Committee for Medicinal Products for Human Use</w:t>
            </w:r>
            <w:r>
              <w:rPr>
                <w:rFonts w:asciiTheme="minorHAnsi" w:hAnsiTheme="minorHAnsi"/>
              </w:rPr>
              <w:t xml:space="preserve"> (European Union)</w:t>
            </w:r>
          </w:p>
        </w:tc>
      </w:tr>
      <w:tr w:rsidR="00A11F7B" w:rsidRPr="00FD119B" w14:paraId="1C616909" w14:textId="77777777" w:rsidTr="00167558">
        <w:tc>
          <w:tcPr>
            <w:tcW w:w="1804" w:type="dxa"/>
          </w:tcPr>
          <w:p w14:paraId="3D978B0F" w14:textId="77777777" w:rsidR="00A11F7B" w:rsidRPr="00705754" w:rsidRDefault="00A11F7B" w:rsidP="006C41F3">
            <w:pPr>
              <w:rPr>
                <w:rFonts w:asciiTheme="minorHAnsi" w:eastAsiaTheme="minorHAnsi" w:hAnsiTheme="minorHAnsi" w:cs="TeXGyrePagella-Regular"/>
                <w:color w:val="000000"/>
              </w:rPr>
            </w:pPr>
            <w:r w:rsidRPr="0033276C">
              <w:t>CHO</w:t>
            </w:r>
          </w:p>
        </w:tc>
        <w:tc>
          <w:tcPr>
            <w:tcW w:w="6680" w:type="dxa"/>
          </w:tcPr>
          <w:p w14:paraId="79BE80D5" w14:textId="35E75EAD" w:rsidR="00A11F7B" w:rsidRPr="00FD119B" w:rsidDel="0031006E" w:rsidRDefault="00A11F7B">
            <w:r>
              <w:t xml:space="preserve">Chinese </w:t>
            </w:r>
            <w:r w:rsidR="006C6F0E">
              <w:t>h</w:t>
            </w:r>
            <w:r>
              <w:t xml:space="preserve">amster </w:t>
            </w:r>
            <w:r w:rsidR="006C6F0E">
              <w:t>o</w:t>
            </w:r>
            <w:r>
              <w:t>vary</w:t>
            </w:r>
          </w:p>
        </w:tc>
      </w:tr>
      <w:tr w:rsidR="00A11F7B" w:rsidRPr="00FD119B" w14:paraId="26138082" w14:textId="77777777" w:rsidTr="00E87767">
        <w:tc>
          <w:tcPr>
            <w:tcW w:w="1804" w:type="dxa"/>
          </w:tcPr>
          <w:p w14:paraId="60074945" w14:textId="77777777" w:rsidR="00A11F7B" w:rsidRDefault="00A11F7B" w:rsidP="006C41F3">
            <w:r w:rsidRPr="000F61D3">
              <w:t>CL</w:t>
            </w:r>
          </w:p>
        </w:tc>
        <w:tc>
          <w:tcPr>
            <w:tcW w:w="6680" w:type="dxa"/>
          </w:tcPr>
          <w:p w14:paraId="1292D574" w14:textId="77777777" w:rsidR="00A11F7B" w:rsidRDefault="00A11F7B" w:rsidP="00A11F7B">
            <w:r>
              <w:t>Clearance</w:t>
            </w:r>
          </w:p>
        </w:tc>
      </w:tr>
      <w:tr w:rsidR="00A11F7B" w:rsidRPr="00FD119B" w14:paraId="28CD5774" w14:textId="77777777" w:rsidTr="00E87767">
        <w:tc>
          <w:tcPr>
            <w:tcW w:w="1804" w:type="dxa"/>
          </w:tcPr>
          <w:p w14:paraId="5535CC00" w14:textId="77777777" w:rsidR="00A11F7B" w:rsidRDefault="00A11F7B" w:rsidP="006C41F3">
            <w:r w:rsidRPr="00A07330">
              <w:rPr>
                <w:rFonts w:eastAsiaTheme="minorHAnsi" w:cs="Cambria"/>
                <w:color w:val="000000"/>
              </w:rPr>
              <w:t>C</w:t>
            </w:r>
            <w:r w:rsidRPr="00DB19EA">
              <w:rPr>
                <w:rFonts w:eastAsiaTheme="minorHAnsi" w:cs="Cambria"/>
                <w:color w:val="000000"/>
                <w:vertAlign w:val="subscript"/>
              </w:rPr>
              <w:t>max</w:t>
            </w:r>
          </w:p>
        </w:tc>
        <w:tc>
          <w:tcPr>
            <w:tcW w:w="6680" w:type="dxa"/>
          </w:tcPr>
          <w:p w14:paraId="0BDFEE80" w14:textId="77777777" w:rsidR="00A11F7B" w:rsidRDefault="00A11F7B" w:rsidP="00A11F7B">
            <w:r>
              <w:rPr>
                <w:rFonts w:eastAsiaTheme="minorHAnsi" w:cs="Cambria"/>
                <w:color w:val="000000"/>
              </w:rPr>
              <w:t>Maximum plasma concentration</w:t>
            </w:r>
          </w:p>
        </w:tc>
      </w:tr>
      <w:tr w:rsidR="00A11F7B" w:rsidRPr="00FD119B" w14:paraId="32E31211" w14:textId="77777777" w:rsidTr="00167558">
        <w:tc>
          <w:tcPr>
            <w:tcW w:w="1804" w:type="dxa"/>
          </w:tcPr>
          <w:p w14:paraId="68A0C465" w14:textId="77777777" w:rsidR="00A11F7B" w:rsidRPr="00324DB7" w:rsidRDefault="00A11F7B" w:rsidP="006C41F3">
            <w:r w:rsidRPr="005845D2">
              <w:t>CNS</w:t>
            </w:r>
          </w:p>
        </w:tc>
        <w:tc>
          <w:tcPr>
            <w:tcW w:w="6680" w:type="dxa"/>
          </w:tcPr>
          <w:p w14:paraId="7A9B4CED" w14:textId="77777777" w:rsidR="00A11F7B" w:rsidRDefault="00A11F7B">
            <w:r>
              <w:t>Central nervous system</w:t>
            </w:r>
          </w:p>
        </w:tc>
      </w:tr>
      <w:tr w:rsidR="00A11F7B" w:rsidRPr="00FD119B" w14:paraId="7CF2E877" w14:textId="77777777" w:rsidTr="00167558">
        <w:tc>
          <w:tcPr>
            <w:tcW w:w="1804" w:type="dxa"/>
          </w:tcPr>
          <w:p w14:paraId="4C38D44A" w14:textId="77777777" w:rsidR="00A11F7B" w:rsidRDefault="00A11F7B" w:rsidP="006C41F3">
            <w:r w:rsidRPr="00504D5C">
              <w:t>CR</w:t>
            </w:r>
          </w:p>
        </w:tc>
        <w:tc>
          <w:tcPr>
            <w:tcW w:w="6680" w:type="dxa"/>
          </w:tcPr>
          <w:p w14:paraId="3B350AFA" w14:textId="77777777" w:rsidR="00A11F7B" w:rsidRDefault="00A11F7B" w:rsidP="00A11F7B">
            <w:r>
              <w:t>Complete response</w:t>
            </w:r>
          </w:p>
        </w:tc>
      </w:tr>
      <w:tr w:rsidR="00A11F7B" w:rsidRPr="00FD119B" w14:paraId="41462511" w14:textId="77777777" w:rsidTr="00167558">
        <w:tc>
          <w:tcPr>
            <w:tcW w:w="1804" w:type="dxa"/>
          </w:tcPr>
          <w:p w14:paraId="0DCD20A8" w14:textId="77777777" w:rsidR="00A11F7B" w:rsidRDefault="00A11F7B" w:rsidP="006C41F3">
            <w:r w:rsidRPr="000F476B">
              <w:t>CV</w:t>
            </w:r>
          </w:p>
        </w:tc>
        <w:tc>
          <w:tcPr>
            <w:tcW w:w="6680" w:type="dxa"/>
          </w:tcPr>
          <w:p w14:paraId="116A9797" w14:textId="77777777" w:rsidR="00A11F7B" w:rsidRPr="009C1794" w:rsidRDefault="00A11F7B">
            <w:r>
              <w:t>Coefficient of variation</w:t>
            </w:r>
          </w:p>
        </w:tc>
      </w:tr>
      <w:tr w:rsidR="00A11F7B" w:rsidRPr="00FD119B" w14:paraId="2CBEA47C" w14:textId="77777777" w:rsidTr="00167558">
        <w:tc>
          <w:tcPr>
            <w:tcW w:w="1804" w:type="dxa"/>
          </w:tcPr>
          <w:p w14:paraId="3B08D345" w14:textId="77777777" w:rsidR="00A11F7B" w:rsidRPr="00705754" w:rsidRDefault="00A11F7B" w:rsidP="006C41F3">
            <w:pPr>
              <w:rPr>
                <w:rFonts w:asciiTheme="minorHAnsi" w:eastAsiaTheme="minorHAnsi" w:hAnsiTheme="minorHAnsi" w:cs="TeXGyrePagella-Regular"/>
                <w:color w:val="000000"/>
              </w:rPr>
            </w:pPr>
            <w:r w:rsidRPr="004B5C43">
              <w:t>DLBCL</w:t>
            </w:r>
          </w:p>
        </w:tc>
        <w:tc>
          <w:tcPr>
            <w:tcW w:w="6680" w:type="dxa"/>
          </w:tcPr>
          <w:p w14:paraId="5C9DCC97" w14:textId="77777777" w:rsidR="00A11F7B" w:rsidRPr="00FD119B" w:rsidDel="0031006E" w:rsidRDefault="00A11F7B">
            <w:r>
              <w:t xml:space="preserve">Diffuse large B </w:t>
            </w:r>
            <w:r w:rsidRPr="00AC2556">
              <w:t>cell lymphom</w:t>
            </w:r>
            <w:r>
              <w:t>a</w:t>
            </w:r>
          </w:p>
        </w:tc>
      </w:tr>
      <w:tr w:rsidR="00A11F7B" w:rsidRPr="00FD119B" w14:paraId="0730E264" w14:textId="77777777" w:rsidTr="00E87767">
        <w:tc>
          <w:tcPr>
            <w:tcW w:w="1804" w:type="dxa"/>
          </w:tcPr>
          <w:p w14:paraId="28B8E48B" w14:textId="77777777" w:rsidR="00A11F7B" w:rsidRDefault="00A11F7B" w:rsidP="006C41F3">
            <w:r>
              <w:t>DLP</w:t>
            </w:r>
          </w:p>
        </w:tc>
        <w:tc>
          <w:tcPr>
            <w:tcW w:w="6680" w:type="dxa"/>
          </w:tcPr>
          <w:p w14:paraId="58246483" w14:textId="77777777" w:rsidR="00A11F7B" w:rsidRDefault="00A11F7B" w:rsidP="00A11F7B">
            <w:r>
              <w:t>Data lock point</w:t>
            </w:r>
          </w:p>
        </w:tc>
      </w:tr>
      <w:tr w:rsidR="00A11F7B" w:rsidRPr="00FD119B" w14:paraId="7E447C32" w14:textId="77777777" w:rsidTr="00167558">
        <w:tc>
          <w:tcPr>
            <w:tcW w:w="1804" w:type="dxa"/>
          </w:tcPr>
          <w:p w14:paraId="7969BFE9" w14:textId="77777777" w:rsidR="00A11F7B" w:rsidRDefault="00A11F7B" w:rsidP="006C41F3">
            <w:r w:rsidRPr="00447CB8">
              <w:t>DOR</w:t>
            </w:r>
          </w:p>
        </w:tc>
        <w:tc>
          <w:tcPr>
            <w:tcW w:w="6680" w:type="dxa"/>
          </w:tcPr>
          <w:p w14:paraId="68F44694" w14:textId="77777777" w:rsidR="00A11F7B" w:rsidRDefault="00A11F7B">
            <w:r>
              <w:t>Duration of response</w:t>
            </w:r>
          </w:p>
        </w:tc>
      </w:tr>
      <w:tr w:rsidR="00A11F7B" w:rsidRPr="00FD119B" w14:paraId="1E66F137" w14:textId="77777777" w:rsidTr="00167558">
        <w:tc>
          <w:tcPr>
            <w:tcW w:w="1804" w:type="dxa"/>
          </w:tcPr>
          <w:p w14:paraId="245D819A" w14:textId="77777777" w:rsidR="00A11F7B" w:rsidRPr="00705754" w:rsidRDefault="00A11F7B" w:rsidP="006C41F3">
            <w:pPr>
              <w:rPr>
                <w:rFonts w:asciiTheme="minorHAnsi" w:eastAsiaTheme="minorHAnsi" w:hAnsiTheme="minorHAnsi" w:cs="TeXGyrePagella-Regular"/>
                <w:color w:val="000000"/>
              </w:rPr>
            </w:pPr>
            <w:r w:rsidRPr="0033276C">
              <w:t>DP</w:t>
            </w:r>
          </w:p>
        </w:tc>
        <w:tc>
          <w:tcPr>
            <w:tcW w:w="6680" w:type="dxa"/>
          </w:tcPr>
          <w:p w14:paraId="3241B91A" w14:textId="77777777" w:rsidR="00A11F7B" w:rsidRPr="00FD119B" w:rsidDel="0031006E" w:rsidRDefault="00A11F7B">
            <w:r>
              <w:t>Drug product</w:t>
            </w:r>
          </w:p>
        </w:tc>
      </w:tr>
      <w:tr w:rsidR="00A11F7B" w:rsidRPr="00FD119B" w14:paraId="19FB30B7" w14:textId="77777777" w:rsidTr="00167558">
        <w:tc>
          <w:tcPr>
            <w:tcW w:w="1804" w:type="dxa"/>
          </w:tcPr>
          <w:p w14:paraId="6E408B7E" w14:textId="77777777" w:rsidR="00A11F7B" w:rsidRDefault="00A11F7B" w:rsidP="006C41F3">
            <w:r>
              <w:rPr>
                <w:lang w:eastAsia="ja-JP"/>
              </w:rPr>
              <w:t>ECG</w:t>
            </w:r>
          </w:p>
        </w:tc>
        <w:tc>
          <w:tcPr>
            <w:tcW w:w="6680" w:type="dxa"/>
          </w:tcPr>
          <w:p w14:paraId="3D3449AC" w14:textId="77777777" w:rsidR="00A11F7B" w:rsidRPr="009C1794" w:rsidRDefault="00A11F7B">
            <w:r>
              <w:rPr>
                <w:lang w:eastAsia="ja-JP"/>
              </w:rPr>
              <w:t>E</w:t>
            </w:r>
            <w:r w:rsidRPr="00EC1F86">
              <w:rPr>
                <w:lang w:eastAsia="ja-JP"/>
              </w:rPr>
              <w:t>lectrocardiogram</w:t>
            </w:r>
          </w:p>
        </w:tc>
      </w:tr>
      <w:tr w:rsidR="00A11F7B" w:rsidRPr="00FD119B" w14:paraId="29F66D0B" w14:textId="77777777" w:rsidTr="00167558">
        <w:tc>
          <w:tcPr>
            <w:tcW w:w="1804" w:type="dxa"/>
          </w:tcPr>
          <w:p w14:paraId="54889F2A" w14:textId="77777777" w:rsidR="00A11F7B" w:rsidRPr="00705754" w:rsidRDefault="00A11F7B" w:rsidP="006C41F3">
            <w:pPr>
              <w:rPr>
                <w:rFonts w:asciiTheme="minorHAnsi" w:eastAsiaTheme="minorHAnsi" w:hAnsiTheme="minorHAnsi" w:cs="TeXGyrePagella-Regular"/>
                <w:color w:val="000000"/>
              </w:rPr>
            </w:pPr>
            <w:r w:rsidRPr="00705754">
              <w:lastRenderedPageBreak/>
              <w:t>EMA</w:t>
            </w:r>
          </w:p>
        </w:tc>
        <w:tc>
          <w:tcPr>
            <w:tcW w:w="6680" w:type="dxa"/>
          </w:tcPr>
          <w:p w14:paraId="184F016D" w14:textId="0908F43E" w:rsidR="00A11F7B" w:rsidRPr="00FD119B" w:rsidDel="0031006E" w:rsidRDefault="00A11F7B">
            <w:r>
              <w:t>European Medicines Agency</w:t>
            </w:r>
            <w:r w:rsidR="006C6F0E">
              <w:t xml:space="preserve"> (European Union)</w:t>
            </w:r>
          </w:p>
        </w:tc>
      </w:tr>
      <w:tr w:rsidR="00A11F7B" w:rsidRPr="00FD119B" w14:paraId="601E34FA" w14:textId="77777777" w:rsidTr="00E87767">
        <w:tc>
          <w:tcPr>
            <w:tcW w:w="1804" w:type="dxa"/>
          </w:tcPr>
          <w:p w14:paraId="6DC20C8B" w14:textId="77777777" w:rsidR="00A11F7B" w:rsidRDefault="00A11F7B" w:rsidP="006C41F3">
            <w:r>
              <w:t>EU</w:t>
            </w:r>
          </w:p>
        </w:tc>
        <w:tc>
          <w:tcPr>
            <w:tcW w:w="6680" w:type="dxa"/>
          </w:tcPr>
          <w:p w14:paraId="486830A0" w14:textId="77777777" w:rsidR="00A11F7B" w:rsidRDefault="00A11F7B" w:rsidP="00A11F7B">
            <w:r w:rsidRPr="00142806">
              <w:t>E</w:t>
            </w:r>
            <w:r>
              <w:t>uropean Union</w:t>
            </w:r>
          </w:p>
        </w:tc>
      </w:tr>
      <w:tr w:rsidR="00A11F7B" w:rsidRPr="00FD119B" w14:paraId="60D3DEDF" w14:textId="77777777" w:rsidTr="00167558">
        <w:tc>
          <w:tcPr>
            <w:tcW w:w="1804" w:type="dxa"/>
          </w:tcPr>
          <w:p w14:paraId="01E34646" w14:textId="77777777" w:rsidR="00A11F7B" w:rsidRPr="00705754" w:rsidRDefault="00A11F7B" w:rsidP="006C41F3">
            <w:pPr>
              <w:rPr>
                <w:rFonts w:asciiTheme="minorHAnsi" w:eastAsiaTheme="minorHAnsi" w:hAnsiTheme="minorHAnsi" w:cs="TeXGyrePagella-Regular"/>
                <w:color w:val="000000"/>
              </w:rPr>
            </w:pPr>
            <w:r w:rsidRPr="00705754">
              <w:rPr>
                <w:rFonts w:asciiTheme="minorHAnsi" w:hAnsiTheme="minorHAnsi"/>
              </w:rPr>
              <w:t>Fc</w:t>
            </w:r>
          </w:p>
        </w:tc>
        <w:tc>
          <w:tcPr>
            <w:tcW w:w="6680" w:type="dxa"/>
          </w:tcPr>
          <w:p w14:paraId="070B8AAE" w14:textId="77777777" w:rsidR="00A11F7B" w:rsidRPr="00FD119B" w:rsidDel="0031006E" w:rsidRDefault="00A11F7B">
            <w:r>
              <w:rPr>
                <w:rFonts w:asciiTheme="minorHAnsi" w:hAnsiTheme="minorHAnsi"/>
              </w:rPr>
              <w:t>F</w:t>
            </w:r>
            <w:r w:rsidRPr="00705754">
              <w:rPr>
                <w:rFonts w:asciiTheme="minorHAnsi" w:hAnsiTheme="minorHAnsi"/>
              </w:rPr>
              <w:t>ragment crystalline</w:t>
            </w:r>
          </w:p>
        </w:tc>
      </w:tr>
      <w:tr w:rsidR="00A11F7B" w:rsidRPr="00FD119B" w14:paraId="51C457B8" w14:textId="77777777" w:rsidTr="00167558">
        <w:tc>
          <w:tcPr>
            <w:tcW w:w="1804" w:type="dxa"/>
          </w:tcPr>
          <w:p w14:paraId="3B1A018C" w14:textId="77777777" w:rsidR="00A11F7B" w:rsidRPr="00705754" w:rsidRDefault="00A11F7B" w:rsidP="006C41F3">
            <w:pPr>
              <w:rPr>
                <w:rFonts w:asciiTheme="minorHAnsi" w:eastAsiaTheme="minorHAnsi" w:hAnsiTheme="minorHAnsi" w:cs="TeXGyrePagella-Regular"/>
                <w:color w:val="000000"/>
              </w:rPr>
            </w:pPr>
            <w:r w:rsidRPr="00705754">
              <w:t>FDA</w:t>
            </w:r>
          </w:p>
        </w:tc>
        <w:tc>
          <w:tcPr>
            <w:tcW w:w="6680" w:type="dxa"/>
          </w:tcPr>
          <w:p w14:paraId="6FBA1BAB" w14:textId="6C99F9B1" w:rsidR="00A11F7B" w:rsidRPr="00FD119B" w:rsidDel="0031006E" w:rsidRDefault="00A11F7B">
            <w:r>
              <w:t>Food and Drug Administration</w:t>
            </w:r>
            <w:r w:rsidR="006C6F0E">
              <w:t xml:space="preserve"> (United States)</w:t>
            </w:r>
          </w:p>
        </w:tc>
      </w:tr>
      <w:tr w:rsidR="00A11F7B" w:rsidRPr="00FD119B" w14:paraId="7C7E907F" w14:textId="77777777" w:rsidTr="00E87767">
        <w:tc>
          <w:tcPr>
            <w:tcW w:w="1804" w:type="dxa"/>
          </w:tcPr>
          <w:p w14:paraId="74661D8F" w14:textId="77777777" w:rsidR="00A11F7B" w:rsidRDefault="00A11F7B" w:rsidP="006C41F3">
            <w:r>
              <w:t>G-CSF</w:t>
            </w:r>
          </w:p>
        </w:tc>
        <w:tc>
          <w:tcPr>
            <w:tcW w:w="6680" w:type="dxa"/>
          </w:tcPr>
          <w:p w14:paraId="0C88F07D" w14:textId="77777777" w:rsidR="00A11F7B" w:rsidRDefault="00A11F7B" w:rsidP="00A11F7B">
            <w:r>
              <w:t>G</w:t>
            </w:r>
            <w:r w:rsidRPr="00F42CD5">
              <w:t>ranulocyte colony-stimulating factor</w:t>
            </w:r>
          </w:p>
        </w:tc>
      </w:tr>
      <w:tr w:rsidR="00A11F7B" w:rsidRPr="00FD119B" w14:paraId="50AA46D8" w14:textId="77777777" w:rsidTr="00167558">
        <w:tc>
          <w:tcPr>
            <w:tcW w:w="1804" w:type="dxa"/>
          </w:tcPr>
          <w:p w14:paraId="1E7A54F8" w14:textId="77777777" w:rsidR="00A11F7B" w:rsidRPr="00705754" w:rsidRDefault="00A11F7B" w:rsidP="006C41F3">
            <w:pPr>
              <w:rPr>
                <w:rFonts w:asciiTheme="minorHAnsi" w:eastAsiaTheme="minorHAnsi" w:hAnsiTheme="minorHAnsi" w:cs="TeXGyrePagella-Regular"/>
                <w:color w:val="000000"/>
              </w:rPr>
            </w:pPr>
            <w:r w:rsidRPr="00D224ED">
              <w:t>GLP</w:t>
            </w:r>
          </w:p>
        </w:tc>
        <w:tc>
          <w:tcPr>
            <w:tcW w:w="6680" w:type="dxa"/>
          </w:tcPr>
          <w:p w14:paraId="561A793F" w14:textId="77777777" w:rsidR="00A11F7B" w:rsidRPr="00FD119B" w:rsidDel="0031006E" w:rsidRDefault="00A11F7B">
            <w:r>
              <w:t>Good Laboratory Practice</w:t>
            </w:r>
          </w:p>
        </w:tc>
      </w:tr>
      <w:tr w:rsidR="00A11F7B" w:rsidRPr="00FD119B" w14:paraId="62E98D7E" w14:textId="77777777" w:rsidTr="00167558">
        <w:tc>
          <w:tcPr>
            <w:tcW w:w="1804" w:type="dxa"/>
          </w:tcPr>
          <w:p w14:paraId="2F6CA7F5" w14:textId="77777777" w:rsidR="00A11F7B" w:rsidRDefault="00A11F7B" w:rsidP="006C41F3">
            <w:r w:rsidRPr="000F476B">
              <w:t>HR</w:t>
            </w:r>
          </w:p>
        </w:tc>
        <w:tc>
          <w:tcPr>
            <w:tcW w:w="6680" w:type="dxa"/>
          </w:tcPr>
          <w:p w14:paraId="76743386" w14:textId="77777777" w:rsidR="00A11F7B" w:rsidRDefault="00A11F7B">
            <w:r>
              <w:t>Heart rate</w:t>
            </w:r>
          </w:p>
        </w:tc>
      </w:tr>
      <w:tr w:rsidR="00A11F7B" w:rsidRPr="00FD119B" w14:paraId="4ED619F9" w14:textId="77777777" w:rsidTr="00167558">
        <w:tc>
          <w:tcPr>
            <w:tcW w:w="1804" w:type="dxa"/>
          </w:tcPr>
          <w:p w14:paraId="34E617AE" w14:textId="77777777" w:rsidR="00A11F7B" w:rsidRPr="00324DB7" w:rsidRDefault="00A11F7B" w:rsidP="006C41F3">
            <w:r>
              <w:t>ICH</w:t>
            </w:r>
          </w:p>
        </w:tc>
        <w:tc>
          <w:tcPr>
            <w:tcW w:w="6680" w:type="dxa"/>
          </w:tcPr>
          <w:p w14:paraId="7A27402E" w14:textId="77777777" w:rsidR="00A11F7B" w:rsidRDefault="00A11F7B" w:rsidP="006B37C4">
            <w:r w:rsidRPr="009C1794">
              <w:t>International Council for Harmonisation of Technical Requirements for Pharmaceuticals for Human Use</w:t>
            </w:r>
          </w:p>
        </w:tc>
      </w:tr>
      <w:tr w:rsidR="00A11F7B" w:rsidRPr="00FD119B" w14:paraId="1ED17076" w14:textId="77777777" w:rsidTr="00167558">
        <w:tc>
          <w:tcPr>
            <w:tcW w:w="1804" w:type="dxa"/>
          </w:tcPr>
          <w:p w14:paraId="06AF49A4" w14:textId="77777777" w:rsidR="00A11F7B" w:rsidRPr="00705754" w:rsidRDefault="00A11F7B" w:rsidP="006C41F3">
            <w:pPr>
              <w:rPr>
                <w:rFonts w:asciiTheme="minorHAnsi" w:eastAsiaTheme="minorHAnsi" w:hAnsiTheme="minorHAnsi" w:cs="TeXGyrePagella-Regular"/>
                <w:color w:val="000000"/>
              </w:rPr>
            </w:pPr>
            <w:r w:rsidRPr="00705754">
              <w:rPr>
                <w:rFonts w:asciiTheme="minorHAnsi" w:hAnsiTheme="minorHAnsi"/>
              </w:rPr>
              <w:t>IgG</w:t>
            </w:r>
          </w:p>
        </w:tc>
        <w:tc>
          <w:tcPr>
            <w:tcW w:w="6680" w:type="dxa"/>
          </w:tcPr>
          <w:p w14:paraId="0DA8C670" w14:textId="77777777" w:rsidR="00A11F7B" w:rsidRPr="00FD119B" w:rsidDel="0031006E" w:rsidRDefault="00A11F7B">
            <w:r>
              <w:rPr>
                <w:rFonts w:asciiTheme="minorHAnsi" w:hAnsiTheme="minorHAnsi"/>
              </w:rPr>
              <w:t>Immunoglobulin G</w:t>
            </w:r>
          </w:p>
        </w:tc>
      </w:tr>
      <w:tr w:rsidR="00A11F7B" w:rsidRPr="00FD119B" w14:paraId="18DD6F75" w14:textId="77777777" w:rsidTr="00167558">
        <w:tc>
          <w:tcPr>
            <w:tcW w:w="1804" w:type="dxa"/>
          </w:tcPr>
          <w:p w14:paraId="63D41410" w14:textId="77777777" w:rsidR="00A11F7B" w:rsidRPr="00705754" w:rsidRDefault="00A11F7B" w:rsidP="006C41F3">
            <w:pPr>
              <w:rPr>
                <w:rFonts w:asciiTheme="minorHAnsi" w:eastAsiaTheme="minorHAnsi" w:hAnsiTheme="minorHAnsi" w:cs="TeXGyrePagella-Regular"/>
                <w:color w:val="000000"/>
              </w:rPr>
            </w:pPr>
            <w:r w:rsidRPr="00705754">
              <w:rPr>
                <w:rFonts w:asciiTheme="minorHAnsi" w:eastAsia="ArialMT" w:hAnsiTheme="minorHAnsi" w:cs="ArialMT"/>
              </w:rPr>
              <w:t>IgG1κ</w:t>
            </w:r>
          </w:p>
        </w:tc>
        <w:tc>
          <w:tcPr>
            <w:tcW w:w="6680" w:type="dxa"/>
          </w:tcPr>
          <w:p w14:paraId="5A12A8AA" w14:textId="77777777" w:rsidR="00A11F7B" w:rsidRPr="00FD119B" w:rsidDel="0031006E" w:rsidRDefault="00A11F7B">
            <w:r>
              <w:rPr>
                <w:rFonts w:asciiTheme="minorHAnsi" w:eastAsia="ArialMT" w:hAnsiTheme="minorHAnsi" w:cs="ArialMT"/>
              </w:rPr>
              <w:t>I</w:t>
            </w:r>
            <w:r w:rsidRPr="00705754">
              <w:rPr>
                <w:rFonts w:asciiTheme="minorHAnsi" w:eastAsia="ArialMT" w:hAnsiTheme="minorHAnsi" w:cs="ArialMT"/>
              </w:rPr>
              <w:t>mmunog</w:t>
            </w:r>
            <w:r>
              <w:rPr>
                <w:rFonts w:asciiTheme="minorHAnsi" w:eastAsia="ArialMT" w:hAnsiTheme="minorHAnsi" w:cs="ArialMT"/>
              </w:rPr>
              <w:t>lobulin G1 kappa</w:t>
            </w:r>
          </w:p>
        </w:tc>
      </w:tr>
      <w:tr w:rsidR="00A11F7B" w:rsidRPr="00FD119B" w14:paraId="57299353" w14:textId="77777777" w:rsidTr="00167558">
        <w:tc>
          <w:tcPr>
            <w:tcW w:w="1804" w:type="dxa"/>
          </w:tcPr>
          <w:p w14:paraId="02098BFD" w14:textId="77777777" w:rsidR="00A11F7B" w:rsidRDefault="00A11F7B" w:rsidP="006C41F3">
            <w:r>
              <w:t>IR</w:t>
            </w:r>
          </w:p>
        </w:tc>
        <w:tc>
          <w:tcPr>
            <w:tcW w:w="6680" w:type="dxa"/>
          </w:tcPr>
          <w:p w14:paraId="434C0A07" w14:textId="21468658" w:rsidR="00A11F7B" w:rsidRDefault="00A11F7B" w:rsidP="00711D69">
            <w:r>
              <w:t>Infusion reaction</w:t>
            </w:r>
          </w:p>
        </w:tc>
      </w:tr>
      <w:tr w:rsidR="00A11F7B" w:rsidRPr="00FD119B" w14:paraId="1D462FB4" w14:textId="77777777" w:rsidTr="00E87767">
        <w:tc>
          <w:tcPr>
            <w:tcW w:w="1804" w:type="dxa"/>
          </w:tcPr>
          <w:p w14:paraId="7105AD64" w14:textId="77777777" w:rsidR="00A11F7B" w:rsidRDefault="00A11F7B" w:rsidP="006C41F3">
            <w:r w:rsidRPr="00504D5C">
              <w:t>IRC</w:t>
            </w:r>
          </w:p>
        </w:tc>
        <w:tc>
          <w:tcPr>
            <w:tcW w:w="6680" w:type="dxa"/>
          </w:tcPr>
          <w:p w14:paraId="01D9D828" w14:textId="77777777" w:rsidR="00A11F7B" w:rsidRDefault="00A11F7B" w:rsidP="00A11F7B">
            <w:r>
              <w:t>Independent Review Committee</w:t>
            </w:r>
          </w:p>
        </w:tc>
      </w:tr>
      <w:tr w:rsidR="00A11F7B" w:rsidRPr="00FD119B" w14:paraId="6F1DE558" w14:textId="77777777" w:rsidTr="00167558">
        <w:tc>
          <w:tcPr>
            <w:tcW w:w="1804" w:type="dxa"/>
          </w:tcPr>
          <w:p w14:paraId="28A0D693" w14:textId="77777777" w:rsidR="00A11F7B" w:rsidRDefault="00A11F7B" w:rsidP="006C41F3">
            <w:r w:rsidRPr="00C70A29">
              <w:rPr>
                <w:lang w:eastAsia="ja-JP"/>
              </w:rPr>
              <w:t>ISE</w:t>
            </w:r>
          </w:p>
        </w:tc>
        <w:tc>
          <w:tcPr>
            <w:tcW w:w="6680" w:type="dxa"/>
          </w:tcPr>
          <w:p w14:paraId="3D548923" w14:textId="77777777" w:rsidR="00A11F7B" w:rsidRPr="009C1794" w:rsidRDefault="00A11F7B">
            <w:r>
              <w:rPr>
                <w:lang w:eastAsia="ja-JP"/>
              </w:rPr>
              <w:t>Integrated summary of efficacy</w:t>
            </w:r>
          </w:p>
        </w:tc>
      </w:tr>
      <w:tr w:rsidR="00A11F7B" w:rsidRPr="00FD119B" w14:paraId="71E9D433" w14:textId="77777777" w:rsidTr="00167558">
        <w:tc>
          <w:tcPr>
            <w:tcW w:w="1804" w:type="dxa"/>
          </w:tcPr>
          <w:p w14:paraId="68F454CE" w14:textId="77777777" w:rsidR="00A11F7B" w:rsidRDefault="00A11F7B" w:rsidP="006C41F3">
            <w:r>
              <w:rPr>
                <w:lang w:eastAsia="ja-JP"/>
              </w:rPr>
              <w:t>ISS</w:t>
            </w:r>
          </w:p>
        </w:tc>
        <w:tc>
          <w:tcPr>
            <w:tcW w:w="6680" w:type="dxa"/>
          </w:tcPr>
          <w:p w14:paraId="00665C26" w14:textId="77777777" w:rsidR="00A11F7B" w:rsidRPr="009C1794" w:rsidRDefault="00A11F7B">
            <w:r>
              <w:rPr>
                <w:lang w:eastAsia="ja-JP"/>
              </w:rPr>
              <w:t>I</w:t>
            </w:r>
            <w:r w:rsidRPr="00C70A29">
              <w:rPr>
                <w:lang w:eastAsia="ja-JP"/>
              </w:rPr>
              <w:t>ntegrated s</w:t>
            </w:r>
            <w:r>
              <w:rPr>
                <w:lang w:eastAsia="ja-JP"/>
              </w:rPr>
              <w:t>ummary of safety</w:t>
            </w:r>
          </w:p>
        </w:tc>
      </w:tr>
      <w:tr w:rsidR="00A11F7B" w:rsidRPr="00FD119B" w14:paraId="1C6190F5" w14:textId="77777777" w:rsidTr="00167558">
        <w:tc>
          <w:tcPr>
            <w:tcW w:w="1804" w:type="dxa"/>
          </w:tcPr>
          <w:p w14:paraId="327EA3C9" w14:textId="77777777" w:rsidR="00A11F7B" w:rsidRPr="00324DB7" w:rsidRDefault="00A11F7B" w:rsidP="006C41F3">
            <w:r w:rsidRPr="005845D2">
              <w:t>IV</w:t>
            </w:r>
          </w:p>
        </w:tc>
        <w:tc>
          <w:tcPr>
            <w:tcW w:w="6680" w:type="dxa"/>
          </w:tcPr>
          <w:p w14:paraId="3F5E369A" w14:textId="77777777" w:rsidR="00A11F7B" w:rsidRDefault="00A11F7B">
            <w:r>
              <w:t>Intravenous</w:t>
            </w:r>
          </w:p>
        </w:tc>
      </w:tr>
      <w:tr w:rsidR="00A11F7B" w:rsidRPr="00FD119B" w14:paraId="1F869C85" w14:textId="77777777" w:rsidTr="00167558">
        <w:tc>
          <w:tcPr>
            <w:tcW w:w="1804" w:type="dxa"/>
          </w:tcPr>
          <w:p w14:paraId="6602C6C4" w14:textId="20DD53EE" w:rsidR="00A11F7B" w:rsidRPr="00FD119B" w:rsidRDefault="00A11F7B" w:rsidP="006C41F3">
            <w:pPr>
              <w:ind w:right="0"/>
              <w:rPr>
                <w:color w:val="auto"/>
                <w:szCs w:val="22"/>
                <w:lang w:eastAsia="en-US"/>
              </w:rPr>
            </w:pPr>
            <w:r w:rsidRPr="00705754">
              <w:rPr>
                <w:rFonts w:asciiTheme="minorHAnsi" w:eastAsia="TimesNewRoman" w:hAnsiTheme="minorHAnsi" w:cs="TimesNewRoman"/>
                <w:color w:val="000000"/>
              </w:rPr>
              <w:t>MM</w:t>
            </w:r>
          </w:p>
        </w:tc>
        <w:tc>
          <w:tcPr>
            <w:tcW w:w="6680" w:type="dxa"/>
          </w:tcPr>
          <w:p w14:paraId="13903D26" w14:textId="05996FFB" w:rsidR="00A11F7B" w:rsidRPr="00FD119B" w:rsidRDefault="00A11F7B" w:rsidP="00CB6FA7">
            <w:pPr>
              <w:ind w:right="0"/>
              <w:rPr>
                <w:color w:val="auto"/>
                <w:szCs w:val="22"/>
                <w:lang w:eastAsia="en-US"/>
              </w:rPr>
            </w:pPr>
            <w:r>
              <w:rPr>
                <w:rFonts w:asciiTheme="minorHAnsi" w:eastAsia="TimesNewRoman" w:hAnsiTheme="minorHAnsi" w:cs="TimesNewRoman"/>
                <w:color w:val="000000"/>
              </w:rPr>
              <w:t>Multiple myeloma</w:t>
            </w:r>
          </w:p>
        </w:tc>
      </w:tr>
      <w:tr w:rsidR="00A11F7B" w:rsidRPr="00FD119B" w14:paraId="2AF1C989" w14:textId="77777777" w:rsidTr="00E87767">
        <w:tc>
          <w:tcPr>
            <w:tcW w:w="1804" w:type="dxa"/>
          </w:tcPr>
          <w:p w14:paraId="0A2F5943" w14:textId="77777777" w:rsidR="00A11F7B" w:rsidRDefault="00A11F7B" w:rsidP="006C41F3">
            <w:r w:rsidRPr="00BD4D82">
              <w:t>MRD</w:t>
            </w:r>
          </w:p>
        </w:tc>
        <w:tc>
          <w:tcPr>
            <w:tcW w:w="6680" w:type="dxa"/>
          </w:tcPr>
          <w:p w14:paraId="558002A1" w14:textId="77777777" w:rsidR="00A11F7B" w:rsidRDefault="00A11F7B" w:rsidP="00A11F7B">
            <w:r>
              <w:t>Minimal residual disease</w:t>
            </w:r>
          </w:p>
        </w:tc>
      </w:tr>
      <w:tr w:rsidR="00A11F7B" w:rsidRPr="00FD119B" w14:paraId="38600AA0" w14:textId="77777777" w:rsidTr="00167558">
        <w:tc>
          <w:tcPr>
            <w:tcW w:w="1804" w:type="dxa"/>
          </w:tcPr>
          <w:p w14:paraId="18CD4797" w14:textId="77777777" w:rsidR="00A11F7B" w:rsidRPr="00705754" w:rsidRDefault="00A11F7B" w:rsidP="006C41F3">
            <w:pPr>
              <w:rPr>
                <w:rFonts w:asciiTheme="minorHAnsi" w:eastAsiaTheme="minorHAnsi" w:hAnsiTheme="minorHAnsi" w:cs="TeXGyrePagella-Regular"/>
                <w:color w:val="000000"/>
              </w:rPr>
            </w:pPr>
            <w:r>
              <w:t>NK</w:t>
            </w:r>
          </w:p>
        </w:tc>
        <w:tc>
          <w:tcPr>
            <w:tcW w:w="6680" w:type="dxa"/>
          </w:tcPr>
          <w:p w14:paraId="164035E3" w14:textId="77777777" w:rsidR="00A11F7B" w:rsidRPr="00FD119B" w:rsidDel="0031006E" w:rsidRDefault="00A11F7B">
            <w:r>
              <w:t>Natural killer</w:t>
            </w:r>
          </w:p>
        </w:tc>
      </w:tr>
      <w:tr w:rsidR="00A11F7B" w:rsidRPr="00FD119B" w14:paraId="6F865028" w14:textId="77777777" w:rsidTr="00167558">
        <w:tc>
          <w:tcPr>
            <w:tcW w:w="1804" w:type="dxa"/>
          </w:tcPr>
          <w:p w14:paraId="578468B3" w14:textId="77777777" w:rsidR="00A11F7B" w:rsidRPr="000F476B" w:rsidRDefault="00A11F7B" w:rsidP="006C41F3">
            <w:r>
              <w:t>ORR</w:t>
            </w:r>
          </w:p>
        </w:tc>
        <w:tc>
          <w:tcPr>
            <w:tcW w:w="6680" w:type="dxa"/>
          </w:tcPr>
          <w:p w14:paraId="0DB18D4C" w14:textId="77777777" w:rsidR="00A11F7B" w:rsidRDefault="00A11F7B" w:rsidP="00EC1F86">
            <w:r>
              <w:t>Overall response rate</w:t>
            </w:r>
          </w:p>
        </w:tc>
      </w:tr>
      <w:tr w:rsidR="00A11F7B" w:rsidRPr="00FD119B" w14:paraId="7FCF2C1A" w14:textId="77777777" w:rsidTr="00E87767">
        <w:tc>
          <w:tcPr>
            <w:tcW w:w="1804" w:type="dxa"/>
          </w:tcPr>
          <w:p w14:paraId="0EBE0D8A" w14:textId="77777777" w:rsidR="00A11F7B" w:rsidRDefault="00A11F7B" w:rsidP="006C41F3">
            <w:r w:rsidRPr="00504D5C">
              <w:t>OS</w:t>
            </w:r>
          </w:p>
        </w:tc>
        <w:tc>
          <w:tcPr>
            <w:tcW w:w="6680" w:type="dxa"/>
          </w:tcPr>
          <w:p w14:paraId="2C1A161D" w14:textId="77777777" w:rsidR="00A11F7B" w:rsidRDefault="00A11F7B" w:rsidP="00A11F7B">
            <w:r>
              <w:t>Overall survival</w:t>
            </w:r>
          </w:p>
        </w:tc>
      </w:tr>
      <w:tr w:rsidR="00A11F7B" w:rsidRPr="00FD119B" w14:paraId="562931C9" w14:textId="77777777" w:rsidTr="00167558">
        <w:tc>
          <w:tcPr>
            <w:tcW w:w="1804" w:type="dxa"/>
          </w:tcPr>
          <w:p w14:paraId="49DBCBEB" w14:textId="2118011F" w:rsidR="00A11F7B" w:rsidRPr="00705754" w:rsidRDefault="00A11F7B" w:rsidP="006C41F3">
            <w:pPr>
              <w:rPr>
                <w:rFonts w:asciiTheme="minorHAnsi" w:eastAsiaTheme="minorHAnsi" w:hAnsiTheme="minorHAnsi" w:cs="TeXGyrePagella-Regular"/>
                <w:color w:val="000000"/>
              </w:rPr>
            </w:pPr>
            <w:r w:rsidRPr="00324DB7">
              <w:t>PBMC</w:t>
            </w:r>
          </w:p>
        </w:tc>
        <w:tc>
          <w:tcPr>
            <w:tcW w:w="6680" w:type="dxa"/>
          </w:tcPr>
          <w:p w14:paraId="102AD48F" w14:textId="337C8DA9" w:rsidR="00A11F7B" w:rsidRPr="00FD119B" w:rsidDel="0031006E" w:rsidRDefault="00A11F7B">
            <w:r>
              <w:t>P</w:t>
            </w:r>
            <w:r w:rsidRPr="00324DB7">
              <w:t>eri</w:t>
            </w:r>
            <w:r>
              <w:t>pheral blood mononuclear cell</w:t>
            </w:r>
          </w:p>
        </w:tc>
      </w:tr>
      <w:tr w:rsidR="00A11F7B" w:rsidRPr="00FD119B" w14:paraId="3F3ED030" w14:textId="77777777" w:rsidTr="00167558">
        <w:tc>
          <w:tcPr>
            <w:tcW w:w="1804" w:type="dxa"/>
          </w:tcPr>
          <w:p w14:paraId="0567E2EF" w14:textId="77777777" w:rsidR="00A11F7B" w:rsidRDefault="00A11F7B" w:rsidP="006C41F3">
            <w:r w:rsidRPr="00C70A29">
              <w:rPr>
                <w:lang w:eastAsia="ja-JP"/>
              </w:rPr>
              <w:t>PD</w:t>
            </w:r>
          </w:p>
        </w:tc>
        <w:tc>
          <w:tcPr>
            <w:tcW w:w="6680" w:type="dxa"/>
          </w:tcPr>
          <w:p w14:paraId="7D79A869" w14:textId="77777777" w:rsidR="00A11F7B" w:rsidRPr="009C1794" w:rsidRDefault="00A11F7B">
            <w:r>
              <w:rPr>
                <w:lang w:eastAsia="ja-JP"/>
              </w:rPr>
              <w:t>Pharmacodynamic(s)</w:t>
            </w:r>
          </w:p>
        </w:tc>
      </w:tr>
      <w:tr w:rsidR="00A11F7B" w:rsidRPr="00FD119B" w14:paraId="14878345" w14:textId="77777777" w:rsidTr="00167558">
        <w:tc>
          <w:tcPr>
            <w:tcW w:w="1804" w:type="dxa"/>
          </w:tcPr>
          <w:p w14:paraId="67C587A5" w14:textId="77777777" w:rsidR="00A11F7B" w:rsidRDefault="00A11F7B" w:rsidP="006C41F3">
            <w:r>
              <w:t>PFS</w:t>
            </w:r>
          </w:p>
        </w:tc>
        <w:tc>
          <w:tcPr>
            <w:tcW w:w="6680" w:type="dxa"/>
          </w:tcPr>
          <w:p w14:paraId="1FF1A65A" w14:textId="77777777" w:rsidR="00A11F7B" w:rsidRDefault="00A11F7B" w:rsidP="00EC1F86">
            <w:r>
              <w:t>Progression free survival</w:t>
            </w:r>
          </w:p>
        </w:tc>
      </w:tr>
      <w:tr w:rsidR="00A11F7B" w:rsidRPr="00FD119B" w14:paraId="05EE6040" w14:textId="77777777" w:rsidTr="00167558">
        <w:tc>
          <w:tcPr>
            <w:tcW w:w="1804" w:type="dxa"/>
          </w:tcPr>
          <w:p w14:paraId="2DC3A6DD" w14:textId="77777777" w:rsidR="00A11F7B" w:rsidRPr="00705754" w:rsidRDefault="00A11F7B" w:rsidP="006C41F3">
            <w:pPr>
              <w:rPr>
                <w:rFonts w:asciiTheme="minorHAnsi" w:eastAsiaTheme="minorHAnsi" w:hAnsiTheme="minorHAnsi" w:cs="TeXGyrePagella-Regular"/>
                <w:color w:val="000000"/>
              </w:rPr>
            </w:pPr>
            <w:r w:rsidRPr="00940A89">
              <w:t>PI</w:t>
            </w:r>
          </w:p>
        </w:tc>
        <w:tc>
          <w:tcPr>
            <w:tcW w:w="6680" w:type="dxa"/>
          </w:tcPr>
          <w:p w14:paraId="45E539FC" w14:textId="5BD37884" w:rsidR="00A11F7B" w:rsidRPr="00FD119B" w:rsidDel="0031006E" w:rsidRDefault="00A11F7B">
            <w:r>
              <w:t>Product Information</w:t>
            </w:r>
            <w:r w:rsidR="00DF4CFD">
              <w:t xml:space="preserve"> (drug document)</w:t>
            </w:r>
          </w:p>
        </w:tc>
      </w:tr>
      <w:tr w:rsidR="00A11F7B" w:rsidRPr="00FD119B" w14:paraId="11F1250C" w14:textId="77777777" w:rsidTr="00167558">
        <w:tc>
          <w:tcPr>
            <w:tcW w:w="1804" w:type="dxa"/>
          </w:tcPr>
          <w:p w14:paraId="24EF39B7" w14:textId="77777777" w:rsidR="00A11F7B" w:rsidRDefault="00A11F7B" w:rsidP="006C41F3">
            <w:r w:rsidRPr="00C70A29">
              <w:rPr>
                <w:lang w:eastAsia="ja-JP"/>
              </w:rPr>
              <w:t>PK</w:t>
            </w:r>
          </w:p>
        </w:tc>
        <w:tc>
          <w:tcPr>
            <w:tcW w:w="6680" w:type="dxa"/>
          </w:tcPr>
          <w:p w14:paraId="0885D961" w14:textId="77777777" w:rsidR="00A11F7B" w:rsidRPr="009C1794" w:rsidRDefault="00A11F7B">
            <w:r>
              <w:rPr>
                <w:lang w:eastAsia="ja-JP"/>
              </w:rPr>
              <w:t>Pharmacokinetic(s)</w:t>
            </w:r>
          </w:p>
        </w:tc>
      </w:tr>
      <w:tr w:rsidR="00A11F7B" w:rsidRPr="00FD119B" w14:paraId="06776091" w14:textId="77777777" w:rsidTr="00167558">
        <w:tc>
          <w:tcPr>
            <w:tcW w:w="1804" w:type="dxa"/>
          </w:tcPr>
          <w:p w14:paraId="6B2709C9" w14:textId="77777777" w:rsidR="00A11F7B" w:rsidRDefault="00A11F7B" w:rsidP="006C41F3">
            <w:r w:rsidRPr="00504D5C">
              <w:lastRenderedPageBreak/>
              <w:t>PR</w:t>
            </w:r>
          </w:p>
        </w:tc>
        <w:tc>
          <w:tcPr>
            <w:tcW w:w="6680" w:type="dxa"/>
          </w:tcPr>
          <w:p w14:paraId="53AF4859" w14:textId="77777777" w:rsidR="00A11F7B" w:rsidRDefault="00A11F7B" w:rsidP="00A11F7B">
            <w:r>
              <w:t>Partial response</w:t>
            </w:r>
          </w:p>
        </w:tc>
      </w:tr>
      <w:tr w:rsidR="00A11F7B" w:rsidRPr="00FD119B" w14:paraId="610B6B2B" w14:textId="77777777" w:rsidTr="00167558">
        <w:tc>
          <w:tcPr>
            <w:tcW w:w="1804" w:type="dxa"/>
          </w:tcPr>
          <w:p w14:paraId="2CC0532C" w14:textId="77777777" w:rsidR="00A11F7B" w:rsidRPr="000F476B" w:rsidRDefault="00A11F7B" w:rsidP="006C41F3">
            <w:r w:rsidRPr="000F476B">
              <w:t>Q2W</w:t>
            </w:r>
          </w:p>
        </w:tc>
        <w:tc>
          <w:tcPr>
            <w:tcW w:w="6680" w:type="dxa"/>
          </w:tcPr>
          <w:p w14:paraId="6943972C" w14:textId="77777777" w:rsidR="00A11F7B" w:rsidRDefault="00A11F7B">
            <w:r>
              <w:t>Every two weeks</w:t>
            </w:r>
          </w:p>
        </w:tc>
      </w:tr>
      <w:tr w:rsidR="00352817" w:rsidRPr="00FD119B" w14:paraId="39BA3C5D" w14:textId="77777777" w:rsidTr="00167558">
        <w:tc>
          <w:tcPr>
            <w:tcW w:w="1804" w:type="dxa"/>
          </w:tcPr>
          <w:p w14:paraId="4D5EEC58" w14:textId="4307D46D" w:rsidR="00352817" w:rsidRPr="000F476B" w:rsidRDefault="00352817" w:rsidP="006C41F3">
            <w:r>
              <w:t>Q4W</w:t>
            </w:r>
          </w:p>
        </w:tc>
        <w:tc>
          <w:tcPr>
            <w:tcW w:w="6680" w:type="dxa"/>
          </w:tcPr>
          <w:p w14:paraId="4D9DCC7A" w14:textId="13B8309A" w:rsidR="00352817" w:rsidRDefault="00B36A18">
            <w:r>
              <w:t>Every four</w:t>
            </w:r>
            <w:r w:rsidR="00352817">
              <w:t xml:space="preserve"> weeks</w:t>
            </w:r>
          </w:p>
        </w:tc>
      </w:tr>
      <w:tr w:rsidR="00A11F7B" w:rsidRPr="00FD119B" w14:paraId="7D0E75D7" w14:textId="77777777" w:rsidTr="00167558">
        <w:tc>
          <w:tcPr>
            <w:tcW w:w="1804" w:type="dxa"/>
          </w:tcPr>
          <w:p w14:paraId="0E1B37F3" w14:textId="77777777" w:rsidR="00A11F7B" w:rsidRPr="000F476B" w:rsidRDefault="00A11F7B" w:rsidP="006C41F3">
            <w:r w:rsidRPr="000F476B">
              <w:t>QW</w:t>
            </w:r>
          </w:p>
        </w:tc>
        <w:tc>
          <w:tcPr>
            <w:tcW w:w="6680" w:type="dxa"/>
          </w:tcPr>
          <w:p w14:paraId="453E2B43" w14:textId="77777777" w:rsidR="00A11F7B" w:rsidRDefault="00A11F7B">
            <w:r>
              <w:t>Once weekly</w:t>
            </w:r>
          </w:p>
        </w:tc>
      </w:tr>
      <w:tr w:rsidR="00A11F7B" w:rsidRPr="00FD119B" w14:paraId="19CBF769" w14:textId="77777777" w:rsidTr="00E87767">
        <w:tc>
          <w:tcPr>
            <w:tcW w:w="1804" w:type="dxa"/>
          </w:tcPr>
          <w:p w14:paraId="2ECBA467" w14:textId="77777777" w:rsidR="00A11F7B" w:rsidRDefault="00A11F7B" w:rsidP="006C41F3">
            <w:r>
              <w:t>RMP</w:t>
            </w:r>
          </w:p>
        </w:tc>
        <w:tc>
          <w:tcPr>
            <w:tcW w:w="6680" w:type="dxa"/>
          </w:tcPr>
          <w:p w14:paraId="556EE174" w14:textId="77777777" w:rsidR="00A11F7B" w:rsidRDefault="00A11F7B" w:rsidP="00EC1F86">
            <w:r>
              <w:t>R</w:t>
            </w:r>
            <w:r w:rsidRPr="00142806">
              <w:t>isk management plan</w:t>
            </w:r>
          </w:p>
        </w:tc>
      </w:tr>
      <w:tr w:rsidR="00A11F7B" w:rsidRPr="00FD119B" w14:paraId="674B9C3E" w14:textId="77777777" w:rsidTr="00167558">
        <w:tc>
          <w:tcPr>
            <w:tcW w:w="1804" w:type="dxa"/>
          </w:tcPr>
          <w:p w14:paraId="40DF2992" w14:textId="77777777" w:rsidR="00A11F7B" w:rsidRPr="00FD119B" w:rsidRDefault="00A11F7B" w:rsidP="006C41F3">
            <w:pPr>
              <w:ind w:right="0"/>
              <w:rPr>
                <w:color w:val="auto"/>
                <w:szCs w:val="22"/>
                <w:lang w:eastAsia="en-US"/>
              </w:rPr>
            </w:pPr>
            <w:r w:rsidRPr="00705754">
              <w:rPr>
                <w:rFonts w:asciiTheme="minorHAnsi" w:eastAsiaTheme="minorHAnsi" w:hAnsiTheme="minorHAnsi" w:cs="TeXGyrePagella-Regular"/>
                <w:color w:val="000000"/>
              </w:rPr>
              <w:t>RRMM</w:t>
            </w:r>
          </w:p>
        </w:tc>
        <w:tc>
          <w:tcPr>
            <w:tcW w:w="6680" w:type="dxa"/>
          </w:tcPr>
          <w:p w14:paraId="4C4AA93E" w14:textId="65B600FB" w:rsidR="00A11F7B" w:rsidRPr="00FD119B" w:rsidRDefault="00A11F7B">
            <w:pPr>
              <w:ind w:right="0"/>
              <w:rPr>
                <w:color w:val="auto"/>
                <w:szCs w:val="22"/>
                <w:lang w:eastAsia="en-US"/>
              </w:rPr>
            </w:pPr>
            <w:r>
              <w:rPr>
                <w:rFonts w:asciiTheme="minorHAnsi" w:eastAsiaTheme="minorHAnsi" w:hAnsiTheme="minorHAnsi" w:cs="TeXGyrePagella-Regular"/>
                <w:color w:val="000000"/>
              </w:rPr>
              <w:t>R</w:t>
            </w:r>
            <w:r w:rsidRPr="00705754">
              <w:rPr>
                <w:rFonts w:asciiTheme="minorHAnsi" w:eastAsiaTheme="minorHAnsi" w:hAnsiTheme="minorHAnsi" w:cs="TeXGyrePagella-Regular"/>
                <w:color w:val="000000"/>
              </w:rPr>
              <w:t xml:space="preserve">elapsed </w:t>
            </w:r>
            <w:r>
              <w:rPr>
                <w:rFonts w:asciiTheme="minorHAnsi" w:eastAsiaTheme="minorHAnsi" w:hAnsiTheme="minorHAnsi" w:cs="TeXGyrePagella-Regular"/>
                <w:color w:val="000000"/>
              </w:rPr>
              <w:t>or refractory multiple myeloma</w:t>
            </w:r>
          </w:p>
        </w:tc>
      </w:tr>
      <w:tr w:rsidR="00A11F7B" w:rsidRPr="00FD119B" w14:paraId="30BD8584" w14:textId="77777777" w:rsidTr="00E87767">
        <w:tc>
          <w:tcPr>
            <w:tcW w:w="1804" w:type="dxa"/>
          </w:tcPr>
          <w:p w14:paraId="5AB5E5DE" w14:textId="77777777" w:rsidR="00A11F7B" w:rsidRDefault="00A11F7B" w:rsidP="006C41F3">
            <w:r>
              <w:t>SCC</w:t>
            </w:r>
          </w:p>
        </w:tc>
        <w:tc>
          <w:tcPr>
            <w:tcW w:w="6680" w:type="dxa"/>
          </w:tcPr>
          <w:p w14:paraId="0F404C58" w14:textId="77777777" w:rsidR="00A11F7B" w:rsidRDefault="00A11F7B" w:rsidP="00A11F7B">
            <w:r>
              <w:t>S</w:t>
            </w:r>
            <w:r w:rsidRPr="009A42D7">
              <w:t>quamous cell carcinoma</w:t>
            </w:r>
          </w:p>
        </w:tc>
      </w:tr>
      <w:tr w:rsidR="00A11F7B" w:rsidRPr="00FD119B" w14:paraId="438D2967" w14:textId="77777777" w:rsidTr="00167558">
        <w:tc>
          <w:tcPr>
            <w:tcW w:w="1804" w:type="dxa"/>
          </w:tcPr>
          <w:p w14:paraId="71B7DF9C" w14:textId="77777777" w:rsidR="00A11F7B" w:rsidRDefault="00A11F7B" w:rsidP="006C41F3">
            <w:r w:rsidRPr="00504D5C">
              <w:t>sCR</w:t>
            </w:r>
          </w:p>
        </w:tc>
        <w:tc>
          <w:tcPr>
            <w:tcW w:w="6680" w:type="dxa"/>
          </w:tcPr>
          <w:p w14:paraId="360A4887" w14:textId="77777777" w:rsidR="00A11F7B" w:rsidRDefault="00A11F7B" w:rsidP="00A11F7B">
            <w:r>
              <w:t>Stringent complete response</w:t>
            </w:r>
          </w:p>
        </w:tc>
      </w:tr>
      <w:tr w:rsidR="00A11F7B" w:rsidRPr="00FD119B" w14:paraId="6C44874B" w14:textId="77777777" w:rsidTr="00E87767">
        <w:tc>
          <w:tcPr>
            <w:tcW w:w="1804" w:type="dxa"/>
          </w:tcPr>
          <w:p w14:paraId="197A1D67" w14:textId="77777777" w:rsidR="00A11F7B" w:rsidRDefault="00A11F7B" w:rsidP="006C41F3">
            <w:r w:rsidRPr="0040442D">
              <w:t>SCS</w:t>
            </w:r>
          </w:p>
        </w:tc>
        <w:tc>
          <w:tcPr>
            <w:tcW w:w="6680" w:type="dxa"/>
          </w:tcPr>
          <w:p w14:paraId="7CC6A8BE" w14:textId="0B32A413" w:rsidR="00A11F7B" w:rsidRDefault="00A11F7B" w:rsidP="00A11F7B">
            <w:r>
              <w:t xml:space="preserve">Summary of </w:t>
            </w:r>
            <w:r w:rsidR="006C6F0E">
              <w:t>c</w:t>
            </w:r>
            <w:r>
              <w:t xml:space="preserve">linical </w:t>
            </w:r>
            <w:r w:rsidR="0019438A">
              <w:t>s</w:t>
            </w:r>
            <w:r>
              <w:t>afety</w:t>
            </w:r>
          </w:p>
        </w:tc>
      </w:tr>
      <w:tr w:rsidR="00A11F7B" w:rsidRPr="00FD119B" w14:paraId="3E6F5207" w14:textId="77777777" w:rsidTr="00E87767">
        <w:tc>
          <w:tcPr>
            <w:tcW w:w="1804" w:type="dxa"/>
          </w:tcPr>
          <w:p w14:paraId="1C073545" w14:textId="5C7AC69C" w:rsidR="00A11F7B" w:rsidRDefault="00B36A18" w:rsidP="006C41F3">
            <w:r>
              <w:t>SPM</w:t>
            </w:r>
          </w:p>
        </w:tc>
        <w:tc>
          <w:tcPr>
            <w:tcW w:w="6680" w:type="dxa"/>
          </w:tcPr>
          <w:p w14:paraId="5B9356A1" w14:textId="27D3051B" w:rsidR="00A11F7B" w:rsidRDefault="00B36A18" w:rsidP="00A11F7B">
            <w:r>
              <w:t>Second primary malignancy</w:t>
            </w:r>
          </w:p>
        </w:tc>
      </w:tr>
      <w:tr w:rsidR="00A11F7B" w:rsidRPr="00FD119B" w14:paraId="3AD66ACA" w14:textId="77777777" w:rsidTr="00E87767">
        <w:tc>
          <w:tcPr>
            <w:tcW w:w="1804" w:type="dxa"/>
          </w:tcPr>
          <w:p w14:paraId="4FAAB3D4" w14:textId="77777777" w:rsidR="00A11F7B" w:rsidRDefault="00A11F7B" w:rsidP="006C41F3">
            <w:r>
              <w:t>TEAE</w:t>
            </w:r>
          </w:p>
        </w:tc>
        <w:tc>
          <w:tcPr>
            <w:tcW w:w="6680" w:type="dxa"/>
          </w:tcPr>
          <w:p w14:paraId="62C1AB53" w14:textId="77777777" w:rsidR="00A11F7B" w:rsidRDefault="00A11F7B" w:rsidP="00A11F7B">
            <w:r>
              <w:t>Treatment emergent adverse event</w:t>
            </w:r>
          </w:p>
        </w:tc>
      </w:tr>
      <w:tr w:rsidR="00A11F7B" w:rsidRPr="00FD119B" w14:paraId="3EE53D6E" w14:textId="77777777" w:rsidTr="00E87767">
        <w:tc>
          <w:tcPr>
            <w:tcW w:w="1804" w:type="dxa"/>
          </w:tcPr>
          <w:p w14:paraId="4ECBA6D7" w14:textId="77777777" w:rsidR="00A11F7B" w:rsidRDefault="00A11F7B" w:rsidP="006C41F3">
            <w:r w:rsidRPr="0024691D">
              <w:t>TLS</w:t>
            </w:r>
          </w:p>
        </w:tc>
        <w:tc>
          <w:tcPr>
            <w:tcW w:w="6680" w:type="dxa"/>
          </w:tcPr>
          <w:p w14:paraId="75CC6FAD" w14:textId="77777777" w:rsidR="00A11F7B" w:rsidRDefault="00A11F7B" w:rsidP="00A11F7B">
            <w:r>
              <w:t>Tumour lysis syndrome</w:t>
            </w:r>
          </w:p>
        </w:tc>
      </w:tr>
      <w:tr w:rsidR="00A11F7B" w:rsidRPr="00FD119B" w14:paraId="1DF9ACE9" w14:textId="77777777" w:rsidTr="00167558">
        <w:tc>
          <w:tcPr>
            <w:tcW w:w="1804" w:type="dxa"/>
          </w:tcPr>
          <w:p w14:paraId="7B7268EB" w14:textId="185F0177" w:rsidR="00A11F7B" w:rsidRPr="00705754" w:rsidRDefault="00A11F7B" w:rsidP="006C41F3">
            <w:pPr>
              <w:rPr>
                <w:rFonts w:asciiTheme="minorHAnsi" w:eastAsiaTheme="minorHAnsi" w:hAnsiTheme="minorHAnsi" w:cs="TeXGyrePagella-Regular"/>
                <w:color w:val="000000"/>
              </w:rPr>
            </w:pPr>
            <w:r w:rsidRPr="004B5C43">
              <w:t>Treg</w:t>
            </w:r>
          </w:p>
        </w:tc>
        <w:tc>
          <w:tcPr>
            <w:tcW w:w="6680" w:type="dxa"/>
          </w:tcPr>
          <w:p w14:paraId="6F2FF5E8" w14:textId="2669A2D6" w:rsidR="00A11F7B" w:rsidRPr="00FD119B" w:rsidDel="0031006E" w:rsidRDefault="00A11F7B">
            <w:r>
              <w:t>Regulatory T cell</w:t>
            </w:r>
          </w:p>
        </w:tc>
      </w:tr>
      <w:tr w:rsidR="00A11F7B" w:rsidRPr="00FD119B" w14:paraId="580A9E67" w14:textId="77777777" w:rsidTr="00167558">
        <w:tc>
          <w:tcPr>
            <w:tcW w:w="1804" w:type="dxa"/>
          </w:tcPr>
          <w:p w14:paraId="0E6B2237" w14:textId="77777777" w:rsidR="00A11F7B" w:rsidRPr="00705754" w:rsidRDefault="00A11F7B" w:rsidP="006C41F3">
            <w:pPr>
              <w:rPr>
                <w:rFonts w:asciiTheme="minorHAnsi" w:eastAsiaTheme="minorHAnsi" w:hAnsiTheme="minorHAnsi" w:cs="TeXGyrePagella-Regular"/>
                <w:color w:val="000000"/>
              </w:rPr>
            </w:pPr>
            <w:r w:rsidRPr="00705754">
              <w:t>US</w:t>
            </w:r>
          </w:p>
        </w:tc>
        <w:tc>
          <w:tcPr>
            <w:tcW w:w="6680" w:type="dxa"/>
          </w:tcPr>
          <w:p w14:paraId="3F0C5AF7" w14:textId="63B8D032" w:rsidR="00A11F7B" w:rsidRPr="00FD119B" w:rsidDel="0031006E" w:rsidRDefault="00A11F7B">
            <w:r>
              <w:t>United States</w:t>
            </w:r>
            <w:r w:rsidR="0019438A">
              <w:t xml:space="preserve"> (of America)</w:t>
            </w:r>
          </w:p>
        </w:tc>
      </w:tr>
      <w:tr w:rsidR="00A11F7B" w:rsidRPr="00FD119B" w14:paraId="08E8219A" w14:textId="77777777" w:rsidTr="00E87767">
        <w:tc>
          <w:tcPr>
            <w:tcW w:w="1804" w:type="dxa"/>
          </w:tcPr>
          <w:p w14:paraId="2A6BCC1B" w14:textId="77777777" w:rsidR="00A11F7B" w:rsidRDefault="00A11F7B" w:rsidP="006C41F3">
            <w:r>
              <w:rPr>
                <w:rFonts w:eastAsiaTheme="minorHAnsi" w:cs="Cambria"/>
                <w:color w:val="000000"/>
              </w:rPr>
              <w:t>USPI</w:t>
            </w:r>
          </w:p>
        </w:tc>
        <w:tc>
          <w:tcPr>
            <w:tcW w:w="6680" w:type="dxa"/>
          </w:tcPr>
          <w:p w14:paraId="0481F6DD" w14:textId="77777777" w:rsidR="00A11F7B" w:rsidRDefault="00A11F7B" w:rsidP="00A11F7B">
            <w:r>
              <w:rPr>
                <w:rFonts w:eastAsiaTheme="minorHAnsi" w:cs="Cambria"/>
                <w:color w:val="000000"/>
              </w:rPr>
              <w:t>United States Prescribing Information</w:t>
            </w:r>
          </w:p>
        </w:tc>
      </w:tr>
      <w:tr w:rsidR="00A11F7B" w:rsidRPr="00FD119B" w14:paraId="7A684C15" w14:textId="77777777" w:rsidTr="00E87767">
        <w:tc>
          <w:tcPr>
            <w:tcW w:w="1804" w:type="dxa"/>
          </w:tcPr>
          <w:p w14:paraId="4C5DD5F4" w14:textId="77777777" w:rsidR="00A11F7B" w:rsidRDefault="00A11F7B" w:rsidP="006C41F3">
            <w:r w:rsidRPr="000F61D3">
              <w:t>V1</w:t>
            </w:r>
          </w:p>
        </w:tc>
        <w:tc>
          <w:tcPr>
            <w:tcW w:w="6680" w:type="dxa"/>
          </w:tcPr>
          <w:p w14:paraId="46E5D6A5" w14:textId="77777777" w:rsidR="00A11F7B" w:rsidRDefault="00A11F7B" w:rsidP="00A11F7B">
            <w:r>
              <w:t>Apparent volume</w:t>
            </w:r>
          </w:p>
        </w:tc>
      </w:tr>
      <w:tr w:rsidR="00A11F7B" w:rsidRPr="00FD119B" w14:paraId="075104D7" w14:textId="77777777" w:rsidTr="00167558">
        <w:tc>
          <w:tcPr>
            <w:tcW w:w="1804" w:type="dxa"/>
          </w:tcPr>
          <w:p w14:paraId="0E3BC129" w14:textId="77777777" w:rsidR="00A11F7B" w:rsidRDefault="00A11F7B" w:rsidP="006C41F3">
            <w:r w:rsidRPr="00504D5C">
              <w:t>VGPR</w:t>
            </w:r>
          </w:p>
        </w:tc>
        <w:tc>
          <w:tcPr>
            <w:tcW w:w="6680" w:type="dxa"/>
          </w:tcPr>
          <w:p w14:paraId="256DFB5E" w14:textId="77777777" w:rsidR="00A11F7B" w:rsidRDefault="00A11F7B" w:rsidP="00A11F7B">
            <w:r>
              <w:t>Very good partial response</w:t>
            </w:r>
          </w:p>
        </w:tc>
      </w:tr>
    </w:tbl>
    <w:p w14:paraId="5C9A49BA" w14:textId="77777777" w:rsidR="00FD119B" w:rsidRDefault="00FD119B" w:rsidP="00FD119B"/>
    <w:p w14:paraId="260B3FD6"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89CB15D" w14:textId="77777777" w:rsidR="008E7846" w:rsidRDefault="00F53C07" w:rsidP="008E7846">
      <w:pPr>
        <w:pStyle w:val="Heading2"/>
      </w:pPr>
      <w:bookmarkStart w:id="5" w:name="_Toc55918729"/>
      <w:r>
        <w:lastRenderedPageBreak/>
        <w:t>I.</w:t>
      </w:r>
      <w:r w:rsidR="008E7846">
        <w:t xml:space="preserve"> Introduction to product submission</w:t>
      </w:r>
      <w:bookmarkEnd w:id="3"/>
      <w:bookmarkEnd w:id="0"/>
      <w:bookmarkEnd w:id="5"/>
    </w:p>
    <w:p w14:paraId="4E4CEE3D" w14:textId="77777777" w:rsidR="008E7846" w:rsidRDefault="008E7846" w:rsidP="008E7846">
      <w:pPr>
        <w:pStyle w:val="Heading3"/>
        <w:rPr>
          <w:lang w:eastAsia="en-AU"/>
        </w:rPr>
      </w:pPr>
      <w:bookmarkStart w:id="6" w:name="_Toc247691502"/>
      <w:bookmarkStart w:id="7" w:name="_Toc314842483"/>
      <w:bookmarkStart w:id="8" w:name="_Toc55918730"/>
      <w:r>
        <w:rPr>
          <w:lang w:eastAsia="en-AU"/>
        </w:rPr>
        <w:t>Submission details</w:t>
      </w:r>
      <w:bookmarkEnd w:id="6"/>
      <w:bookmarkEnd w:id="7"/>
      <w:bookmarkEnd w:id="8"/>
    </w:p>
    <w:tbl>
      <w:tblPr>
        <w:tblW w:w="9214" w:type="dxa"/>
        <w:tblInd w:w="108" w:type="dxa"/>
        <w:tblLook w:val="01E0" w:firstRow="1" w:lastRow="1" w:firstColumn="1" w:lastColumn="1" w:noHBand="0" w:noVBand="0"/>
      </w:tblPr>
      <w:tblGrid>
        <w:gridCol w:w="2907"/>
        <w:gridCol w:w="6307"/>
      </w:tblGrid>
      <w:tr w:rsidR="00167558" w:rsidRPr="00167558" w14:paraId="4B8ECF95" w14:textId="77777777" w:rsidTr="003735BC">
        <w:tc>
          <w:tcPr>
            <w:tcW w:w="2907" w:type="dxa"/>
          </w:tcPr>
          <w:p w14:paraId="785C6F8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D2E7D6F" w14:textId="24A71FF2" w:rsidR="008E7846" w:rsidRPr="00167558" w:rsidRDefault="008E7846" w:rsidP="00740C6F">
            <w:r w:rsidRPr="00167558">
              <w:t xml:space="preserve">New </w:t>
            </w:r>
            <w:r w:rsidR="00157A7F" w:rsidRPr="00167558">
              <w:t>biological</w:t>
            </w:r>
            <w:r w:rsidRPr="00167558">
              <w:t xml:space="preserve"> </w:t>
            </w:r>
            <w:r w:rsidR="001B5C90" w:rsidRPr="00167558">
              <w:t>e</w:t>
            </w:r>
            <w:r w:rsidR="00845D42" w:rsidRPr="00167558">
              <w:t>ntity</w:t>
            </w:r>
          </w:p>
        </w:tc>
      </w:tr>
      <w:tr w:rsidR="00167558" w:rsidRPr="00167558" w14:paraId="16C44B07" w14:textId="77777777" w:rsidTr="003735BC">
        <w:tc>
          <w:tcPr>
            <w:tcW w:w="2907" w:type="dxa"/>
          </w:tcPr>
          <w:p w14:paraId="40BE732D" w14:textId="3A81543E" w:rsidR="00306DB5" w:rsidRDefault="00306DB5" w:rsidP="00306DB5">
            <w:pPr>
              <w:rPr>
                <w:i/>
              </w:rPr>
            </w:pPr>
            <w:r w:rsidRPr="00487162">
              <w:rPr>
                <w:i/>
              </w:rPr>
              <w:t>Product</w:t>
            </w:r>
            <w:r>
              <w:rPr>
                <w:i/>
              </w:rPr>
              <w:t xml:space="preserve"> name:</w:t>
            </w:r>
          </w:p>
        </w:tc>
        <w:tc>
          <w:tcPr>
            <w:tcW w:w="6307" w:type="dxa"/>
          </w:tcPr>
          <w:p w14:paraId="65555C56" w14:textId="77777777" w:rsidR="00306DB5" w:rsidRPr="00167558" w:rsidRDefault="00845D42" w:rsidP="00D124DD">
            <w:r w:rsidRPr="00167558">
              <w:t>Sarclisa</w:t>
            </w:r>
          </w:p>
        </w:tc>
      </w:tr>
      <w:tr w:rsidR="00761051" w:rsidRPr="003D1E62" w14:paraId="36735CDD" w14:textId="77777777" w:rsidTr="003735BC">
        <w:tc>
          <w:tcPr>
            <w:tcW w:w="2907" w:type="dxa"/>
          </w:tcPr>
          <w:p w14:paraId="037F01B8" w14:textId="0E899363" w:rsidR="00761051" w:rsidRDefault="00761051" w:rsidP="00761051">
            <w:pPr>
              <w:rPr>
                <w:i/>
              </w:rPr>
            </w:pPr>
            <w:r>
              <w:rPr>
                <w:i/>
              </w:rPr>
              <w:t>Active ingredient:</w:t>
            </w:r>
          </w:p>
        </w:tc>
        <w:tc>
          <w:tcPr>
            <w:tcW w:w="6307" w:type="dxa"/>
          </w:tcPr>
          <w:p w14:paraId="3A71AFD5" w14:textId="77777777" w:rsidR="00761051" w:rsidRPr="003D1E62" w:rsidRDefault="00845D42" w:rsidP="00D124DD">
            <w:r>
              <w:t>Isatuximab</w:t>
            </w:r>
          </w:p>
        </w:tc>
      </w:tr>
      <w:tr w:rsidR="008E7846" w:rsidRPr="003D1E62" w14:paraId="25FD2145" w14:textId="77777777" w:rsidTr="003735BC">
        <w:tc>
          <w:tcPr>
            <w:tcW w:w="2907" w:type="dxa"/>
          </w:tcPr>
          <w:p w14:paraId="02BE6600" w14:textId="77777777" w:rsidR="008E7846" w:rsidRPr="003D1E62" w:rsidRDefault="008E7846" w:rsidP="003D1E62">
            <w:r w:rsidRPr="003D1E62">
              <w:rPr>
                <w:i/>
              </w:rPr>
              <w:t>Decision</w:t>
            </w:r>
            <w:r w:rsidRPr="003D1E62">
              <w:t>:</w:t>
            </w:r>
          </w:p>
        </w:tc>
        <w:tc>
          <w:tcPr>
            <w:tcW w:w="6307" w:type="dxa"/>
          </w:tcPr>
          <w:p w14:paraId="5D5BCE10" w14:textId="4EE7EDAB" w:rsidR="008E7846" w:rsidRPr="003D1E62" w:rsidRDefault="008E7846" w:rsidP="00D124DD">
            <w:r w:rsidRPr="003D1E62">
              <w:t>Approved</w:t>
            </w:r>
          </w:p>
        </w:tc>
      </w:tr>
      <w:tr w:rsidR="008E7846" w:rsidRPr="003D1E62" w14:paraId="3753ABCD" w14:textId="77777777" w:rsidTr="003735BC">
        <w:tc>
          <w:tcPr>
            <w:tcW w:w="2907" w:type="dxa"/>
          </w:tcPr>
          <w:p w14:paraId="7AF21C4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5346D58" w14:textId="32959582" w:rsidR="008E7846" w:rsidRPr="003D1E62" w:rsidRDefault="00845D42" w:rsidP="00D124DD">
            <w:r>
              <w:t>29 April 2020</w:t>
            </w:r>
          </w:p>
        </w:tc>
      </w:tr>
      <w:tr w:rsidR="00ED2922" w:rsidRPr="003D1E62" w14:paraId="3263B9FA" w14:textId="77777777" w:rsidTr="003735BC">
        <w:tc>
          <w:tcPr>
            <w:tcW w:w="2907" w:type="dxa"/>
          </w:tcPr>
          <w:p w14:paraId="1FF2A15B" w14:textId="77777777" w:rsidR="00ED2922" w:rsidRPr="00441C3F" w:rsidRDefault="00ED2922" w:rsidP="001B5C90">
            <w:pPr>
              <w:rPr>
                <w:i/>
              </w:rPr>
            </w:pPr>
            <w:r w:rsidRPr="00441C3F">
              <w:rPr>
                <w:i/>
              </w:rPr>
              <w:t>Date of entry onto ARTG</w:t>
            </w:r>
            <w:r w:rsidR="00500337">
              <w:rPr>
                <w:i/>
              </w:rPr>
              <w:t>:</w:t>
            </w:r>
          </w:p>
        </w:tc>
        <w:tc>
          <w:tcPr>
            <w:tcW w:w="6307" w:type="dxa"/>
          </w:tcPr>
          <w:p w14:paraId="3A24D748" w14:textId="2F9574A5" w:rsidR="00ED2922" w:rsidRPr="00441C3F" w:rsidRDefault="00845D42" w:rsidP="00D124DD">
            <w:pPr>
              <w:rPr>
                <w:i/>
              </w:rPr>
            </w:pPr>
            <w:r>
              <w:t>6 May 2020</w:t>
            </w:r>
          </w:p>
        </w:tc>
      </w:tr>
      <w:tr w:rsidR="00500337" w:rsidRPr="003D1E62" w14:paraId="428B30FF" w14:textId="77777777" w:rsidTr="003735BC">
        <w:tc>
          <w:tcPr>
            <w:tcW w:w="2907" w:type="dxa"/>
          </w:tcPr>
          <w:p w14:paraId="36E276F9" w14:textId="46CDF14C" w:rsidR="00500337" w:rsidRPr="00441C3F" w:rsidRDefault="00500337" w:rsidP="001B5C90">
            <w:pPr>
              <w:rPr>
                <w:i/>
              </w:rPr>
            </w:pPr>
            <w:r>
              <w:rPr>
                <w:i/>
              </w:rPr>
              <w:t>ARTG numbers:</w:t>
            </w:r>
          </w:p>
        </w:tc>
        <w:tc>
          <w:tcPr>
            <w:tcW w:w="6307" w:type="dxa"/>
          </w:tcPr>
          <w:p w14:paraId="28FB0F6A" w14:textId="65AEDE14" w:rsidR="00500337" w:rsidRPr="00441C3F" w:rsidRDefault="00E41CDB" w:rsidP="00167558">
            <w:r>
              <w:t>319085,</w:t>
            </w:r>
            <w:r w:rsidR="0047260D">
              <w:t xml:space="preserve"> 319086</w:t>
            </w:r>
          </w:p>
        </w:tc>
      </w:tr>
      <w:tr w:rsidR="003735BC" w:rsidRPr="003D1E62" w14:paraId="75782758" w14:textId="77777777" w:rsidTr="003735BC">
        <w:tc>
          <w:tcPr>
            <w:tcW w:w="2907" w:type="dxa"/>
          </w:tcPr>
          <w:p w14:paraId="70E37828"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306DB5">
              <w:rPr>
                <w:i/>
              </w:rPr>
              <w:t>:</w:t>
            </w:r>
            <w:r w:rsidR="002B0FF3">
              <w:rPr>
                <w:rStyle w:val="FootnoteReference"/>
                <w:i/>
              </w:rPr>
              <w:footnoteReference w:id="1"/>
            </w:r>
          </w:p>
        </w:tc>
        <w:tc>
          <w:tcPr>
            <w:tcW w:w="6307" w:type="dxa"/>
          </w:tcPr>
          <w:p w14:paraId="61858858" w14:textId="008A8D92" w:rsidR="003735BC" w:rsidRDefault="003735BC" w:rsidP="003735BC">
            <w:r>
              <w:t>Yes</w:t>
            </w:r>
          </w:p>
          <w:p w14:paraId="5ACC94DF" w14:textId="5E65C785" w:rsidR="003735BC" w:rsidRPr="00487162" w:rsidRDefault="003735BC" w:rsidP="003735BC">
            <w:r>
              <w:t xml:space="preserve">This product will remain in the scheme for 5 years, starting on the date the product is first supplied in </w:t>
            </w:r>
            <w:r w:rsidRPr="00D453FA">
              <w:t>Australia</w:t>
            </w:r>
          </w:p>
        </w:tc>
      </w:tr>
      <w:tr w:rsidR="008E7846" w:rsidRPr="00487162" w14:paraId="46905D66" w14:textId="77777777" w:rsidTr="00BF1190">
        <w:tc>
          <w:tcPr>
            <w:tcW w:w="2907" w:type="dxa"/>
          </w:tcPr>
          <w:p w14:paraId="5E34CB9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A741A42" w14:textId="01A41CFA" w:rsidR="0047260D" w:rsidRDefault="0047260D" w:rsidP="00167558">
            <w:r>
              <w:t>Sanofi-</w:t>
            </w:r>
            <w:r w:rsidR="00D124DD">
              <w:t>A</w:t>
            </w:r>
            <w:r>
              <w:t xml:space="preserve">ventis </w:t>
            </w:r>
            <w:r w:rsidR="00D124DD">
              <w:t xml:space="preserve">Australia </w:t>
            </w:r>
            <w:r>
              <w:t>Pty Ltd</w:t>
            </w:r>
          </w:p>
          <w:p w14:paraId="4008EDF3" w14:textId="4F733AB7" w:rsidR="0047260D" w:rsidRDefault="0047260D" w:rsidP="00167558">
            <w:r>
              <w:t>12-24 Talavera Road,</w:t>
            </w:r>
          </w:p>
          <w:p w14:paraId="7CD65BE5" w14:textId="12A06AD4" w:rsidR="008E7846" w:rsidRPr="00487162" w:rsidRDefault="0047260D" w:rsidP="00740C6F">
            <w:r>
              <w:t>Macquarie Park,</w:t>
            </w:r>
            <w:r w:rsidR="00740C6F">
              <w:t xml:space="preserve"> </w:t>
            </w:r>
            <w:r>
              <w:t>NSW 2113</w:t>
            </w:r>
          </w:p>
        </w:tc>
      </w:tr>
      <w:tr w:rsidR="008E7846" w:rsidRPr="00487162" w14:paraId="1BE6E75B" w14:textId="77777777" w:rsidTr="00BF1190">
        <w:tc>
          <w:tcPr>
            <w:tcW w:w="2907" w:type="dxa"/>
          </w:tcPr>
          <w:p w14:paraId="2B5BD99D" w14:textId="2F2F1385" w:rsidR="008E7846" w:rsidRPr="00487162" w:rsidRDefault="001B5C90" w:rsidP="00E45619">
            <w:pPr>
              <w:rPr>
                <w:i/>
              </w:rPr>
            </w:pPr>
            <w:r>
              <w:rPr>
                <w:i/>
              </w:rPr>
              <w:t>Dose form:</w:t>
            </w:r>
          </w:p>
        </w:tc>
        <w:tc>
          <w:tcPr>
            <w:tcW w:w="6307" w:type="dxa"/>
          </w:tcPr>
          <w:p w14:paraId="7DB8216A" w14:textId="3C0C9A40" w:rsidR="008E7846" w:rsidRPr="00E41CDB" w:rsidRDefault="00E41CDB" w:rsidP="00167558">
            <w:r>
              <w:t>Concentrated injection</w:t>
            </w:r>
          </w:p>
        </w:tc>
      </w:tr>
      <w:tr w:rsidR="008E7846" w:rsidRPr="00487162" w14:paraId="6A2628BA" w14:textId="77777777" w:rsidTr="00BF1190">
        <w:tc>
          <w:tcPr>
            <w:tcW w:w="2907" w:type="dxa"/>
          </w:tcPr>
          <w:p w14:paraId="04464DAD" w14:textId="11107ED0" w:rsidR="008E7846" w:rsidRPr="00487162" w:rsidRDefault="008E7846" w:rsidP="00E45619">
            <w:pPr>
              <w:rPr>
                <w:i/>
              </w:rPr>
            </w:pPr>
            <w:r w:rsidRPr="00487162">
              <w:rPr>
                <w:i/>
              </w:rPr>
              <w:t>Strengths:</w:t>
            </w:r>
          </w:p>
        </w:tc>
        <w:tc>
          <w:tcPr>
            <w:tcW w:w="6307" w:type="dxa"/>
          </w:tcPr>
          <w:p w14:paraId="181EA17E" w14:textId="424634D2" w:rsidR="008E7846" w:rsidRPr="00487162" w:rsidRDefault="00E41CDB" w:rsidP="00E41CDB">
            <w:r>
              <w:t>500</w:t>
            </w:r>
            <w:r w:rsidR="00740C6F">
              <w:t xml:space="preserve"> </w:t>
            </w:r>
            <w:r>
              <w:t>mg/25 mL and 100</w:t>
            </w:r>
            <w:r w:rsidR="00740C6F">
              <w:t xml:space="preserve"> </w:t>
            </w:r>
            <w:r>
              <w:t>mg/5 mL</w:t>
            </w:r>
          </w:p>
        </w:tc>
      </w:tr>
      <w:tr w:rsidR="008E7846" w:rsidRPr="00487162" w14:paraId="0F5B93AF" w14:textId="77777777" w:rsidTr="00BF1190">
        <w:tc>
          <w:tcPr>
            <w:tcW w:w="2907" w:type="dxa"/>
          </w:tcPr>
          <w:p w14:paraId="54F54C20" w14:textId="40DDAE68" w:rsidR="008E7846" w:rsidRPr="00487162" w:rsidRDefault="008E7846" w:rsidP="00E45619">
            <w:pPr>
              <w:rPr>
                <w:i/>
              </w:rPr>
            </w:pPr>
            <w:r w:rsidRPr="00487162">
              <w:rPr>
                <w:i/>
              </w:rPr>
              <w:t>Container:</w:t>
            </w:r>
          </w:p>
        </w:tc>
        <w:tc>
          <w:tcPr>
            <w:tcW w:w="6307" w:type="dxa"/>
          </w:tcPr>
          <w:p w14:paraId="61763852" w14:textId="77777777" w:rsidR="008E7846" w:rsidRPr="00487162" w:rsidRDefault="00E41CDB" w:rsidP="00E45619">
            <w:r>
              <w:t>Vial</w:t>
            </w:r>
          </w:p>
        </w:tc>
      </w:tr>
      <w:tr w:rsidR="008E7846" w:rsidRPr="00487162" w14:paraId="2FEFFED6" w14:textId="77777777" w:rsidTr="00BF1190">
        <w:tc>
          <w:tcPr>
            <w:tcW w:w="2907" w:type="dxa"/>
          </w:tcPr>
          <w:p w14:paraId="473D57A5" w14:textId="3033B933" w:rsidR="008E7846" w:rsidRPr="00487162" w:rsidRDefault="008E7846" w:rsidP="00E45619">
            <w:pPr>
              <w:rPr>
                <w:i/>
              </w:rPr>
            </w:pPr>
            <w:r w:rsidRPr="00487162">
              <w:rPr>
                <w:i/>
              </w:rPr>
              <w:t>Pack sizes:</w:t>
            </w:r>
          </w:p>
        </w:tc>
        <w:tc>
          <w:tcPr>
            <w:tcW w:w="6307" w:type="dxa"/>
          </w:tcPr>
          <w:p w14:paraId="62D11A9E" w14:textId="3C591229" w:rsidR="00740C6F" w:rsidRDefault="00740C6F" w:rsidP="00E41CDB">
            <w:r>
              <w:t>500 mg/25 mL: 1</w:t>
            </w:r>
            <w:r w:rsidR="00E9729B">
              <w:t xml:space="preserve"> vial pack</w:t>
            </w:r>
          </w:p>
          <w:p w14:paraId="17584231" w14:textId="7D48720E" w:rsidR="008E7846" w:rsidRPr="00487162" w:rsidRDefault="00740C6F" w:rsidP="00E41CDB">
            <w:r>
              <w:t>100 mg/5 mL: 1</w:t>
            </w:r>
            <w:r w:rsidR="00E9729B">
              <w:t xml:space="preserve">; </w:t>
            </w:r>
            <w:r>
              <w:t>or 3</w:t>
            </w:r>
            <w:r w:rsidR="00E9729B">
              <w:t xml:space="preserve"> vial packs</w:t>
            </w:r>
          </w:p>
        </w:tc>
      </w:tr>
      <w:tr w:rsidR="008E7846" w:rsidRPr="00487162" w14:paraId="5BDEDC8C" w14:textId="77777777" w:rsidTr="00BF1190">
        <w:tc>
          <w:tcPr>
            <w:tcW w:w="2907" w:type="dxa"/>
          </w:tcPr>
          <w:p w14:paraId="25101197"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47F8A05" w14:textId="2866594F" w:rsidR="008E7846" w:rsidRPr="00167558" w:rsidRDefault="000414B2" w:rsidP="00E41CDB">
            <w:pPr>
              <w:rPr>
                <w:rFonts w:eastAsia="MS Mincho"/>
                <w:i/>
                <w:lang w:eastAsia="ja-JP"/>
              </w:rPr>
            </w:pPr>
            <w:r w:rsidRPr="00167558">
              <w:rPr>
                <w:i/>
              </w:rPr>
              <w:t xml:space="preserve">Sarclisa is indicated in combination with pomalidomide and dexamethasone, for the treatment of patients with multiple myeloma (MM) who have received at least two prior therapies including lenalidomide </w:t>
            </w:r>
            <w:r w:rsidR="00E41CDB" w:rsidRPr="00167558">
              <w:rPr>
                <w:i/>
              </w:rPr>
              <w:t>and a proteasome inhibitor (PI)</w:t>
            </w:r>
            <w:r w:rsidR="00D124DD" w:rsidRPr="00167558">
              <w:rPr>
                <w:i/>
              </w:rPr>
              <w:t>.</w:t>
            </w:r>
          </w:p>
        </w:tc>
      </w:tr>
      <w:tr w:rsidR="008E7846" w:rsidRPr="00487162" w14:paraId="340482AE" w14:textId="77777777" w:rsidTr="00BF1190">
        <w:tc>
          <w:tcPr>
            <w:tcW w:w="2907" w:type="dxa"/>
          </w:tcPr>
          <w:p w14:paraId="0FBFD515" w14:textId="138B3810" w:rsidR="008E7846" w:rsidRPr="00487162" w:rsidRDefault="008E7846" w:rsidP="00E45619">
            <w:pPr>
              <w:rPr>
                <w:i/>
              </w:rPr>
            </w:pPr>
            <w:r w:rsidRPr="00487162">
              <w:rPr>
                <w:i/>
              </w:rPr>
              <w:t>Route of administration:</w:t>
            </w:r>
          </w:p>
        </w:tc>
        <w:tc>
          <w:tcPr>
            <w:tcW w:w="6307" w:type="dxa"/>
          </w:tcPr>
          <w:p w14:paraId="4D5E4186" w14:textId="5EF26E24" w:rsidR="008E7846" w:rsidRPr="00487162" w:rsidRDefault="00E41CDB" w:rsidP="00E45619">
            <w:r>
              <w:t>Intravenous</w:t>
            </w:r>
          </w:p>
        </w:tc>
      </w:tr>
      <w:tr w:rsidR="008E7846" w:rsidRPr="00487162" w14:paraId="092973BE" w14:textId="77777777" w:rsidTr="00BF1190">
        <w:tc>
          <w:tcPr>
            <w:tcW w:w="2907" w:type="dxa"/>
          </w:tcPr>
          <w:p w14:paraId="2C160E40" w14:textId="77777777" w:rsidR="008E7846" w:rsidRPr="00487162" w:rsidRDefault="008E7846" w:rsidP="00E45619">
            <w:pPr>
              <w:rPr>
                <w:i/>
              </w:rPr>
            </w:pPr>
            <w:r w:rsidRPr="00487162">
              <w:rPr>
                <w:i/>
              </w:rPr>
              <w:t>Dosage:</w:t>
            </w:r>
          </w:p>
        </w:tc>
        <w:tc>
          <w:tcPr>
            <w:tcW w:w="6307" w:type="dxa"/>
          </w:tcPr>
          <w:p w14:paraId="652D7A33" w14:textId="407BC291" w:rsidR="008E7846" w:rsidRDefault="0075031C" w:rsidP="0031006E">
            <w:r>
              <w:t xml:space="preserve">The recommended dose of </w:t>
            </w:r>
            <w:r w:rsidR="00D124DD">
              <w:t xml:space="preserve">Sarclisa </w:t>
            </w:r>
            <w:r>
              <w:t>is 10 mg/kg body weight administered as an intravenous infusion (IV) in combination with pomalidomide and dexamethasone</w:t>
            </w:r>
            <w:r w:rsidR="00D124DD">
              <w:t>.</w:t>
            </w:r>
          </w:p>
          <w:p w14:paraId="1CB5E546" w14:textId="77777777" w:rsidR="009B551A" w:rsidRPr="00487162" w:rsidRDefault="009B551A">
            <w:r>
              <w:lastRenderedPageBreak/>
              <w:t>For furt</w:t>
            </w:r>
            <w:r w:rsidR="00C55723">
              <w:t>her information regarding dosage</w:t>
            </w:r>
            <w:r w:rsidR="003A7213">
              <w:t>,</w:t>
            </w:r>
            <w:r>
              <w:t xml:space="preserve"> refer to the Product Information.</w:t>
            </w:r>
          </w:p>
        </w:tc>
      </w:tr>
      <w:tr w:rsidR="00761051" w:rsidRPr="00487162" w14:paraId="5C09CEEC" w14:textId="77777777" w:rsidTr="00BF1190">
        <w:tc>
          <w:tcPr>
            <w:tcW w:w="2907" w:type="dxa"/>
          </w:tcPr>
          <w:p w14:paraId="1649F42D" w14:textId="6D7657F2" w:rsidR="00761051" w:rsidRPr="00487162" w:rsidRDefault="00761051" w:rsidP="00E45619">
            <w:pPr>
              <w:rPr>
                <w:i/>
              </w:rPr>
            </w:pPr>
            <w:r>
              <w:rPr>
                <w:i/>
              </w:rPr>
              <w:lastRenderedPageBreak/>
              <w:t>Pregnancy category</w:t>
            </w:r>
            <w:r w:rsidR="00D124DD">
              <w:rPr>
                <w:i/>
              </w:rPr>
              <w:t>:</w:t>
            </w:r>
          </w:p>
        </w:tc>
        <w:tc>
          <w:tcPr>
            <w:tcW w:w="6307" w:type="dxa"/>
          </w:tcPr>
          <w:p w14:paraId="33DA8C6F" w14:textId="5D3D11B8" w:rsidR="00D124DD" w:rsidRDefault="00D124DD">
            <w:r>
              <w:t>C</w:t>
            </w:r>
          </w:p>
          <w:p w14:paraId="0ADDB1F7" w14:textId="11D63970" w:rsidR="00D124DD" w:rsidRDefault="00D124DD">
            <w:r>
              <w:rPr>
                <w:color w:val="000000"/>
                <w:lang w:val="en"/>
              </w:rPr>
              <w:t>Drugs which, owing to their pharmacological effects, have caused or may be suspected of causing, harmful effects on the human fetus or neonate without causing malformations. These effects may be reversible. Accompanying texts should be consulted for further details.</w:t>
            </w:r>
          </w:p>
          <w:p w14:paraId="7BA3F563" w14:textId="2336EFB5" w:rsidR="00761051" w:rsidRPr="00487162" w:rsidRDefault="00A91D19" w:rsidP="00761051">
            <w:r w:rsidRPr="00A91D19">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7F542C97" w14:textId="77777777" w:rsidR="008E7846" w:rsidRDefault="008E7846" w:rsidP="008E7846">
      <w:pPr>
        <w:pStyle w:val="Heading3"/>
      </w:pPr>
      <w:bookmarkStart w:id="9" w:name="_Toc247691503"/>
      <w:bookmarkStart w:id="10" w:name="_Toc314842484"/>
      <w:bookmarkStart w:id="11" w:name="_Toc55918731"/>
      <w:r>
        <w:t>Product background</w:t>
      </w:r>
      <w:bookmarkEnd w:id="9"/>
      <w:bookmarkEnd w:id="10"/>
      <w:bookmarkEnd w:id="11"/>
    </w:p>
    <w:p w14:paraId="5B3F9C88" w14:textId="4D227B9B" w:rsidR="008E7846" w:rsidRPr="00705754" w:rsidRDefault="00940A89" w:rsidP="00705754">
      <w:r w:rsidRPr="00705754">
        <w:t xml:space="preserve">This AusPAR describes the application by </w:t>
      </w:r>
      <w:r w:rsidR="000414B2" w:rsidRPr="00705754">
        <w:t>Sanofi-A</w:t>
      </w:r>
      <w:r w:rsidR="009F7F51" w:rsidRPr="00705754">
        <w:t>v</w:t>
      </w:r>
      <w:r w:rsidR="000414B2" w:rsidRPr="00705754">
        <w:t>entis Australia Pty Ltd</w:t>
      </w:r>
      <w:r w:rsidR="009B551A" w:rsidRPr="00705754">
        <w:t xml:space="preserve"> (</w:t>
      </w:r>
      <w:r w:rsidRPr="00705754">
        <w:t>the sponsor</w:t>
      </w:r>
      <w:r w:rsidR="009B551A" w:rsidRPr="00705754">
        <w:t>)</w:t>
      </w:r>
      <w:r w:rsidRPr="00705754">
        <w:t xml:space="preserve"> to register </w:t>
      </w:r>
      <w:r w:rsidR="000414B2" w:rsidRPr="00705754">
        <w:t>Sarclisa</w:t>
      </w:r>
      <w:r w:rsidR="009B551A" w:rsidRPr="00705754">
        <w:t xml:space="preserve"> (</w:t>
      </w:r>
      <w:r w:rsidR="00A476C7">
        <w:t>i</w:t>
      </w:r>
      <w:r w:rsidR="000414B2" w:rsidRPr="00705754">
        <w:t>satuximab</w:t>
      </w:r>
      <w:r w:rsidR="009B551A" w:rsidRPr="00705754">
        <w:t xml:space="preserve">) </w:t>
      </w:r>
      <w:r w:rsidR="00D124DD">
        <w:t>500 mg/25 mL and 100 mg/5 mL</w:t>
      </w:r>
      <w:r w:rsidR="00D124DD" w:rsidRPr="00705754" w:rsidDel="00D124DD">
        <w:rPr>
          <w:sz w:val="23"/>
          <w:szCs w:val="23"/>
        </w:rPr>
        <w:t xml:space="preserve"> </w:t>
      </w:r>
      <w:r w:rsidR="00D124DD" w:rsidRPr="00167558">
        <w:t>concentrated injection</w:t>
      </w:r>
      <w:r w:rsidR="00B36A18">
        <w:t xml:space="preserve"> for intravenous (IV) infusion</w:t>
      </w:r>
      <w:r w:rsidR="00D124DD">
        <w:rPr>
          <w:sz w:val="23"/>
          <w:szCs w:val="23"/>
        </w:rPr>
        <w:t xml:space="preserve"> </w:t>
      </w:r>
      <w:r w:rsidRPr="00705754">
        <w:t xml:space="preserve">for the following </w:t>
      </w:r>
      <w:r w:rsidR="009B551A" w:rsidRPr="00705754">
        <w:t xml:space="preserve">proposed </w:t>
      </w:r>
      <w:r w:rsidRPr="00705754">
        <w:t>indication</w:t>
      </w:r>
      <w:r w:rsidR="009B551A" w:rsidRPr="00705754">
        <w:t>:</w:t>
      </w:r>
    </w:p>
    <w:p w14:paraId="3264FB07" w14:textId="77777777" w:rsidR="0075031C" w:rsidRPr="00167558" w:rsidRDefault="0075031C" w:rsidP="00167558">
      <w:pPr>
        <w:ind w:left="720"/>
        <w:rPr>
          <w:i/>
        </w:rPr>
      </w:pPr>
      <w:r w:rsidRPr="00167558">
        <w:rPr>
          <w:i/>
        </w:rPr>
        <w:t>Sarclisa is indicated in combination with pomalidomide and dexamethasone, for the treatment of patients with multiple myeloma (MM) who have received at least two prior therapies including lenalidomide and a proteasome inhibitor (PI).</w:t>
      </w:r>
    </w:p>
    <w:p w14:paraId="66FF0B6A" w14:textId="288BE29A" w:rsidR="0075031C" w:rsidRPr="00167558" w:rsidRDefault="0075031C" w:rsidP="00705754">
      <w:r w:rsidRPr="00705754">
        <w:rPr>
          <w:rFonts w:asciiTheme="minorHAnsi" w:eastAsia="TimesNewRoman" w:hAnsiTheme="minorHAnsi" w:cs="TimesNewRoman"/>
          <w:color w:val="000000"/>
        </w:rPr>
        <w:t>Multiple myeloma (MM) is a malignant disorder of plasma cells characterised by uncontrolled and progressive proliferation of a plasma cell clone. The proliferation of myeloma cells causes displacement of normal bone marrow hematopoietic precursors and the overproduction of monoclonal antibodies. The disease most commonly presents with hypercalcaemia, renal failure, anaemia and bone lesions (CRAB features).</w:t>
      </w:r>
      <w:r w:rsidR="00DD6F98">
        <w:rPr>
          <w:rStyle w:val="FootnoteReference"/>
          <w:rFonts w:asciiTheme="minorHAnsi" w:eastAsia="TimesNewRoman" w:hAnsiTheme="minorHAnsi" w:cs="TimesNewRoman"/>
          <w:color w:val="000000"/>
        </w:rPr>
        <w:footnoteReference w:id="2"/>
      </w:r>
      <w:r w:rsidR="00DD6F98">
        <w:rPr>
          <w:rFonts w:asciiTheme="minorHAnsi" w:eastAsia="TimesNewRoman" w:hAnsiTheme="minorHAnsi" w:cs="TimesNewRoman"/>
          <w:color w:val="000000"/>
          <w:vertAlign w:val="superscript"/>
        </w:rPr>
        <w:t>,</w:t>
      </w:r>
      <w:r w:rsidR="00DD6F98">
        <w:rPr>
          <w:rStyle w:val="FootnoteReference"/>
          <w:rFonts w:asciiTheme="minorHAnsi" w:eastAsia="TimesNewRoman" w:hAnsiTheme="minorHAnsi" w:cs="TimesNewRoman"/>
          <w:color w:val="000000"/>
        </w:rPr>
        <w:footnoteReference w:id="3"/>
      </w:r>
      <w:r w:rsidR="00E41CDB" w:rsidRPr="00705754">
        <w:rPr>
          <w:rFonts w:asciiTheme="minorHAnsi" w:eastAsia="TimesNewRoman" w:hAnsiTheme="minorHAnsi" w:cs="TimesNewRoman"/>
          <w:color w:val="000000"/>
        </w:rPr>
        <w:t xml:space="preserve"> </w:t>
      </w:r>
      <w:r w:rsidRPr="00705754">
        <w:rPr>
          <w:rFonts w:asciiTheme="minorHAnsi" w:eastAsia="TimesNewRoman" w:hAnsiTheme="minorHAnsi" w:cs="TimesNewRoman"/>
          <w:color w:val="000000"/>
        </w:rPr>
        <w:t xml:space="preserve">There is no cure </w:t>
      </w:r>
      <w:r w:rsidRPr="00167558">
        <w:t xml:space="preserve">for </w:t>
      </w:r>
      <w:r w:rsidR="007056C7">
        <w:t>MM</w:t>
      </w:r>
      <w:r w:rsidRPr="00167558">
        <w:t xml:space="preserve"> and the disease leads to progressive morbidity and death. Treatment of MM in patients who have not responded to treatment, including lenalidomide and proteasome inhibitors, is particularly challenging.</w:t>
      </w:r>
    </w:p>
    <w:p w14:paraId="6165D379" w14:textId="1E96427A" w:rsidR="0075031C" w:rsidRPr="00705754" w:rsidRDefault="0031006E" w:rsidP="00705754">
      <w:pPr>
        <w:rPr>
          <w:lang w:eastAsia="ja-JP"/>
        </w:rPr>
      </w:pPr>
      <w:r>
        <w:rPr>
          <w:rFonts w:asciiTheme="minorHAnsi" w:eastAsiaTheme="minorHAnsi" w:hAnsiTheme="minorHAnsi" w:cs="TeXGyrePagella-Regular"/>
          <w:color w:val="000000"/>
        </w:rPr>
        <w:t>MM</w:t>
      </w:r>
      <w:r w:rsidR="0075031C" w:rsidRPr="00705754">
        <w:rPr>
          <w:rFonts w:asciiTheme="minorHAnsi" w:eastAsiaTheme="minorHAnsi" w:hAnsiTheme="minorHAnsi" w:cs="TeXGyrePagella-Regular"/>
          <w:color w:val="000000"/>
        </w:rPr>
        <w:t xml:space="preserve"> accounts for about 10% of all haematological malignancies. The annual incidence of myeloma in Australia is about 7 to 8 cases per 100,000 population for males and about 4 to 5 cases per 100,000 population for females.</w:t>
      </w:r>
      <w:bookmarkStart w:id="12" w:name="_Ref50304501"/>
      <w:r w:rsidR="007056C7">
        <w:rPr>
          <w:rStyle w:val="FootnoteReference"/>
          <w:rFonts w:asciiTheme="minorHAnsi" w:eastAsiaTheme="minorHAnsi" w:hAnsiTheme="minorHAnsi" w:cs="TeXGyrePagella-Regular"/>
          <w:color w:val="000000"/>
        </w:rPr>
        <w:footnoteReference w:id="4"/>
      </w:r>
      <w:bookmarkEnd w:id="12"/>
      <w:r w:rsidR="0075031C" w:rsidRPr="00705754">
        <w:rPr>
          <w:rFonts w:asciiTheme="minorHAnsi" w:eastAsiaTheme="minorHAnsi" w:hAnsiTheme="minorHAnsi" w:cs="TeXGyrePagella-Regular"/>
          <w:color w:val="000000"/>
        </w:rPr>
        <w:t xml:space="preserve"> The 1 and 5 year relative survival rates at diagnosis for all patients in Australia for the period 2009</w:t>
      </w:r>
      <w:r w:rsidR="007056C7">
        <w:rPr>
          <w:rFonts w:asciiTheme="minorHAnsi" w:eastAsiaTheme="minorHAnsi" w:hAnsiTheme="minorHAnsi" w:cs="TeXGyrePagella-Regular"/>
          <w:color w:val="000000"/>
        </w:rPr>
        <w:t xml:space="preserve"> to </w:t>
      </w:r>
      <w:r w:rsidR="0075031C" w:rsidRPr="00705754">
        <w:rPr>
          <w:rFonts w:asciiTheme="minorHAnsi" w:eastAsiaTheme="minorHAnsi" w:hAnsiTheme="minorHAnsi" w:cs="TeXGyrePagella-Regular"/>
          <w:color w:val="000000"/>
        </w:rPr>
        <w:t>2013 were 81.9% and 48.5%, respectively.</w:t>
      </w:r>
      <w:r w:rsidR="007056C7">
        <w:rPr>
          <w:rFonts w:asciiTheme="minorHAnsi" w:eastAsiaTheme="minorHAnsi" w:hAnsiTheme="minorHAnsi" w:cs="TeXGyrePagella-Regular"/>
          <w:color w:val="000000"/>
        </w:rPr>
        <w:fldChar w:fldCharType="begin"/>
      </w:r>
      <w:r w:rsidR="007056C7">
        <w:rPr>
          <w:rFonts w:asciiTheme="minorHAnsi" w:eastAsiaTheme="minorHAnsi" w:hAnsiTheme="minorHAnsi" w:cs="TeXGyrePagella-Regular"/>
          <w:color w:val="000000"/>
        </w:rPr>
        <w:instrText xml:space="preserve"> NOTEREF _Ref50304501 \f \h </w:instrText>
      </w:r>
      <w:r w:rsidR="007056C7">
        <w:rPr>
          <w:rFonts w:asciiTheme="minorHAnsi" w:eastAsiaTheme="minorHAnsi" w:hAnsiTheme="minorHAnsi" w:cs="TeXGyrePagella-Regular"/>
          <w:color w:val="000000"/>
        </w:rPr>
      </w:r>
      <w:r w:rsidR="007056C7">
        <w:rPr>
          <w:rFonts w:asciiTheme="minorHAnsi" w:eastAsiaTheme="minorHAnsi" w:hAnsiTheme="minorHAnsi" w:cs="TeXGyrePagella-Regular"/>
          <w:color w:val="000000"/>
        </w:rPr>
        <w:fldChar w:fldCharType="separate"/>
      </w:r>
      <w:r w:rsidR="00801CDC" w:rsidRPr="00801CDC">
        <w:rPr>
          <w:rStyle w:val="FootnoteReference"/>
        </w:rPr>
        <w:t>4</w:t>
      </w:r>
      <w:r w:rsidR="007056C7">
        <w:rPr>
          <w:rFonts w:asciiTheme="minorHAnsi" w:eastAsiaTheme="minorHAnsi" w:hAnsiTheme="minorHAnsi" w:cs="TeXGyrePagella-Regular"/>
          <w:color w:val="000000"/>
        </w:rPr>
        <w:fldChar w:fldCharType="end"/>
      </w:r>
      <w:r w:rsidR="0075031C" w:rsidRPr="00705754">
        <w:rPr>
          <w:rFonts w:asciiTheme="minorHAnsi" w:eastAsiaTheme="minorHAnsi" w:hAnsiTheme="minorHAnsi" w:cs="TeXGyrePagella-Regular"/>
          <w:color w:val="000000"/>
        </w:rPr>
        <w:t xml:space="preserve"> Based on Australian data for 2013 (incidence) and 2014 (mortality), the median age of patients at the time of diagnosis is 70.9 years and the median age at death is 76.0 years, with both incidence and mortality age data being similar for males and females.</w:t>
      </w:r>
      <w:r w:rsidR="007056C7">
        <w:rPr>
          <w:rFonts w:asciiTheme="minorHAnsi" w:eastAsiaTheme="minorHAnsi" w:hAnsiTheme="minorHAnsi" w:cs="TeXGyrePagella-Regular"/>
          <w:color w:val="000000"/>
        </w:rPr>
        <w:fldChar w:fldCharType="begin"/>
      </w:r>
      <w:r w:rsidR="007056C7">
        <w:rPr>
          <w:rFonts w:asciiTheme="minorHAnsi" w:eastAsiaTheme="minorHAnsi" w:hAnsiTheme="minorHAnsi" w:cs="TeXGyrePagella-Regular"/>
          <w:color w:val="000000"/>
        </w:rPr>
        <w:instrText xml:space="preserve"> NOTEREF _Ref50304501 \f \h </w:instrText>
      </w:r>
      <w:r w:rsidR="007056C7">
        <w:rPr>
          <w:rFonts w:asciiTheme="minorHAnsi" w:eastAsiaTheme="minorHAnsi" w:hAnsiTheme="minorHAnsi" w:cs="TeXGyrePagella-Regular"/>
          <w:color w:val="000000"/>
        </w:rPr>
      </w:r>
      <w:r w:rsidR="007056C7">
        <w:rPr>
          <w:rFonts w:asciiTheme="minorHAnsi" w:eastAsiaTheme="minorHAnsi" w:hAnsiTheme="minorHAnsi" w:cs="TeXGyrePagella-Regular"/>
          <w:color w:val="000000"/>
        </w:rPr>
        <w:fldChar w:fldCharType="separate"/>
      </w:r>
      <w:r w:rsidR="00801CDC" w:rsidRPr="00801CDC">
        <w:rPr>
          <w:rStyle w:val="FootnoteReference"/>
        </w:rPr>
        <w:t>4</w:t>
      </w:r>
      <w:r w:rsidR="007056C7">
        <w:rPr>
          <w:rFonts w:asciiTheme="minorHAnsi" w:eastAsiaTheme="minorHAnsi" w:hAnsiTheme="minorHAnsi" w:cs="TeXGyrePagella-Regular"/>
          <w:color w:val="000000"/>
        </w:rPr>
        <w:fldChar w:fldCharType="end"/>
      </w:r>
    </w:p>
    <w:p w14:paraId="1A6EAD5D" w14:textId="77777777" w:rsidR="0075031C" w:rsidRPr="00167558" w:rsidRDefault="0075031C" w:rsidP="00705754">
      <w:r w:rsidRPr="00705754">
        <w:rPr>
          <w:rFonts w:asciiTheme="minorHAnsi" w:eastAsiaTheme="minorHAnsi" w:hAnsiTheme="minorHAnsi" w:cs="TeXGyrePagella-Regular"/>
          <w:color w:val="000000"/>
        </w:rPr>
        <w:t xml:space="preserve">Until recently, the prognosis for relapsed patients and patients who are refractory to lenalidomide and bortezomib has been very poor. However, a number of new drugs have </w:t>
      </w:r>
      <w:r w:rsidRPr="00705754">
        <w:rPr>
          <w:rFonts w:asciiTheme="minorHAnsi" w:eastAsiaTheme="minorHAnsi" w:hAnsiTheme="minorHAnsi" w:cs="TeXGyrePagella-Regular"/>
          <w:color w:val="000000"/>
        </w:rPr>
        <w:lastRenderedPageBreak/>
        <w:t>been introduced for the treatment of patients with relapsed or refractory multiple myeloma (RRMM), including daratumumab, carfilzomib and pomalidomide. These drugs have improved the outlook for patients with advanced disease</w:t>
      </w:r>
      <w:r w:rsidRPr="00167558">
        <w:rPr>
          <w:rFonts w:asciiTheme="minorHAnsi" w:eastAsiaTheme="minorHAnsi" w:hAnsiTheme="minorHAnsi" w:cs="TeXGyrePagella-Regular"/>
        </w:rPr>
        <w:t>.</w:t>
      </w:r>
    </w:p>
    <w:p w14:paraId="22FD8B8C" w14:textId="7FCFA646" w:rsidR="0075031C" w:rsidRPr="00705754" w:rsidRDefault="0075031C" w:rsidP="00705754">
      <w:pPr>
        <w:rPr>
          <w:rFonts w:asciiTheme="minorHAnsi" w:eastAsiaTheme="minorHAnsi" w:hAnsiTheme="minorHAnsi" w:cs="TeXGyrePagella-Regular"/>
          <w:color w:val="000000"/>
        </w:rPr>
      </w:pPr>
      <w:r w:rsidRPr="00705754">
        <w:rPr>
          <w:rFonts w:asciiTheme="minorHAnsi" w:eastAsiaTheme="minorHAnsi" w:hAnsiTheme="minorHAnsi" w:cs="TeXGyrePagella-Regular"/>
          <w:color w:val="000000"/>
        </w:rPr>
        <w:t>Current treatment options for Australian patients who fail treatment with lenalidomide and proteasome inhibitors include daratumumab monotherapy and pomalidomide based therapies. D</w:t>
      </w:r>
      <w:r w:rsidRPr="00705754">
        <w:rPr>
          <w:rFonts w:asciiTheme="minorHAnsi" w:hAnsiTheme="minorHAnsi"/>
        </w:rPr>
        <w:t>aratumumab</w:t>
      </w:r>
      <w:r w:rsidR="001F4B9D">
        <w:rPr>
          <w:rFonts w:asciiTheme="minorHAnsi" w:hAnsiTheme="minorHAnsi"/>
        </w:rPr>
        <w:t>;</w:t>
      </w:r>
      <w:r w:rsidR="001F4B9D">
        <w:rPr>
          <w:rStyle w:val="FootnoteReference"/>
          <w:rFonts w:asciiTheme="minorHAnsi" w:eastAsia="ArialMT" w:hAnsiTheme="minorHAnsi" w:cs="Arial"/>
        </w:rPr>
        <w:footnoteReference w:id="5"/>
      </w:r>
      <w:r w:rsidR="001F4B9D">
        <w:rPr>
          <w:rFonts w:asciiTheme="minorHAnsi" w:hAnsiTheme="minorHAnsi"/>
        </w:rPr>
        <w:t xml:space="preserve"> </w:t>
      </w:r>
      <w:r w:rsidRPr="00705754">
        <w:rPr>
          <w:rFonts w:asciiTheme="minorHAnsi" w:eastAsia="ArialMT" w:hAnsiTheme="minorHAnsi" w:cs="ArialMT"/>
        </w:rPr>
        <w:t xml:space="preserve">an immunoglobulin G1 kappa (IgG1κ) human monoclonal antibody against </w:t>
      </w:r>
      <w:r w:rsidR="007056C7">
        <w:rPr>
          <w:rFonts w:asciiTheme="minorHAnsi" w:eastAsia="ArialMT" w:hAnsiTheme="minorHAnsi" w:cs="ArialMT"/>
        </w:rPr>
        <w:t>cluster of differentiation 38 (</w:t>
      </w:r>
      <w:r w:rsidRPr="00705754">
        <w:rPr>
          <w:rFonts w:asciiTheme="minorHAnsi" w:eastAsia="ArialMT" w:hAnsiTheme="minorHAnsi" w:cs="Arial"/>
        </w:rPr>
        <w:t>CD38</w:t>
      </w:r>
      <w:r w:rsidR="007056C7">
        <w:rPr>
          <w:rFonts w:asciiTheme="minorHAnsi" w:eastAsia="ArialMT" w:hAnsiTheme="minorHAnsi" w:cs="Arial"/>
        </w:rPr>
        <w:t>)</w:t>
      </w:r>
      <w:r w:rsidRPr="00705754">
        <w:rPr>
          <w:rFonts w:asciiTheme="minorHAnsi" w:eastAsia="ArialMT" w:hAnsiTheme="minorHAnsi" w:cs="Arial"/>
        </w:rPr>
        <w:t xml:space="preserve"> antigen, is approved in Australia as monotherapy for patients with MM who have received at least three prior lines of therapy including a proteasome inhibitor and an immunomodulatory agent or who are refractory to both a proteasome inhibitor and an immunomodulatory agent. Pomalidomide</w:t>
      </w:r>
      <w:r w:rsidR="001F4B9D">
        <w:rPr>
          <w:rFonts w:asciiTheme="minorHAnsi" w:eastAsia="ArialMT" w:hAnsiTheme="minorHAnsi" w:cs="Arial"/>
        </w:rPr>
        <w:t>;</w:t>
      </w:r>
      <w:r w:rsidR="001F4B9D">
        <w:rPr>
          <w:rStyle w:val="FootnoteReference"/>
          <w:rFonts w:asciiTheme="minorHAnsi" w:eastAsia="ArialMT" w:hAnsiTheme="minorHAnsi" w:cs="Arial"/>
        </w:rPr>
        <w:footnoteReference w:id="6"/>
      </w:r>
      <w:r w:rsidRPr="00705754">
        <w:rPr>
          <w:rFonts w:asciiTheme="minorHAnsi" w:eastAsia="ArialMT" w:hAnsiTheme="minorHAnsi" w:cs="Arial"/>
        </w:rPr>
        <w:t xml:space="preserve"> </w:t>
      </w:r>
      <w:r w:rsidRPr="00705754">
        <w:rPr>
          <w:rFonts w:asciiTheme="minorHAnsi" w:hAnsiTheme="minorHAnsi"/>
        </w:rPr>
        <w:t>is approved in Australia in combination with dexamethasone for the treatment of patients with relapsed and refractory multiple myeloma who have received at least two prior treatment regimens, including both lenalidomide and bortezomib, and have demonstrated disease progression on the last therapy.</w:t>
      </w:r>
    </w:p>
    <w:p w14:paraId="73DF4DA0" w14:textId="2117FFCD" w:rsidR="0075031C" w:rsidRPr="00705754" w:rsidRDefault="00705754" w:rsidP="00705754">
      <w:r w:rsidRPr="00705754">
        <w:rPr>
          <w:rFonts w:asciiTheme="minorHAnsi" w:hAnsiTheme="minorHAnsi"/>
        </w:rPr>
        <w:t>I</w:t>
      </w:r>
      <w:r w:rsidR="0075031C" w:rsidRPr="00705754">
        <w:rPr>
          <w:rFonts w:asciiTheme="minorHAnsi" w:hAnsiTheme="minorHAnsi"/>
        </w:rPr>
        <w:t xml:space="preserve">satuximab binds selectively to CD38 membrane protein and leads to the death of CD38 expressing tumour cells by acting through </w:t>
      </w:r>
      <w:r w:rsidR="0031006E">
        <w:rPr>
          <w:rFonts w:asciiTheme="minorHAnsi" w:hAnsiTheme="minorHAnsi"/>
        </w:rPr>
        <w:t>immunoglobulin G (</w:t>
      </w:r>
      <w:r w:rsidR="0075031C" w:rsidRPr="00705754">
        <w:rPr>
          <w:rFonts w:asciiTheme="minorHAnsi" w:hAnsiTheme="minorHAnsi"/>
        </w:rPr>
        <w:t>IgG</w:t>
      </w:r>
      <w:r w:rsidR="0031006E">
        <w:rPr>
          <w:rFonts w:asciiTheme="minorHAnsi" w:hAnsiTheme="minorHAnsi"/>
        </w:rPr>
        <w:t>)</w:t>
      </w:r>
      <w:r w:rsidR="0075031C" w:rsidRPr="00705754">
        <w:rPr>
          <w:rFonts w:asciiTheme="minorHAnsi" w:hAnsiTheme="minorHAnsi"/>
        </w:rPr>
        <w:t xml:space="preserve"> </w:t>
      </w:r>
      <w:r w:rsidR="0031006E" w:rsidRPr="00705754">
        <w:rPr>
          <w:rFonts w:asciiTheme="minorHAnsi" w:hAnsiTheme="minorHAnsi"/>
        </w:rPr>
        <w:t xml:space="preserve">fragment crystalline </w:t>
      </w:r>
      <w:r w:rsidR="0031006E">
        <w:rPr>
          <w:rFonts w:asciiTheme="minorHAnsi" w:hAnsiTheme="minorHAnsi"/>
        </w:rPr>
        <w:t>(</w:t>
      </w:r>
      <w:r w:rsidR="0075031C" w:rsidRPr="00705754">
        <w:rPr>
          <w:rFonts w:asciiTheme="minorHAnsi" w:hAnsiTheme="minorHAnsi"/>
        </w:rPr>
        <w:t>Fc</w:t>
      </w:r>
      <w:r w:rsidR="0031006E">
        <w:rPr>
          <w:rFonts w:asciiTheme="minorHAnsi" w:hAnsiTheme="minorHAnsi"/>
        </w:rPr>
        <w:t>)</w:t>
      </w:r>
      <w:r w:rsidR="0075031C" w:rsidRPr="00705754">
        <w:rPr>
          <w:rFonts w:asciiTheme="minorHAnsi" w:hAnsiTheme="minorHAnsi"/>
        </w:rPr>
        <w:t>-dependent mechanisms including antibody dependent cell mediated cytotoxicity (ADCC), antibody dependent cellular phagocytosis (ADCP), and complement dependent cytotoxicity (CDC). Isatuximab can also trigger tumour cell death by induction of apoptosis via an Fc-independent mechanism. The sponsor comments that compared with the approved anti-CD38 agent daratumumab, isatuximab has a distinct mechanism of action, including different binding epitope and different sensitivity to the CD38 receptor density and structural Fc domain. MM is considered to be an appropriate target disease for an anti-CD38 agent because of the high and uniform expression of CD38 on malignant plasma cells.</w:t>
      </w:r>
    </w:p>
    <w:p w14:paraId="58B1F62C" w14:textId="0ECD5C8B" w:rsidR="00705754" w:rsidRPr="00A476C7" w:rsidRDefault="0075031C" w:rsidP="00A476C7">
      <w:pPr>
        <w:rPr>
          <w:rFonts w:asciiTheme="minorHAnsi" w:hAnsiTheme="minorHAnsi"/>
        </w:rPr>
      </w:pPr>
      <w:r w:rsidRPr="00705754">
        <w:rPr>
          <w:rFonts w:asciiTheme="minorHAnsi" w:hAnsiTheme="minorHAnsi"/>
        </w:rPr>
        <w:t>The sponsor states that novel agents and combinations are constantly needed to improve disease control and delay progression, prevent or improve myeloma-related complications and ultimately improve survival. Genetic and molecular analyses have revealed the complexity and heterogeneity of MM, highlighting the need for therapeutic strategies that encompass multiple modes of action. Agents with alternative or improved target specificity and new combination approaches triggering multiple cytotoxic mechanisms are needed to overcome resistance to available therapies and further improve patient outcomes. Isatuximab belongs to a novel class of agents with a novel mechanism of action and thus offers an additional therapeutic option for the treatment of MM.</w:t>
      </w:r>
    </w:p>
    <w:p w14:paraId="6854358A" w14:textId="7B7048AA" w:rsidR="00761051" w:rsidRDefault="0075031C" w:rsidP="0075031C">
      <w:r w:rsidRPr="00167558">
        <w:t xml:space="preserve">The </w:t>
      </w:r>
      <w:r>
        <w:t>application for the registration of Sarclisa (isatuximab) has been made under the ACSS (Australia, Canada, Singapore and Switzerland) Consortium work sharing program with Health Canada.</w:t>
      </w:r>
      <w:r w:rsidR="00705754">
        <w:rPr>
          <w:rStyle w:val="FootnoteReference"/>
          <w:sz w:val="23"/>
          <w:szCs w:val="23"/>
        </w:rPr>
        <w:footnoteReference w:id="7"/>
      </w:r>
    </w:p>
    <w:p w14:paraId="0196EDD7" w14:textId="77777777" w:rsidR="008E7846" w:rsidRPr="003F31A2" w:rsidRDefault="00386150" w:rsidP="008E7846">
      <w:pPr>
        <w:pStyle w:val="Heading3"/>
      </w:pPr>
      <w:bookmarkStart w:id="13" w:name="_Toc314842485"/>
      <w:bookmarkStart w:id="14" w:name="_Toc247691504"/>
      <w:bookmarkStart w:id="15" w:name="_Toc55918732"/>
      <w:r>
        <w:lastRenderedPageBreak/>
        <w:t>Regulatory s</w:t>
      </w:r>
      <w:r w:rsidR="008E7846">
        <w:t>tatus</w:t>
      </w:r>
      <w:bookmarkEnd w:id="13"/>
      <w:bookmarkEnd w:id="14"/>
      <w:bookmarkEnd w:id="15"/>
    </w:p>
    <w:p w14:paraId="162F0A81" w14:textId="77777777" w:rsidR="00AE5B41" w:rsidRDefault="00AE5B41" w:rsidP="00940A89">
      <w:bookmarkStart w:id="16" w:name="_Toc247691505"/>
      <w:bookmarkStart w:id="17" w:name="_Toc314842486"/>
      <w:r>
        <w:t>This product is considered a new chemical entity medicine for Australian regulatory purposes.</w:t>
      </w:r>
      <w:r w:rsidR="0075031C">
        <w:t xml:space="preserve"> </w:t>
      </w:r>
      <w:r w:rsidR="0075031C" w:rsidRPr="00883962">
        <w:rPr>
          <w:rFonts w:asciiTheme="minorHAnsi" w:hAnsiTheme="minorHAnsi"/>
        </w:rPr>
        <w:t>This is the first application for Australian registration of isatuximab.</w:t>
      </w:r>
    </w:p>
    <w:p w14:paraId="25B2AF96" w14:textId="44FF722B" w:rsidR="00967D82" w:rsidRPr="00967D82" w:rsidRDefault="00940A89" w:rsidP="006C41F3">
      <w:r w:rsidRPr="00705754">
        <w:t>At the time the TGA considered this application,</w:t>
      </w:r>
      <w:r w:rsidR="0075031C" w:rsidRPr="00705754">
        <w:t xml:space="preserve"> applications have been made to the </w:t>
      </w:r>
      <w:r w:rsidR="00C24AA3">
        <w:t>European Medicines Agency (</w:t>
      </w:r>
      <w:r w:rsidR="0075031C" w:rsidRPr="00705754">
        <w:t>EMA</w:t>
      </w:r>
      <w:r w:rsidR="00C24AA3">
        <w:t>)</w:t>
      </w:r>
      <w:r w:rsidR="0062173C">
        <w:t xml:space="preserve"> of the European Union (EU)</w:t>
      </w:r>
      <w:r w:rsidR="0075031C" w:rsidRPr="00705754">
        <w:t xml:space="preserve"> and </w:t>
      </w:r>
      <w:r w:rsidR="00C24AA3">
        <w:t>United States (</w:t>
      </w:r>
      <w:r w:rsidR="0075031C" w:rsidRPr="00705754">
        <w:t>US</w:t>
      </w:r>
      <w:r w:rsidR="00C24AA3">
        <w:t>)</w:t>
      </w:r>
      <w:r w:rsidR="0075031C" w:rsidRPr="00705754">
        <w:t xml:space="preserve"> </w:t>
      </w:r>
      <w:r w:rsidR="00C24AA3">
        <w:t xml:space="preserve">Food and Drug </w:t>
      </w:r>
      <w:r w:rsidR="006B37C4">
        <w:t>Administration</w:t>
      </w:r>
      <w:r w:rsidR="00C24AA3">
        <w:t xml:space="preserve"> (</w:t>
      </w:r>
      <w:r w:rsidR="0075031C" w:rsidRPr="00705754">
        <w:t>FDA</w:t>
      </w:r>
      <w:r w:rsidR="00C24AA3">
        <w:t>)</w:t>
      </w:r>
      <w:r w:rsidR="0075031C" w:rsidRPr="00705754">
        <w:t xml:space="preserve"> to register </w:t>
      </w:r>
      <w:r w:rsidR="00C24AA3">
        <w:t>i</w:t>
      </w:r>
      <w:r w:rsidR="0075031C" w:rsidRPr="00705754">
        <w:t>satuximab</w:t>
      </w:r>
      <w:r w:rsidR="00C24AA3">
        <w:t>,</w:t>
      </w:r>
      <w:r w:rsidR="0075031C" w:rsidRPr="00705754">
        <w:t xml:space="preserve"> but no regulatory decisions ha</w:t>
      </w:r>
      <w:r w:rsidR="006B37C4">
        <w:t>d</w:t>
      </w:r>
      <w:r w:rsidR="0075031C" w:rsidRPr="00705754">
        <w:t xml:space="preserve"> been issued worldwide.</w:t>
      </w:r>
    </w:p>
    <w:p w14:paraId="5306DFBA" w14:textId="77777777" w:rsidR="008E7846" w:rsidRDefault="008E7846" w:rsidP="00940A89">
      <w:pPr>
        <w:pStyle w:val="Heading3"/>
      </w:pPr>
      <w:bookmarkStart w:id="18" w:name="_Toc55918733"/>
      <w:r>
        <w:t>Product Information</w:t>
      </w:r>
      <w:bookmarkEnd w:id="16"/>
      <w:bookmarkEnd w:id="17"/>
      <w:bookmarkEnd w:id="18"/>
    </w:p>
    <w:p w14:paraId="49C1B6AD" w14:textId="05810C94" w:rsidR="00940A89" w:rsidRDefault="006136D7" w:rsidP="00940A89">
      <w:bookmarkStart w:id="19" w:name="_Toc247691506"/>
      <w:bookmarkStart w:id="20"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2789F3C0" w14:textId="77777777" w:rsidR="00500337" w:rsidRDefault="00500337" w:rsidP="00500337">
      <w:pPr>
        <w:pStyle w:val="Heading2"/>
      </w:pPr>
      <w:bookmarkStart w:id="21" w:name="_Toc504480011"/>
      <w:bookmarkStart w:id="22" w:name="_Toc55918734"/>
      <w:r>
        <w:t>II. Registration timeline</w:t>
      </w:r>
      <w:bookmarkEnd w:id="21"/>
      <w:bookmarkEnd w:id="22"/>
    </w:p>
    <w:p w14:paraId="7258CB9D" w14:textId="77777777" w:rsidR="00500337" w:rsidRDefault="00500337" w:rsidP="00500337">
      <w:r>
        <w:t>The following table captures the key steps and dates for this application and which are detailed and discussed in this AusPAR.</w:t>
      </w:r>
    </w:p>
    <w:p w14:paraId="2A832BF2" w14:textId="2001CE6C" w:rsidR="00500337" w:rsidRDefault="00C24AA3" w:rsidP="00167558">
      <w:pPr>
        <w:pStyle w:val="TableTitle"/>
      </w:pPr>
      <w:r>
        <w:t xml:space="preserve">Table </w:t>
      </w:r>
      <w:fldSimple w:instr=" SEQ Table \* ARABIC ">
        <w:r w:rsidR="00801CDC">
          <w:rPr>
            <w:noProof/>
          </w:rPr>
          <w:t>1</w:t>
        </w:r>
      </w:fldSimple>
      <w:r w:rsidR="005D12DD">
        <w:t>:</w:t>
      </w:r>
      <w:r w:rsidR="009B523D">
        <w:t xml:space="preserve"> Timeline for Submission PM-2019</w:t>
      </w:r>
      <w:r w:rsidR="006A58A8" w:rsidRPr="006A58A8">
        <w:t>-</w:t>
      </w:r>
      <w:r w:rsidR="008C3981">
        <w:t>02568-1-6</w:t>
      </w:r>
    </w:p>
    <w:tbl>
      <w:tblPr>
        <w:tblStyle w:val="TableTGAblue"/>
        <w:tblW w:w="0" w:type="auto"/>
        <w:tblLook w:val="04A0" w:firstRow="1" w:lastRow="0" w:firstColumn="1" w:lastColumn="0" w:noHBand="0" w:noVBand="1"/>
      </w:tblPr>
      <w:tblGrid>
        <w:gridCol w:w="6086"/>
        <w:gridCol w:w="2398"/>
      </w:tblGrid>
      <w:tr w:rsidR="00500337" w14:paraId="4B6CDCE2" w14:textId="77777777" w:rsidTr="00884863">
        <w:trPr>
          <w:cnfStyle w:val="100000000000" w:firstRow="1" w:lastRow="0" w:firstColumn="0" w:lastColumn="0" w:oddVBand="0" w:evenVBand="0" w:oddHBand="0" w:evenHBand="0" w:firstRowFirstColumn="0" w:firstRowLastColumn="0" w:lastRowFirstColumn="0" w:lastRowLastColumn="0"/>
          <w:cantSplit/>
        </w:trPr>
        <w:tc>
          <w:tcPr>
            <w:tcW w:w="6086" w:type="dxa"/>
          </w:tcPr>
          <w:p w14:paraId="0539AB4C" w14:textId="77777777" w:rsidR="00500337" w:rsidRDefault="00500337" w:rsidP="00500337">
            <w:pPr>
              <w:ind w:left="0" w:right="0"/>
            </w:pPr>
            <w:r>
              <w:t>Description</w:t>
            </w:r>
          </w:p>
        </w:tc>
        <w:tc>
          <w:tcPr>
            <w:tcW w:w="2398" w:type="dxa"/>
          </w:tcPr>
          <w:p w14:paraId="106D47EC" w14:textId="77777777" w:rsidR="00500337" w:rsidRDefault="00500337" w:rsidP="00500337">
            <w:pPr>
              <w:ind w:left="0" w:right="0"/>
            </w:pPr>
            <w:r>
              <w:t>Date</w:t>
            </w:r>
          </w:p>
        </w:tc>
      </w:tr>
      <w:tr w:rsidR="00500337" w14:paraId="01888A7C" w14:textId="77777777" w:rsidTr="00884863">
        <w:tc>
          <w:tcPr>
            <w:tcW w:w="6086" w:type="dxa"/>
          </w:tcPr>
          <w:p w14:paraId="2A62B420" w14:textId="1E7923AA" w:rsidR="00500337" w:rsidRDefault="00500337" w:rsidP="008124C8">
            <w:pPr>
              <w:ind w:left="0" w:right="0"/>
            </w:pPr>
            <w:r>
              <w:t>Designation (Orphan)</w:t>
            </w:r>
            <w:r w:rsidR="00BF32D9">
              <w:t>;</w:t>
            </w:r>
            <w:r w:rsidR="00BF32D9">
              <w:rPr>
                <w:rStyle w:val="FootnoteReference"/>
              </w:rPr>
              <w:footnoteReference w:id="8"/>
            </w:r>
          </w:p>
        </w:tc>
        <w:tc>
          <w:tcPr>
            <w:tcW w:w="2398" w:type="dxa"/>
          </w:tcPr>
          <w:p w14:paraId="27A50A4A" w14:textId="33244E3B" w:rsidR="00500337" w:rsidRDefault="008124C8" w:rsidP="00500337">
            <w:pPr>
              <w:ind w:left="0" w:right="0"/>
            </w:pPr>
            <w:r>
              <w:t>14 May 2019</w:t>
            </w:r>
          </w:p>
        </w:tc>
      </w:tr>
      <w:tr w:rsidR="008124C8" w14:paraId="40293686" w14:textId="77777777" w:rsidTr="00884863">
        <w:tc>
          <w:tcPr>
            <w:tcW w:w="6086" w:type="dxa"/>
          </w:tcPr>
          <w:p w14:paraId="6E35631A" w14:textId="77777777" w:rsidR="008124C8" w:rsidRDefault="008124C8" w:rsidP="008124C8">
            <w:pPr>
              <w:ind w:left="0" w:right="0"/>
            </w:pPr>
            <w:r>
              <w:t>Submission dossier accepted and first round evaluation commenced</w:t>
            </w:r>
          </w:p>
        </w:tc>
        <w:tc>
          <w:tcPr>
            <w:tcW w:w="2398" w:type="dxa"/>
          </w:tcPr>
          <w:p w14:paraId="1127D529" w14:textId="12D9F598" w:rsidR="008124C8" w:rsidRDefault="008124C8" w:rsidP="008124C8">
            <w:pPr>
              <w:ind w:left="0" w:right="0"/>
            </w:pPr>
            <w:r w:rsidRPr="00BC5339">
              <w:rPr>
                <w:color w:val="auto"/>
              </w:rPr>
              <w:t>30 July 2019</w:t>
            </w:r>
          </w:p>
        </w:tc>
      </w:tr>
      <w:tr w:rsidR="008124C8" w14:paraId="0BC6AAC1" w14:textId="77777777" w:rsidTr="00884863">
        <w:tc>
          <w:tcPr>
            <w:tcW w:w="6086" w:type="dxa"/>
          </w:tcPr>
          <w:p w14:paraId="081D881A" w14:textId="77777777" w:rsidR="008124C8" w:rsidRDefault="008124C8" w:rsidP="008124C8">
            <w:pPr>
              <w:ind w:left="0" w:right="0"/>
            </w:pPr>
            <w:r>
              <w:t>First round evaluation completed</w:t>
            </w:r>
          </w:p>
        </w:tc>
        <w:tc>
          <w:tcPr>
            <w:tcW w:w="2398" w:type="dxa"/>
          </w:tcPr>
          <w:p w14:paraId="6FFB039E" w14:textId="4EAF789F" w:rsidR="008124C8" w:rsidRDefault="008124C8" w:rsidP="008124C8">
            <w:pPr>
              <w:ind w:left="0" w:right="0"/>
            </w:pPr>
            <w:r w:rsidRPr="00BC5339">
              <w:rPr>
                <w:color w:val="auto"/>
              </w:rPr>
              <w:t>20 November 2019</w:t>
            </w:r>
          </w:p>
        </w:tc>
      </w:tr>
      <w:tr w:rsidR="008124C8" w14:paraId="084A2070" w14:textId="77777777" w:rsidTr="00884863">
        <w:tc>
          <w:tcPr>
            <w:tcW w:w="6086" w:type="dxa"/>
          </w:tcPr>
          <w:p w14:paraId="5F916662" w14:textId="77777777" w:rsidR="008124C8" w:rsidRDefault="008124C8" w:rsidP="008124C8">
            <w:pPr>
              <w:ind w:left="0" w:right="0"/>
            </w:pPr>
            <w:r>
              <w:t>Sponsor provides responses on questions raised in first round evaluation</w:t>
            </w:r>
          </w:p>
        </w:tc>
        <w:tc>
          <w:tcPr>
            <w:tcW w:w="2398" w:type="dxa"/>
          </w:tcPr>
          <w:p w14:paraId="6811A740" w14:textId="3CB352A4" w:rsidR="008124C8" w:rsidRDefault="008124C8" w:rsidP="008124C8">
            <w:pPr>
              <w:ind w:left="0" w:right="0"/>
            </w:pPr>
            <w:r w:rsidRPr="00BC5339">
              <w:rPr>
                <w:color w:val="auto"/>
              </w:rPr>
              <w:t>23 December 2019</w:t>
            </w:r>
          </w:p>
        </w:tc>
      </w:tr>
      <w:tr w:rsidR="008124C8" w14:paraId="5FD0EBCF" w14:textId="77777777" w:rsidTr="00884863">
        <w:tc>
          <w:tcPr>
            <w:tcW w:w="6086" w:type="dxa"/>
          </w:tcPr>
          <w:p w14:paraId="1ECB2887" w14:textId="77777777" w:rsidR="008124C8" w:rsidRDefault="008124C8" w:rsidP="008124C8">
            <w:pPr>
              <w:ind w:left="0" w:right="0"/>
            </w:pPr>
            <w:r>
              <w:t>Second round evaluation completed</w:t>
            </w:r>
          </w:p>
        </w:tc>
        <w:tc>
          <w:tcPr>
            <w:tcW w:w="2398" w:type="dxa"/>
          </w:tcPr>
          <w:p w14:paraId="72DE9397" w14:textId="4676201D" w:rsidR="008124C8" w:rsidRDefault="008124C8" w:rsidP="008124C8">
            <w:pPr>
              <w:ind w:left="0" w:right="0"/>
            </w:pPr>
            <w:r w:rsidRPr="00BC5339">
              <w:rPr>
                <w:color w:val="auto"/>
              </w:rPr>
              <w:t>28 February 2020</w:t>
            </w:r>
          </w:p>
        </w:tc>
      </w:tr>
      <w:tr w:rsidR="008124C8" w14:paraId="5D15D361" w14:textId="77777777" w:rsidTr="00884863">
        <w:tc>
          <w:tcPr>
            <w:tcW w:w="6086" w:type="dxa"/>
          </w:tcPr>
          <w:p w14:paraId="6CF34A06" w14:textId="77777777" w:rsidR="008124C8" w:rsidRDefault="008124C8" w:rsidP="008124C8">
            <w:pPr>
              <w:ind w:left="0" w:right="0"/>
            </w:pPr>
            <w:r>
              <w:t>Delegate’s Overall benefit-risk assessment and request for Advisory Committee advice</w:t>
            </w:r>
          </w:p>
        </w:tc>
        <w:tc>
          <w:tcPr>
            <w:tcW w:w="2398" w:type="dxa"/>
          </w:tcPr>
          <w:p w14:paraId="4C6BC29D" w14:textId="3CBADDC4" w:rsidR="008124C8" w:rsidRDefault="008124C8" w:rsidP="008124C8">
            <w:pPr>
              <w:ind w:left="0" w:right="0"/>
            </w:pPr>
            <w:r w:rsidRPr="00BC5339">
              <w:rPr>
                <w:color w:val="auto"/>
              </w:rPr>
              <w:t>24 February 2020</w:t>
            </w:r>
          </w:p>
        </w:tc>
      </w:tr>
      <w:tr w:rsidR="008124C8" w14:paraId="576A2DB3" w14:textId="77777777" w:rsidTr="00884863">
        <w:tc>
          <w:tcPr>
            <w:tcW w:w="6086" w:type="dxa"/>
          </w:tcPr>
          <w:p w14:paraId="295B21FB" w14:textId="77777777" w:rsidR="008124C8" w:rsidRDefault="008124C8" w:rsidP="008124C8">
            <w:pPr>
              <w:ind w:left="0" w:right="0"/>
            </w:pPr>
            <w:r>
              <w:t>Sponsor’s pre-Advisory Committee response</w:t>
            </w:r>
          </w:p>
        </w:tc>
        <w:tc>
          <w:tcPr>
            <w:tcW w:w="2398" w:type="dxa"/>
          </w:tcPr>
          <w:p w14:paraId="283369AF" w14:textId="7D82143A" w:rsidR="008124C8" w:rsidRDefault="008124C8" w:rsidP="008124C8">
            <w:pPr>
              <w:ind w:left="0" w:right="0"/>
            </w:pPr>
            <w:r w:rsidRPr="00102C5E">
              <w:rPr>
                <w:color w:val="auto"/>
              </w:rPr>
              <w:t>16 March 2020</w:t>
            </w:r>
          </w:p>
        </w:tc>
      </w:tr>
      <w:tr w:rsidR="008124C8" w14:paraId="271058AD" w14:textId="77777777" w:rsidTr="00884863">
        <w:tc>
          <w:tcPr>
            <w:tcW w:w="6086" w:type="dxa"/>
          </w:tcPr>
          <w:p w14:paraId="1F67FEAD" w14:textId="77777777" w:rsidR="008124C8" w:rsidRDefault="008124C8" w:rsidP="008124C8">
            <w:pPr>
              <w:ind w:left="0" w:right="0"/>
            </w:pPr>
            <w:r>
              <w:t>Advisory Committee meeting</w:t>
            </w:r>
          </w:p>
        </w:tc>
        <w:tc>
          <w:tcPr>
            <w:tcW w:w="2398" w:type="dxa"/>
          </w:tcPr>
          <w:p w14:paraId="73A1F3BC" w14:textId="67DA6AE3" w:rsidR="008124C8" w:rsidRDefault="008124C8" w:rsidP="008124C8">
            <w:pPr>
              <w:ind w:left="0" w:right="0"/>
            </w:pPr>
            <w:r>
              <w:rPr>
                <w:color w:val="auto"/>
              </w:rPr>
              <w:t>2 and 3</w:t>
            </w:r>
            <w:r w:rsidRPr="00102C5E">
              <w:rPr>
                <w:color w:val="auto"/>
              </w:rPr>
              <w:t xml:space="preserve"> April 2020</w:t>
            </w:r>
          </w:p>
        </w:tc>
      </w:tr>
      <w:tr w:rsidR="008124C8" w14:paraId="77C9BE66" w14:textId="77777777" w:rsidTr="00884863">
        <w:tc>
          <w:tcPr>
            <w:tcW w:w="6086" w:type="dxa"/>
          </w:tcPr>
          <w:p w14:paraId="3926B58C" w14:textId="77777777" w:rsidR="008124C8" w:rsidRDefault="008124C8" w:rsidP="008124C8">
            <w:pPr>
              <w:ind w:left="0" w:right="0"/>
            </w:pPr>
            <w:r>
              <w:t>Registration decision (Outcome)</w:t>
            </w:r>
          </w:p>
        </w:tc>
        <w:tc>
          <w:tcPr>
            <w:tcW w:w="2398" w:type="dxa"/>
          </w:tcPr>
          <w:p w14:paraId="1D0F8764" w14:textId="414379A1" w:rsidR="008124C8" w:rsidRDefault="008124C8" w:rsidP="008124C8">
            <w:pPr>
              <w:ind w:left="0" w:right="0"/>
            </w:pPr>
            <w:r w:rsidRPr="00BC5339">
              <w:rPr>
                <w:color w:val="auto"/>
              </w:rPr>
              <w:t>29 April 2020</w:t>
            </w:r>
          </w:p>
        </w:tc>
      </w:tr>
      <w:tr w:rsidR="008124C8" w14:paraId="052D9B1A" w14:textId="77777777" w:rsidTr="00884863">
        <w:tc>
          <w:tcPr>
            <w:tcW w:w="6086" w:type="dxa"/>
          </w:tcPr>
          <w:p w14:paraId="119A3C4E" w14:textId="77777777" w:rsidR="008124C8" w:rsidRDefault="008124C8" w:rsidP="008124C8">
            <w:pPr>
              <w:ind w:left="0" w:right="0"/>
            </w:pPr>
            <w:r>
              <w:lastRenderedPageBreak/>
              <w:t>Completion of administrative activities and registration on the ARTG</w:t>
            </w:r>
          </w:p>
        </w:tc>
        <w:tc>
          <w:tcPr>
            <w:tcW w:w="2398" w:type="dxa"/>
          </w:tcPr>
          <w:p w14:paraId="65082984" w14:textId="549DF64B" w:rsidR="008124C8" w:rsidRDefault="008124C8" w:rsidP="008124C8">
            <w:pPr>
              <w:ind w:left="0" w:right="0"/>
            </w:pPr>
            <w:r>
              <w:rPr>
                <w:color w:val="auto"/>
              </w:rPr>
              <w:t>6</w:t>
            </w:r>
            <w:r w:rsidRPr="001E4700">
              <w:rPr>
                <w:color w:val="auto"/>
              </w:rPr>
              <w:t xml:space="preserve"> May 2020</w:t>
            </w:r>
          </w:p>
        </w:tc>
      </w:tr>
      <w:tr w:rsidR="00500337" w14:paraId="1C795C84" w14:textId="77777777" w:rsidTr="00884863">
        <w:tc>
          <w:tcPr>
            <w:tcW w:w="6086" w:type="dxa"/>
          </w:tcPr>
          <w:p w14:paraId="41A3E85F" w14:textId="77777777" w:rsidR="00500337" w:rsidRDefault="00500337" w:rsidP="00500337">
            <w:pPr>
              <w:ind w:left="0" w:right="0"/>
            </w:pPr>
            <w:r>
              <w:t>Number of working days from submission dossier acceptance to registration decision*</w:t>
            </w:r>
          </w:p>
        </w:tc>
        <w:tc>
          <w:tcPr>
            <w:tcW w:w="2398" w:type="dxa"/>
          </w:tcPr>
          <w:p w14:paraId="481659A1" w14:textId="77777777" w:rsidR="00500337" w:rsidRDefault="008C3981" w:rsidP="00500337">
            <w:pPr>
              <w:ind w:left="0" w:right="0"/>
            </w:pPr>
            <w:r>
              <w:t>166</w:t>
            </w:r>
          </w:p>
        </w:tc>
      </w:tr>
    </w:tbl>
    <w:p w14:paraId="76DF046C" w14:textId="77777777" w:rsidR="00500337" w:rsidRDefault="00500337" w:rsidP="00500337">
      <w:pPr>
        <w:pStyle w:val="TableDescription"/>
      </w:pPr>
      <w:r>
        <w:t>*</w:t>
      </w:r>
      <w:r w:rsidR="006603BC" w:rsidRPr="006603BC">
        <w:t>Statutory timeframe for standard applications is 255 working days</w:t>
      </w:r>
    </w:p>
    <w:p w14:paraId="64B9A695" w14:textId="77777777" w:rsidR="008E7846" w:rsidRPr="00792A32" w:rsidRDefault="00456765" w:rsidP="008E7846">
      <w:pPr>
        <w:pStyle w:val="Heading2"/>
      </w:pPr>
      <w:bookmarkStart w:id="23" w:name="_Toc196046504"/>
      <w:bookmarkStart w:id="24" w:name="_Toc247691527"/>
      <w:bookmarkStart w:id="25" w:name="_Toc314842510"/>
      <w:bookmarkStart w:id="26" w:name="_Toc163441390"/>
      <w:bookmarkStart w:id="27" w:name="_Toc55918735"/>
      <w:bookmarkEnd w:id="19"/>
      <w:bookmarkEnd w:id="20"/>
      <w:bookmarkEnd w:id="1"/>
      <w:r>
        <w:t>I</w:t>
      </w:r>
      <w:r w:rsidR="00DA64CB">
        <w:t>I</w:t>
      </w:r>
      <w:r w:rsidR="008E7846">
        <w:t xml:space="preserve">I. </w:t>
      </w:r>
      <w:r w:rsidR="00B870E9">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3"/>
      <w:bookmarkEnd w:id="24"/>
      <w:bookmarkEnd w:id="25"/>
      <w:bookmarkEnd w:id="27"/>
    </w:p>
    <w:p w14:paraId="41388C01" w14:textId="77777777" w:rsidR="005D12DD" w:rsidRDefault="008E7846" w:rsidP="008E7846">
      <w:bookmarkStart w:id="28" w:name="_Toc247691528"/>
      <w:r>
        <w:t xml:space="preserve">The submission was summarised in the following </w:t>
      </w:r>
      <w:r w:rsidRPr="00EF5C48">
        <w:t xml:space="preserve">Delegate’s </w:t>
      </w:r>
      <w:r>
        <w:t>overview</w:t>
      </w:r>
      <w:r w:rsidRPr="00EF5C48">
        <w:t xml:space="preserve"> and recommendation</w:t>
      </w:r>
      <w:r>
        <w:t>s</w:t>
      </w:r>
      <w:r w:rsidR="003A7213">
        <w:t>.</w:t>
      </w:r>
    </w:p>
    <w:p w14:paraId="43987F32" w14:textId="46F2AA9E" w:rsidR="005D12DD" w:rsidRDefault="005D12DD" w:rsidP="005D12DD">
      <w:r w:rsidRPr="006C41F3">
        <w:t>This section is a TGA summary of wording used in TGA’s evaluation report, which discussed numerous aspects of overseas evaluation reports and included some information that was commercial-in-confidence.</w:t>
      </w:r>
    </w:p>
    <w:p w14:paraId="668848C9" w14:textId="67986B67" w:rsidR="00C24AA3" w:rsidRDefault="00C24AA3" w:rsidP="00167558">
      <w:pPr>
        <w:pStyle w:val="Heading3"/>
      </w:pPr>
      <w:bookmarkStart w:id="29" w:name="_Toc55918736"/>
      <w:r>
        <w:t>Quality</w:t>
      </w:r>
      <w:bookmarkEnd w:id="29"/>
    </w:p>
    <w:bookmarkEnd w:id="28"/>
    <w:p w14:paraId="7DF97465" w14:textId="66C1D988" w:rsidR="0033276C" w:rsidRPr="0033276C" w:rsidRDefault="0033276C" w:rsidP="00C24AA3">
      <w:r w:rsidRPr="0033276C">
        <w:t xml:space="preserve">Isatuximab is an IgG1-derived monoclonal antibody that binds to a specific extracellular epitope of CD38 receptor and triggers several mechanisms leading to the death of CD38 expressing tumor cells. It is produced from a mammalian cell line (Chinese </w:t>
      </w:r>
      <w:r w:rsidR="002D6ECC">
        <w:t>h</w:t>
      </w:r>
      <w:r w:rsidRPr="0033276C">
        <w:t xml:space="preserve">amster </w:t>
      </w:r>
      <w:r w:rsidR="002D6ECC">
        <w:t>o</w:t>
      </w:r>
      <w:r w:rsidRPr="0033276C">
        <w:t xml:space="preserve">vary, CHO) using a fed-batch production process. </w:t>
      </w:r>
      <w:r w:rsidR="002D6ECC">
        <w:t>The i</w:t>
      </w:r>
      <w:r w:rsidRPr="0033276C">
        <w:t xml:space="preserve">satuximab drug product (DP) is supplied as a sterile 20 mg/mL concentrate solution for infusion in two single-use vial presentations, 500 mg/25 mL and 100 mg/5 mL, and is administered by a healthcare professional. </w:t>
      </w:r>
      <w:r w:rsidR="002D6ECC">
        <w:t xml:space="preserve">The </w:t>
      </w:r>
      <w:r w:rsidRPr="0033276C">
        <w:t>Sarclisa DP must be diluted with 0.9% sodium chloride or dextrose 5% solution before an intravenous infusion in combination with pomalidomide and dexamethasone. Each treatment cycle consists of a 28</w:t>
      </w:r>
      <w:r w:rsidR="00C24AA3">
        <w:t xml:space="preserve"> </w:t>
      </w:r>
      <w:r w:rsidRPr="0033276C">
        <w:t>day period and is repeated until disease progression or unacceptable toxicity.</w:t>
      </w:r>
    </w:p>
    <w:p w14:paraId="4060F776" w14:textId="269A2D7D" w:rsidR="008E7846" w:rsidRPr="00FC1FCA" w:rsidRDefault="002D6ECC" w:rsidP="00167558">
      <w:r>
        <w:t>The d</w:t>
      </w:r>
      <w:r w:rsidR="0033276C" w:rsidRPr="0033276C">
        <w:t xml:space="preserve">rug substance is stored in </w:t>
      </w:r>
      <w:r>
        <w:t xml:space="preserve">a </w:t>
      </w:r>
      <w:r w:rsidR="0033276C" w:rsidRPr="0033276C">
        <w:t>20 L polycarbonate bottle with polypropylene screw closure at ≤ -30°C whereas the drug product is stored in either a colo</w:t>
      </w:r>
      <w:r w:rsidR="00167558">
        <w:t>u</w:t>
      </w:r>
      <w:r w:rsidR="0033276C" w:rsidRPr="0033276C">
        <w:t xml:space="preserve">rless clear </w:t>
      </w:r>
      <w:r>
        <w:t xml:space="preserve">Type I </w:t>
      </w:r>
      <w:r w:rsidR="0033276C" w:rsidRPr="0033276C">
        <w:t>glass vial of 30 mL or 6 mL at 5 ± 3°C, protected from light. The provided data support the proposed shelf life of 36 months for drug substance and drug product.</w:t>
      </w:r>
    </w:p>
    <w:p w14:paraId="63022F40" w14:textId="7F6E31F9" w:rsidR="00E45619" w:rsidRDefault="00374368">
      <w:r>
        <w:t>T</w:t>
      </w:r>
      <w:r w:rsidRPr="00786168">
        <w:t>here</w:t>
      </w:r>
      <w:r>
        <w:t xml:space="preserve"> are no objections on quality grounds to the approval of Sarclisa</w:t>
      </w:r>
      <w:r w:rsidR="00C24AA3">
        <w:t>.</w:t>
      </w:r>
    </w:p>
    <w:p w14:paraId="65DB8BBB" w14:textId="77777777" w:rsidR="008E7846" w:rsidRDefault="008E7846" w:rsidP="008E7846">
      <w:pPr>
        <w:pStyle w:val="Heading3"/>
      </w:pPr>
      <w:bookmarkStart w:id="30" w:name="_Toc314842512"/>
      <w:bookmarkStart w:id="31" w:name="_Toc55918737"/>
      <w:r>
        <w:t>Nonclinical</w:t>
      </w:r>
      <w:bookmarkEnd w:id="30"/>
      <w:bookmarkEnd w:id="31"/>
    </w:p>
    <w:p w14:paraId="328C6AD6" w14:textId="3D3AFAB8" w:rsidR="001230A4" w:rsidRDefault="00374368" w:rsidP="00167558">
      <w:r>
        <w:t>The following points were summarised in the nonclinical evaluation:</w:t>
      </w:r>
    </w:p>
    <w:p w14:paraId="0E8C48EB" w14:textId="60065731" w:rsidR="00374368" w:rsidRPr="00D224ED" w:rsidRDefault="00374368" w:rsidP="00167558">
      <w:pPr>
        <w:pStyle w:val="ListBullet"/>
      </w:pPr>
      <w:r w:rsidRPr="00D224ED">
        <w:t xml:space="preserve">The nonclinical dossier was adequate in scope according to </w:t>
      </w:r>
      <w:r w:rsidR="00A50633">
        <w:t xml:space="preserve">the </w:t>
      </w:r>
      <w:r w:rsidRPr="00D224ED">
        <w:t xml:space="preserve">relevant </w:t>
      </w:r>
      <w:r w:rsidR="00C97EAD">
        <w:t xml:space="preserve">TGA-adopted </w:t>
      </w:r>
      <w:r w:rsidRPr="00D224ED">
        <w:t>guidelines</w:t>
      </w:r>
      <w:r w:rsidR="00CC5018">
        <w:t>;</w:t>
      </w:r>
      <w:bookmarkStart w:id="32" w:name="_Ref50307497"/>
      <w:r w:rsidR="00C97EAD">
        <w:rPr>
          <w:rStyle w:val="FootnoteReference"/>
        </w:rPr>
        <w:footnoteReference w:id="9"/>
      </w:r>
      <w:bookmarkEnd w:id="32"/>
      <w:r w:rsidR="00CC5018">
        <w:rPr>
          <w:vertAlign w:val="superscript"/>
        </w:rPr>
        <w:t>,</w:t>
      </w:r>
      <w:bookmarkStart w:id="33" w:name="_Ref50307091"/>
      <w:r w:rsidR="00BC1D3B">
        <w:rPr>
          <w:rStyle w:val="FootnoteReference"/>
        </w:rPr>
        <w:footnoteReference w:id="10"/>
      </w:r>
      <w:bookmarkEnd w:id="33"/>
      <w:r w:rsidR="00AC2556">
        <w:t xml:space="preserve"> </w:t>
      </w:r>
      <w:r w:rsidRPr="00D224ED">
        <w:t xml:space="preserve">but limited due to the species specificity of isatuximab. The submitted studies were of high quality, and the main toxicity study was </w:t>
      </w:r>
      <w:r w:rsidR="00AC2556">
        <w:t>Good Laboratory Practice (</w:t>
      </w:r>
      <w:r w:rsidRPr="00D224ED">
        <w:t>GLP</w:t>
      </w:r>
      <w:r w:rsidR="00AC2556">
        <w:t>)</w:t>
      </w:r>
      <w:r w:rsidR="006B37C4">
        <w:t xml:space="preserve"> </w:t>
      </w:r>
      <w:r w:rsidRPr="00D224ED">
        <w:t>compliant.</w:t>
      </w:r>
      <w:r w:rsidR="00A50633">
        <w:rPr>
          <w:rStyle w:val="FootnoteReference"/>
        </w:rPr>
        <w:footnoteReference w:id="11"/>
      </w:r>
    </w:p>
    <w:p w14:paraId="36D6297A" w14:textId="038BEAF5" w:rsidR="00374368" w:rsidRPr="004B5C43" w:rsidRDefault="00374368" w:rsidP="00167558">
      <w:pPr>
        <w:pStyle w:val="ListBullet"/>
      </w:pPr>
      <w:r w:rsidRPr="004B5C43">
        <w:lastRenderedPageBreak/>
        <w:t xml:space="preserve">CD38 is a transmembrane glycoprotein with ectoenzymatic activity that is highly expressed on </w:t>
      </w:r>
      <w:r>
        <w:t>MM </w:t>
      </w:r>
      <w:r w:rsidRPr="004B5C43">
        <w:t xml:space="preserve">cells. </w:t>
      </w:r>
      <w:r w:rsidRPr="004B5C43">
        <w:rPr>
          <w:i/>
        </w:rPr>
        <w:t>In vitro</w:t>
      </w:r>
      <w:r w:rsidRPr="004B5C43">
        <w:t xml:space="preserve"> studies established that isatuximab binds to human CD38 with subnanomolar affinity, potently inhibits CD38 enzymatic activity, and triggers cell death of human MM and other CD38-expressing tumour cell lines through multiple mechanisms: direct induction of apoptosis, </w:t>
      </w:r>
      <w:r w:rsidR="00AC2556">
        <w:t>ADCC</w:t>
      </w:r>
      <w:r w:rsidRPr="004B5C43">
        <w:t xml:space="preserve">, </w:t>
      </w:r>
      <w:r w:rsidR="00AC2556">
        <w:t>CDC</w:t>
      </w:r>
      <w:r w:rsidRPr="004B5C43">
        <w:t xml:space="preserve"> and </w:t>
      </w:r>
      <w:r w:rsidR="00AC2556">
        <w:t>ADCP</w:t>
      </w:r>
      <w:r w:rsidRPr="004B5C43">
        <w:t xml:space="preserve">. Isatuximab was also shown to modulate immune cell activity, activating natural killer (NK) cells and enhancing their lytic activity, and inhibiting regulatory T cells (Tregs) </w:t>
      </w:r>
      <w:r w:rsidRPr="004B5C43">
        <w:rPr>
          <w:i/>
        </w:rPr>
        <w:t>in vitro</w:t>
      </w:r>
      <w:r w:rsidRPr="004B5C43">
        <w:t>.</w:t>
      </w:r>
    </w:p>
    <w:p w14:paraId="5101F972" w14:textId="7514B489" w:rsidR="00374368" w:rsidRPr="004B5C43" w:rsidRDefault="00374368" w:rsidP="00167558">
      <w:pPr>
        <w:pStyle w:val="ListBullet"/>
      </w:pPr>
      <w:r w:rsidRPr="004B5C43">
        <w:t xml:space="preserve">Anti-tumour activity was demonstrated for isatuximab in mice bearing human MM and </w:t>
      </w:r>
      <w:r w:rsidR="00AC2556">
        <w:t xml:space="preserve">diffuse large B </w:t>
      </w:r>
      <w:r w:rsidR="00AC2556" w:rsidRPr="00AC2556">
        <w:t>cell lymphom</w:t>
      </w:r>
      <w:r w:rsidR="00AC2556">
        <w:t>a</w:t>
      </w:r>
      <w:r w:rsidR="00AC2556" w:rsidRPr="00AC2556">
        <w:t xml:space="preserve"> </w:t>
      </w:r>
      <w:r w:rsidR="00AC2556">
        <w:t>(</w:t>
      </w:r>
      <w:r w:rsidRPr="004B5C43">
        <w:t>DLBCL</w:t>
      </w:r>
      <w:r w:rsidR="00AC2556">
        <w:t>)</w:t>
      </w:r>
      <w:r w:rsidRPr="004B5C43">
        <w:t xml:space="preserve"> tumour xenografts.</w:t>
      </w:r>
    </w:p>
    <w:p w14:paraId="53CB793B" w14:textId="77777777" w:rsidR="00374368" w:rsidRDefault="00374368" w:rsidP="00167558">
      <w:pPr>
        <w:pStyle w:val="ListBullet"/>
      </w:pPr>
      <w:r w:rsidRPr="004B5C43">
        <w:rPr>
          <w:i/>
        </w:rPr>
        <w:t>In vitro</w:t>
      </w:r>
      <w:r w:rsidRPr="004B5C43">
        <w:t xml:space="preserve"> cytotoxicity and </w:t>
      </w:r>
      <w:r w:rsidRPr="004B5C43">
        <w:rPr>
          <w:i/>
        </w:rPr>
        <w:t>in vivo</w:t>
      </w:r>
      <w:r w:rsidRPr="004B5C43">
        <w:t xml:space="preserve"> anti-tumour activity by isatuximab were enhanced in combination with pomalidomide.</w:t>
      </w:r>
    </w:p>
    <w:p w14:paraId="3FF6BF13" w14:textId="4F031128" w:rsidR="00374368" w:rsidRDefault="00374368" w:rsidP="00167558">
      <w:pPr>
        <w:pStyle w:val="ListBullet"/>
      </w:pPr>
      <w:r>
        <w:t>Isatuximab and the existing anti-CD38 antibody, daratumumab (</w:t>
      </w:r>
      <w:r w:rsidRPr="00167558">
        <w:t>Darzalex</w:t>
      </w:r>
      <w:r>
        <w:t>), bind to human CD38 with comparable affinity but at distinct epitopes and show differences in functional activity.</w:t>
      </w:r>
    </w:p>
    <w:p w14:paraId="780D124B" w14:textId="5D22D1B3" w:rsidR="00374368" w:rsidRPr="00324DB7" w:rsidRDefault="00374368" w:rsidP="00167558">
      <w:pPr>
        <w:pStyle w:val="ListBullet"/>
      </w:pPr>
      <w:r w:rsidRPr="00324DB7">
        <w:t xml:space="preserve">In secondary pharmacodynamic studies conducted </w:t>
      </w:r>
      <w:r w:rsidRPr="00324DB7">
        <w:rPr>
          <w:i/>
        </w:rPr>
        <w:t>in vitro</w:t>
      </w:r>
      <w:r w:rsidRPr="00324DB7">
        <w:t xml:space="preserve">, isatuximab did not cause significant cytokine release from normal </w:t>
      </w:r>
      <w:r>
        <w:t xml:space="preserve">human </w:t>
      </w:r>
      <w:r w:rsidRPr="00324DB7">
        <w:t>peripheral blood mononuclear cells (PBMCs), did not stimulate proliferation of PBMCs, an</w:t>
      </w:r>
      <w:r w:rsidR="00AC2556">
        <w:t>d did not induce apoptosis of B </w:t>
      </w:r>
      <w:r w:rsidRPr="00324DB7">
        <w:t xml:space="preserve">cells, T cells or monocytes, but </w:t>
      </w:r>
      <w:r>
        <w:t>was found to</w:t>
      </w:r>
      <w:r w:rsidRPr="00324DB7">
        <w:t xml:space="preserve"> increase the number of apoptotic NK cells.</w:t>
      </w:r>
    </w:p>
    <w:p w14:paraId="2883B1A5" w14:textId="77777777" w:rsidR="00374368" w:rsidRPr="00F721EA" w:rsidRDefault="00374368" w:rsidP="00167558">
      <w:pPr>
        <w:pStyle w:val="ListBullet"/>
      </w:pPr>
      <w:r w:rsidRPr="00F721EA">
        <w:t xml:space="preserve">Isatuximab recognised chimpanzee CD38, but not the form of CD38 in standard laboratory species (including mouse, rat, guinea pig, rabbit, dog, cynomolgus monkey and rhesus monkey). Two antibodies against monkey CD38 were explored as potential surrogates for isatuximab for use in toxicity testing but lacked </w:t>
      </w:r>
      <w:r>
        <w:t>isatuximab’s</w:t>
      </w:r>
      <w:r w:rsidRPr="00F721EA">
        <w:t xml:space="preserve"> ability to induce apoptosis.</w:t>
      </w:r>
    </w:p>
    <w:p w14:paraId="5F42DE15" w14:textId="68C0F81F" w:rsidR="00374368" w:rsidRPr="00706E2E" w:rsidRDefault="00374368" w:rsidP="00167558">
      <w:pPr>
        <w:pStyle w:val="ListBullet"/>
      </w:pPr>
      <w:r w:rsidRPr="005845D2">
        <w:t xml:space="preserve">With ethical concerns over the use of chimpanzees and potential surrogate antibodies not suitable due to differences in functional activity, the sponsor investigated general safety in a study performed with isatuximab in cynomolgus monkeys, involving </w:t>
      </w:r>
      <w:r w:rsidR="00AC2556">
        <w:t>intravenous (</w:t>
      </w:r>
      <w:r w:rsidRPr="005845D2">
        <w:t>IV</w:t>
      </w:r>
      <w:r w:rsidR="00AC2556">
        <w:t>)</w:t>
      </w:r>
      <w:r w:rsidRPr="005845D2">
        <w:t xml:space="preserve"> administration once weekly for 3 weeks. No adverse effects were observed up to the highest dose tested (100 mg/kg/week), including to endpoints relating to cardiovascular, respiratory and </w:t>
      </w:r>
      <w:r w:rsidR="00AC2556">
        <w:t>central nervous system (</w:t>
      </w:r>
      <w:r w:rsidRPr="005845D2">
        <w:t>CNS</w:t>
      </w:r>
      <w:r w:rsidR="00AC2556">
        <w:t>)</w:t>
      </w:r>
      <w:r w:rsidRPr="005845D2">
        <w:t xml:space="preserve"> </w:t>
      </w:r>
      <w:r w:rsidRPr="00706E2E">
        <w:t>function. This study is of very limited predictive value given that the cynomolgus monkey is not a pharmacologically relevant species for isatuximab, and the short duration of the study and the small number of animals used hinders identification of potential off-target effects. ICH S6</w:t>
      </w:r>
      <w:r w:rsidR="006B37C4">
        <w:rPr>
          <w:w w:val="50"/>
        </w:rPr>
        <w:t xml:space="preserve"> </w:t>
      </w:r>
      <w:r w:rsidRPr="00706E2E">
        <w:t>(R1)</w:t>
      </w:r>
      <w:r w:rsidR="00AC2556">
        <w:t>;</w:t>
      </w:r>
      <w:r w:rsidR="00AC2556">
        <w:fldChar w:fldCharType="begin"/>
      </w:r>
      <w:r w:rsidR="00AC2556">
        <w:instrText xml:space="preserve"> NOTEREF _Ref50307091 \f \h </w:instrText>
      </w:r>
      <w:r w:rsidR="00AC2556">
        <w:fldChar w:fldCharType="separate"/>
      </w:r>
      <w:r w:rsidR="00801CDC" w:rsidRPr="00801CDC">
        <w:rPr>
          <w:rStyle w:val="FootnoteReference"/>
        </w:rPr>
        <w:t>10</w:t>
      </w:r>
      <w:r w:rsidR="00AC2556">
        <w:fldChar w:fldCharType="end"/>
      </w:r>
      <w:r w:rsidRPr="00706E2E">
        <w:t xml:space="preserve"> discourages the con</w:t>
      </w:r>
      <w:r w:rsidR="00AC2556">
        <w:t>duct of toxicity studies in non</w:t>
      </w:r>
      <w:r w:rsidR="00AC2556">
        <w:noBreakHyphen/>
      </w:r>
      <w:r w:rsidRPr="00706E2E">
        <w:t>pharmacologically relevant species.</w:t>
      </w:r>
    </w:p>
    <w:p w14:paraId="234EAEFC" w14:textId="42C70B04" w:rsidR="00374368" w:rsidRPr="00D17786" w:rsidRDefault="00374368" w:rsidP="00167558">
      <w:pPr>
        <w:pStyle w:val="ListBullet"/>
      </w:pPr>
      <w:r w:rsidRPr="00706E2E">
        <w:t>Information on the tissue expression of CD38, the tissue staining pattern of isatuximab, and the phenotype of CD38-knockout animals offer insight into the potential toxicity of isatuximab in the absence of a useful repeat-dose toxicity study. While isatuximab is seen to target CD38 with high specificity, CD38 is expressed in various lymphoid and non-lymphoid tissues, including the prostate, pituitary, lung and brain where isatuximab staining was observed</w:t>
      </w:r>
      <w:r>
        <w:t xml:space="preserve"> in immunohistochemistry experiments</w:t>
      </w:r>
      <w:r w:rsidRPr="00706E2E">
        <w:t xml:space="preserve">. No CNS toxicity by isatuximab would be expected, though, given the operation of the blood-brain barrier to prevent antibody penetration. Published </w:t>
      </w:r>
      <w:r w:rsidR="00AC2556">
        <w:t>literature on CD38</w:t>
      </w:r>
      <w:r w:rsidR="00AC2556">
        <w:noBreakHyphen/>
      </w:r>
      <w:r w:rsidRPr="00D17786">
        <w:t xml:space="preserve">knockout mice suggest the potential for isatuximab to impair glucose tolerance </w:t>
      </w:r>
      <w:r w:rsidRPr="00D17786">
        <w:lastRenderedPageBreak/>
        <w:t>and lower serum insulin levels</w:t>
      </w:r>
      <w:r w:rsidR="00832747">
        <w:t>;</w:t>
      </w:r>
      <w:r w:rsidR="00AC2556">
        <w:rPr>
          <w:rStyle w:val="FootnoteReference"/>
        </w:rPr>
        <w:footnoteReference w:id="12"/>
      </w:r>
      <w:r w:rsidRPr="00D17786">
        <w:t xml:space="preserve"> reduce bone mineral density</w:t>
      </w:r>
      <w:r w:rsidR="00832747">
        <w:t>;</w:t>
      </w:r>
      <w:r w:rsidR="00AC2556">
        <w:rPr>
          <w:rStyle w:val="FootnoteReference"/>
        </w:rPr>
        <w:footnoteReference w:id="13"/>
      </w:r>
      <w:r w:rsidRPr="00D17786">
        <w:t xml:space="preserve"> and impair the humoural immune response.</w:t>
      </w:r>
      <w:r w:rsidR="00AC2556">
        <w:rPr>
          <w:rStyle w:val="FootnoteReference"/>
        </w:rPr>
        <w:footnoteReference w:id="14"/>
      </w:r>
    </w:p>
    <w:p w14:paraId="1C9BCDD8" w14:textId="0EC1DC63" w:rsidR="00374368" w:rsidRPr="00D17786" w:rsidRDefault="00374368" w:rsidP="00167558">
      <w:pPr>
        <w:pStyle w:val="ListBullet"/>
      </w:pPr>
      <w:r w:rsidRPr="00D17786">
        <w:t xml:space="preserve">Consistent with </w:t>
      </w:r>
      <w:r w:rsidR="00832747">
        <w:t xml:space="preserve">the </w:t>
      </w:r>
      <w:r w:rsidRPr="00D17786">
        <w:t>relevant</w:t>
      </w:r>
      <w:r w:rsidR="006D4950">
        <w:t>;</w:t>
      </w:r>
      <w:r w:rsidR="006D4950">
        <w:fldChar w:fldCharType="begin"/>
      </w:r>
      <w:r w:rsidR="006D4950">
        <w:instrText xml:space="preserve"> NOTEREF _Ref50307497 \f \h </w:instrText>
      </w:r>
      <w:r w:rsidR="006D4950">
        <w:fldChar w:fldCharType="separate"/>
      </w:r>
      <w:r w:rsidR="00801CDC" w:rsidRPr="00801CDC">
        <w:rPr>
          <w:rStyle w:val="FootnoteReference"/>
        </w:rPr>
        <w:t>9</w:t>
      </w:r>
      <w:r w:rsidR="006D4950">
        <w:fldChar w:fldCharType="end"/>
      </w:r>
      <w:r w:rsidR="006D4950">
        <w:rPr>
          <w:vertAlign w:val="superscript"/>
        </w:rPr>
        <w:t>,</w:t>
      </w:r>
      <w:r w:rsidR="006D4950">
        <w:fldChar w:fldCharType="begin"/>
      </w:r>
      <w:r w:rsidR="006D4950">
        <w:instrText xml:space="preserve"> NOTEREF _Ref50307091 \f \h </w:instrText>
      </w:r>
      <w:r w:rsidR="006D4950">
        <w:fldChar w:fldCharType="separate"/>
      </w:r>
      <w:r w:rsidR="00801CDC" w:rsidRPr="00801CDC">
        <w:rPr>
          <w:rStyle w:val="FootnoteReference"/>
        </w:rPr>
        <w:t>10</w:t>
      </w:r>
      <w:r w:rsidR="006D4950">
        <w:fldChar w:fldCharType="end"/>
      </w:r>
      <w:r w:rsidRPr="00D17786">
        <w:t xml:space="preserve"> </w:t>
      </w:r>
      <w:r w:rsidR="009C1794">
        <w:t xml:space="preserve">TGA-adopted </w:t>
      </w:r>
      <w:r w:rsidR="009C1794" w:rsidRPr="009C1794">
        <w:t>International Council for Harmonisation of Technical Requirements for Pharmaceuticals for Human Use</w:t>
      </w:r>
      <w:r w:rsidR="009C1794">
        <w:t xml:space="preserve"> (</w:t>
      </w:r>
      <w:r w:rsidRPr="00D17786">
        <w:t>ICH</w:t>
      </w:r>
      <w:r w:rsidR="009C1794">
        <w:t>)</w:t>
      </w:r>
      <w:r w:rsidRPr="00D17786">
        <w:t xml:space="preserve"> guidelines, no studies on genotoxicity, carcinogenicity, fertility and early embryonic development, and pre-/postnatal development were submitted. Effects on embryofetal development were not investigated due to the absence of appropriate animal models. CD38 is not seen to have a critical role in development based on the viability and gross normal appearance of CD38-knockout mice, but these animals do display neurological deficits and impairments to bone, </w:t>
      </w:r>
      <w:r>
        <w:t xml:space="preserve">pancreatic </w:t>
      </w:r>
      <w:r w:rsidRPr="00D17786">
        <w:t>β</w:t>
      </w:r>
      <w:r w:rsidRPr="00D17786">
        <w:noBreakHyphen/>
        <w:t xml:space="preserve">cell function and the immune system, suggesting the potential for pharmacologically mediated adverse effects with exposure to isatuximab </w:t>
      </w:r>
      <w:r w:rsidRPr="00D17786">
        <w:rPr>
          <w:i/>
        </w:rPr>
        <w:t>in utero</w:t>
      </w:r>
      <w:r w:rsidRPr="00D17786">
        <w:t>. Pregnancy Category C,</w:t>
      </w:r>
      <w:r w:rsidR="009C1794">
        <w:rPr>
          <w:rStyle w:val="FootnoteReference"/>
        </w:rPr>
        <w:footnoteReference w:id="15"/>
      </w:r>
      <w:r w:rsidRPr="00D17786">
        <w:t xml:space="preserve"> as the sponsor proposes, is considered appropriate.</w:t>
      </w:r>
    </w:p>
    <w:p w14:paraId="20349836" w14:textId="77777777" w:rsidR="00374368" w:rsidRPr="00D17786" w:rsidRDefault="00374368" w:rsidP="00167558">
      <w:pPr>
        <w:pStyle w:val="ListBullet"/>
      </w:pPr>
      <w:r w:rsidRPr="00D17786">
        <w:t xml:space="preserve">Isatuximab was well tolerated locally by the IV route in rabbits and monkeys. Haemocompatibility was demonstrated </w:t>
      </w:r>
      <w:r w:rsidRPr="00D17786">
        <w:rPr>
          <w:i/>
        </w:rPr>
        <w:t>in vitro</w:t>
      </w:r>
      <w:r w:rsidRPr="00D17786">
        <w:t xml:space="preserve"> using human blood/plasma.</w:t>
      </w:r>
    </w:p>
    <w:p w14:paraId="4FEB6EC8" w14:textId="68864A97" w:rsidR="000F476B" w:rsidRPr="000F476B" w:rsidRDefault="00374368" w:rsidP="00167558">
      <w:pPr>
        <w:rPr>
          <w:rFonts w:eastAsiaTheme="minorHAnsi" w:cs="Cambria"/>
          <w:color w:val="000000"/>
        </w:rPr>
      </w:pPr>
      <w:r w:rsidRPr="00746AAF">
        <w:t xml:space="preserve">There are no nonclinical objections to the registration of </w:t>
      </w:r>
      <w:r w:rsidRPr="00167558">
        <w:t>Sarclisa</w:t>
      </w:r>
      <w:r w:rsidRPr="00746AAF">
        <w:t xml:space="preserve"> for the proposed indication.</w:t>
      </w:r>
    </w:p>
    <w:p w14:paraId="1605BCBC" w14:textId="518D1B4D" w:rsidR="000F476B" w:rsidRPr="000F476B" w:rsidRDefault="000F476B" w:rsidP="00167558">
      <w:pPr>
        <w:rPr>
          <w:rFonts w:eastAsiaTheme="minorHAnsi" w:cs="Cambria"/>
          <w:color w:val="000000"/>
        </w:rPr>
      </w:pPr>
      <w:r w:rsidRPr="000F476B">
        <w:rPr>
          <w:rFonts w:eastAsiaTheme="minorHAnsi" w:cs="Cambria"/>
          <w:color w:val="000000"/>
        </w:rPr>
        <w:t xml:space="preserve">The nonclinical </w:t>
      </w:r>
      <w:r w:rsidR="00BC1D3B">
        <w:rPr>
          <w:rFonts w:eastAsiaTheme="minorHAnsi" w:cs="Cambria"/>
          <w:color w:val="000000"/>
        </w:rPr>
        <w:t>e</w:t>
      </w:r>
      <w:r w:rsidRPr="000F476B">
        <w:rPr>
          <w:rFonts w:eastAsiaTheme="minorHAnsi" w:cs="Cambria"/>
          <w:color w:val="000000"/>
        </w:rPr>
        <w:t xml:space="preserve">valuator has requested several amendments to the </w:t>
      </w:r>
      <w:r w:rsidR="00BC1D3B">
        <w:rPr>
          <w:rFonts w:eastAsiaTheme="minorHAnsi" w:cs="Cambria"/>
          <w:color w:val="000000"/>
        </w:rPr>
        <w:t>PI</w:t>
      </w:r>
      <w:r w:rsidR="006D4950">
        <w:rPr>
          <w:rFonts w:eastAsiaTheme="minorHAnsi" w:cs="Cambria"/>
          <w:color w:val="000000"/>
        </w:rPr>
        <w:t>.</w:t>
      </w:r>
    </w:p>
    <w:p w14:paraId="7526361C" w14:textId="6026E4D9" w:rsidR="000F476B" w:rsidRPr="000F476B" w:rsidRDefault="000F476B">
      <w:r w:rsidRPr="000F476B">
        <w:rPr>
          <w:rFonts w:eastAsiaTheme="minorHAnsi" w:cs="Cambria"/>
          <w:color w:val="000000"/>
        </w:rPr>
        <w:t xml:space="preserve">It is noted that </w:t>
      </w:r>
      <w:r w:rsidR="00BC1D3B">
        <w:rPr>
          <w:rFonts w:eastAsiaTheme="minorHAnsi" w:cs="Cambria"/>
          <w:color w:val="000000"/>
        </w:rPr>
        <w:t>i</w:t>
      </w:r>
      <w:r w:rsidRPr="000F476B">
        <w:rPr>
          <w:rFonts w:eastAsiaTheme="minorHAnsi" w:cs="Cambria"/>
          <w:color w:val="000000"/>
        </w:rPr>
        <w:t>satuximab is not expected to have significant genotoxic potential</w:t>
      </w:r>
      <w:r w:rsidR="00BC1D3B">
        <w:rPr>
          <w:rFonts w:eastAsiaTheme="minorHAnsi" w:cs="Cambria"/>
          <w:color w:val="000000"/>
        </w:rPr>
        <w:t>.</w:t>
      </w:r>
    </w:p>
    <w:p w14:paraId="55F6CAC1" w14:textId="1CD60221" w:rsidR="008E7846" w:rsidRDefault="008E7846" w:rsidP="008E7846">
      <w:pPr>
        <w:pStyle w:val="Heading3"/>
      </w:pPr>
      <w:bookmarkStart w:id="34" w:name="_Toc247691530"/>
      <w:bookmarkStart w:id="35" w:name="_Toc314842513"/>
      <w:bookmarkStart w:id="36" w:name="_Toc55918738"/>
      <w:r>
        <w:t>Clinical</w:t>
      </w:r>
      <w:bookmarkEnd w:id="34"/>
      <w:bookmarkEnd w:id="35"/>
      <w:bookmarkEnd w:id="36"/>
    </w:p>
    <w:p w14:paraId="45393195" w14:textId="72BCEC9E" w:rsidR="009C1794" w:rsidRPr="00C70A29" w:rsidRDefault="009C1794" w:rsidP="00167558">
      <w:pPr>
        <w:rPr>
          <w:lang w:eastAsia="ja-JP"/>
        </w:rPr>
      </w:pPr>
      <w:r w:rsidRPr="00C70A29">
        <w:t>The clinical data submitted supporting the proposed indication and treatmen</w:t>
      </w:r>
      <w:r w:rsidR="00EC1F86">
        <w:t>t regimen are summarised below:</w:t>
      </w:r>
    </w:p>
    <w:p w14:paraId="18FD5BE1" w14:textId="77777777" w:rsidR="006D4950" w:rsidRDefault="009C1794" w:rsidP="00167558">
      <w:pPr>
        <w:pStyle w:val="ListBullet"/>
        <w:rPr>
          <w:lang w:eastAsia="ja-JP"/>
        </w:rPr>
      </w:pPr>
      <w:r>
        <w:rPr>
          <w:lang w:eastAsia="ja-JP"/>
        </w:rPr>
        <w:t xml:space="preserve">Two </w:t>
      </w:r>
      <w:r w:rsidRPr="00C70A29">
        <w:rPr>
          <w:lang w:eastAsia="ja-JP"/>
        </w:rPr>
        <w:t>clinical efficacy and safety studies directly related t</w:t>
      </w:r>
      <w:r>
        <w:rPr>
          <w:lang w:eastAsia="ja-JP"/>
        </w:rPr>
        <w:t xml:space="preserve">o treatment with </w:t>
      </w:r>
      <w:r w:rsidRPr="00C70A29">
        <w:rPr>
          <w:lang w:eastAsia="ja-JP"/>
        </w:rPr>
        <w:t>isatuximab in combination with pomalidomide and dexamethasone</w:t>
      </w:r>
      <w:r>
        <w:rPr>
          <w:lang w:eastAsia="ja-JP"/>
        </w:rPr>
        <w:t xml:space="preserve"> for the proposed indication</w:t>
      </w:r>
      <w:r w:rsidRPr="00C70A29">
        <w:rPr>
          <w:lang w:eastAsia="ja-JP"/>
        </w:rPr>
        <w:t>:</w:t>
      </w:r>
    </w:p>
    <w:p w14:paraId="7C8E7EC8" w14:textId="19C3D211" w:rsidR="006D4950" w:rsidRDefault="009C1794" w:rsidP="00854094">
      <w:pPr>
        <w:pStyle w:val="ListBullet2"/>
        <w:rPr>
          <w:lang w:eastAsia="ja-JP"/>
        </w:rPr>
      </w:pPr>
      <w:r>
        <w:rPr>
          <w:lang w:eastAsia="ja-JP"/>
        </w:rPr>
        <w:t xml:space="preserve">Study </w:t>
      </w:r>
      <w:r w:rsidRPr="00C70A29">
        <w:rPr>
          <w:lang w:eastAsia="ja-JP"/>
        </w:rPr>
        <w:t>EFC14335 (</w:t>
      </w:r>
      <w:r w:rsidR="006D4950">
        <w:rPr>
          <w:lang w:eastAsia="ja-JP"/>
        </w:rPr>
        <w:t xml:space="preserve">also known as the </w:t>
      </w:r>
      <w:r w:rsidRPr="00C70A29">
        <w:rPr>
          <w:lang w:eastAsia="ja-JP"/>
        </w:rPr>
        <w:t>ICARIA</w:t>
      </w:r>
      <w:r>
        <w:rPr>
          <w:lang w:eastAsia="ja-JP"/>
        </w:rPr>
        <w:t xml:space="preserve"> trial)</w:t>
      </w:r>
      <w:r w:rsidR="008908E5">
        <w:rPr>
          <w:lang w:eastAsia="ja-JP"/>
        </w:rPr>
        <w:t>;</w:t>
      </w:r>
      <w:r w:rsidR="008908E5">
        <w:rPr>
          <w:rStyle w:val="FootnoteReference"/>
          <w:lang w:eastAsia="ja-JP"/>
        </w:rPr>
        <w:footnoteReference w:id="16"/>
      </w:r>
      <w:r w:rsidR="008908E5">
        <w:rPr>
          <w:lang w:eastAsia="ja-JP"/>
        </w:rPr>
        <w:t xml:space="preserve"> a </w:t>
      </w:r>
      <w:r>
        <w:rPr>
          <w:lang w:eastAsia="ja-JP"/>
        </w:rPr>
        <w:t>Phase III</w:t>
      </w:r>
      <w:r w:rsidR="008908E5">
        <w:rPr>
          <w:lang w:eastAsia="ja-JP"/>
        </w:rPr>
        <w:t xml:space="preserve"> study</w:t>
      </w:r>
      <w:r w:rsidRPr="00C70A29">
        <w:rPr>
          <w:lang w:eastAsia="ja-JP"/>
        </w:rPr>
        <w:t xml:space="preserve"> identified by the sponsor as the pivotal efficacy and safety study; and</w:t>
      </w:r>
    </w:p>
    <w:p w14:paraId="77711E80" w14:textId="71F2395B" w:rsidR="008908E5" w:rsidRDefault="009C1794" w:rsidP="00854094">
      <w:pPr>
        <w:pStyle w:val="ListBullet2"/>
        <w:rPr>
          <w:lang w:eastAsia="ja-JP"/>
        </w:rPr>
      </w:pPr>
      <w:r>
        <w:rPr>
          <w:lang w:eastAsia="ja-JP"/>
        </w:rPr>
        <w:t xml:space="preserve">Study </w:t>
      </w:r>
      <w:r w:rsidRPr="00C70A29">
        <w:rPr>
          <w:lang w:eastAsia="ja-JP"/>
        </w:rPr>
        <w:t>TCD14079</w:t>
      </w:r>
      <w:r w:rsidR="00C92938">
        <w:rPr>
          <w:lang w:eastAsia="ja-JP"/>
        </w:rPr>
        <w:t>;</w:t>
      </w:r>
      <w:r w:rsidR="00C92938">
        <w:rPr>
          <w:rStyle w:val="FootnoteReference"/>
          <w:lang w:eastAsia="ja-JP"/>
        </w:rPr>
        <w:footnoteReference w:id="17"/>
      </w:r>
      <w:r w:rsidR="008908E5">
        <w:rPr>
          <w:lang w:eastAsia="ja-JP"/>
        </w:rPr>
        <w:t xml:space="preserve"> a</w:t>
      </w:r>
      <w:r w:rsidRPr="00C70A29">
        <w:rPr>
          <w:lang w:eastAsia="ja-JP"/>
        </w:rPr>
        <w:t xml:space="preserve"> Phase </w:t>
      </w:r>
      <w:r>
        <w:rPr>
          <w:lang w:eastAsia="ja-JP"/>
        </w:rPr>
        <w:t>I</w:t>
      </w:r>
      <w:r w:rsidRPr="00C70A29">
        <w:rPr>
          <w:lang w:eastAsia="ja-JP"/>
        </w:rPr>
        <w:t>b</w:t>
      </w:r>
      <w:r w:rsidR="008908E5">
        <w:rPr>
          <w:lang w:eastAsia="ja-JP"/>
        </w:rPr>
        <w:t xml:space="preserve"> study</w:t>
      </w:r>
      <w:r w:rsidRPr="00C70A29">
        <w:rPr>
          <w:lang w:eastAsia="ja-JP"/>
        </w:rPr>
        <w:t xml:space="preserve"> identified by the sponsor as providing support</w:t>
      </w:r>
      <w:r>
        <w:rPr>
          <w:lang w:eastAsia="ja-JP"/>
        </w:rPr>
        <w:t>ive data.</w:t>
      </w:r>
    </w:p>
    <w:p w14:paraId="3E3009F4" w14:textId="1A686FD9" w:rsidR="009C1794" w:rsidRPr="00C70A29" w:rsidRDefault="009C1794" w:rsidP="00854094">
      <w:pPr>
        <w:pStyle w:val="ListBullet2"/>
        <w:rPr>
          <w:lang w:eastAsia="ja-JP"/>
        </w:rPr>
      </w:pPr>
      <w:r w:rsidRPr="00C70A29">
        <w:rPr>
          <w:lang w:eastAsia="ja-JP"/>
        </w:rPr>
        <w:t xml:space="preserve">These two studies also provided </w:t>
      </w:r>
      <w:r>
        <w:rPr>
          <w:lang w:eastAsia="ja-JP"/>
        </w:rPr>
        <w:t>pharmacokinetic (</w:t>
      </w:r>
      <w:r w:rsidRPr="00C70A29">
        <w:rPr>
          <w:lang w:eastAsia="ja-JP"/>
        </w:rPr>
        <w:t>PK</w:t>
      </w:r>
      <w:r>
        <w:rPr>
          <w:lang w:eastAsia="ja-JP"/>
        </w:rPr>
        <w:t>)</w:t>
      </w:r>
      <w:r w:rsidRPr="00C70A29">
        <w:rPr>
          <w:lang w:eastAsia="ja-JP"/>
        </w:rPr>
        <w:t xml:space="preserve"> and </w:t>
      </w:r>
      <w:r>
        <w:rPr>
          <w:lang w:eastAsia="ja-JP"/>
        </w:rPr>
        <w:t>pharmacodynamic (</w:t>
      </w:r>
      <w:r w:rsidRPr="00C70A29">
        <w:rPr>
          <w:lang w:eastAsia="ja-JP"/>
        </w:rPr>
        <w:t>PD</w:t>
      </w:r>
      <w:r>
        <w:rPr>
          <w:lang w:eastAsia="ja-JP"/>
        </w:rPr>
        <w:t>)</w:t>
      </w:r>
      <w:r w:rsidRPr="00C70A29">
        <w:rPr>
          <w:lang w:eastAsia="ja-JP"/>
        </w:rPr>
        <w:t xml:space="preserve"> data.</w:t>
      </w:r>
    </w:p>
    <w:p w14:paraId="24821F60" w14:textId="77777777" w:rsidR="00FF1D91" w:rsidRDefault="009C1794" w:rsidP="00167558">
      <w:pPr>
        <w:pStyle w:val="ListBullet"/>
        <w:rPr>
          <w:lang w:eastAsia="ja-JP"/>
        </w:rPr>
      </w:pPr>
      <w:r>
        <w:rPr>
          <w:lang w:eastAsia="ja-JP"/>
        </w:rPr>
        <w:lastRenderedPageBreak/>
        <w:t xml:space="preserve">Two </w:t>
      </w:r>
      <w:r w:rsidRPr="00C70A29">
        <w:rPr>
          <w:lang w:eastAsia="ja-JP"/>
        </w:rPr>
        <w:t>clinical studies providing isatuximab single</w:t>
      </w:r>
      <w:r>
        <w:rPr>
          <w:lang w:eastAsia="ja-JP"/>
        </w:rPr>
        <w:t xml:space="preserve">-agent PK, PD, efficacy and safety </w:t>
      </w:r>
      <w:r w:rsidRPr="00C70A29">
        <w:rPr>
          <w:lang w:eastAsia="ja-JP"/>
        </w:rPr>
        <w:t>data in patients with RRMM and CD38+ advanced haematological malignancies:</w:t>
      </w:r>
    </w:p>
    <w:p w14:paraId="1DDDD8FC" w14:textId="096F8E9E" w:rsidR="00FF1D91" w:rsidRDefault="009C1794" w:rsidP="00854094">
      <w:pPr>
        <w:pStyle w:val="ListBullet2"/>
        <w:rPr>
          <w:lang w:eastAsia="ja-JP"/>
        </w:rPr>
      </w:pPr>
      <w:r>
        <w:rPr>
          <w:lang w:eastAsia="ja-JP"/>
        </w:rPr>
        <w:t>Study TED10893 (Phase I/II</w:t>
      </w:r>
      <w:r w:rsidR="00EC1F86">
        <w:rPr>
          <w:lang w:eastAsia="ja-JP"/>
        </w:rPr>
        <w:t xml:space="preserve">), the first in </w:t>
      </w:r>
      <w:r w:rsidRPr="00C70A29">
        <w:rPr>
          <w:lang w:eastAsia="ja-JP"/>
        </w:rPr>
        <w:t>humans study</w:t>
      </w:r>
      <w:r>
        <w:rPr>
          <w:lang w:eastAsia="ja-JP"/>
        </w:rPr>
        <w:t xml:space="preserve"> with isatuximab</w:t>
      </w:r>
      <w:r w:rsidRPr="00C70A29">
        <w:rPr>
          <w:lang w:eastAsia="ja-JP"/>
        </w:rPr>
        <w:t>; and</w:t>
      </w:r>
    </w:p>
    <w:p w14:paraId="53FAB3E6" w14:textId="198BA8F7" w:rsidR="009C1794" w:rsidRPr="00C70A29" w:rsidRDefault="009C1794" w:rsidP="00854094">
      <w:pPr>
        <w:pStyle w:val="ListBullet2"/>
        <w:rPr>
          <w:lang w:eastAsia="ja-JP"/>
        </w:rPr>
      </w:pPr>
      <w:r>
        <w:rPr>
          <w:lang w:eastAsia="ja-JP"/>
        </w:rPr>
        <w:t>Study TED14154 (Phase I, Phase II Stages 1 and 2</w:t>
      </w:r>
      <w:r w:rsidRPr="00C70A29">
        <w:rPr>
          <w:lang w:eastAsia="ja-JP"/>
        </w:rPr>
        <w:t>).</w:t>
      </w:r>
    </w:p>
    <w:p w14:paraId="035C5EA7" w14:textId="77777777" w:rsidR="00FF1D91" w:rsidRDefault="009C1794" w:rsidP="00167558">
      <w:pPr>
        <w:pStyle w:val="ListBullet"/>
        <w:rPr>
          <w:lang w:eastAsia="ja-JP"/>
        </w:rPr>
      </w:pPr>
      <w:r>
        <w:rPr>
          <w:lang w:eastAsia="ja-JP"/>
        </w:rPr>
        <w:t xml:space="preserve">Two </w:t>
      </w:r>
      <w:r w:rsidRPr="00C70A29">
        <w:rPr>
          <w:lang w:eastAsia="ja-JP"/>
        </w:rPr>
        <w:t>clinical s</w:t>
      </w:r>
      <w:r>
        <w:rPr>
          <w:lang w:eastAsia="ja-JP"/>
        </w:rPr>
        <w:t xml:space="preserve">tudies providing PK, PD, efficacy and safety </w:t>
      </w:r>
      <w:r w:rsidRPr="00C70A29">
        <w:rPr>
          <w:lang w:eastAsia="ja-JP"/>
        </w:rPr>
        <w:t>data for isatuximab in combination with agents other than pomalidomide and dexamethasone for the treatment of MM:</w:t>
      </w:r>
    </w:p>
    <w:p w14:paraId="1FF7E42E" w14:textId="5E043878" w:rsidR="00FF1D91" w:rsidRDefault="009C1794" w:rsidP="00854094">
      <w:pPr>
        <w:pStyle w:val="ListBullet2"/>
        <w:rPr>
          <w:lang w:eastAsia="ja-JP"/>
        </w:rPr>
      </w:pPr>
      <w:r>
        <w:rPr>
          <w:lang w:eastAsia="ja-JP"/>
        </w:rPr>
        <w:t>Study TCD11863 (Phase I</w:t>
      </w:r>
      <w:r w:rsidRPr="00C70A29">
        <w:rPr>
          <w:lang w:eastAsia="ja-JP"/>
        </w:rPr>
        <w:t>b) isatuximab in combination with lenalidomide and dexamethasone for the treatment of RRMM; and</w:t>
      </w:r>
    </w:p>
    <w:p w14:paraId="53D46BB9" w14:textId="6D84BF66" w:rsidR="009C1794" w:rsidRPr="00C70A29" w:rsidRDefault="009C1794" w:rsidP="00854094">
      <w:pPr>
        <w:pStyle w:val="ListBullet2"/>
        <w:rPr>
          <w:lang w:eastAsia="ja-JP"/>
        </w:rPr>
      </w:pPr>
      <w:r>
        <w:rPr>
          <w:lang w:eastAsia="ja-JP"/>
        </w:rPr>
        <w:t>Study TCD13983 (Phase I</w:t>
      </w:r>
      <w:r w:rsidRPr="00C70A29">
        <w:rPr>
          <w:lang w:eastAsia="ja-JP"/>
        </w:rPr>
        <w:t xml:space="preserve">b) isatuximab in combination with bortezomib based regimens for the treatment of patients with newly diagnosed MM </w:t>
      </w:r>
      <w:r>
        <w:rPr>
          <w:lang w:eastAsia="ja-JP"/>
        </w:rPr>
        <w:t>(NDMM) not eligible for transplant.</w:t>
      </w:r>
    </w:p>
    <w:p w14:paraId="7C7CE288" w14:textId="77777777" w:rsidR="00FF1D91" w:rsidRDefault="009C1794" w:rsidP="00167558">
      <w:pPr>
        <w:pStyle w:val="ListBullet"/>
        <w:rPr>
          <w:lang w:eastAsia="ja-JP"/>
        </w:rPr>
      </w:pPr>
      <w:r>
        <w:rPr>
          <w:lang w:eastAsia="ja-JP"/>
        </w:rPr>
        <w:t>Seven</w:t>
      </w:r>
      <w:r w:rsidRPr="00C70A29">
        <w:rPr>
          <w:lang w:eastAsia="ja-JP"/>
        </w:rPr>
        <w:t xml:space="preserve"> population PK reports:</w:t>
      </w:r>
    </w:p>
    <w:p w14:paraId="4B79DF1F" w14:textId="275673A9" w:rsidR="00FF1D91" w:rsidRDefault="00FF1D91" w:rsidP="00854094">
      <w:pPr>
        <w:pStyle w:val="ListBullet2"/>
        <w:rPr>
          <w:lang w:eastAsia="ja-JP"/>
        </w:rPr>
      </w:pPr>
      <w:r>
        <w:rPr>
          <w:lang w:eastAsia="ja-JP"/>
        </w:rPr>
        <w:t>Reports</w:t>
      </w:r>
      <w:r w:rsidR="009C1794" w:rsidRPr="00C70A29">
        <w:rPr>
          <w:lang w:eastAsia="ja-JP"/>
        </w:rPr>
        <w:t>POH365; POH0458; POH0503; POH0461; BAY0057; POH0487; and POH0460.</w:t>
      </w:r>
    </w:p>
    <w:p w14:paraId="17358B00" w14:textId="4F3BF565" w:rsidR="009C1794" w:rsidRPr="00C70A29" w:rsidRDefault="009C1794" w:rsidP="00854094">
      <w:pPr>
        <w:pStyle w:val="ListBullet2"/>
        <w:rPr>
          <w:lang w:eastAsia="ja-JP"/>
        </w:rPr>
      </w:pPr>
      <w:r w:rsidRPr="00C70A29">
        <w:rPr>
          <w:lang w:eastAsia="ja-JP"/>
        </w:rPr>
        <w:t>The key population PK report is POH0503, which pools data fr</w:t>
      </w:r>
      <w:r w:rsidR="00EC1F86">
        <w:rPr>
          <w:lang w:eastAsia="ja-JP"/>
        </w:rPr>
        <w:t xml:space="preserve">om the two single </w:t>
      </w:r>
      <w:r>
        <w:rPr>
          <w:lang w:eastAsia="ja-JP"/>
        </w:rPr>
        <w:t>agent studies, Study TED10893 (Phase I</w:t>
      </w:r>
      <w:r w:rsidRPr="00C70A29">
        <w:rPr>
          <w:lang w:eastAsia="ja-JP"/>
        </w:rPr>
        <w:t>, Ph</w:t>
      </w:r>
      <w:r>
        <w:rPr>
          <w:lang w:eastAsia="ja-JP"/>
        </w:rPr>
        <w:t>ase II</w:t>
      </w:r>
      <w:r w:rsidRPr="00C70A29">
        <w:rPr>
          <w:lang w:eastAsia="ja-JP"/>
        </w:rPr>
        <w:t xml:space="preserve"> Stage 1 and 2) and </w:t>
      </w:r>
      <w:r>
        <w:rPr>
          <w:lang w:eastAsia="ja-JP"/>
        </w:rPr>
        <w:t xml:space="preserve">Study </w:t>
      </w:r>
      <w:r w:rsidRPr="00C70A29">
        <w:rPr>
          <w:lang w:eastAsia="ja-JP"/>
        </w:rPr>
        <w:t xml:space="preserve">TED14154 (Part A), and from the two combination isatuximab, pomalidomide and dexamethasone </w:t>
      </w:r>
      <w:r>
        <w:rPr>
          <w:lang w:eastAsia="ja-JP"/>
        </w:rPr>
        <w:t xml:space="preserve">studies, Studies </w:t>
      </w:r>
      <w:r w:rsidRPr="00C70A29">
        <w:rPr>
          <w:lang w:eastAsia="ja-JP"/>
        </w:rPr>
        <w:t>TCD14079 and EFC14335.</w:t>
      </w:r>
    </w:p>
    <w:p w14:paraId="7C223CF6" w14:textId="7257E7DF" w:rsidR="009C1794" w:rsidRPr="00C70A29" w:rsidRDefault="009C1794" w:rsidP="00167558">
      <w:pPr>
        <w:pStyle w:val="ListBullet"/>
        <w:rPr>
          <w:lang w:eastAsia="ja-JP"/>
        </w:rPr>
      </w:pPr>
      <w:r>
        <w:rPr>
          <w:lang w:eastAsia="ja-JP"/>
        </w:rPr>
        <w:t>Three</w:t>
      </w:r>
      <w:r w:rsidRPr="00C70A29">
        <w:rPr>
          <w:lang w:eastAsia="ja-JP"/>
        </w:rPr>
        <w:t xml:space="preserve"> PK/PD reports relating to the development of a semi-mechanistic PK/PD model for serum M-protein</w:t>
      </w:r>
      <w:r>
        <w:rPr>
          <w:lang w:eastAsia="ja-JP"/>
        </w:rPr>
        <w:t xml:space="preserve"> kinetics: </w:t>
      </w:r>
      <w:r w:rsidR="00FF1D91">
        <w:rPr>
          <w:lang w:eastAsia="ja-JP"/>
        </w:rPr>
        <w:t xml:space="preserve">Reports </w:t>
      </w:r>
      <w:r>
        <w:rPr>
          <w:lang w:eastAsia="ja-JP"/>
        </w:rPr>
        <w:t>POH0458; POH0488; and POH0480.</w:t>
      </w:r>
    </w:p>
    <w:p w14:paraId="4889B1E3" w14:textId="2F1347EC" w:rsidR="009C1794" w:rsidRPr="00C70A29" w:rsidRDefault="009C1794" w:rsidP="00167558">
      <w:pPr>
        <w:pStyle w:val="ListBullet"/>
        <w:rPr>
          <w:lang w:eastAsia="ja-JP"/>
        </w:rPr>
      </w:pPr>
      <w:r>
        <w:rPr>
          <w:lang w:eastAsia="ja-JP"/>
        </w:rPr>
        <w:t>Six</w:t>
      </w:r>
      <w:r w:rsidRPr="00C70A29">
        <w:rPr>
          <w:lang w:eastAsia="ja-JP"/>
        </w:rPr>
        <w:t xml:space="preserve"> PK/PD exposure-response reports: </w:t>
      </w:r>
      <w:r w:rsidR="00FF1D91">
        <w:rPr>
          <w:lang w:eastAsia="ja-JP"/>
        </w:rPr>
        <w:t xml:space="preserve">Reports </w:t>
      </w:r>
      <w:r w:rsidRPr="00C70A29">
        <w:rPr>
          <w:lang w:eastAsia="ja-JP"/>
        </w:rPr>
        <w:t xml:space="preserve">POH0646 (efficacy); POH0651 (efficacy); POH0648 (efficacy and safety); POH0647 (efficacy); </w:t>
      </w:r>
      <w:r>
        <w:rPr>
          <w:lang w:eastAsia="ja-JP"/>
        </w:rPr>
        <w:t xml:space="preserve">POH0645 (safety); </w:t>
      </w:r>
      <w:r w:rsidRPr="00C70A29">
        <w:rPr>
          <w:lang w:eastAsia="ja-JP"/>
        </w:rPr>
        <w:t>Complemen</w:t>
      </w:r>
      <w:r>
        <w:rPr>
          <w:lang w:eastAsia="ja-JP"/>
        </w:rPr>
        <w:t xml:space="preserve">tary </w:t>
      </w:r>
      <w:r w:rsidR="00EC1F86">
        <w:rPr>
          <w:lang w:eastAsia="ja-JP"/>
        </w:rPr>
        <w:t>E</w:t>
      </w:r>
      <w:r w:rsidR="00EC1F86" w:rsidRPr="00EC1F86">
        <w:rPr>
          <w:lang w:eastAsia="ja-JP"/>
        </w:rPr>
        <w:t xml:space="preserve">lectrocardiogram </w:t>
      </w:r>
      <w:r w:rsidR="00EC1F86">
        <w:rPr>
          <w:lang w:eastAsia="ja-JP"/>
        </w:rPr>
        <w:t>(</w:t>
      </w:r>
      <w:r>
        <w:rPr>
          <w:lang w:eastAsia="ja-JP"/>
        </w:rPr>
        <w:t>ECG</w:t>
      </w:r>
      <w:r w:rsidR="00EC1F86">
        <w:rPr>
          <w:lang w:eastAsia="ja-JP"/>
        </w:rPr>
        <w:t>)</w:t>
      </w:r>
      <w:r>
        <w:rPr>
          <w:lang w:eastAsia="ja-JP"/>
        </w:rPr>
        <w:t xml:space="preserve"> Report (safety - QTc).</w:t>
      </w:r>
    </w:p>
    <w:p w14:paraId="657A2981" w14:textId="2FD25F84" w:rsidR="009C1794" w:rsidRPr="00C70A29" w:rsidRDefault="009C1794" w:rsidP="00167558">
      <w:pPr>
        <w:pStyle w:val="ListBullet"/>
        <w:rPr>
          <w:lang w:eastAsia="ja-JP"/>
        </w:rPr>
      </w:pPr>
      <w:r>
        <w:rPr>
          <w:lang w:eastAsia="ja-JP"/>
        </w:rPr>
        <w:t>One</w:t>
      </w:r>
      <w:r w:rsidRPr="00C70A29">
        <w:rPr>
          <w:lang w:eastAsia="ja-JP"/>
        </w:rPr>
        <w:t xml:space="preserve"> population PK report (</w:t>
      </w:r>
      <w:r w:rsidR="00FF1D91">
        <w:rPr>
          <w:lang w:eastAsia="ja-JP"/>
        </w:rPr>
        <w:t xml:space="preserve">Report </w:t>
      </w:r>
      <w:r w:rsidRPr="00C70A29">
        <w:rPr>
          <w:lang w:eastAsia="ja-JP"/>
        </w:rPr>
        <w:t>POH0738) evaluating the impact of immunogenicity on the PK of isatuximab from pooled monotherapy and combination studies.</w:t>
      </w:r>
    </w:p>
    <w:p w14:paraId="1A97241D" w14:textId="061C3842" w:rsidR="009C1794" w:rsidRPr="00C70A29" w:rsidRDefault="009C1794" w:rsidP="00167558">
      <w:pPr>
        <w:pStyle w:val="ListBullet"/>
        <w:rPr>
          <w:lang w:eastAsia="ja-JP"/>
        </w:rPr>
      </w:pPr>
      <w:r>
        <w:rPr>
          <w:lang w:eastAsia="ja-JP"/>
        </w:rPr>
        <w:t>One</w:t>
      </w:r>
      <w:r w:rsidRPr="00C70A29">
        <w:rPr>
          <w:lang w:eastAsia="ja-JP"/>
        </w:rPr>
        <w:t xml:space="preserve"> </w:t>
      </w:r>
      <w:r>
        <w:rPr>
          <w:lang w:eastAsia="ja-JP"/>
        </w:rPr>
        <w:t>immune biomarker report; one</w:t>
      </w:r>
      <w:r w:rsidRPr="00C70A29">
        <w:rPr>
          <w:lang w:eastAsia="ja-JP"/>
        </w:rPr>
        <w:t xml:space="preserve"> blood compa</w:t>
      </w:r>
      <w:r>
        <w:rPr>
          <w:lang w:eastAsia="ja-JP"/>
        </w:rPr>
        <w:t>tibility testing report; one</w:t>
      </w:r>
      <w:r w:rsidRPr="00C70A29">
        <w:rPr>
          <w:lang w:eastAsia="ja-JP"/>
        </w:rPr>
        <w:t xml:space="preserve"> integrated </w:t>
      </w:r>
      <w:r w:rsidR="00EC1F86" w:rsidRPr="00C70A29">
        <w:rPr>
          <w:lang w:eastAsia="ja-JP"/>
        </w:rPr>
        <w:t>s</w:t>
      </w:r>
      <w:r w:rsidR="00EC1F86">
        <w:rPr>
          <w:lang w:eastAsia="ja-JP"/>
        </w:rPr>
        <w:t xml:space="preserve">ummary of safety </w:t>
      </w:r>
      <w:r>
        <w:rPr>
          <w:lang w:eastAsia="ja-JP"/>
        </w:rPr>
        <w:t xml:space="preserve">(ISS); one </w:t>
      </w:r>
      <w:r w:rsidR="00EC1F86" w:rsidRPr="00C70A29">
        <w:rPr>
          <w:lang w:eastAsia="ja-JP"/>
        </w:rPr>
        <w:t xml:space="preserve">integrated summary of efficacy </w:t>
      </w:r>
      <w:r w:rsidRPr="00C70A29">
        <w:rPr>
          <w:lang w:eastAsia="ja-JP"/>
        </w:rPr>
        <w:t>(ISE)</w:t>
      </w:r>
      <w:r>
        <w:rPr>
          <w:lang w:eastAsia="ja-JP"/>
        </w:rPr>
        <w:t>.</w:t>
      </w:r>
    </w:p>
    <w:p w14:paraId="335135BE" w14:textId="594ADBFC" w:rsidR="009C1794" w:rsidRPr="00C70A29" w:rsidRDefault="009C1794" w:rsidP="00167558">
      <w:pPr>
        <w:pStyle w:val="ListBullet"/>
        <w:rPr>
          <w:rFonts w:eastAsiaTheme="minorHAnsi" w:cs="TimesNewRomanPSMT"/>
        </w:rPr>
      </w:pPr>
      <w:r>
        <w:rPr>
          <w:lang w:eastAsia="ja-JP"/>
        </w:rPr>
        <w:t>Ten</w:t>
      </w:r>
      <w:r w:rsidRPr="00C70A29">
        <w:rPr>
          <w:lang w:eastAsia="ja-JP"/>
        </w:rPr>
        <w:t xml:space="preserve"> reports for </w:t>
      </w:r>
      <w:r w:rsidRPr="00C70A29">
        <w:rPr>
          <w:rFonts w:eastAsiaTheme="minorHAnsi" w:cs="TimesNewRomanPSMT"/>
        </w:rPr>
        <w:t>bioanalytical studies associated with clinical studies</w:t>
      </w:r>
      <w:r>
        <w:rPr>
          <w:rFonts w:eastAsiaTheme="minorHAnsi" w:cs="TimesNewRomanPSMT"/>
        </w:rPr>
        <w:t>, and two</w:t>
      </w:r>
      <w:r w:rsidRPr="00C70A29">
        <w:rPr>
          <w:rFonts w:eastAsiaTheme="minorHAnsi" w:cs="TimesNewRomanPSMT"/>
        </w:rPr>
        <w:t xml:space="preserve"> reports for bioanalytical stability studies.</w:t>
      </w:r>
    </w:p>
    <w:p w14:paraId="591C66A8" w14:textId="272BFF9D" w:rsidR="009C1794" w:rsidRPr="00167558" w:rsidRDefault="009C1794" w:rsidP="00167558">
      <w:pPr>
        <w:pStyle w:val="ListBullet"/>
        <w:rPr>
          <w:lang w:eastAsia="ja-JP"/>
        </w:rPr>
      </w:pPr>
      <w:r w:rsidRPr="00C70A29">
        <w:rPr>
          <w:rFonts w:eastAsiaTheme="minorHAnsi" w:cs="TimesNewRomanPSMT"/>
        </w:rPr>
        <w:t>Literature references.</w:t>
      </w:r>
    </w:p>
    <w:p w14:paraId="5DF9F6FC" w14:textId="16389343" w:rsidR="00405743" w:rsidRPr="009C1794" w:rsidRDefault="00405743" w:rsidP="00167558">
      <w:pPr>
        <w:pStyle w:val="Heading4"/>
        <w:rPr>
          <w:lang w:eastAsia="ja-JP"/>
        </w:rPr>
      </w:pPr>
      <w:r>
        <w:rPr>
          <w:lang w:eastAsia="ja-JP"/>
        </w:rPr>
        <w:t>Pharmacology</w:t>
      </w:r>
    </w:p>
    <w:p w14:paraId="77CD2E3E" w14:textId="4F26433B" w:rsidR="000F476B" w:rsidRDefault="000F476B" w:rsidP="00167558">
      <w:pPr>
        <w:pStyle w:val="Heading5"/>
      </w:pPr>
      <w:bookmarkStart w:id="37" w:name="_Toc314842514"/>
      <w:r>
        <w:t>Pharmacokinetics</w:t>
      </w:r>
    </w:p>
    <w:p w14:paraId="15740274" w14:textId="2140CDAC" w:rsidR="000F476B" w:rsidRPr="000F476B" w:rsidRDefault="000F476B" w:rsidP="00167558">
      <w:r w:rsidRPr="000F476B">
        <w:t xml:space="preserve">The </w:t>
      </w:r>
      <w:r w:rsidR="009C1794">
        <w:t xml:space="preserve">PK </w:t>
      </w:r>
      <w:r w:rsidRPr="000F476B">
        <w:t xml:space="preserve">of </w:t>
      </w:r>
      <w:r w:rsidR="009C1794">
        <w:t>i</w:t>
      </w:r>
      <w:r w:rsidRPr="000F476B">
        <w:t xml:space="preserve">satuximab are consistent with an </w:t>
      </w:r>
      <w:r w:rsidR="009C1794">
        <w:t>IV</w:t>
      </w:r>
      <w:r w:rsidR="009C1794" w:rsidRPr="000F476B">
        <w:t xml:space="preserve"> </w:t>
      </w:r>
      <w:r w:rsidRPr="000F476B">
        <w:t>administered antibody with significant tissue binding. It has a relatively low volume of distribution (8.75</w:t>
      </w:r>
      <w:r w:rsidR="009C1794">
        <w:t xml:space="preserve"> </w:t>
      </w:r>
      <w:r w:rsidRPr="000F476B">
        <w:t>L), and a long elimination half-life (28 days). Clearance reduces by 50% over the first 8 weeks of treatment to reach steady-state, but shows high variability between individuals (</w:t>
      </w:r>
      <w:r w:rsidR="009C1794">
        <w:t>coefficient of variation (</w:t>
      </w:r>
      <w:r w:rsidRPr="000F476B">
        <w:t>CV</w:t>
      </w:r>
      <w:r w:rsidR="009C1794">
        <w:t>)</w:t>
      </w:r>
      <w:r w:rsidRPr="000F476B">
        <w:t>%</w:t>
      </w:r>
      <w:r w:rsidR="009C1794">
        <w:t xml:space="preserve"> </w:t>
      </w:r>
      <w:r w:rsidRPr="000F476B">
        <w:t>=</w:t>
      </w:r>
      <w:r w:rsidR="009C1794">
        <w:t xml:space="preserve"> </w:t>
      </w:r>
      <w:r w:rsidRPr="000F476B">
        <w:t>47.5%).</w:t>
      </w:r>
    </w:p>
    <w:p w14:paraId="1E8ECE6B" w14:textId="13FF9D2E" w:rsidR="000F476B" w:rsidRPr="000F476B" w:rsidRDefault="000F476B" w:rsidP="00167558">
      <w:r w:rsidRPr="000F476B">
        <w:t>Body weight, β2- macroglobulin and myeloma type (IgG v</w:t>
      </w:r>
      <w:r w:rsidR="009C1794">
        <w:t>ersus</w:t>
      </w:r>
      <w:r w:rsidRPr="000F476B">
        <w:t xml:space="preserve"> other) were significant factors affecting clearance. These did not involve in changes in exposure considered clinically significant, and myeloma type is investigated in a stratified analysis of clinical outcomes in the efficacy trials.</w:t>
      </w:r>
    </w:p>
    <w:p w14:paraId="6791B423" w14:textId="69D023EA" w:rsidR="000F476B" w:rsidRPr="000F476B" w:rsidRDefault="000F476B" w:rsidP="00167558">
      <w:r w:rsidRPr="00854094">
        <w:rPr>
          <w:i/>
        </w:rPr>
        <w:lastRenderedPageBreak/>
        <w:t>Post-hoc</w:t>
      </w:r>
      <w:r w:rsidRPr="000F476B">
        <w:t xml:space="preserve"> population kinetics in patients with renal impairment (mild to severe) and hepatic impairment (mild only) did not indicate a significant difference in exposure to </w:t>
      </w:r>
      <w:r w:rsidR="00EC1F86">
        <w:t>i</w:t>
      </w:r>
      <w:r w:rsidRPr="000F476B">
        <w:t>satuximab when compared to patients without these factors.</w:t>
      </w:r>
    </w:p>
    <w:p w14:paraId="539FB671" w14:textId="2DF6B13A" w:rsidR="000F476B" w:rsidRDefault="000F476B" w:rsidP="00167558">
      <w:pPr>
        <w:rPr>
          <w:rFonts w:eastAsiaTheme="minorHAnsi" w:cs="Cambria"/>
          <w:color w:val="000000"/>
        </w:rPr>
      </w:pPr>
      <w:r w:rsidRPr="000F476B">
        <w:t>Comparison of fixed and body-weight dosing indicated that there was no significant difference in drug exposure between low, normal and high weight individuals with weight-based dosing. Conversely, fixed dosing produced a significant difference in exposure between high and low weight individuals</w:t>
      </w:r>
      <w:r w:rsidR="00EC1F86">
        <w:t xml:space="preserve"> (</w:t>
      </w:r>
      <w:r w:rsidR="00EC1F86">
        <w:fldChar w:fldCharType="begin"/>
      </w:r>
      <w:r w:rsidR="00EC1F86">
        <w:instrText xml:space="preserve"> REF _Ref50411763 \h </w:instrText>
      </w:r>
      <w:r w:rsidR="00EC1F86">
        <w:fldChar w:fldCharType="separate"/>
      </w:r>
      <w:r w:rsidR="00801CDC">
        <w:t xml:space="preserve">Figure </w:t>
      </w:r>
      <w:r w:rsidR="00801CDC">
        <w:rPr>
          <w:noProof/>
        </w:rPr>
        <w:t>1</w:t>
      </w:r>
      <w:r w:rsidR="00EC1F86">
        <w:fldChar w:fldCharType="end"/>
      </w:r>
      <w:r w:rsidR="00EC1F86">
        <w:t>)</w:t>
      </w:r>
      <w:r w:rsidRPr="000F476B">
        <w:t>.</w:t>
      </w:r>
    </w:p>
    <w:p w14:paraId="47552C1C" w14:textId="771DDE32" w:rsidR="00352817" w:rsidRPr="00854094" w:rsidRDefault="00405743" w:rsidP="00854094">
      <w:pPr>
        <w:pStyle w:val="FigureTitle"/>
      </w:pPr>
      <w:bookmarkStart w:id="38" w:name="_Ref50411763"/>
      <w:r>
        <w:t xml:space="preserve">Figure </w:t>
      </w:r>
      <w:fldSimple w:instr=" SEQ Figure \* ARABIC ">
        <w:r w:rsidR="00801CDC">
          <w:rPr>
            <w:noProof/>
          </w:rPr>
          <w:t>1</w:t>
        </w:r>
      </w:fldSimple>
      <w:bookmarkEnd w:id="38"/>
      <w:r>
        <w:t xml:space="preserve">: </w:t>
      </w:r>
      <w:r w:rsidRPr="000F476B">
        <w:t xml:space="preserve">Exposure to </w:t>
      </w:r>
      <w:r>
        <w:t>i</w:t>
      </w:r>
      <w:r w:rsidRPr="000F476B">
        <w:t>satuximab in weight base</w:t>
      </w:r>
      <w:r>
        <w:t>d</w:t>
      </w:r>
      <w:r w:rsidRPr="000F476B">
        <w:t xml:space="preserve"> (left) and fixed-dose regimens (right) in low (blue), standard (black) and high (yellow) weight individuals</w:t>
      </w:r>
    </w:p>
    <w:p w14:paraId="2C6297D4" w14:textId="0EB16AA6" w:rsidR="00405743" w:rsidRDefault="00405743" w:rsidP="000F476B">
      <w:pPr>
        <w:autoSpaceDE w:val="0"/>
        <w:autoSpaceDN w:val="0"/>
        <w:adjustRightInd w:val="0"/>
        <w:spacing w:before="0" w:after="0" w:line="240" w:lineRule="auto"/>
        <w:rPr>
          <w:rFonts w:eastAsiaTheme="minorHAnsi" w:cs="Cambria"/>
          <w:color w:val="000000"/>
        </w:rPr>
      </w:pPr>
      <w:r>
        <w:rPr>
          <w:noProof/>
          <w:lang w:eastAsia="en-AU"/>
        </w:rPr>
        <w:drawing>
          <wp:inline distT="0" distB="0" distL="0" distR="0" wp14:anchorId="72AF4EC6" wp14:editId="72D497D9">
            <wp:extent cx="5400040" cy="4198289"/>
            <wp:effectExtent l="0" t="0" r="0" b="0"/>
            <wp:docPr id="2" name="Picture 2" descr="Exposure to isatuximab in weight based (left) and fixed-dose regimens (right) in low (blue), standard (black) and high (yellow) weight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889"/>
                    <a:stretch/>
                  </pic:blipFill>
                  <pic:spPr bwMode="auto">
                    <a:xfrm>
                      <a:off x="0" y="0"/>
                      <a:ext cx="5400040" cy="4198289"/>
                    </a:xfrm>
                    <a:prstGeom prst="rect">
                      <a:avLst/>
                    </a:prstGeom>
                    <a:ln>
                      <a:noFill/>
                    </a:ln>
                    <a:extLst>
                      <a:ext uri="{53640926-AAD7-44D8-BBD7-CCE9431645EC}">
                        <a14:shadowObscured xmlns:a14="http://schemas.microsoft.com/office/drawing/2010/main"/>
                      </a:ext>
                    </a:extLst>
                  </pic:spPr>
                </pic:pic>
              </a:graphicData>
            </a:graphic>
          </wp:inline>
        </w:drawing>
      </w:r>
    </w:p>
    <w:p w14:paraId="720C20AC" w14:textId="212FDD4C" w:rsidR="00BE5B46" w:rsidRPr="00B36A18" w:rsidRDefault="00BE5B46" w:rsidP="00B36A18">
      <w:pPr>
        <w:pStyle w:val="TableDescription"/>
      </w:pPr>
      <w:r w:rsidRPr="00B36A18">
        <w:t>Abbreviations: Wght = weight; NS = not significant; Q4W = every 4 weeks; Q2W = every 2 weeks; AUC = area under t</w:t>
      </w:r>
      <w:r w:rsidR="009B57FF" w:rsidRPr="00B36A18">
        <w:t xml:space="preserve">he </w:t>
      </w:r>
      <w:r w:rsidR="00B36A18" w:rsidRPr="00B36A18">
        <w:t>concentration-time curve.</w:t>
      </w:r>
    </w:p>
    <w:p w14:paraId="3D0A03C7" w14:textId="77777777" w:rsidR="000F476B" w:rsidRPr="00B75AD8" w:rsidRDefault="000F476B" w:rsidP="00167558">
      <w:r w:rsidRPr="00681B4B">
        <w:t>Based on this the sponsor selected weight-based do</w:t>
      </w:r>
      <w:r w:rsidRPr="00B75AD8">
        <w:t>sing for further development.</w:t>
      </w:r>
    </w:p>
    <w:p w14:paraId="443FAC34" w14:textId="2A888874" w:rsidR="000F476B" w:rsidRPr="000F476B" w:rsidRDefault="000F476B" w:rsidP="00167558">
      <w:r w:rsidRPr="000F476B">
        <w:t xml:space="preserve">No specific drug interaction studies were performed. There was no significant effect of </w:t>
      </w:r>
      <w:r w:rsidR="00405743">
        <w:t>i</w:t>
      </w:r>
      <w:r w:rsidRPr="000F476B">
        <w:t xml:space="preserve">satuximab on the pharmacokinetics of </w:t>
      </w:r>
      <w:r w:rsidR="00405743">
        <w:t>p</w:t>
      </w:r>
      <w:r w:rsidRPr="000F476B">
        <w:t>omalidomide and vice versa based on population PK modelling.</w:t>
      </w:r>
    </w:p>
    <w:p w14:paraId="6F284A06" w14:textId="47839151" w:rsidR="000F476B" w:rsidRDefault="000F476B" w:rsidP="00B75AD8">
      <w:r w:rsidRPr="000F476B">
        <w:t xml:space="preserve">An anti-drug antibody (ADA) assay was developed, but no patient in the </w:t>
      </w:r>
      <w:r w:rsidR="00405743">
        <w:t>P</w:t>
      </w:r>
      <w:r w:rsidRPr="000F476B">
        <w:t xml:space="preserve">hase III trials developed ADA and therefore there the </w:t>
      </w:r>
      <w:r w:rsidR="00405743">
        <w:t>s</w:t>
      </w:r>
      <w:r w:rsidRPr="000F476B">
        <w:t>ponsor has reported no data on the incidence of ADA.</w:t>
      </w:r>
    </w:p>
    <w:p w14:paraId="77ACBD37" w14:textId="1D6AACAA" w:rsidR="000F476B" w:rsidRPr="000F476B" w:rsidRDefault="000F476B" w:rsidP="00167558">
      <w:pPr>
        <w:pStyle w:val="Heading5"/>
      </w:pPr>
      <w:r w:rsidRPr="000F476B">
        <w:rPr>
          <w:rFonts w:eastAsiaTheme="minorHAnsi"/>
        </w:rPr>
        <w:t>Pharmacodynamics</w:t>
      </w:r>
    </w:p>
    <w:p w14:paraId="38E3DCB2" w14:textId="2D859806" w:rsidR="000F476B" w:rsidRPr="000F476B" w:rsidRDefault="000F476B" w:rsidP="00167558">
      <w:r w:rsidRPr="000F476B">
        <w:t xml:space="preserve">No specific </w:t>
      </w:r>
      <w:r w:rsidR="00405743">
        <w:t>PD</w:t>
      </w:r>
      <w:r w:rsidR="00405743" w:rsidRPr="000F476B">
        <w:t xml:space="preserve"> </w:t>
      </w:r>
      <w:r w:rsidRPr="000F476B">
        <w:t xml:space="preserve">trials were conducted. </w:t>
      </w:r>
      <w:r w:rsidR="00405743">
        <w:t>PD</w:t>
      </w:r>
      <w:r w:rsidR="00405743" w:rsidRPr="000F476B">
        <w:t xml:space="preserve"> </w:t>
      </w:r>
      <w:r w:rsidRPr="000F476B">
        <w:t>endpoints were collected in PK and efficacy trials</w:t>
      </w:r>
      <w:r w:rsidR="00405743">
        <w:t>.</w:t>
      </w:r>
    </w:p>
    <w:p w14:paraId="189659EE" w14:textId="3D80EDD4" w:rsidR="000F476B" w:rsidRPr="000F476B" w:rsidRDefault="000F476B" w:rsidP="00167558">
      <w:r w:rsidRPr="000F476B">
        <w:t xml:space="preserve">CD38 receptor occupancy </w:t>
      </w:r>
      <w:r w:rsidR="00405743">
        <w:t xml:space="preserve">is </w:t>
      </w:r>
      <w:r w:rsidRPr="000F476B">
        <w:t>high at the proposed dose</w:t>
      </w:r>
      <w:r w:rsidR="00405743">
        <w:t>;</w:t>
      </w:r>
      <w:r w:rsidRPr="000F476B">
        <w:t xml:space="preserve"> measured as 79.4% in 7 patients who received the dose proposed for registration at 4 weeks.</w:t>
      </w:r>
    </w:p>
    <w:p w14:paraId="5B04BAF4" w14:textId="7462D8CB" w:rsidR="000F476B" w:rsidRPr="000F476B" w:rsidRDefault="000F476B" w:rsidP="00167558">
      <w:r w:rsidRPr="000F476B">
        <w:lastRenderedPageBreak/>
        <w:t>Reductions in M-protein were similar between 10</w:t>
      </w:r>
      <w:r w:rsidR="00405743">
        <w:t xml:space="preserve"> </w:t>
      </w:r>
      <w:r w:rsidRPr="000F476B">
        <w:t xml:space="preserve">mg/kg </w:t>
      </w:r>
      <w:r w:rsidR="00EC1F86">
        <w:t>once weekly (</w:t>
      </w:r>
      <w:r w:rsidRPr="000F476B">
        <w:t>QW</w:t>
      </w:r>
      <w:r w:rsidR="00EC1F86">
        <w:t>)</w:t>
      </w:r>
      <w:r w:rsidRPr="000F476B">
        <w:t>/</w:t>
      </w:r>
      <w:r w:rsidR="00EC1F86">
        <w:t xml:space="preserve"> every two weeks (</w:t>
      </w:r>
      <w:r w:rsidRPr="000F476B">
        <w:t>Q2W</w:t>
      </w:r>
      <w:r w:rsidR="00EC1F86">
        <w:t>)</w:t>
      </w:r>
      <w:r w:rsidRPr="000F476B">
        <w:t xml:space="preserve"> and 20</w:t>
      </w:r>
      <w:r w:rsidR="00405743">
        <w:t xml:space="preserve"> </w:t>
      </w:r>
      <w:r w:rsidRPr="000F476B">
        <w:t xml:space="preserve">mg/kg QW/Q2W in patients who </w:t>
      </w:r>
      <w:r w:rsidR="00405743">
        <w:t>received</w:t>
      </w:r>
      <w:r w:rsidR="00405743" w:rsidRPr="000F476B">
        <w:t xml:space="preserve"> </w:t>
      </w:r>
      <w:r w:rsidR="00405743">
        <w:t>isatuximab/pomalidomide</w:t>
      </w:r>
      <w:r w:rsidR="00405743" w:rsidRPr="000F476B">
        <w:t xml:space="preserve"> </w:t>
      </w:r>
      <w:r w:rsidRPr="000F476B">
        <w:t>combination therapy.</w:t>
      </w:r>
    </w:p>
    <w:p w14:paraId="5F850505" w14:textId="1F4742DC" w:rsidR="000F476B" w:rsidRPr="000F476B" w:rsidRDefault="000F476B" w:rsidP="00167558">
      <w:r w:rsidRPr="000F476B">
        <w:t xml:space="preserve">The probability of achieving </w:t>
      </w:r>
      <w:r w:rsidR="00EC1F86">
        <w:t>overall response rate</w:t>
      </w:r>
      <w:r w:rsidR="00EC1F86" w:rsidRPr="000F476B">
        <w:t xml:space="preserve"> </w:t>
      </w:r>
      <w:r w:rsidR="00EC1F86">
        <w:t>(</w:t>
      </w:r>
      <w:r w:rsidRPr="000F476B">
        <w:t>ORR</w:t>
      </w:r>
      <w:r w:rsidR="00EC1F86">
        <w:t>)</w:t>
      </w:r>
      <w:r w:rsidRPr="000F476B">
        <w:t xml:space="preserve"> and </w:t>
      </w:r>
      <w:r w:rsidR="00EC1F86">
        <w:t>progression free survival</w:t>
      </w:r>
      <w:r w:rsidR="00EC1F86" w:rsidRPr="000F476B">
        <w:t xml:space="preserve"> </w:t>
      </w:r>
      <w:r w:rsidR="00EC1F86">
        <w:t>(</w:t>
      </w:r>
      <w:r w:rsidRPr="000F476B">
        <w:t>PFS</w:t>
      </w:r>
      <w:r w:rsidR="00EC1F86">
        <w:t>)</w:t>
      </w:r>
      <w:r w:rsidRPr="000F476B">
        <w:t xml:space="preserve"> increased with 4 week </w:t>
      </w:r>
      <w:r w:rsidR="00EC1F86">
        <w:t>i</w:t>
      </w:r>
      <w:r w:rsidRPr="000F476B">
        <w:t xml:space="preserve">satuximab trough blood levels. </w:t>
      </w:r>
      <w:r w:rsidR="00EC1F86">
        <w:t>A</w:t>
      </w:r>
      <w:r w:rsidRPr="000F476B">
        <w:t>n ORR</w:t>
      </w:r>
      <w:r w:rsidR="00EC1F86">
        <w:t xml:space="preserve"> </w:t>
      </w:r>
      <w:r w:rsidRPr="000F476B">
        <w:t>&gt;</w:t>
      </w:r>
      <w:r w:rsidR="00EC1F86">
        <w:t xml:space="preserve"> </w:t>
      </w:r>
      <w:r w:rsidRPr="000F476B">
        <w:t>60% was 82.6% for the 10</w:t>
      </w:r>
      <w:r w:rsidR="00EC1F86">
        <w:t xml:space="preserve"> </w:t>
      </w:r>
      <w:r w:rsidRPr="000F476B">
        <w:t>mg/kg QW/Q2W dose, and 96.7% for the 20</w:t>
      </w:r>
      <w:r w:rsidR="00EC1F86">
        <w:t xml:space="preserve"> </w:t>
      </w:r>
      <w:r w:rsidRPr="000F476B">
        <w:t xml:space="preserve">mg QW/Q2W dose for patients receiving </w:t>
      </w:r>
      <w:r w:rsidR="00447CB8">
        <w:t>isatuximab/pomalidomide</w:t>
      </w:r>
      <w:r w:rsidRPr="000F476B">
        <w:t xml:space="preserve"> combination therapy. The </w:t>
      </w:r>
      <w:r w:rsidR="00447CB8">
        <w:t>e</w:t>
      </w:r>
      <w:r w:rsidRPr="000F476B">
        <w:t>valuator has noted that this strongly favours the dose higher than that proposed for registration.</w:t>
      </w:r>
    </w:p>
    <w:p w14:paraId="0D1E7D9E" w14:textId="2ACD8B36" w:rsidR="000F476B" w:rsidRDefault="000F476B" w:rsidP="00167558">
      <w:r w:rsidRPr="000F476B">
        <w:t xml:space="preserve">There was no significant correlation between </w:t>
      </w:r>
      <w:r w:rsidR="00447CB8">
        <w:t>i</w:t>
      </w:r>
      <w:r w:rsidRPr="000F476B">
        <w:t>satuximab exposure quartiles (</w:t>
      </w:r>
      <w:r w:rsidR="00447CB8">
        <w:t>for example,</w:t>
      </w:r>
      <w:r w:rsidRPr="000F476B">
        <w:t xml:space="preserve"> Q1 to Q4, low to high) and several exploratory adverse events.</w:t>
      </w:r>
    </w:p>
    <w:p w14:paraId="289FE2AC" w14:textId="2B60FD67" w:rsidR="00447CB8" w:rsidRDefault="00447CB8" w:rsidP="00167558">
      <w:pPr>
        <w:pStyle w:val="TableTitle"/>
      </w:pPr>
      <w:r>
        <w:t xml:space="preserve">Table </w:t>
      </w:r>
      <w:fldSimple w:instr=" SEQ Table \* ARABIC ">
        <w:r w:rsidR="00801CDC">
          <w:rPr>
            <w:noProof/>
          </w:rPr>
          <w:t>2</w:t>
        </w:r>
      </w:fldSimple>
      <w:r>
        <w:t xml:space="preserve">: </w:t>
      </w:r>
      <w:r w:rsidRPr="000F476B">
        <w:t>Mean (95%</w:t>
      </w:r>
      <w:r>
        <w:t xml:space="preserve"> confidence interval</w:t>
      </w:r>
      <w:r w:rsidRPr="000F476B">
        <w:t xml:space="preserve">) adverse event rate for predicted </w:t>
      </w:r>
      <w:r>
        <w:t>i</w:t>
      </w:r>
      <w:r w:rsidRPr="000F476B">
        <w:t xml:space="preserve">satuximab exposure quartiles for </w:t>
      </w:r>
      <w:r w:rsidR="00352817">
        <w:t>area under the concentration-time curve over 1 week or 4 weeks</w:t>
      </w:r>
    </w:p>
    <w:p w14:paraId="6E62F91E" w14:textId="1F52EC78" w:rsidR="000F476B" w:rsidRPr="000F476B" w:rsidRDefault="000F476B" w:rsidP="00167558">
      <w:pPr>
        <w:pStyle w:val="TableDescription"/>
      </w:pPr>
      <w:r>
        <w:rPr>
          <w:noProof/>
          <w:lang w:eastAsia="en-AU"/>
        </w:rPr>
        <w:drawing>
          <wp:inline distT="0" distB="0" distL="0" distR="0" wp14:anchorId="0CAC7186" wp14:editId="771CEBFF">
            <wp:extent cx="5400040" cy="4244340"/>
            <wp:effectExtent l="0" t="0" r="0" b="3810"/>
            <wp:docPr id="5" name="Picture 5" descr="Mean (95% confidence interval) adverse event rate for predicted isatuximab exposure quartiles for AUC over 1 week or AUC over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244340"/>
                    </a:xfrm>
                    <a:prstGeom prst="rect">
                      <a:avLst/>
                    </a:prstGeom>
                  </pic:spPr>
                </pic:pic>
              </a:graphicData>
            </a:graphic>
          </wp:inline>
        </w:drawing>
      </w:r>
      <w:r w:rsidR="00447CB8">
        <w:t>AUC = area under the concentration time curve</w:t>
      </w:r>
      <w:r w:rsidR="00F42CD5">
        <w:t xml:space="preserve">, IPd = isatuximab + pomalidomide, Pd = </w:t>
      </w:r>
      <w:r w:rsidR="00F42CD5">
        <w:rPr>
          <w:rFonts w:eastAsiaTheme="minorHAnsi" w:cs="Cambria"/>
          <w:color w:val="000000"/>
        </w:rPr>
        <w:t>pomalidomide</w:t>
      </w:r>
      <w:r w:rsidR="00F42CD5">
        <w:t>.</w:t>
      </w:r>
    </w:p>
    <w:p w14:paraId="65FBD42E" w14:textId="0E95A4B7" w:rsidR="000F476B" w:rsidRPr="000F476B" w:rsidRDefault="000F476B" w:rsidP="00167558">
      <w:r w:rsidRPr="000F476B">
        <w:t xml:space="preserve">There was no significant association between </w:t>
      </w:r>
      <w:r w:rsidR="00447CB8">
        <w:t>i</w:t>
      </w:r>
      <w:r w:rsidRPr="000F476B">
        <w:t>satuximab exposure (in single agent trials) and QTc prolongation</w:t>
      </w:r>
      <w:r w:rsidR="00352817">
        <w:t>;</w:t>
      </w:r>
      <w:r w:rsidR="00352817">
        <w:rPr>
          <w:rStyle w:val="FootnoteReference"/>
        </w:rPr>
        <w:footnoteReference w:id="18"/>
      </w:r>
      <w:r w:rsidRPr="000F476B">
        <w:t xml:space="preserve"> at doses between 0.3 and 20</w:t>
      </w:r>
      <w:r w:rsidR="00447CB8">
        <w:t xml:space="preserve"> </w:t>
      </w:r>
      <w:r w:rsidRPr="000F476B">
        <w:t xml:space="preserve">mg/kg. PK/PD modelling indicated a small statistically significant relationship between </w:t>
      </w:r>
      <w:r w:rsidR="00447CB8">
        <w:t>heart rate (</w:t>
      </w:r>
      <w:r w:rsidRPr="000F476B">
        <w:t>HR</w:t>
      </w:r>
      <w:r w:rsidR="00447CB8">
        <w:t>)</w:t>
      </w:r>
      <w:r w:rsidRPr="000F476B">
        <w:t xml:space="preserve"> and dose, amounting to an increase of 2.3 </w:t>
      </w:r>
      <w:r w:rsidR="00447CB8">
        <w:t>beats per minute (</w:t>
      </w:r>
      <w:r w:rsidRPr="000F476B">
        <w:t>BPM</w:t>
      </w:r>
      <w:r w:rsidR="00447CB8">
        <w:t>)</w:t>
      </w:r>
      <w:r w:rsidRPr="000F476B">
        <w:t xml:space="preserve"> per 100</w:t>
      </w:r>
      <w:r w:rsidR="00447CB8">
        <w:t xml:space="preserve"> </w:t>
      </w:r>
      <w:r w:rsidR="000404E6">
        <w:t>µ</w:t>
      </w:r>
      <w:r w:rsidRPr="000F476B">
        <w:t xml:space="preserve">g/mL increase in </w:t>
      </w:r>
      <w:r w:rsidR="00447CB8">
        <w:t>i</w:t>
      </w:r>
      <w:r w:rsidRPr="000F476B">
        <w:t>satuximab plasma concentration.</w:t>
      </w:r>
    </w:p>
    <w:p w14:paraId="0907D24A" w14:textId="64B1325C" w:rsidR="000F476B" w:rsidRPr="00711D69" w:rsidRDefault="000F476B" w:rsidP="00167558">
      <w:pPr>
        <w:pStyle w:val="Heading4"/>
      </w:pPr>
      <w:r w:rsidRPr="00711D69">
        <w:lastRenderedPageBreak/>
        <w:t>Efficacy</w:t>
      </w:r>
    </w:p>
    <w:p w14:paraId="0C1B11BD" w14:textId="7CE5E66F" w:rsidR="000F476B" w:rsidRPr="00A11F7B" w:rsidRDefault="000F476B" w:rsidP="00167558">
      <w:pPr>
        <w:pStyle w:val="Heading5"/>
        <w:rPr>
          <w:rFonts w:eastAsiaTheme="minorHAnsi"/>
        </w:rPr>
      </w:pPr>
      <w:r w:rsidRPr="00A11F7B">
        <w:rPr>
          <w:rFonts w:eastAsiaTheme="minorHAnsi"/>
        </w:rPr>
        <w:t>Dose finding</w:t>
      </w:r>
    </w:p>
    <w:p w14:paraId="3E22FAEF" w14:textId="5432A113" w:rsidR="000F476B" w:rsidRPr="00AD72E5" w:rsidRDefault="000F476B" w:rsidP="000F476B">
      <w:pPr>
        <w:rPr>
          <w:rFonts w:eastAsiaTheme="minorHAnsi" w:cs="Cambria"/>
          <w:color w:val="000000"/>
        </w:rPr>
      </w:pPr>
      <w:r w:rsidRPr="00A11F7B">
        <w:rPr>
          <w:rFonts w:eastAsiaTheme="minorHAnsi" w:cs="Cambria"/>
          <w:color w:val="000000"/>
        </w:rPr>
        <w:t xml:space="preserve">In </w:t>
      </w:r>
      <w:r w:rsidR="00447CB8" w:rsidRPr="00A11F7B">
        <w:rPr>
          <w:rFonts w:eastAsiaTheme="minorHAnsi" w:cs="Cambria"/>
          <w:color w:val="000000"/>
        </w:rPr>
        <w:t>S</w:t>
      </w:r>
      <w:r w:rsidRPr="00A11F7B">
        <w:rPr>
          <w:rFonts w:eastAsiaTheme="minorHAnsi" w:cs="Cambria"/>
          <w:color w:val="000000"/>
        </w:rPr>
        <w:t>tudy TCD11863</w:t>
      </w:r>
      <w:r w:rsidR="00447CB8" w:rsidRPr="00A11F7B">
        <w:rPr>
          <w:rFonts w:eastAsiaTheme="minorHAnsi" w:cs="Cambria"/>
          <w:color w:val="000000"/>
        </w:rPr>
        <w:t>,</w:t>
      </w:r>
      <w:r w:rsidRPr="00A11F7B">
        <w:rPr>
          <w:rFonts w:eastAsiaTheme="minorHAnsi" w:cs="Cambria"/>
          <w:color w:val="000000"/>
        </w:rPr>
        <w:t xml:space="preserve"> doses of </w:t>
      </w:r>
      <w:r w:rsidR="00447CB8" w:rsidRPr="00A11F7B">
        <w:rPr>
          <w:rFonts w:eastAsiaTheme="minorHAnsi" w:cs="Cambria"/>
          <w:color w:val="000000"/>
        </w:rPr>
        <w:t>i</w:t>
      </w:r>
      <w:r w:rsidRPr="00A11F7B">
        <w:rPr>
          <w:rFonts w:eastAsiaTheme="minorHAnsi" w:cs="Cambria"/>
          <w:color w:val="000000"/>
        </w:rPr>
        <w:t>satuximab between 3</w:t>
      </w:r>
      <w:r w:rsidR="00447CB8" w:rsidRPr="00A11F7B">
        <w:rPr>
          <w:rFonts w:eastAsiaTheme="minorHAnsi" w:cs="Cambria"/>
          <w:color w:val="000000"/>
        </w:rPr>
        <w:t xml:space="preserve"> </w:t>
      </w:r>
      <w:r w:rsidRPr="00A11F7B">
        <w:rPr>
          <w:rFonts w:eastAsiaTheme="minorHAnsi" w:cs="Cambria"/>
          <w:color w:val="000000"/>
        </w:rPr>
        <w:t>mg/kg and 20</w:t>
      </w:r>
      <w:r w:rsidR="00447CB8" w:rsidRPr="00A11F7B">
        <w:rPr>
          <w:rFonts w:eastAsiaTheme="minorHAnsi" w:cs="Cambria"/>
          <w:color w:val="000000"/>
        </w:rPr>
        <w:t xml:space="preserve"> </w:t>
      </w:r>
      <w:r w:rsidRPr="00A11F7B">
        <w:rPr>
          <w:rFonts w:eastAsiaTheme="minorHAnsi" w:cs="Cambria"/>
          <w:color w:val="000000"/>
        </w:rPr>
        <w:t xml:space="preserve">mg/kg were assessed in combination with </w:t>
      </w:r>
      <w:r w:rsidR="00447CB8" w:rsidRPr="00A11F7B">
        <w:rPr>
          <w:rFonts w:eastAsiaTheme="minorHAnsi" w:cs="Cambria"/>
          <w:color w:val="000000"/>
        </w:rPr>
        <w:t>l</w:t>
      </w:r>
      <w:r w:rsidRPr="00AD72E5">
        <w:rPr>
          <w:rFonts w:eastAsiaTheme="minorHAnsi" w:cs="Cambria"/>
          <w:color w:val="000000"/>
        </w:rPr>
        <w:t xml:space="preserve">enolidomide and </w:t>
      </w:r>
      <w:r w:rsidR="00447CB8" w:rsidRPr="00AD72E5">
        <w:rPr>
          <w:rFonts w:eastAsiaTheme="minorHAnsi" w:cs="Cambria"/>
          <w:color w:val="000000"/>
        </w:rPr>
        <w:t>d</w:t>
      </w:r>
      <w:r w:rsidRPr="00AD72E5">
        <w:rPr>
          <w:rFonts w:eastAsiaTheme="minorHAnsi" w:cs="Cambria"/>
          <w:color w:val="000000"/>
        </w:rPr>
        <w:t>examethasone.</w:t>
      </w:r>
    </w:p>
    <w:p w14:paraId="211F489F" w14:textId="30B942C8" w:rsidR="00447CB8" w:rsidRPr="000404E6" w:rsidRDefault="00447CB8" w:rsidP="000404E6">
      <w:pPr>
        <w:pStyle w:val="TableTitle"/>
      </w:pPr>
      <w:r w:rsidRPr="000404E6">
        <w:t xml:space="preserve">Table </w:t>
      </w:r>
      <w:r w:rsidRPr="00854094">
        <w:fldChar w:fldCharType="begin"/>
      </w:r>
      <w:r w:rsidRPr="000404E6">
        <w:instrText xml:space="preserve"> SEQ Table \* ARABIC </w:instrText>
      </w:r>
      <w:r w:rsidRPr="00854094">
        <w:fldChar w:fldCharType="separate"/>
      </w:r>
      <w:r w:rsidR="00801CDC">
        <w:rPr>
          <w:noProof/>
        </w:rPr>
        <w:t>3</w:t>
      </w:r>
      <w:r w:rsidRPr="00854094">
        <w:fldChar w:fldCharType="end"/>
      </w:r>
      <w:r w:rsidRPr="000404E6">
        <w:t xml:space="preserve">: Study TCD11863 </w:t>
      </w:r>
      <w:r w:rsidR="000404E6" w:rsidRPr="000404E6">
        <w:t>O</w:t>
      </w:r>
      <w:r w:rsidRPr="000404E6">
        <w:t>verall response rate, clinical benefit rate and duration of response for patients treated with different doses of isatuximab</w:t>
      </w:r>
      <w:r w:rsidRPr="00854094">
        <w:t xml:space="preserve"> </w:t>
      </w:r>
      <w:r w:rsidR="000404E6" w:rsidRPr="00854094">
        <w:t>with</w:t>
      </w:r>
      <w:r w:rsidRPr="00854094">
        <w:t xml:space="preserve"> lenolidomide and dexamethasone</w:t>
      </w:r>
    </w:p>
    <w:p w14:paraId="41EE3874" w14:textId="1C21E09E" w:rsidR="000F476B" w:rsidRDefault="000F476B" w:rsidP="00A11F7B">
      <w:r>
        <w:rPr>
          <w:noProof/>
          <w:lang w:eastAsia="en-AU"/>
        </w:rPr>
        <w:drawing>
          <wp:inline distT="0" distB="0" distL="0" distR="0" wp14:anchorId="6654C780" wp14:editId="64C2943C">
            <wp:extent cx="5400040" cy="1731010"/>
            <wp:effectExtent l="0" t="0" r="0" b="2540"/>
            <wp:docPr id="9" name="Picture 9" descr="Study TCD11863 overall response rate, clinical benefit rate and duration of response for patients treated with different doses of isatuximab + lenolidomide and dexametha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731010"/>
                    </a:xfrm>
                    <a:prstGeom prst="rect">
                      <a:avLst/>
                    </a:prstGeom>
                  </pic:spPr>
                </pic:pic>
              </a:graphicData>
            </a:graphic>
          </wp:inline>
        </w:drawing>
      </w:r>
    </w:p>
    <w:p w14:paraId="5A4C98A5" w14:textId="085C923B" w:rsidR="000F476B" w:rsidRDefault="000F476B" w:rsidP="00711D69">
      <w:pPr>
        <w:rPr>
          <w:rFonts w:eastAsiaTheme="minorHAnsi" w:cs="Cambria"/>
          <w:color w:val="000000"/>
        </w:rPr>
      </w:pPr>
      <w:r w:rsidRPr="000F476B">
        <w:rPr>
          <w:rFonts w:eastAsiaTheme="minorHAnsi" w:cs="Cambria"/>
          <w:color w:val="000000"/>
        </w:rPr>
        <w:t xml:space="preserve">In Study TCD14079 doses of </w:t>
      </w:r>
      <w:r w:rsidR="00FF4227">
        <w:rPr>
          <w:rFonts w:eastAsiaTheme="minorHAnsi" w:cs="Cambria"/>
          <w:color w:val="000000"/>
        </w:rPr>
        <w:t>i</w:t>
      </w:r>
      <w:r w:rsidRPr="000F476B">
        <w:rPr>
          <w:rFonts w:eastAsiaTheme="minorHAnsi" w:cs="Cambria"/>
          <w:color w:val="000000"/>
        </w:rPr>
        <w:t xml:space="preserve">satuximab between 5mg/kg and 20mg/kg were examined in combination with </w:t>
      </w:r>
      <w:r w:rsidR="00FF4227">
        <w:rPr>
          <w:rFonts w:eastAsiaTheme="minorHAnsi" w:cs="Cambria"/>
          <w:color w:val="000000"/>
        </w:rPr>
        <w:t>p</w:t>
      </w:r>
      <w:r w:rsidRPr="000F476B">
        <w:rPr>
          <w:rFonts w:eastAsiaTheme="minorHAnsi" w:cs="Cambria"/>
          <w:color w:val="000000"/>
        </w:rPr>
        <w:t xml:space="preserve">omalidomide and </w:t>
      </w:r>
      <w:r w:rsidR="00FF4227">
        <w:rPr>
          <w:rFonts w:eastAsiaTheme="minorHAnsi" w:cs="Cambria"/>
          <w:color w:val="000000"/>
        </w:rPr>
        <w:t>d</w:t>
      </w:r>
      <w:r w:rsidRPr="000F476B">
        <w:rPr>
          <w:rFonts w:eastAsiaTheme="minorHAnsi" w:cs="Cambria"/>
          <w:color w:val="000000"/>
        </w:rPr>
        <w:t>examethasone.</w:t>
      </w:r>
    </w:p>
    <w:p w14:paraId="2F831846" w14:textId="38981195" w:rsidR="00FF4227" w:rsidRDefault="00FF4227" w:rsidP="00167558">
      <w:pPr>
        <w:pStyle w:val="TableTitle"/>
      </w:pPr>
      <w:r>
        <w:t xml:space="preserve">Table </w:t>
      </w:r>
      <w:fldSimple w:instr=" SEQ Table \* ARABIC ">
        <w:r w:rsidR="00801CDC">
          <w:rPr>
            <w:noProof/>
          </w:rPr>
          <w:t>4</w:t>
        </w:r>
      </w:fldSimple>
      <w:r>
        <w:t xml:space="preserve">: Study </w:t>
      </w:r>
      <w:r w:rsidRPr="000F476B">
        <w:t>TCD14079</w:t>
      </w:r>
      <w:r>
        <w:t xml:space="preserve"> </w:t>
      </w:r>
      <w:r w:rsidR="000404E6">
        <w:t xml:space="preserve">Overall </w:t>
      </w:r>
      <w:r>
        <w:t>r</w:t>
      </w:r>
      <w:r w:rsidRPr="000F476B">
        <w:t xml:space="preserve">esponse rate in patients treated with different doses of </w:t>
      </w:r>
      <w:r>
        <w:t>i</w:t>
      </w:r>
      <w:r w:rsidRPr="000F476B">
        <w:t>satuximab</w:t>
      </w:r>
      <w:r>
        <w:t xml:space="preserve"> </w:t>
      </w:r>
      <w:r w:rsidR="000404E6">
        <w:t>with</w:t>
      </w:r>
      <w:r>
        <w:t xml:space="preserve"> p</w:t>
      </w:r>
      <w:r w:rsidRPr="000F476B">
        <w:t xml:space="preserve">omalidomide and </w:t>
      </w:r>
      <w:r>
        <w:t>d</w:t>
      </w:r>
      <w:r w:rsidRPr="000F476B">
        <w:t>examethasone</w:t>
      </w:r>
    </w:p>
    <w:p w14:paraId="4788C76F" w14:textId="77777777" w:rsidR="000F476B" w:rsidRDefault="000F476B" w:rsidP="000F476B">
      <w:r>
        <w:rPr>
          <w:noProof/>
          <w:lang w:eastAsia="en-AU"/>
        </w:rPr>
        <w:drawing>
          <wp:inline distT="0" distB="0" distL="0" distR="0" wp14:anchorId="24C32497" wp14:editId="3F2090A2">
            <wp:extent cx="5400040" cy="2622550"/>
            <wp:effectExtent l="0" t="0" r="0" b="6350"/>
            <wp:docPr id="10" name="Picture 10" descr="Study TCD14079 response rate in patients treated with different doses of isatuximab + pomalidomide and dexametha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622550"/>
                    </a:xfrm>
                    <a:prstGeom prst="rect">
                      <a:avLst/>
                    </a:prstGeom>
                  </pic:spPr>
                </pic:pic>
              </a:graphicData>
            </a:graphic>
          </wp:inline>
        </w:drawing>
      </w:r>
    </w:p>
    <w:p w14:paraId="74F3373E" w14:textId="2180459E" w:rsidR="000F476B" w:rsidRPr="000F476B" w:rsidRDefault="000F476B" w:rsidP="00167558">
      <w:r w:rsidRPr="000F476B">
        <w:t xml:space="preserve">The </w:t>
      </w:r>
      <w:r w:rsidR="00FF4227">
        <w:t>s</w:t>
      </w:r>
      <w:r w:rsidRPr="000F476B">
        <w:t xml:space="preserve">ponsor also submitted a simulation of trial response based on 44 patients from </w:t>
      </w:r>
      <w:r w:rsidR="00FF4227">
        <w:t>S</w:t>
      </w:r>
      <w:r w:rsidRPr="000F476B">
        <w:t>tudy</w:t>
      </w:r>
      <w:r w:rsidR="000404E6">
        <w:t> </w:t>
      </w:r>
      <w:r w:rsidRPr="000F476B">
        <w:t xml:space="preserve">TCD14079 in whom there was evaluable PK data in order predict the response rate to </w:t>
      </w:r>
      <w:r w:rsidR="00FF4227">
        <w:t>i</w:t>
      </w:r>
      <w:r w:rsidRPr="000F476B">
        <w:t>satuximab treatment based on dose. This indicated that predicted ORR for 20</w:t>
      </w:r>
      <w:r w:rsidR="00FF4227">
        <w:t xml:space="preserve"> </w:t>
      </w:r>
      <w:r w:rsidRPr="000F476B">
        <w:t>mg/kg QW/Q2W was higher, at 77.7%, than for 10</w:t>
      </w:r>
      <w:r w:rsidR="00FF4227">
        <w:t xml:space="preserve"> </w:t>
      </w:r>
      <w:r w:rsidRPr="000F476B">
        <w:t>mg/kg QW/Q2W, at 66.9% albeit with overlapping 95% CI of the estimate of this effect.</w:t>
      </w:r>
    </w:p>
    <w:p w14:paraId="319B4ABF" w14:textId="63B1A44D" w:rsidR="000F476B" w:rsidRPr="000F476B" w:rsidRDefault="000F476B" w:rsidP="00167558">
      <w:r w:rsidRPr="000F476B">
        <w:t xml:space="preserve">The </w:t>
      </w:r>
      <w:r w:rsidR="00FF4227">
        <w:t>e</w:t>
      </w:r>
      <w:r w:rsidRPr="000F476B">
        <w:t>valuator has noted that while this data supports the 10</w:t>
      </w:r>
      <w:r w:rsidR="00FF4227">
        <w:t xml:space="preserve"> </w:t>
      </w:r>
      <w:r w:rsidRPr="000F476B">
        <w:t>mg/kg QW/Q2W dose being suitable for selection in the pivotal trials, there is significant evidence that the 20</w:t>
      </w:r>
      <w:r w:rsidR="00FF4227">
        <w:t xml:space="preserve"> </w:t>
      </w:r>
      <w:r w:rsidRPr="000F476B">
        <w:t>mg/kg QW/Q2W dose may be the most effective dose.</w:t>
      </w:r>
    </w:p>
    <w:p w14:paraId="2D8F59BB" w14:textId="30F90899" w:rsidR="000F476B" w:rsidRPr="000F476B" w:rsidRDefault="000F476B" w:rsidP="00167558">
      <w:pPr>
        <w:pStyle w:val="Heading5"/>
        <w:rPr>
          <w:rFonts w:eastAsiaTheme="minorHAnsi"/>
        </w:rPr>
      </w:pPr>
      <w:r w:rsidRPr="000F476B">
        <w:rPr>
          <w:rFonts w:eastAsiaTheme="minorHAnsi"/>
        </w:rPr>
        <w:t>Pivotal efficacy data</w:t>
      </w:r>
    </w:p>
    <w:p w14:paraId="0682B99A" w14:textId="7886920D" w:rsidR="000F476B" w:rsidRDefault="000F476B" w:rsidP="000F476B">
      <w:r>
        <w:t xml:space="preserve">The pivotal </w:t>
      </w:r>
      <w:r w:rsidR="00FF4227">
        <w:t>P</w:t>
      </w:r>
      <w:r>
        <w:t xml:space="preserve">hase III efficacy study was </w:t>
      </w:r>
      <w:r w:rsidR="00FF4227">
        <w:t xml:space="preserve">Study </w:t>
      </w:r>
      <w:r>
        <w:t>EFC14335. This was a prospective, multicentre, multinational, randomised, open</w:t>
      </w:r>
      <w:r w:rsidR="00FF4227">
        <w:t xml:space="preserve"> </w:t>
      </w:r>
      <w:r>
        <w:t>label, parallel group, 2</w:t>
      </w:r>
      <w:r w:rsidR="00FF4227">
        <w:t xml:space="preserve"> </w:t>
      </w:r>
      <w:r>
        <w:t xml:space="preserve">arm study evaluating </w:t>
      </w:r>
      <w:r>
        <w:lastRenderedPageBreak/>
        <w:t xml:space="preserve">the efficacy of </w:t>
      </w:r>
      <w:r w:rsidR="00FF4227" w:rsidRPr="00FF4227">
        <w:t xml:space="preserve">isatuximab </w:t>
      </w:r>
      <w:r w:rsidR="000404E6">
        <w:t>with</w:t>
      </w:r>
      <w:r w:rsidR="00FF4227" w:rsidRPr="00FF4227">
        <w:t xml:space="preserve"> pomalidomide</w:t>
      </w:r>
      <w:r>
        <w:t xml:space="preserve"> compared with </w:t>
      </w:r>
      <w:r w:rsidR="00FF4227">
        <w:rPr>
          <w:rFonts w:eastAsiaTheme="minorHAnsi" w:cs="Cambria"/>
          <w:color w:val="000000"/>
        </w:rPr>
        <w:t>pomalidomide</w:t>
      </w:r>
      <w:r>
        <w:t xml:space="preserve"> for the treatment of 307 patients with RRMM who had received at least 2 prior lines of therapy. Previous lines of therapy included </w:t>
      </w:r>
      <w:r w:rsidR="00FF4227">
        <w:t>l</w:t>
      </w:r>
      <w:r>
        <w:t>enalidomide and a proteasome inhibitor (</w:t>
      </w:r>
      <w:r w:rsidR="00FF4227">
        <w:t>b</w:t>
      </w:r>
      <w:r>
        <w:t xml:space="preserve">ortezomib, </w:t>
      </w:r>
      <w:r w:rsidR="00FF4227">
        <w:t>c</w:t>
      </w:r>
      <w:r>
        <w:t xml:space="preserve">arfilzomib, or </w:t>
      </w:r>
      <w:r w:rsidR="00FF4227">
        <w:t>i</w:t>
      </w:r>
      <w:r>
        <w:t xml:space="preserve">xazomib) alone or in combination. All patients had demonstrated disease progression on or within 60 days of completion of the last therapy. Patients were randomised 1:1 to receive </w:t>
      </w:r>
      <w:r w:rsidR="00FF4227">
        <w:rPr>
          <w:rFonts w:eastAsiaTheme="minorHAnsi" w:cs="Cambria"/>
          <w:color w:val="000000"/>
        </w:rPr>
        <w:t>pomalidomide</w:t>
      </w:r>
      <w:r w:rsidR="00FF4227">
        <w:t xml:space="preserve"> </w:t>
      </w:r>
      <w:r>
        <w:t>(n</w:t>
      </w:r>
      <w:r w:rsidR="00FF4227">
        <w:t xml:space="preserve"> </w:t>
      </w:r>
      <w:r>
        <w:t>=</w:t>
      </w:r>
      <w:r w:rsidR="00FF4227">
        <w:t xml:space="preserve"> </w:t>
      </w:r>
      <w:r>
        <w:t xml:space="preserve">153) or </w:t>
      </w:r>
      <w:r w:rsidR="00FF4227" w:rsidRPr="00FF4227">
        <w:t xml:space="preserve">isatuximab </w:t>
      </w:r>
      <w:r w:rsidR="00786B89">
        <w:t>with</w:t>
      </w:r>
      <w:r w:rsidR="00FF4227" w:rsidRPr="00FF4227">
        <w:t xml:space="preserve"> pomalidomide</w:t>
      </w:r>
      <w:r>
        <w:t xml:space="preserve"> (n</w:t>
      </w:r>
      <w:r w:rsidR="00FF4227">
        <w:t> </w:t>
      </w:r>
      <w:r>
        <w:t>=</w:t>
      </w:r>
      <w:r w:rsidR="00FF4227">
        <w:t> </w:t>
      </w:r>
      <w:r>
        <w:t>154) treatment.</w:t>
      </w:r>
    </w:p>
    <w:p w14:paraId="1F0EBB87" w14:textId="60CBFA5A" w:rsidR="00FF4227" w:rsidRPr="00167558" w:rsidRDefault="00FF4227" w:rsidP="00167558">
      <w:pPr>
        <w:pStyle w:val="FigureTitle"/>
        <w:rPr>
          <w:rFonts w:eastAsiaTheme="minorHAnsi" w:cs="Cambria"/>
          <w:color w:val="000000"/>
        </w:rPr>
      </w:pPr>
      <w:r>
        <w:t xml:space="preserve">Figure </w:t>
      </w:r>
      <w:fldSimple w:instr=" SEQ Figure \* ARABIC ">
        <w:r w:rsidR="00801CDC">
          <w:rPr>
            <w:noProof/>
          </w:rPr>
          <w:t>2</w:t>
        </w:r>
      </w:fldSimple>
      <w:r>
        <w:t xml:space="preserve">: </w:t>
      </w:r>
      <w:r>
        <w:rPr>
          <w:rFonts w:eastAsiaTheme="minorHAnsi" w:cs="Cambria"/>
          <w:bCs/>
          <w:color w:val="000000"/>
        </w:rPr>
        <w:t>Design of Study EFC14335</w:t>
      </w:r>
    </w:p>
    <w:p w14:paraId="60170FC0" w14:textId="41EB8B2E" w:rsidR="000F476B" w:rsidRDefault="00FF4227" w:rsidP="000F476B">
      <w:r>
        <w:rPr>
          <w:noProof/>
          <w:lang w:eastAsia="en-AU"/>
        </w:rPr>
        <w:drawing>
          <wp:inline distT="0" distB="0" distL="0" distR="0" wp14:anchorId="35DFF60A" wp14:editId="2C1257B0">
            <wp:extent cx="5400040" cy="2270125"/>
            <wp:effectExtent l="0" t="0" r="0" b="0"/>
            <wp:docPr id="4" name="Picture 4" descr="Design of Study EFC14335. RRMM patients were stratified based on age and number of prior lines of therapy, then randomised 1:1 in either the isatuximab (10 mg/kg) + pomalidomide (4 mg/kg) arm, or the pomalidomide (4 mg/kg) arm. Cycle duration was 28 days for both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270125"/>
                    </a:xfrm>
                    <a:prstGeom prst="rect">
                      <a:avLst/>
                    </a:prstGeom>
                  </pic:spPr>
                </pic:pic>
              </a:graphicData>
            </a:graphic>
          </wp:inline>
        </w:drawing>
      </w:r>
    </w:p>
    <w:p w14:paraId="53C73176" w14:textId="575B6D95" w:rsidR="000F476B" w:rsidRDefault="000F476B" w:rsidP="000F476B">
      <w:pPr>
        <w:rPr>
          <w:rFonts w:eastAsiaTheme="minorHAnsi" w:cs="Cambria"/>
          <w:color w:val="000000"/>
        </w:rPr>
      </w:pPr>
      <w:r w:rsidRPr="000F476B">
        <w:rPr>
          <w:rFonts w:eastAsiaTheme="minorHAnsi" w:cs="Cambria"/>
          <w:color w:val="000000"/>
        </w:rPr>
        <w:t xml:space="preserve">Isatuximab infusions were administered as follows (from section 8.4 of </w:t>
      </w:r>
      <w:r w:rsidR="00BF2155">
        <w:rPr>
          <w:rFonts w:eastAsiaTheme="minorHAnsi" w:cs="Cambria"/>
          <w:color w:val="000000"/>
        </w:rPr>
        <w:t xml:space="preserve">the </w:t>
      </w:r>
      <w:r w:rsidRPr="000F476B">
        <w:rPr>
          <w:rFonts w:eastAsiaTheme="minorHAnsi" w:cs="Cambria"/>
          <w:color w:val="000000"/>
        </w:rPr>
        <w:t>trial report):</w:t>
      </w:r>
    </w:p>
    <w:p w14:paraId="1BC15E1A" w14:textId="73EAD1EE" w:rsidR="00504D5C" w:rsidRDefault="00711D69" w:rsidP="00167558">
      <w:pPr>
        <w:ind w:left="720"/>
      </w:pPr>
      <w:r>
        <w:t>‘</w:t>
      </w:r>
      <w:r w:rsidR="00504D5C">
        <w:t>Isatuximab 10mg/kg IV was administered on Days 1,8,15 and 22 at Cycle 1, and then on Days 1 and 15 for subsequent cycles. The first infusion was initiated at 175</w:t>
      </w:r>
      <w:r>
        <w:t> </w:t>
      </w:r>
      <w:r w:rsidR="00504D5C">
        <w:t xml:space="preserve">mg/hour and in the absence of </w:t>
      </w:r>
      <w:r>
        <w:t>infusion reactions (</w:t>
      </w:r>
      <w:r w:rsidR="00504D5C">
        <w:t>IRs</w:t>
      </w:r>
      <w:r>
        <w:t>)</w:t>
      </w:r>
      <w:r w:rsidR="00504D5C">
        <w:t xml:space="preserve"> after 1 hour of infusion, the infusion rate was increased in 50mg/hour increments every 30 mins, to a maximum of 400 mg/hour. Subsequent </w:t>
      </w:r>
      <w:r w:rsidR="00167558">
        <w:t>infusions were initiated at 175 </w:t>
      </w:r>
      <w:r w:rsidR="00504D5C">
        <w:t>mg/hour and the absence of IAR</w:t>
      </w:r>
      <w:r w:rsidR="00973A8C">
        <w:t>;</w:t>
      </w:r>
      <w:r w:rsidR="00973A8C">
        <w:rPr>
          <w:rStyle w:val="FootnoteReference"/>
        </w:rPr>
        <w:footnoteReference w:id="19"/>
      </w:r>
      <w:r w:rsidR="00504D5C">
        <w:t xml:space="preserve"> after 1 hour of infusion, the rate was increased by 100 mg/hour increments every 30 minutes, to a maximum of 400</w:t>
      </w:r>
      <w:r w:rsidR="00973A8C">
        <w:t> </w:t>
      </w:r>
      <w:r w:rsidR="00854094">
        <w:t>mg/hour.</w:t>
      </w:r>
    </w:p>
    <w:p w14:paraId="6443C3F0" w14:textId="2258C2E9" w:rsidR="00504D5C" w:rsidRDefault="00167558" w:rsidP="00167558">
      <w:pPr>
        <w:ind w:left="720"/>
      </w:pPr>
      <w:r>
        <w:t>Dilution method for isatuximab</w:t>
      </w:r>
    </w:p>
    <w:p w14:paraId="7D7B66D7" w14:textId="5E5499AF" w:rsidR="00504D5C" w:rsidRDefault="00504D5C" w:rsidP="00167558">
      <w:pPr>
        <w:ind w:left="720"/>
      </w:pPr>
      <w:r>
        <w:t>Isatuximab concentrate for solution for infusion was diluted in an infusion bag wit</w:t>
      </w:r>
      <w:r w:rsidR="00167558">
        <w:t>h 0.9% sodium chloride or 5% dex</w:t>
      </w:r>
      <w:r>
        <w:t>trose solution to archive the appropriate drug concentration for infusion. For infusion, an IV tubing administration set with a 0.20 -µm in-line filter was used or if unavailable, a 0.20 - µm filter unit was attached to the administration set before administration.</w:t>
      </w:r>
      <w:r w:rsidR="00711D69">
        <w:t>’</w:t>
      </w:r>
    </w:p>
    <w:p w14:paraId="6D0C7F2A" w14:textId="4DB2B083" w:rsidR="00504D5C" w:rsidRDefault="00504D5C" w:rsidP="00E87767">
      <w:r>
        <w:t>The primary endpoint was PFS, which was defined as the time from the date of randomisation to the date of first documentation of progressive disease as determined by the</w:t>
      </w:r>
      <w:r w:rsidR="00973A8C">
        <w:t xml:space="preserve"> Independent Review Committee</w:t>
      </w:r>
      <w:r>
        <w:t xml:space="preserve"> </w:t>
      </w:r>
      <w:r w:rsidR="00973A8C">
        <w:t>(</w:t>
      </w:r>
      <w:r>
        <w:t>IRC</w:t>
      </w:r>
      <w:r w:rsidR="00973A8C">
        <w:t>)</w:t>
      </w:r>
      <w:r>
        <w:t xml:space="preserve">, or the date of death from any cause, whichever occurred first. Patients without </w:t>
      </w:r>
      <w:r w:rsidR="00E87767">
        <w:t>progressive disease</w:t>
      </w:r>
      <w:r>
        <w:t xml:space="preserve"> or death before the analysis cut-off or the date of initiation of further anti-myeloma treatment were censored at the date of the last valid disease assessment not showing disease progression performed prior to initiation of further anti-myeloma treatment (if any) or the analysis cut-off date, whichever came first.</w:t>
      </w:r>
    </w:p>
    <w:p w14:paraId="13776819" w14:textId="6C61316F" w:rsidR="00504D5C" w:rsidRPr="00504D5C" w:rsidRDefault="00504D5C" w:rsidP="00167558">
      <w:r w:rsidRPr="00504D5C">
        <w:t>Key secondary endpoints included:</w:t>
      </w:r>
    </w:p>
    <w:p w14:paraId="694594FB" w14:textId="560E1E20" w:rsidR="00504D5C" w:rsidRPr="00504D5C" w:rsidRDefault="00E87767" w:rsidP="00167558">
      <w:pPr>
        <w:pStyle w:val="ListBullet"/>
      </w:pPr>
      <w:r>
        <w:t>ORR</w:t>
      </w:r>
      <w:r w:rsidR="00504D5C" w:rsidRPr="00504D5C">
        <w:t xml:space="preserve">: defined as the proportion of patients with stringent complete response (sCR), complete response (CR), very good partial response (VGPR), or partial response (PR) </w:t>
      </w:r>
      <w:r w:rsidR="00504D5C" w:rsidRPr="00504D5C">
        <w:lastRenderedPageBreak/>
        <w:t xml:space="preserve">as best overall response (BOR), assessed by the </w:t>
      </w:r>
      <w:r>
        <w:t>Independent Review Committee (</w:t>
      </w:r>
      <w:r w:rsidR="00504D5C" w:rsidRPr="00504D5C">
        <w:t>IRC</w:t>
      </w:r>
      <w:r>
        <w:t>)</w:t>
      </w:r>
      <w:r w:rsidR="00504D5C" w:rsidRPr="00504D5C">
        <w:t xml:space="preserve"> using the </w:t>
      </w:r>
      <w:r w:rsidRPr="00E87767">
        <w:t xml:space="preserve">International Myeloma Working Group </w:t>
      </w:r>
      <w:r>
        <w:t>(</w:t>
      </w:r>
      <w:r w:rsidR="00504D5C" w:rsidRPr="00504D5C">
        <w:t>IMWG</w:t>
      </w:r>
      <w:r>
        <w:t>)</w:t>
      </w:r>
      <w:r w:rsidR="00504D5C" w:rsidRPr="00504D5C">
        <w:t xml:space="preserve"> criteria.</w:t>
      </w:r>
      <w:r>
        <w:rPr>
          <w:rStyle w:val="FootnoteReference"/>
        </w:rPr>
        <w:footnoteReference w:id="20"/>
      </w:r>
      <w:r w:rsidR="00504D5C" w:rsidRPr="00504D5C">
        <w:t xml:space="preserve"> For patients with non-measurable M-protein at Cycle 1 Day 1, the possible responses were CR, non</w:t>
      </w:r>
      <w:r w:rsidR="00A41799">
        <w:noBreakHyphen/>
      </w:r>
      <w:r>
        <w:t>progressive disease</w:t>
      </w:r>
      <w:r w:rsidR="00504D5C" w:rsidRPr="00504D5C">
        <w:t xml:space="preserve"> or </w:t>
      </w:r>
      <w:r>
        <w:t>progressive disease</w:t>
      </w:r>
      <w:r w:rsidR="00504D5C" w:rsidRPr="00504D5C">
        <w:t>. An additional analysis of ORR using investigator assessment of response was also performed.</w:t>
      </w:r>
    </w:p>
    <w:p w14:paraId="22EAE3AC" w14:textId="76A699B3" w:rsidR="00A41799" w:rsidRDefault="00504D5C" w:rsidP="00167558">
      <w:pPr>
        <w:pStyle w:val="ListBullet"/>
      </w:pPr>
      <w:r w:rsidRPr="00504D5C">
        <w:t>Overall survival (OS): defined as the time from the date of randomisation to the date of death from any cause. If death was not observed before the analysis data cut-off date, OS was censored at the last date that the patient was known to be alive or at the cut-off date, whichever was first.</w:t>
      </w:r>
    </w:p>
    <w:p w14:paraId="2D7158FF" w14:textId="64ACD407" w:rsidR="00504D5C" w:rsidRPr="00504D5C" w:rsidRDefault="00A41799" w:rsidP="00167558">
      <w:pPr>
        <w:pStyle w:val="FigureTitle"/>
      </w:pPr>
      <w:r>
        <w:t xml:space="preserve">Figure </w:t>
      </w:r>
      <w:fldSimple w:instr=" SEQ Figure \* ARABIC ">
        <w:r w:rsidR="00801CDC">
          <w:rPr>
            <w:noProof/>
          </w:rPr>
          <w:t>3</w:t>
        </w:r>
      </w:fldSimple>
      <w:r>
        <w:t>: S</w:t>
      </w:r>
      <w:r w:rsidRPr="00A41799">
        <w:t>tudy EFC14335</w:t>
      </w:r>
      <w:r>
        <w:t xml:space="preserve"> </w:t>
      </w:r>
      <w:r w:rsidR="00973A8C">
        <w:t>P</w:t>
      </w:r>
      <w:r w:rsidRPr="00A41799">
        <w:t xml:space="preserve">rimary analysis </w:t>
      </w:r>
      <w:r w:rsidR="00A54E4A">
        <w:t xml:space="preserve">(Kaplan-Meier estimate) </w:t>
      </w:r>
      <w:r w:rsidRPr="00A41799">
        <w:t xml:space="preserve">of </w:t>
      </w:r>
      <w:r>
        <w:t>progression free survival</w:t>
      </w:r>
      <w:r w:rsidRPr="00A41799">
        <w:t xml:space="preserve"> based on </w:t>
      </w:r>
      <w:r>
        <w:t>Independent Review Committee</w:t>
      </w:r>
      <w:r w:rsidRPr="00A41799">
        <w:t xml:space="preserve"> a</w:t>
      </w:r>
      <w:r>
        <w:t>ssessment, by treatment group</w:t>
      </w:r>
    </w:p>
    <w:p w14:paraId="706FF31E" w14:textId="2F870502" w:rsidR="00504D5C" w:rsidRDefault="00504D5C" w:rsidP="000F476B">
      <w:r>
        <w:rPr>
          <w:noProof/>
          <w:lang w:eastAsia="en-AU"/>
        </w:rPr>
        <w:drawing>
          <wp:inline distT="0" distB="0" distL="0" distR="0" wp14:anchorId="6BCA8ACA" wp14:editId="5F35E861">
            <wp:extent cx="5400040" cy="2975610"/>
            <wp:effectExtent l="0" t="0" r="0" b="0"/>
            <wp:docPr id="12" name="Picture 12" descr="Study EFC14335 primary analysis of progression free survival based on Independent Review Committee assessment,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975610"/>
                    </a:xfrm>
                    <a:prstGeom prst="rect">
                      <a:avLst/>
                    </a:prstGeom>
                  </pic:spPr>
                </pic:pic>
              </a:graphicData>
            </a:graphic>
          </wp:inline>
        </w:drawing>
      </w:r>
    </w:p>
    <w:p w14:paraId="69D7FB03" w14:textId="6114DE6C" w:rsidR="00973A8C" w:rsidRDefault="00A54E4A" w:rsidP="00854094">
      <w:pPr>
        <w:pStyle w:val="TableDescription"/>
      </w:pPr>
      <w:r>
        <w:t xml:space="preserve">Pd = </w:t>
      </w:r>
      <w:r w:rsidR="00973A8C" w:rsidRPr="00FF4227">
        <w:t>pomalidomide</w:t>
      </w:r>
      <w:r>
        <w:t xml:space="preserve"> (and dexamethasone); IPd = </w:t>
      </w:r>
      <w:r w:rsidRPr="00FF4227">
        <w:t xml:space="preserve">isatuximab </w:t>
      </w:r>
      <w:r>
        <w:t>with</w:t>
      </w:r>
      <w:r w:rsidRPr="00FF4227">
        <w:t xml:space="preserve"> </w:t>
      </w:r>
      <w:r w:rsidR="00973A8C">
        <w:rPr>
          <w:rFonts w:eastAsiaTheme="minorHAnsi" w:cs="Cambria"/>
          <w:color w:val="000000"/>
        </w:rPr>
        <w:t>pomalidomide</w:t>
      </w:r>
      <w:r>
        <w:rPr>
          <w:rFonts w:eastAsiaTheme="minorHAnsi" w:cs="Cambria"/>
          <w:color w:val="000000"/>
        </w:rPr>
        <w:t xml:space="preserve"> (and dexamethasone)</w:t>
      </w:r>
    </w:p>
    <w:p w14:paraId="311420EC" w14:textId="0ADD88DD" w:rsidR="00A41799" w:rsidRDefault="00A41799" w:rsidP="00167558">
      <w:pPr>
        <w:pStyle w:val="TableTitle"/>
      </w:pPr>
      <w:r>
        <w:lastRenderedPageBreak/>
        <w:t xml:space="preserve">Table </w:t>
      </w:r>
      <w:fldSimple w:instr=" SEQ Table \* ARABIC ">
        <w:r w:rsidR="00801CDC">
          <w:rPr>
            <w:noProof/>
          </w:rPr>
          <w:t>5</w:t>
        </w:r>
      </w:fldSimple>
      <w:r>
        <w:t>: S</w:t>
      </w:r>
      <w:r w:rsidRPr="00A41799">
        <w:t>tudy EFC14335</w:t>
      </w:r>
      <w:r>
        <w:t xml:space="preserve"> </w:t>
      </w:r>
      <w:r w:rsidR="00A54E4A">
        <w:t>P</w:t>
      </w:r>
      <w:r w:rsidRPr="00A41799">
        <w:t xml:space="preserve">rimary analysis of </w:t>
      </w:r>
      <w:r>
        <w:t>progression free survival</w:t>
      </w:r>
      <w:r w:rsidRPr="00A41799">
        <w:t xml:space="preserve"> based on </w:t>
      </w:r>
      <w:r>
        <w:t>Independent Review Committee assessment, intent to treat population</w:t>
      </w:r>
    </w:p>
    <w:p w14:paraId="44AF63E6" w14:textId="7E1E1EA5" w:rsidR="00504D5C" w:rsidRDefault="00504D5C" w:rsidP="000F476B">
      <w:r>
        <w:rPr>
          <w:noProof/>
          <w:lang w:eastAsia="en-AU"/>
        </w:rPr>
        <w:drawing>
          <wp:inline distT="0" distB="0" distL="0" distR="0" wp14:anchorId="025E6125" wp14:editId="64BE280B">
            <wp:extent cx="5400040" cy="3119755"/>
            <wp:effectExtent l="0" t="0" r="0" b="4445"/>
            <wp:docPr id="13" name="Picture 13" descr="Study EFC14335 primary analysis of progression free survival based on Independent Review Committee assessment,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119755"/>
                    </a:xfrm>
                    <a:prstGeom prst="rect">
                      <a:avLst/>
                    </a:prstGeom>
                  </pic:spPr>
                </pic:pic>
              </a:graphicData>
            </a:graphic>
          </wp:inline>
        </w:drawing>
      </w:r>
    </w:p>
    <w:p w14:paraId="0DB3F509" w14:textId="77777777" w:rsidR="00A54E4A" w:rsidRPr="00854094" w:rsidRDefault="00A54E4A" w:rsidP="00854094">
      <w:pPr>
        <w:pStyle w:val="TableDescription"/>
      </w:pPr>
      <w:r w:rsidRPr="00854094">
        <w:t>Pd = pomalidomide (and dexamethasone); IPd = isatuximab with pomalidomide (and dexamethasone)</w:t>
      </w:r>
    </w:p>
    <w:p w14:paraId="48AAF607" w14:textId="663010D9" w:rsidR="00A46A34" w:rsidRPr="00A46A34" w:rsidRDefault="00A46A34" w:rsidP="00854094">
      <w:r w:rsidRPr="00A46A34">
        <w:t>Primary analysis of PFS, based on IRC, was undertaken when the planned number of events had occurred (162 events of death or disease progression, whichever occurred first). The cut-off date for the analysis was 11 October 2018. The overall median follow-up time at the time of the data cut-</w:t>
      </w:r>
      <w:r w:rsidR="00F42CD5">
        <w:t xml:space="preserve">off </w:t>
      </w:r>
      <w:r w:rsidRPr="00A46A34">
        <w:t xml:space="preserve">was 11.60 months, with the median follow-up times being similar in both treatment arms (11.73 months, </w:t>
      </w:r>
      <w:r w:rsidR="00F42CD5">
        <w:t>pomalidomide</w:t>
      </w:r>
      <w:r w:rsidR="00A54E4A">
        <w:t xml:space="preserve"> alone</w:t>
      </w:r>
      <w:r w:rsidRPr="00A46A34">
        <w:t xml:space="preserve">; 11.56 months, </w:t>
      </w:r>
      <w:r w:rsidR="00F42CD5">
        <w:t xml:space="preserve">isatuximab </w:t>
      </w:r>
      <w:r w:rsidR="00A54E4A">
        <w:t>plus</w:t>
      </w:r>
      <w:r w:rsidR="00F42CD5">
        <w:t xml:space="preserve"> pomalidomide</w:t>
      </w:r>
      <w:r w:rsidRPr="00A46A34">
        <w:t>)</w:t>
      </w:r>
      <w:r w:rsidR="00F42CD5">
        <w:t>.</w:t>
      </w:r>
    </w:p>
    <w:p w14:paraId="61AD39D1" w14:textId="4F08F25A" w:rsidR="00A46A34" w:rsidRPr="00A46A34" w:rsidRDefault="00A46A34" w:rsidP="00854094">
      <w:r w:rsidRPr="00A46A34">
        <w:t xml:space="preserve">Of the 140 events of disease progression contributing to the total number of PFS events, 120 (85.7%) were confirmed progression diagnosed on M-protein and 20 (14.3%) were radiological progression. In the </w:t>
      </w:r>
      <w:r w:rsidR="00F42CD5">
        <w:t>pomalidomide</w:t>
      </w:r>
      <w:r w:rsidRPr="00A46A34">
        <w:t xml:space="preserve"> arm, there were 69 (88.5%) confirmed disease progression events diagnosed on M-protein and 9 (11.5%) radiological progression events. In the </w:t>
      </w:r>
      <w:r w:rsidR="00F42CD5">
        <w:t xml:space="preserve">isatuximab </w:t>
      </w:r>
      <w:r w:rsidR="00A54E4A">
        <w:t>plus</w:t>
      </w:r>
      <w:r w:rsidR="00F42CD5">
        <w:t xml:space="preserve"> pomalidomide</w:t>
      </w:r>
      <w:r w:rsidRPr="00A46A34">
        <w:t xml:space="preserve"> arm, there were 51 (83.3%) confirmed disease progression events diagnosed on M-protein and 11 (17.7%) radiological progression events.</w:t>
      </w:r>
    </w:p>
    <w:p w14:paraId="4D8FE782" w14:textId="47472FC5" w:rsidR="00A46A34" w:rsidRPr="00A46A34" w:rsidRDefault="00A46A34" w:rsidP="00167558">
      <w:r w:rsidRPr="00A46A34">
        <w:t xml:space="preserve">Treatment with </w:t>
      </w:r>
      <w:r w:rsidR="00F42CD5">
        <w:t xml:space="preserve">isatuximab </w:t>
      </w:r>
      <w:r w:rsidR="00A54E4A">
        <w:t>plus</w:t>
      </w:r>
      <w:r w:rsidR="00F42CD5">
        <w:t xml:space="preserve"> pomalidomide</w:t>
      </w:r>
      <w:r w:rsidRPr="00A46A34">
        <w:t xml:space="preserve"> produced significantly longer PFS compared to </w:t>
      </w:r>
      <w:r w:rsidR="00F42CD5">
        <w:rPr>
          <w:rFonts w:eastAsiaTheme="minorHAnsi" w:cs="Cambria"/>
          <w:color w:val="000000"/>
        </w:rPr>
        <w:t>pomalidomide</w:t>
      </w:r>
      <w:r w:rsidRPr="00A46A34">
        <w:t xml:space="preserve"> treatment (median 11.53 months v</w:t>
      </w:r>
      <w:r w:rsidR="00F42CD5">
        <w:t>ersus</w:t>
      </w:r>
      <w:r w:rsidRPr="00A46A34">
        <w:t xml:space="preserve"> 6.47 months, p</w:t>
      </w:r>
      <w:r w:rsidR="00A54E4A">
        <w:t> </w:t>
      </w:r>
      <w:r w:rsidRPr="00A46A34">
        <w:t>&lt;</w:t>
      </w:r>
      <w:r w:rsidR="00A54E4A">
        <w:t> </w:t>
      </w:r>
      <w:r w:rsidRPr="00A46A34">
        <w:t>0.001).</w:t>
      </w:r>
    </w:p>
    <w:p w14:paraId="24B1453D" w14:textId="56D3E256" w:rsidR="00A46A34" w:rsidRPr="00A46A34" w:rsidRDefault="00A46A34" w:rsidP="00167558">
      <w:r w:rsidRPr="00A46A34">
        <w:t xml:space="preserve">At the time of the interim survival analysis, the majority of patients in both treatment arms had been censored (63.4%, </w:t>
      </w:r>
      <w:r w:rsidR="00F42CD5">
        <w:rPr>
          <w:rFonts w:eastAsiaTheme="minorHAnsi" w:cs="Cambria"/>
          <w:color w:val="000000"/>
        </w:rPr>
        <w:t>pomalidomide</w:t>
      </w:r>
      <w:r w:rsidR="00A54E4A">
        <w:rPr>
          <w:rFonts w:eastAsiaTheme="minorHAnsi" w:cs="Cambria"/>
          <w:color w:val="000000"/>
        </w:rPr>
        <w:t xml:space="preserve"> alone</w:t>
      </w:r>
      <w:r w:rsidRPr="00A46A34">
        <w:t xml:space="preserve">; 72.1%, </w:t>
      </w:r>
      <w:r w:rsidR="00F42CD5">
        <w:t xml:space="preserve">isatuximab </w:t>
      </w:r>
      <w:r w:rsidR="00A54E4A">
        <w:t>plus</w:t>
      </w:r>
      <w:r w:rsidR="00F42CD5">
        <w:t xml:space="preserve"> pomalidomide</w:t>
      </w:r>
      <w:r w:rsidRPr="00A46A34">
        <w:t xml:space="preserve">). Of the 97 patients censored in the </w:t>
      </w:r>
      <w:r w:rsidR="00F42CD5">
        <w:rPr>
          <w:rFonts w:eastAsiaTheme="minorHAnsi" w:cs="Cambria"/>
          <w:color w:val="000000"/>
        </w:rPr>
        <w:t>pomalidomide</w:t>
      </w:r>
      <w:r w:rsidRPr="00A46A34">
        <w:t xml:space="preserve"> arm, 90 (92.8%) were still alive at the cut</w:t>
      </w:r>
      <w:r w:rsidR="00F42CD5">
        <w:noBreakHyphen/>
      </w:r>
      <w:r w:rsidRPr="00A46A34">
        <w:t xml:space="preserve">off date and 7 (7.2%) had been lost to follow-up. Of the 111 patients censored in the </w:t>
      </w:r>
      <w:r w:rsidR="00F42CD5">
        <w:t xml:space="preserve">isatuximab </w:t>
      </w:r>
      <w:r w:rsidR="00A54E4A">
        <w:t>plus</w:t>
      </w:r>
      <w:r w:rsidR="00F42CD5">
        <w:t xml:space="preserve"> pomalidomide</w:t>
      </w:r>
      <w:r w:rsidRPr="00A46A34">
        <w:t xml:space="preserve"> arm, 106 (95.5%) were still alive at the cut-off data, 1 (0.9%) was alive at the last contact before cut-off date and 4 (3.6%) had been lost to follow-up.</w:t>
      </w:r>
    </w:p>
    <w:p w14:paraId="3FB9F4ED" w14:textId="4E67E6AD" w:rsidR="00A46A34" w:rsidRDefault="00A46A34" w:rsidP="00A11F7B">
      <w:r w:rsidRPr="00A46A34">
        <w:t xml:space="preserve">The </w:t>
      </w:r>
      <w:r w:rsidR="00F42CD5">
        <w:t>c</w:t>
      </w:r>
      <w:r w:rsidRPr="00A46A34">
        <w:t xml:space="preserve">linical </w:t>
      </w:r>
      <w:r w:rsidR="00F42CD5">
        <w:t>e</w:t>
      </w:r>
      <w:r w:rsidRPr="00A46A34">
        <w:t xml:space="preserve">valuator has noted that there was a higher rate of </w:t>
      </w:r>
      <w:r w:rsidR="00F42CD5">
        <w:t>c</w:t>
      </w:r>
      <w:r w:rsidRPr="00A46A34">
        <w:t xml:space="preserve">larithromycin use in the </w:t>
      </w:r>
      <w:r w:rsidR="00F42CD5">
        <w:t xml:space="preserve">isatuximab </w:t>
      </w:r>
      <w:r w:rsidR="00A54E4A">
        <w:t>plus</w:t>
      </w:r>
      <w:r w:rsidR="00F42CD5">
        <w:t xml:space="preserve"> pomalidomide</w:t>
      </w:r>
      <w:r w:rsidR="00A54E4A">
        <w:t xml:space="preserve"> arm</w:t>
      </w:r>
      <w:r w:rsidRPr="00A46A34">
        <w:t xml:space="preserve"> (15.6%) than the </w:t>
      </w:r>
      <w:r w:rsidR="00F42CD5">
        <w:rPr>
          <w:rFonts w:eastAsiaTheme="minorHAnsi" w:cs="Cambria"/>
          <w:color w:val="000000"/>
        </w:rPr>
        <w:t>pomalidomide</w:t>
      </w:r>
      <w:r w:rsidR="00F42CD5" w:rsidRPr="00A46A34" w:rsidDel="00F42CD5">
        <w:t xml:space="preserve"> </w:t>
      </w:r>
      <w:r w:rsidRPr="00A46A34">
        <w:t xml:space="preserve">(7.8%) arm. The </w:t>
      </w:r>
      <w:r w:rsidR="00F42CD5">
        <w:t>s</w:t>
      </w:r>
      <w:r w:rsidRPr="00A46A34">
        <w:t xml:space="preserve">ponsor has noted that the veracity of any anti-myeloma effect of </w:t>
      </w:r>
      <w:r w:rsidR="00F42CD5">
        <w:t>c</w:t>
      </w:r>
      <w:r w:rsidRPr="00A46A34">
        <w:t xml:space="preserve">larithromycin is contested. In any case, the difference in PFS between the </w:t>
      </w:r>
      <w:r w:rsidR="00F42CD5">
        <w:t xml:space="preserve">isatuximab </w:t>
      </w:r>
      <w:r w:rsidR="00A54E4A">
        <w:t>plus</w:t>
      </w:r>
      <w:r w:rsidR="00F42CD5">
        <w:t xml:space="preserve"> pomalidomide</w:t>
      </w:r>
      <w:r w:rsidRPr="00A46A34">
        <w:t xml:space="preserve"> and </w:t>
      </w:r>
      <w:r w:rsidR="00F42CD5">
        <w:rPr>
          <w:rFonts w:eastAsiaTheme="minorHAnsi" w:cs="Cambria"/>
          <w:color w:val="000000"/>
        </w:rPr>
        <w:t>pomalidomide</w:t>
      </w:r>
      <w:r w:rsidRPr="00A46A34">
        <w:t xml:space="preserve"> arms remains when patients are stratified for </w:t>
      </w:r>
      <w:r w:rsidR="00F42CD5">
        <w:t>c</w:t>
      </w:r>
      <w:r w:rsidRPr="00A46A34">
        <w:t xml:space="preserve">larithromycin use, and the </w:t>
      </w:r>
      <w:r w:rsidR="00F42CD5">
        <w:t>c</w:t>
      </w:r>
      <w:r w:rsidRPr="00A46A34">
        <w:t xml:space="preserve">linical </w:t>
      </w:r>
      <w:r w:rsidR="00F42CD5">
        <w:t>e</w:t>
      </w:r>
      <w:r w:rsidRPr="00A46A34">
        <w:t>valuator has accepted this analysis.</w:t>
      </w:r>
    </w:p>
    <w:p w14:paraId="4A71E567" w14:textId="6706BF6F" w:rsidR="00C01C3F" w:rsidRPr="00C01C3F" w:rsidRDefault="00405743" w:rsidP="00C77515">
      <w:pPr>
        <w:pStyle w:val="Heading4"/>
      </w:pPr>
      <w:r w:rsidRPr="003F08CF">
        <w:lastRenderedPageBreak/>
        <w:t>Safety</w:t>
      </w:r>
    </w:p>
    <w:p w14:paraId="09D71B14" w14:textId="68CF0624" w:rsidR="00405743" w:rsidRDefault="00405743" w:rsidP="00167558">
      <w:pPr>
        <w:rPr>
          <w:rFonts w:eastAsiaTheme="minorHAnsi" w:cs="TimesNewRomanPSMT"/>
        </w:rPr>
      </w:pPr>
      <w:r w:rsidRPr="0040442D">
        <w:t xml:space="preserve">The </w:t>
      </w:r>
      <w:r w:rsidR="00A54E4A" w:rsidRPr="0040442D">
        <w:t xml:space="preserve">summary of clinical safety </w:t>
      </w:r>
      <w:r w:rsidRPr="0040442D">
        <w:t xml:space="preserve">(SCS) reviewed the </w:t>
      </w:r>
      <w:r>
        <w:t xml:space="preserve">submitted </w:t>
      </w:r>
      <w:r w:rsidRPr="0040442D">
        <w:t>safety data base</w:t>
      </w:r>
      <w:r w:rsidR="00F42CD5">
        <w:t>d on 576 patients treated with i</w:t>
      </w:r>
      <w:r w:rsidRPr="0040442D">
        <w:t xml:space="preserve">satuximab from 6 </w:t>
      </w:r>
      <w:r>
        <w:t>completed or partially completed Sanofi</w:t>
      </w:r>
      <w:r w:rsidR="00A54E4A">
        <w:t xml:space="preserve"> (the sponsor)</w:t>
      </w:r>
      <w:r>
        <w:t xml:space="preserve"> </w:t>
      </w:r>
      <w:r w:rsidRPr="0040442D">
        <w:t>sponsored studies</w:t>
      </w:r>
      <w:r>
        <w:t xml:space="preserve">. </w:t>
      </w:r>
      <w:r>
        <w:rPr>
          <w:rFonts w:eastAsiaTheme="minorHAnsi" w:cs="TimesNewRomanPSMT"/>
        </w:rPr>
        <w:t>The pool com</w:t>
      </w:r>
      <w:r w:rsidR="00F42CD5">
        <w:rPr>
          <w:rFonts w:eastAsiaTheme="minorHAnsi" w:cs="TimesNewRomanPSMT"/>
        </w:rPr>
        <w:t>bining all patients exposed to i</w:t>
      </w:r>
      <w:r>
        <w:rPr>
          <w:rFonts w:eastAsiaTheme="minorHAnsi" w:cs="TimesNewRomanPSMT"/>
        </w:rPr>
        <w:t xml:space="preserve">satuximab contained several treatment combinations in addition to the proposed </w:t>
      </w:r>
      <w:r w:rsidR="00F42CD5">
        <w:t xml:space="preserve">isatuximab </w:t>
      </w:r>
      <w:r w:rsidR="00C01C3F">
        <w:t>plus</w:t>
      </w:r>
      <w:r w:rsidR="00F42CD5">
        <w:t xml:space="preserve"> pomalidomide</w:t>
      </w:r>
      <w:r>
        <w:rPr>
          <w:rFonts w:eastAsiaTheme="minorHAnsi" w:cs="TimesNewRomanPSMT"/>
        </w:rPr>
        <w:t xml:space="preserve"> regimen.</w:t>
      </w:r>
    </w:p>
    <w:p w14:paraId="68DD66C0" w14:textId="3D67F4B4" w:rsidR="00F42CD5" w:rsidRPr="00167558" w:rsidRDefault="00F42CD5" w:rsidP="00167558">
      <w:pPr>
        <w:pStyle w:val="TableTitle"/>
      </w:pPr>
      <w:r>
        <w:t xml:space="preserve">Table </w:t>
      </w:r>
      <w:fldSimple w:instr=" SEQ Table \* ARABIC ">
        <w:r w:rsidR="00801CDC">
          <w:rPr>
            <w:noProof/>
          </w:rPr>
          <w:t>6</w:t>
        </w:r>
      </w:fldSimple>
      <w:r>
        <w:t xml:space="preserve">: </w:t>
      </w:r>
      <w:r w:rsidRPr="00420779">
        <w:t>Patient description and disposition in the pooled safety population</w:t>
      </w:r>
    </w:p>
    <w:p w14:paraId="1C36771B" w14:textId="5A6A3704" w:rsidR="00405743" w:rsidRDefault="00405743" w:rsidP="00405743">
      <w:pPr>
        <w:autoSpaceDE w:val="0"/>
        <w:autoSpaceDN w:val="0"/>
        <w:rPr>
          <w:rFonts w:asciiTheme="minorHAnsi" w:eastAsiaTheme="minorHAnsi" w:hAnsiTheme="minorHAnsi" w:cs="TimesNewRomanPSMT"/>
          <w:b/>
        </w:rPr>
      </w:pPr>
      <w:r w:rsidRPr="00420779">
        <w:rPr>
          <w:rFonts w:asciiTheme="minorHAnsi" w:eastAsiaTheme="minorHAnsi" w:hAnsiTheme="minorHAnsi" w:cs="TimesNewRomanPSMT"/>
          <w:noProof/>
          <w:lang w:eastAsia="en-AU"/>
        </w:rPr>
        <w:drawing>
          <wp:inline distT="0" distB="0" distL="0" distR="0" wp14:anchorId="11A93C42" wp14:editId="3F32D6A4">
            <wp:extent cx="5625389" cy="2134921"/>
            <wp:effectExtent l="19050" t="19050" r="13970" b="17780"/>
            <wp:docPr id="17" name="Picture 17" descr="Patient description and disposition in the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268" cy="2139809"/>
                    </a:xfrm>
                    <a:prstGeom prst="rect">
                      <a:avLst/>
                    </a:prstGeom>
                    <a:noFill/>
                    <a:ln>
                      <a:solidFill>
                        <a:schemeClr val="accent1"/>
                      </a:solidFill>
                    </a:ln>
                  </pic:spPr>
                </pic:pic>
              </a:graphicData>
            </a:graphic>
          </wp:inline>
        </w:drawing>
      </w:r>
    </w:p>
    <w:p w14:paraId="37CD872B" w14:textId="07696DE7" w:rsidR="00C01C3F" w:rsidRPr="00C77515" w:rsidRDefault="00C01C3F" w:rsidP="00C77515">
      <w:pPr>
        <w:pStyle w:val="TableDescription"/>
      </w:pPr>
      <w:r>
        <w:t xml:space="preserve">IPd = </w:t>
      </w:r>
      <w:r w:rsidRPr="00FF4227">
        <w:t xml:space="preserve">isatuximab </w:t>
      </w:r>
      <w:r>
        <w:t>with</w:t>
      </w:r>
      <w:r w:rsidRPr="00FF4227">
        <w:t xml:space="preserve"> </w:t>
      </w:r>
      <w:r>
        <w:rPr>
          <w:rFonts w:eastAsiaTheme="minorHAnsi" w:cs="Cambria"/>
          <w:color w:val="000000"/>
        </w:rPr>
        <w:t>pomalidomide (and dexamethasone); Isa(+/-Dex) = isatuximab alone with or without dexamethasone</w:t>
      </w:r>
    </w:p>
    <w:p w14:paraId="121CF495" w14:textId="01958870" w:rsidR="00405743" w:rsidRPr="00167558" w:rsidRDefault="00405743" w:rsidP="00167558">
      <w:r>
        <w:t xml:space="preserve">The majority of the safety data at the dosing regimen proposed for registration comes from the 152 </w:t>
      </w:r>
      <w:r w:rsidR="00F42CD5">
        <w:t xml:space="preserve">isatuximab </w:t>
      </w:r>
      <w:r w:rsidR="00C01C3F">
        <w:t>plus</w:t>
      </w:r>
      <w:r w:rsidR="00F42CD5">
        <w:t xml:space="preserve"> pomalidomide</w:t>
      </w:r>
      <w:r w:rsidR="00C01C3F">
        <w:t xml:space="preserve"> treated</w:t>
      </w:r>
      <w:r>
        <w:t xml:space="preserve"> patients in the pivotal efficacy study, </w:t>
      </w:r>
      <w:r w:rsidR="00F42CD5">
        <w:t>Study </w:t>
      </w:r>
      <w:r>
        <w:t>EFC14335.</w:t>
      </w:r>
    </w:p>
    <w:p w14:paraId="43690F9A" w14:textId="1EE582B0" w:rsidR="00C01C3F" w:rsidRDefault="00C01C3F" w:rsidP="00C77515">
      <w:pPr>
        <w:pStyle w:val="Heading5"/>
      </w:pPr>
      <w:r>
        <w:t>Treatment emergent adverse events</w:t>
      </w:r>
    </w:p>
    <w:p w14:paraId="35FEDE57" w14:textId="77777777" w:rsidR="00801CDC" w:rsidRDefault="00801CDC" w:rsidP="00801CDC">
      <w:r>
        <w:t xml:space="preserve">Virtually all patients treated with isatuximab plus pomalidomide, or </w:t>
      </w:r>
      <w:r>
        <w:rPr>
          <w:rFonts w:eastAsiaTheme="minorHAnsi" w:cs="Cambria"/>
          <w:color w:val="000000"/>
        </w:rPr>
        <w:t>pomalidomide</w:t>
      </w:r>
      <w:r>
        <w:t xml:space="preserve"> suffered at least one treatment emergent adverse event (TEAE), which occurred in 99.3% and 98% of patients respectively.</w:t>
      </w:r>
    </w:p>
    <w:p w14:paraId="65D34F6F" w14:textId="7CFC026C" w:rsidR="00C77515" w:rsidRPr="00C77515" w:rsidRDefault="00C77515" w:rsidP="00C77515">
      <w:r>
        <w:t>The following TEAEs were of potential regulatory significance.</w:t>
      </w:r>
    </w:p>
    <w:p w14:paraId="59A2D477" w14:textId="2F1FD792" w:rsidR="00C01C3F" w:rsidRPr="00C01C3F" w:rsidRDefault="00C01C3F" w:rsidP="00C77515">
      <w:pPr>
        <w:pStyle w:val="Heading6"/>
      </w:pPr>
      <w:r>
        <w:t>Neutropaenia</w:t>
      </w:r>
    </w:p>
    <w:p w14:paraId="125018F1" w14:textId="08AB9DF1" w:rsidR="00405743" w:rsidRDefault="00405743">
      <w:r w:rsidRPr="00C77515">
        <w:t>Neutrop</w:t>
      </w:r>
      <w:r w:rsidR="002327EA">
        <w:t>a</w:t>
      </w:r>
      <w:r w:rsidRPr="00C77515">
        <w:t>enia</w:t>
      </w:r>
      <w:r w:rsidRPr="00FA2DD3">
        <w:rPr>
          <w:b/>
        </w:rPr>
        <w:t xml:space="preserve"> </w:t>
      </w:r>
      <w:r w:rsidRPr="00FA2DD3">
        <w:t xml:space="preserve">was reported more frequently in the </w:t>
      </w:r>
      <w:r w:rsidR="00F42CD5">
        <w:t xml:space="preserve">isatuximab </w:t>
      </w:r>
      <w:r w:rsidR="002327EA">
        <w:t>plus</w:t>
      </w:r>
      <w:r w:rsidR="00F42CD5">
        <w:t xml:space="preserve"> pomalidomide</w:t>
      </w:r>
      <w:r w:rsidRPr="00FA2DD3">
        <w:t xml:space="preserve"> than the </w:t>
      </w:r>
      <w:r w:rsidR="00F42CD5">
        <w:rPr>
          <w:rFonts w:eastAsiaTheme="minorHAnsi" w:cs="Cambria"/>
          <w:color w:val="000000"/>
        </w:rPr>
        <w:t>pomalidomide</w:t>
      </w:r>
      <w:r w:rsidRPr="00FA2DD3">
        <w:t xml:space="preserve"> arm of the pivo</w:t>
      </w:r>
      <w:r w:rsidR="00F42CD5">
        <w:t>tal trial, occurring in 46.7% versus</w:t>
      </w:r>
      <w:r w:rsidRPr="00FA2DD3">
        <w:t xml:space="preserve"> 33.6% of patients respectively. This included febrile neutrop</w:t>
      </w:r>
      <w:r w:rsidR="002327EA">
        <w:t>a</w:t>
      </w:r>
      <w:r w:rsidRPr="00FA2DD3">
        <w:t xml:space="preserve">enia, which occurred in 11.8% of </w:t>
      </w:r>
      <w:r w:rsidR="00F42CD5">
        <w:t xml:space="preserve">isatuximab </w:t>
      </w:r>
      <w:r w:rsidR="002327EA">
        <w:t>plus</w:t>
      </w:r>
      <w:r w:rsidR="00F42CD5">
        <w:t xml:space="preserve"> pomalidomide</w:t>
      </w:r>
      <w:r w:rsidRPr="00FA2DD3">
        <w:t xml:space="preserve"> pa</w:t>
      </w:r>
      <w:r w:rsidR="00F42CD5">
        <w:t xml:space="preserve">tients and 2.0% of </w:t>
      </w:r>
      <w:r w:rsidR="00F42CD5">
        <w:rPr>
          <w:rFonts w:eastAsiaTheme="minorHAnsi" w:cs="Cambria"/>
          <w:color w:val="000000"/>
        </w:rPr>
        <w:t>pomalidomide</w:t>
      </w:r>
      <w:r w:rsidR="00F42CD5">
        <w:t xml:space="preserve"> patients.</w:t>
      </w:r>
    </w:p>
    <w:p w14:paraId="2456AFA2" w14:textId="658B7D28" w:rsidR="00405743" w:rsidRDefault="00405743" w:rsidP="00167558">
      <w:r>
        <w:t>In response to additional questions by the Delegate</w:t>
      </w:r>
      <w:r w:rsidR="00F42CD5">
        <w:t>, the s</w:t>
      </w:r>
      <w:r>
        <w:t xml:space="preserve">ponsor has noted that a total of 53% of </w:t>
      </w:r>
      <w:r w:rsidR="00F42CD5">
        <w:rPr>
          <w:rFonts w:eastAsiaTheme="minorHAnsi" w:cs="Cambria"/>
          <w:color w:val="000000"/>
        </w:rPr>
        <w:t>pomalidomide</w:t>
      </w:r>
      <w:r>
        <w:t xml:space="preserve"> and 69% of </w:t>
      </w:r>
      <w:r w:rsidR="00F42CD5">
        <w:t xml:space="preserve">isatuximab </w:t>
      </w:r>
      <w:r w:rsidR="002327EA">
        <w:t>plus</w:t>
      </w:r>
      <w:r w:rsidR="00F42CD5">
        <w:t xml:space="preserve"> pomalidomide</w:t>
      </w:r>
      <w:r>
        <w:t xml:space="preserve"> patients require </w:t>
      </w:r>
      <w:r w:rsidR="00F42CD5">
        <w:t>g</w:t>
      </w:r>
      <w:r w:rsidR="00F42CD5" w:rsidRPr="00F42CD5">
        <w:t xml:space="preserve">ranulocyte colony-stimulating factor </w:t>
      </w:r>
      <w:r w:rsidR="00F42CD5">
        <w:t>(</w:t>
      </w:r>
      <w:r>
        <w:t>G-CSF</w:t>
      </w:r>
      <w:r w:rsidR="00F42CD5">
        <w:t>)</w:t>
      </w:r>
      <w:r>
        <w:t xml:space="preserve"> to manage neut</w:t>
      </w:r>
      <w:r w:rsidR="009A42D7">
        <w:t>rop</w:t>
      </w:r>
      <w:r w:rsidR="002327EA">
        <w:t>a</w:t>
      </w:r>
      <w:r w:rsidR="009A42D7">
        <w:t>enia, almost universally of G</w:t>
      </w:r>
      <w:r>
        <w:t xml:space="preserve">rade 3 and 4 in severity. The rate of prophylactic use was similar between </w:t>
      </w:r>
      <w:r w:rsidR="009A42D7">
        <w:t xml:space="preserve">isatuximab </w:t>
      </w:r>
      <w:r w:rsidR="00900C80">
        <w:t xml:space="preserve">plus </w:t>
      </w:r>
      <w:r w:rsidR="009A42D7">
        <w:t>pomalidomide</w:t>
      </w:r>
      <w:r>
        <w:t xml:space="preserve"> and </w:t>
      </w:r>
      <w:r w:rsidR="009A42D7">
        <w:rPr>
          <w:rFonts w:eastAsiaTheme="minorHAnsi" w:cs="Cambria"/>
          <w:color w:val="000000"/>
        </w:rPr>
        <w:t>pomalidomide</w:t>
      </w:r>
      <w:r>
        <w:t xml:space="preserve"> arms (31.4% and 32.9% respectively), but curative use of G-CSF was higher in the </w:t>
      </w:r>
      <w:r w:rsidR="009A42D7">
        <w:t xml:space="preserve">isatuximab </w:t>
      </w:r>
      <w:r w:rsidR="00900C80">
        <w:t>plus</w:t>
      </w:r>
      <w:r w:rsidR="009A42D7">
        <w:t xml:space="preserve"> pomalidomide</w:t>
      </w:r>
      <w:r>
        <w:t xml:space="preserve"> than </w:t>
      </w:r>
      <w:r w:rsidR="00900C80">
        <w:t xml:space="preserve">the </w:t>
      </w:r>
      <w:r w:rsidR="009A42D7">
        <w:rPr>
          <w:rFonts w:eastAsiaTheme="minorHAnsi" w:cs="Cambria"/>
          <w:color w:val="000000"/>
        </w:rPr>
        <w:t>pomalidomide</w:t>
      </w:r>
      <w:r>
        <w:t xml:space="preserve"> arms</w:t>
      </w:r>
      <w:r w:rsidR="009A42D7">
        <w:t xml:space="preserve"> (93.3% versus</w:t>
      </w:r>
      <w:r w:rsidR="00F42CD5">
        <w:t xml:space="preserve"> 84.8% respectively).</w:t>
      </w:r>
    </w:p>
    <w:p w14:paraId="2C9C98DE" w14:textId="24381339" w:rsidR="00405743" w:rsidRDefault="00405743" w:rsidP="00167558">
      <w:r w:rsidRPr="00FA2DD3">
        <w:t>There was a higher rate of neutrop</w:t>
      </w:r>
      <w:r w:rsidR="00900C80">
        <w:t>a</w:t>
      </w:r>
      <w:r w:rsidRPr="00FA2DD3">
        <w:t xml:space="preserve">enia infections in </w:t>
      </w:r>
      <w:r w:rsidR="009A42D7">
        <w:t xml:space="preserve">isatuximab </w:t>
      </w:r>
      <w:r w:rsidR="00900C80">
        <w:t>plus</w:t>
      </w:r>
      <w:r w:rsidR="009A42D7">
        <w:t xml:space="preserve"> pomalidomide treated patients, being 25% versus</w:t>
      </w:r>
      <w:r w:rsidRPr="00FA2DD3">
        <w:t xml:space="preserve"> 19.5% in the </w:t>
      </w:r>
      <w:r w:rsidR="009A42D7">
        <w:t xml:space="preserve">isatuximab </w:t>
      </w:r>
      <w:r w:rsidR="00900C80">
        <w:t>plus</w:t>
      </w:r>
      <w:r w:rsidR="009A42D7">
        <w:t xml:space="preserve"> pomalidomide</w:t>
      </w:r>
      <w:r w:rsidRPr="00FA2DD3">
        <w:t xml:space="preserve"> and </w:t>
      </w:r>
      <w:r w:rsidR="009A42D7">
        <w:rPr>
          <w:rFonts w:eastAsiaTheme="minorHAnsi" w:cs="Cambria"/>
          <w:color w:val="000000"/>
        </w:rPr>
        <w:t>pomalidomide</w:t>
      </w:r>
      <w:r w:rsidRPr="00FA2DD3">
        <w:t xml:space="preserve"> arms. Respiratory tract infections (all Grades) were reported in 74.3% of patients in the </w:t>
      </w:r>
      <w:r w:rsidR="009A42D7">
        <w:t xml:space="preserve">isatuximab </w:t>
      </w:r>
      <w:r w:rsidR="00900C80">
        <w:t>plus</w:t>
      </w:r>
      <w:r w:rsidR="009A42D7">
        <w:t xml:space="preserve"> pomalidomide</w:t>
      </w:r>
      <w:r w:rsidRPr="00FA2DD3">
        <w:t xml:space="preserve"> arm, and 53.0% of patients in the </w:t>
      </w:r>
      <w:r w:rsidR="009A42D7">
        <w:rPr>
          <w:rFonts w:eastAsiaTheme="minorHAnsi" w:cs="Cambria"/>
          <w:color w:val="000000"/>
        </w:rPr>
        <w:t>pomalidomide</w:t>
      </w:r>
      <w:r w:rsidRPr="00FA2DD3">
        <w:t xml:space="preserve"> arm and Grade ≥ 3 events were reported in 36.2% and 24.2% of patients, respectively.</w:t>
      </w:r>
      <w:r>
        <w:t xml:space="preserve"> However, the majority of episodes of neutrop</w:t>
      </w:r>
      <w:r w:rsidR="00900C80">
        <w:t>a</w:t>
      </w:r>
      <w:r>
        <w:t>enia resolved comp</w:t>
      </w:r>
      <w:r w:rsidR="009A42D7">
        <w:t xml:space="preserve">lete in both </w:t>
      </w:r>
      <w:r w:rsidR="009A42D7">
        <w:lastRenderedPageBreak/>
        <w:t xml:space="preserve">treatment arms; 71 out of </w:t>
      </w:r>
      <w:r>
        <w:t xml:space="preserve">73 in the </w:t>
      </w:r>
      <w:r w:rsidR="009A42D7">
        <w:rPr>
          <w:rFonts w:eastAsiaTheme="minorHAnsi" w:cs="Cambria"/>
          <w:color w:val="000000"/>
        </w:rPr>
        <w:t>pomalidomide</w:t>
      </w:r>
      <w:r>
        <w:t xml:space="preserve"> arm and</w:t>
      </w:r>
      <w:r w:rsidR="009A42D7">
        <w:t xml:space="preserve"> 120 out of </w:t>
      </w:r>
      <w:r>
        <w:t xml:space="preserve">122 in the </w:t>
      </w:r>
      <w:r w:rsidR="00900C80">
        <w:t>isatuximab plus pomalidomide</w:t>
      </w:r>
      <w:r>
        <w:t xml:space="preserve"> arm of the pivotal efficacy study respectively.</w:t>
      </w:r>
    </w:p>
    <w:p w14:paraId="0EA14D46" w14:textId="655C1114" w:rsidR="00405743" w:rsidRDefault="009A42D7" w:rsidP="00C77515">
      <w:pPr>
        <w:pStyle w:val="TableTitle"/>
        <w:keepLines/>
      </w:pPr>
      <w:r>
        <w:t xml:space="preserve">Table </w:t>
      </w:r>
      <w:fldSimple w:instr=" SEQ Table \* ARABIC ">
        <w:r w:rsidR="00801CDC">
          <w:rPr>
            <w:noProof/>
          </w:rPr>
          <w:t>7</w:t>
        </w:r>
      </w:fldSimple>
      <w:r>
        <w:t>: Description of Grade 3</w:t>
      </w:r>
      <w:r w:rsidR="00900C80">
        <w:t xml:space="preserve"> or </w:t>
      </w:r>
      <w:r>
        <w:t>4 laboratory neutrop</w:t>
      </w:r>
      <w:r w:rsidR="00900C80">
        <w:t>a</w:t>
      </w:r>
      <w:r>
        <w:t>enia during the on</w:t>
      </w:r>
      <w:r w:rsidR="00900C80">
        <w:noBreakHyphen/>
      </w:r>
      <w:r>
        <w:t xml:space="preserve">treatment period for patients not using concomitant medication with </w:t>
      </w:r>
      <w:r w:rsidR="00900C80" w:rsidRPr="00900C80">
        <w:t>granulocyte-colony stimulating factor</w:t>
      </w:r>
      <w:r w:rsidR="00900C80">
        <w:t>/</w:t>
      </w:r>
      <w:r w:rsidR="00900C80" w:rsidRPr="00900C80">
        <w:t xml:space="preserve"> granulocyte-</w:t>
      </w:r>
      <w:r w:rsidR="00900C80">
        <w:t xml:space="preserve">macrophage </w:t>
      </w:r>
      <w:r w:rsidR="00900C80" w:rsidRPr="00900C80">
        <w:t>colony stimulating factor</w:t>
      </w:r>
    </w:p>
    <w:p w14:paraId="3A420B1A" w14:textId="0C89A04C" w:rsidR="00405743" w:rsidRDefault="009A42D7" w:rsidP="009341E0">
      <w:pPr>
        <w:rPr>
          <w:rFonts w:asciiTheme="minorHAnsi" w:eastAsia="TimesNewRoman" w:hAnsiTheme="minorHAnsi" w:cs="TimesNewRoman"/>
        </w:rPr>
      </w:pPr>
      <w:r>
        <w:rPr>
          <w:noProof/>
          <w:lang w:eastAsia="en-AU"/>
        </w:rPr>
        <w:drawing>
          <wp:inline distT="0" distB="0" distL="0" distR="0" wp14:anchorId="00BCF3D9" wp14:editId="66A6DD8B">
            <wp:extent cx="5400040" cy="5668010"/>
            <wp:effectExtent l="0" t="0" r="0" b="8890"/>
            <wp:docPr id="6" name="Picture 6" descr="Description of Grade 3-4 laboratory neutropenia during the on-treatment period for patients not using concomitant medication with GCSF/GMC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5668010"/>
                    </a:xfrm>
                    <a:prstGeom prst="rect">
                      <a:avLst/>
                    </a:prstGeom>
                  </pic:spPr>
                </pic:pic>
              </a:graphicData>
            </a:graphic>
          </wp:inline>
        </w:drawing>
      </w:r>
    </w:p>
    <w:p w14:paraId="16D74360" w14:textId="1E408A6A" w:rsidR="00900C80" w:rsidRPr="00167558" w:rsidRDefault="00900C80" w:rsidP="00C77515">
      <w:pPr>
        <w:pStyle w:val="TableDescription"/>
      </w:pPr>
      <w:r>
        <w:t>IPd = isatuximab plus pomalidomide (and dexamethasone); Pd = pomalidomide (plus dexamethasone)</w:t>
      </w:r>
      <w:r w:rsidR="005F0F58">
        <w:t xml:space="preserve">; G-CSF = </w:t>
      </w:r>
      <w:r w:rsidR="005F0F58" w:rsidRPr="00900C80">
        <w:t>granulocyte-colony stimulating factor</w:t>
      </w:r>
      <w:r w:rsidR="005F0F58">
        <w:t xml:space="preserve">; GM-CSF = </w:t>
      </w:r>
      <w:r w:rsidR="005F0F58" w:rsidRPr="00900C80">
        <w:t>granulocyte-</w:t>
      </w:r>
      <w:r w:rsidR="005F0F58">
        <w:t xml:space="preserve">macrophage </w:t>
      </w:r>
      <w:r w:rsidR="005F0F58" w:rsidRPr="00900C80">
        <w:t>colony stimulating factor</w:t>
      </w:r>
    </w:p>
    <w:p w14:paraId="76A71DAF" w14:textId="2B90BDEA" w:rsidR="005F0F58" w:rsidRDefault="00405743" w:rsidP="00C77515">
      <w:pPr>
        <w:pStyle w:val="Heading6"/>
      </w:pPr>
      <w:r w:rsidRPr="00FA2DD3">
        <w:t>Cardiac disorder</w:t>
      </w:r>
      <w:r w:rsidR="000177A1">
        <w:t>s</w:t>
      </w:r>
    </w:p>
    <w:p w14:paraId="21138D1C" w14:textId="600FFFBF" w:rsidR="00405743" w:rsidRDefault="005F0F58" w:rsidP="00167558">
      <w:r>
        <w:t xml:space="preserve">Cardiac disorder </w:t>
      </w:r>
      <w:r w:rsidR="00405743" w:rsidRPr="00FA2DD3">
        <w:t xml:space="preserve">TEAEs were reported more frequently in the </w:t>
      </w:r>
      <w:r w:rsidR="009A42D7">
        <w:t xml:space="preserve">isatuximab </w:t>
      </w:r>
      <w:r w:rsidR="000177A1">
        <w:t>plus</w:t>
      </w:r>
      <w:r w:rsidR="009A42D7">
        <w:t xml:space="preserve"> pomalidomide</w:t>
      </w:r>
      <w:r w:rsidR="00405743" w:rsidRPr="00FA2DD3">
        <w:t xml:space="preserve"> arm than in the </w:t>
      </w:r>
      <w:r w:rsidR="009A42D7">
        <w:rPr>
          <w:rFonts w:eastAsiaTheme="minorHAnsi" w:cs="Cambria"/>
          <w:color w:val="000000"/>
        </w:rPr>
        <w:t>pomalidomide</w:t>
      </w:r>
      <w:r w:rsidR="009A42D7">
        <w:t xml:space="preserve"> arm (14.5% versus</w:t>
      </w:r>
      <w:r w:rsidR="00405743" w:rsidRPr="00FA2DD3">
        <w:t xml:space="preserve"> 4.0%). This was mostly due to cardiac arrhythmias, of which the most frequently reported was </w:t>
      </w:r>
      <w:r w:rsidR="009A42D7" w:rsidRPr="00FA2DD3">
        <w:t xml:space="preserve">atrial fibrillation </w:t>
      </w:r>
      <w:r w:rsidR="00405743" w:rsidRPr="00FA2DD3">
        <w:t xml:space="preserve">(4.6% of </w:t>
      </w:r>
      <w:r w:rsidR="009A42D7">
        <w:t xml:space="preserve">isatuximab </w:t>
      </w:r>
      <w:r>
        <w:t>plus</w:t>
      </w:r>
      <w:r w:rsidR="009A42D7">
        <w:t xml:space="preserve"> pomalidomide</w:t>
      </w:r>
      <w:r w:rsidR="00405743" w:rsidRPr="00FA2DD3">
        <w:t xml:space="preserve"> arm and 2% of </w:t>
      </w:r>
      <w:r w:rsidR="009A42D7">
        <w:rPr>
          <w:rFonts w:eastAsiaTheme="minorHAnsi" w:cs="Cambria"/>
          <w:color w:val="000000"/>
        </w:rPr>
        <w:t>pomalidomide</w:t>
      </w:r>
      <w:r w:rsidR="009A42D7">
        <w:t xml:space="preserve"> arm).</w:t>
      </w:r>
    </w:p>
    <w:p w14:paraId="6FDB3087" w14:textId="77777777" w:rsidR="005F0F58" w:rsidRDefault="00405743" w:rsidP="00C77515">
      <w:pPr>
        <w:pStyle w:val="Heading6"/>
      </w:pPr>
      <w:r w:rsidRPr="00FA2DD3">
        <w:t>Infusion reactions</w:t>
      </w:r>
    </w:p>
    <w:p w14:paraId="0D211353" w14:textId="1EB31966" w:rsidR="00405743" w:rsidRDefault="005F0F58" w:rsidP="00167558">
      <w:r>
        <w:t xml:space="preserve">Infusion reactions </w:t>
      </w:r>
      <w:r w:rsidR="00405743" w:rsidRPr="00FA2DD3">
        <w:t xml:space="preserve">were reported more frequently in the 38.2% of patients in the </w:t>
      </w:r>
      <w:r w:rsidR="009A42D7">
        <w:t xml:space="preserve">isatuximab </w:t>
      </w:r>
      <w:r w:rsidR="000177A1">
        <w:t>plus</w:t>
      </w:r>
      <w:r w:rsidR="009A42D7">
        <w:t xml:space="preserve"> pomalidomide arm. These were Grade3 to 4 </w:t>
      </w:r>
      <w:r w:rsidR="00405743" w:rsidRPr="00FA2DD3">
        <w:t xml:space="preserve">in only 2.6% patients and </w:t>
      </w:r>
      <w:r w:rsidR="00405743" w:rsidRPr="00FA2DD3">
        <w:lastRenderedPageBreak/>
        <w:t>there were no fatal infusion reactions. The most common symptoms associated with infusion reactions were dyspnoea, cough, nausea and chills.</w:t>
      </w:r>
    </w:p>
    <w:p w14:paraId="48EF0F46" w14:textId="08831C20" w:rsidR="00405743" w:rsidRDefault="009A42D7" w:rsidP="00167558">
      <w:r>
        <w:t>The evaluator has noted that the s</w:t>
      </w:r>
      <w:r w:rsidR="00405743">
        <w:t>pon</w:t>
      </w:r>
      <w:r>
        <w:t xml:space="preserve">sor has proposed to administer isatuximab in a fix volume infusion rate for example, </w:t>
      </w:r>
      <w:r w:rsidR="00405743">
        <w:t>25</w:t>
      </w:r>
      <w:r>
        <w:t xml:space="preserve"> </w:t>
      </w:r>
      <w:r w:rsidR="00405743">
        <w:t xml:space="preserve">mL/hr, while in the pivotal trial the </w:t>
      </w:r>
      <w:r>
        <w:t xml:space="preserve">drug was administered on a dose mass basis for example, </w:t>
      </w:r>
      <w:r w:rsidR="00405743">
        <w:t>175</w:t>
      </w:r>
      <w:r>
        <w:t xml:space="preserve"> mg/hr. As noted, the sponsor has relied on data from S</w:t>
      </w:r>
      <w:r w:rsidR="00405743">
        <w:t xml:space="preserve">tudy TCD14079, a supportive efficacy trial in 54 patients who received </w:t>
      </w:r>
      <w:r>
        <w:t xml:space="preserve">isatuximab </w:t>
      </w:r>
      <w:r w:rsidR="000177A1">
        <w:t>plus</w:t>
      </w:r>
      <w:r>
        <w:t xml:space="preserve"> pomalidomide</w:t>
      </w:r>
      <w:r w:rsidR="00405743">
        <w:t xml:space="preserve"> using a fixed-volume administration method. This indicated an </w:t>
      </w:r>
      <w:r w:rsidR="000177A1">
        <w:t>infusion reaction</w:t>
      </w:r>
      <w:r>
        <w:t xml:space="preserve"> rate of 40.4%, which the e</w:t>
      </w:r>
      <w:r w:rsidR="00405743">
        <w:t>valuator notes is similar to that</w:t>
      </w:r>
      <w:r>
        <w:t xml:space="preserve"> observed in the pivotal trial.</w:t>
      </w:r>
    </w:p>
    <w:p w14:paraId="6421FAE0" w14:textId="77777777" w:rsidR="000177A1" w:rsidRDefault="00405743" w:rsidP="00C77515">
      <w:pPr>
        <w:pStyle w:val="Heading6"/>
      </w:pPr>
      <w:r w:rsidRPr="00555D04">
        <w:t>Secondary malignancies</w:t>
      </w:r>
    </w:p>
    <w:p w14:paraId="1E54A552" w14:textId="49D33552" w:rsidR="00405743" w:rsidRPr="00FA2DD3" w:rsidRDefault="000177A1" w:rsidP="00167558">
      <w:r w:rsidRPr="00C77515">
        <w:t>Secondary malignancies</w:t>
      </w:r>
      <w:r w:rsidR="00C77515">
        <w:t xml:space="preserve"> </w:t>
      </w:r>
      <w:r w:rsidR="00405743" w:rsidRPr="000177A1">
        <w:t>were</w:t>
      </w:r>
      <w:r w:rsidR="00405743">
        <w:t xml:space="preserve"> reported in 1 </w:t>
      </w:r>
      <w:r w:rsidR="009A42D7">
        <w:rPr>
          <w:rFonts w:eastAsiaTheme="minorHAnsi" w:cs="Cambria"/>
          <w:color w:val="000000"/>
        </w:rPr>
        <w:t>pomalidomide</w:t>
      </w:r>
      <w:r w:rsidR="00405743">
        <w:t xml:space="preserve"> and 6 </w:t>
      </w:r>
      <w:r w:rsidR="009A42D7">
        <w:t xml:space="preserve">isatuximab </w:t>
      </w:r>
      <w:r>
        <w:t>plus</w:t>
      </w:r>
      <w:r w:rsidR="009A42D7">
        <w:t xml:space="preserve"> pomalidomide</w:t>
      </w:r>
      <w:r w:rsidR="00405743">
        <w:t xml:space="preserve"> treated patients in the pivotal trial. The 1 case in the </w:t>
      </w:r>
      <w:r w:rsidR="009A42D7">
        <w:rPr>
          <w:rFonts w:eastAsiaTheme="minorHAnsi" w:cs="Cambria"/>
          <w:color w:val="000000"/>
        </w:rPr>
        <w:t>pomalidomide</w:t>
      </w:r>
      <w:r w:rsidR="00405743">
        <w:t xml:space="preserve"> arm was skin </w:t>
      </w:r>
      <w:r w:rsidR="009A42D7" w:rsidRPr="009A42D7">
        <w:t xml:space="preserve">squamous cell carcinoma </w:t>
      </w:r>
      <w:r w:rsidR="009A42D7">
        <w:t>(</w:t>
      </w:r>
      <w:r w:rsidR="00405743">
        <w:t>SCC</w:t>
      </w:r>
      <w:r w:rsidR="009A42D7">
        <w:t>)</w:t>
      </w:r>
      <w:r w:rsidR="00405743">
        <w:t xml:space="preserve">, while those in the </w:t>
      </w:r>
      <w:r w:rsidR="009A42D7">
        <w:t>isatuximab + pomalidomide</w:t>
      </w:r>
      <w:r w:rsidR="00405743">
        <w:t xml:space="preserve"> arm were SCC (</w:t>
      </w:r>
      <w:r>
        <w:t xml:space="preserve">n = </w:t>
      </w:r>
      <w:r w:rsidR="00405743">
        <w:t>4), breast (</w:t>
      </w:r>
      <w:r>
        <w:t xml:space="preserve">n = </w:t>
      </w:r>
      <w:r w:rsidR="00405743">
        <w:t>1) and myelodysplastic syndrome (</w:t>
      </w:r>
      <w:r>
        <w:t xml:space="preserve">n = </w:t>
      </w:r>
      <w:r w:rsidR="00405743">
        <w:t xml:space="preserve">1). Overall, secondary primary malignancies were diagnoses </w:t>
      </w:r>
      <w:r w:rsidR="009A42D7">
        <w:t>in 3% of patients treated with isatuximab. The s</w:t>
      </w:r>
      <w:r w:rsidR="00405743">
        <w:t xml:space="preserve">ponsor has noted that these are within the background cancer incidence for the MM population being treated, and that these patients had been exposed to multiple previous therapies </w:t>
      </w:r>
      <w:r w:rsidR="009A42D7">
        <w:t>such as alkylating agents. The s</w:t>
      </w:r>
      <w:r w:rsidR="00405743">
        <w:t>ponsor has also noted that secondary primary malignancies were reported in 4.1</w:t>
      </w:r>
      <w:r w:rsidR="00C77515">
        <w:t>%</w:t>
      </w:r>
      <w:r w:rsidR="00405743">
        <w:t xml:space="preserve"> of </w:t>
      </w:r>
      <w:r>
        <w:t xml:space="preserve">daratumumab </w:t>
      </w:r>
      <w:r w:rsidR="009A42D7">
        <w:t>treated patients treated with d</w:t>
      </w:r>
      <w:r w:rsidR="00405743">
        <w:t>aratumumab</w:t>
      </w:r>
      <w:r w:rsidR="009A42D7">
        <w:t xml:space="preserve"> </w:t>
      </w:r>
      <w:r w:rsidR="00405743">
        <w:t>+</w:t>
      </w:r>
      <w:r w:rsidR="009A42D7">
        <w:t xml:space="preserve"> bortezomib and dexamathasone</w:t>
      </w:r>
      <w:r w:rsidR="00405743">
        <w:t>.</w:t>
      </w:r>
    </w:p>
    <w:p w14:paraId="78BE98F3" w14:textId="25D65C0B" w:rsidR="000177A1" w:rsidRDefault="00405743" w:rsidP="00EF33EC">
      <w:pPr>
        <w:pStyle w:val="Heading6"/>
      </w:pPr>
      <w:r w:rsidRPr="00FA2DD3">
        <w:t xml:space="preserve">On-treatment fatal </w:t>
      </w:r>
      <w:r w:rsidR="0060207E">
        <w:t xml:space="preserve">treatment </w:t>
      </w:r>
      <w:r w:rsidR="00C77515">
        <w:t xml:space="preserve">emergent </w:t>
      </w:r>
      <w:r w:rsidR="0060207E">
        <w:t>adverse events</w:t>
      </w:r>
    </w:p>
    <w:p w14:paraId="0B6FFD16" w14:textId="79845399" w:rsidR="00405743" w:rsidRPr="000F476B" w:rsidRDefault="0060207E" w:rsidP="00A11F7B">
      <w:r w:rsidRPr="00EF33EC">
        <w:t>On-treatment fatal TEAE</w:t>
      </w:r>
      <w:r w:rsidR="00BF2155">
        <w:t>s</w:t>
      </w:r>
      <w:r w:rsidR="00405743">
        <w:t xml:space="preserve"> </w:t>
      </w:r>
      <w:r w:rsidR="00405743" w:rsidRPr="00017F35">
        <w:t xml:space="preserve">in </w:t>
      </w:r>
      <w:r w:rsidR="00405743">
        <w:t xml:space="preserve">the </w:t>
      </w:r>
      <w:r w:rsidR="00405743" w:rsidRPr="00167558">
        <w:rPr>
          <w:i/>
        </w:rPr>
        <w:t>context of disease progression</w:t>
      </w:r>
      <w:r w:rsidR="00405743">
        <w:t xml:space="preserve"> </w:t>
      </w:r>
      <w:r w:rsidR="00405743" w:rsidRPr="00017F35">
        <w:t xml:space="preserve">were reported in 6 (3.9%) patients in the </w:t>
      </w:r>
      <w:r w:rsidR="009A42D7">
        <w:t xml:space="preserve">isatuximab </w:t>
      </w:r>
      <w:r>
        <w:t>plus</w:t>
      </w:r>
      <w:r w:rsidR="009A42D7">
        <w:t xml:space="preserve"> pomalidomide</w:t>
      </w:r>
      <w:r w:rsidR="00405743" w:rsidRPr="00017F35">
        <w:t xml:space="preserve"> arm and 5</w:t>
      </w:r>
      <w:r w:rsidR="00405743">
        <w:t xml:space="preserve"> (3.4%) patients in the </w:t>
      </w:r>
      <w:r w:rsidR="009A42D7">
        <w:rPr>
          <w:rFonts w:eastAsiaTheme="minorHAnsi" w:cs="Cambria"/>
          <w:color w:val="000000"/>
        </w:rPr>
        <w:t>pomalidomide</w:t>
      </w:r>
      <w:r w:rsidR="00405743">
        <w:t xml:space="preserve"> arm. </w:t>
      </w:r>
      <w:r w:rsidR="00405743" w:rsidRPr="00017F35">
        <w:t xml:space="preserve">In the </w:t>
      </w:r>
      <w:r w:rsidR="009A42D7">
        <w:t xml:space="preserve">isatuximab </w:t>
      </w:r>
      <w:r>
        <w:t>plus</w:t>
      </w:r>
      <w:r w:rsidR="009A42D7">
        <w:t xml:space="preserve"> pomalidomide</w:t>
      </w:r>
      <w:r w:rsidR="00405743" w:rsidRPr="00017F35">
        <w:t xml:space="preserve"> arm, the </w:t>
      </w:r>
      <w:r w:rsidR="00405743">
        <w:t xml:space="preserve">6 </w:t>
      </w:r>
      <w:r w:rsidR="00405743" w:rsidRPr="00017F35">
        <w:t xml:space="preserve">fatal </w:t>
      </w:r>
      <w:r w:rsidR="0024691D">
        <w:t>adverse events (</w:t>
      </w:r>
      <w:r w:rsidR="00405743" w:rsidRPr="00017F35">
        <w:t>AE</w:t>
      </w:r>
      <w:r w:rsidR="00EF33EC">
        <w:t>s</w:t>
      </w:r>
      <w:r w:rsidR="0024691D">
        <w:t>)</w:t>
      </w:r>
      <w:r w:rsidR="00405743" w:rsidRPr="00017F35">
        <w:t xml:space="preserve"> </w:t>
      </w:r>
      <w:r w:rsidR="00405743">
        <w:t xml:space="preserve">reported </w:t>
      </w:r>
      <w:r w:rsidR="00405743" w:rsidRPr="00017F35">
        <w:t xml:space="preserve">in </w:t>
      </w:r>
      <w:r w:rsidR="00405743">
        <w:t xml:space="preserve">the </w:t>
      </w:r>
      <w:r w:rsidR="00405743" w:rsidRPr="00017F35">
        <w:t xml:space="preserve">context </w:t>
      </w:r>
      <w:r w:rsidR="00405743">
        <w:t xml:space="preserve">of </w:t>
      </w:r>
      <w:r w:rsidR="00405743" w:rsidRPr="00017F35">
        <w:t xml:space="preserve">disease progression were </w:t>
      </w:r>
      <w:r w:rsidR="00405743">
        <w:t>5</w:t>
      </w:r>
      <w:r w:rsidR="00405743" w:rsidRPr="00017F35">
        <w:t xml:space="preserve"> events of disease progression and 1 event of hepatic enzyme increased. In the </w:t>
      </w:r>
      <w:r w:rsidR="0024691D">
        <w:rPr>
          <w:rFonts w:eastAsiaTheme="minorHAnsi" w:cs="Cambria"/>
          <w:color w:val="000000"/>
        </w:rPr>
        <w:t>pomalidomide</w:t>
      </w:r>
      <w:r w:rsidR="00405743" w:rsidRPr="00017F35">
        <w:t xml:space="preserve"> arm, the </w:t>
      </w:r>
      <w:r w:rsidR="00405743">
        <w:t xml:space="preserve">5 fatal AEs reported in the context of disease progression </w:t>
      </w:r>
      <w:r w:rsidR="00405743" w:rsidRPr="00017F35">
        <w:t xml:space="preserve">were </w:t>
      </w:r>
      <w:r w:rsidR="00405743">
        <w:t>2</w:t>
      </w:r>
      <w:r w:rsidR="00405743" w:rsidRPr="00017F35">
        <w:t xml:space="preserve"> events of disease progression, and </w:t>
      </w:r>
      <w:r w:rsidR="00405743">
        <w:t>1</w:t>
      </w:r>
      <w:r>
        <w:t> </w:t>
      </w:r>
      <w:r w:rsidR="00405743" w:rsidRPr="00017F35">
        <w:t>event each for cauda equin</w:t>
      </w:r>
      <w:r w:rsidR="00405743">
        <w:t>a</w:t>
      </w:r>
      <w:r w:rsidR="00405743" w:rsidRPr="00017F35">
        <w:t xml:space="preserve"> syndrome, acute kidney injury, and renal failure.</w:t>
      </w:r>
      <w:r w:rsidR="00405743">
        <w:t xml:space="preserve"> None of the fatal AEs reported in the context of disease progression in either treatment arm were considered to be related to treatment.</w:t>
      </w:r>
    </w:p>
    <w:p w14:paraId="51CA8009" w14:textId="77777777" w:rsidR="008E7846" w:rsidRDefault="00386150" w:rsidP="007B6132">
      <w:pPr>
        <w:pStyle w:val="Heading3"/>
        <w:rPr>
          <w:lang w:eastAsia="en-AU"/>
        </w:rPr>
      </w:pPr>
      <w:bookmarkStart w:id="39" w:name="_Toc55918739"/>
      <w:r>
        <w:rPr>
          <w:lang w:eastAsia="en-AU"/>
        </w:rPr>
        <w:t>Risk m</w:t>
      </w:r>
      <w:r w:rsidR="008E7846">
        <w:rPr>
          <w:lang w:eastAsia="en-AU"/>
        </w:rPr>
        <w:t xml:space="preserve">anagement </w:t>
      </w:r>
      <w:r>
        <w:rPr>
          <w:lang w:eastAsia="en-AU"/>
        </w:rPr>
        <w:t>p</w:t>
      </w:r>
      <w:r w:rsidR="008E7846">
        <w:rPr>
          <w:lang w:eastAsia="en-AU"/>
        </w:rPr>
        <w:t>lan</w:t>
      </w:r>
      <w:bookmarkEnd w:id="37"/>
      <w:bookmarkEnd w:id="39"/>
    </w:p>
    <w:p w14:paraId="714EFF82" w14:textId="1ED68B2C" w:rsidR="00992EB9" w:rsidRDefault="00992EB9">
      <w:r>
        <w:rPr>
          <w:rStyle w:val="BulletlistChar"/>
          <w:rFonts w:eastAsia="Cambria"/>
        </w:rPr>
        <w:t>The sponsor</w:t>
      </w:r>
      <w:r w:rsidRPr="002C18D2">
        <w:t xml:space="preserve"> has submitted </w:t>
      </w:r>
      <w:r w:rsidR="003150EC" w:rsidRPr="00142806">
        <w:t>E</w:t>
      </w:r>
      <w:r w:rsidR="003150EC">
        <w:t>uropean Union</w:t>
      </w:r>
      <w:r w:rsidR="0024691D">
        <w:t xml:space="preserve"> (EU)</w:t>
      </w:r>
      <w:r w:rsidR="003150EC" w:rsidRPr="00142806">
        <w:t>-risk management plan</w:t>
      </w:r>
      <w:r w:rsidR="003150EC" w:rsidRPr="002C18D2">
        <w:t xml:space="preserve"> </w:t>
      </w:r>
      <w:r w:rsidR="003150EC">
        <w:t>(</w:t>
      </w:r>
      <w:r w:rsidRPr="002C18D2">
        <w:t>RMP</w:t>
      </w:r>
      <w:r w:rsidR="003150EC">
        <w:t>)</w:t>
      </w:r>
      <w:r w:rsidRPr="002C18D2">
        <w:t xml:space="preserve"> version 0.1 (12 April 2019; </w:t>
      </w:r>
      <w:r w:rsidR="003150EC">
        <w:t>data lock point (</w:t>
      </w:r>
      <w:r>
        <w:t>DLP</w:t>
      </w:r>
      <w:r w:rsidR="003150EC">
        <w:t>)</w:t>
      </w:r>
      <w:r>
        <w:t xml:space="preserve"> </w:t>
      </w:r>
      <w:r w:rsidRPr="002C18D2">
        <w:t xml:space="preserve">15 November 2018) and </w:t>
      </w:r>
      <w:r w:rsidR="003150EC">
        <w:t>Australian specific Annex (</w:t>
      </w:r>
      <w:r w:rsidRPr="002C18D2">
        <w:t>ASA</w:t>
      </w:r>
      <w:r w:rsidR="003150EC">
        <w:t>)</w:t>
      </w:r>
      <w:r w:rsidRPr="002C18D2">
        <w:t xml:space="preserve"> version 1.0 (30 June 2019) in support of this application.</w:t>
      </w:r>
    </w:p>
    <w:p w14:paraId="6388B40C" w14:textId="258D4099" w:rsidR="00447CB8" w:rsidRDefault="00B870E9">
      <w:pPr>
        <w:rPr>
          <w:lang w:eastAsia="en-AU"/>
        </w:rPr>
      </w:pPr>
      <w:r w:rsidRPr="005A0AB2">
        <w:t>The</w:t>
      </w:r>
      <w:r>
        <w:t xml:space="preserve"> </w:t>
      </w:r>
      <w:r w:rsidRPr="005A0AB2">
        <w:t>summary of safety concerns and their associated risk monitoring and mitigation</w:t>
      </w:r>
      <w:r>
        <w:t xml:space="preserve"> strategies are summarised in </w:t>
      </w:r>
      <w:r w:rsidR="00447CB8">
        <w:t>the t</w:t>
      </w:r>
      <w:r>
        <w:t xml:space="preserve">able </w:t>
      </w:r>
      <w:r w:rsidR="00157A7F">
        <w:t>below.</w:t>
      </w:r>
      <w:r>
        <w:rPr>
          <w:rStyle w:val="FootnoteReference"/>
          <w:lang w:eastAsia="en-AU"/>
        </w:rPr>
        <w:footnoteReference w:id="21"/>
      </w:r>
    </w:p>
    <w:p w14:paraId="20BC3975" w14:textId="13F53CB6" w:rsidR="00157A7F" w:rsidRDefault="00447CB8" w:rsidP="00167558">
      <w:pPr>
        <w:pStyle w:val="TableTitle"/>
        <w:rPr>
          <w:noProof/>
          <w:lang w:eastAsia="en-AU"/>
        </w:rPr>
      </w:pPr>
      <w:r>
        <w:lastRenderedPageBreak/>
        <w:t xml:space="preserve">Table </w:t>
      </w:r>
      <w:fldSimple w:instr=" SEQ Table \* ARABIC ">
        <w:r w:rsidR="00801CDC">
          <w:rPr>
            <w:noProof/>
          </w:rPr>
          <w:t>8</w:t>
        </w:r>
      </w:fldSimple>
      <w:r>
        <w:t xml:space="preserve">: </w:t>
      </w:r>
      <w:r>
        <w:rPr>
          <w:lang w:eastAsia="en-AU"/>
        </w:rPr>
        <w:t>Summary of safety concerns</w:t>
      </w:r>
    </w:p>
    <w:tbl>
      <w:tblPr>
        <w:tblStyle w:val="TableTGAblue"/>
        <w:tblW w:w="5000" w:type="pct"/>
        <w:tblLook w:val="04A0" w:firstRow="1" w:lastRow="0" w:firstColumn="1" w:lastColumn="0" w:noHBand="0" w:noVBand="1"/>
      </w:tblPr>
      <w:tblGrid>
        <w:gridCol w:w="1327"/>
        <w:gridCol w:w="3153"/>
        <w:gridCol w:w="890"/>
        <w:gridCol w:w="1112"/>
        <w:gridCol w:w="890"/>
        <w:gridCol w:w="1112"/>
      </w:tblGrid>
      <w:tr w:rsidR="00992EB9" w:rsidRPr="00992EB9" w14:paraId="03DC5E77" w14:textId="77777777" w:rsidTr="00992EB9">
        <w:trPr>
          <w:cnfStyle w:val="100000000000" w:firstRow="1" w:lastRow="0" w:firstColumn="0" w:lastColumn="0" w:oddVBand="0" w:evenVBand="0" w:oddHBand="0" w:evenHBand="0" w:firstRowFirstColumn="0" w:firstRowLastColumn="0" w:lastRowFirstColumn="0" w:lastRowLastColumn="0"/>
          <w:trHeight w:val="131"/>
        </w:trPr>
        <w:tc>
          <w:tcPr>
            <w:tcW w:w="3024" w:type="pct"/>
            <w:gridSpan w:val="2"/>
            <w:vMerge w:val="restart"/>
          </w:tcPr>
          <w:p w14:paraId="627A418D" w14:textId="77777777" w:rsidR="00992EB9" w:rsidRPr="00167558" w:rsidRDefault="00992EB9" w:rsidP="00167558">
            <w:pPr>
              <w:pStyle w:val="Tabletext"/>
              <w:ind w:left="0" w:right="0"/>
              <w:rPr>
                <w:b w:val="0"/>
                <w:sz w:val="20"/>
                <w:szCs w:val="20"/>
              </w:rPr>
            </w:pPr>
            <w:r w:rsidRPr="00167558">
              <w:rPr>
                <w:sz w:val="20"/>
                <w:szCs w:val="20"/>
              </w:rPr>
              <w:t>Summary of safety concerns</w:t>
            </w:r>
          </w:p>
        </w:tc>
        <w:tc>
          <w:tcPr>
            <w:tcW w:w="988" w:type="pct"/>
            <w:gridSpan w:val="2"/>
          </w:tcPr>
          <w:p w14:paraId="0731ABEC" w14:textId="77777777" w:rsidR="00992EB9" w:rsidRPr="00167558" w:rsidRDefault="00992EB9" w:rsidP="00167558">
            <w:pPr>
              <w:pStyle w:val="Tabletext"/>
              <w:ind w:left="0" w:right="0"/>
              <w:rPr>
                <w:b w:val="0"/>
                <w:sz w:val="20"/>
                <w:szCs w:val="20"/>
              </w:rPr>
            </w:pPr>
            <w:r w:rsidRPr="00167558">
              <w:rPr>
                <w:sz w:val="20"/>
                <w:szCs w:val="20"/>
              </w:rPr>
              <w:t>Pharmacovigilance</w:t>
            </w:r>
          </w:p>
        </w:tc>
        <w:tc>
          <w:tcPr>
            <w:tcW w:w="988" w:type="pct"/>
            <w:gridSpan w:val="2"/>
          </w:tcPr>
          <w:p w14:paraId="179D2D37" w14:textId="3634E3DE" w:rsidR="00992EB9" w:rsidRPr="00167558" w:rsidRDefault="0024691D" w:rsidP="00167558">
            <w:pPr>
              <w:pStyle w:val="Tabletext"/>
              <w:ind w:left="0" w:right="0"/>
              <w:rPr>
                <w:b w:val="0"/>
                <w:sz w:val="20"/>
                <w:szCs w:val="20"/>
              </w:rPr>
            </w:pPr>
            <w:r w:rsidRPr="00A11F7B">
              <w:rPr>
                <w:sz w:val="20"/>
                <w:szCs w:val="20"/>
              </w:rPr>
              <w:t>Risk m</w:t>
            </w:r>
            <w:r w:rsidR="00992EB9" w:rsidRPr="00167558">
              <w:rPr>
                <w:sz w:val="20"/>
                <w:szCs w:val="20"/>
              </w:rPr>
              <w:t>inimisation</w:t>
            </w:r>
          </w:p>
        </w:tc>
      </w:tr>
      <w:tr w:rsidR="00992EB9" w:rsidRPr="00992EB9" w14:paraId="5242C6E9" w14:textId="77777777" w:rsidTr="00992EB9">
        <w:trPr>
          <w:trHeight w:val="150"/>
        </w:trPr>
        <w:tc>
          <w:tcPr>
            <w:tcW w:w="3024" w:type="pct"/>
            <w:gridSpan w:val="2"/>
            <w:vMerge/>
          </w:tcPr>
          <w:p w14:paraId="3820B9A6" w14:textId="77777777" w:rsidR="00992EB9" w:rsidRPr="00167558" w:rsidRDefault="00992EB9" w:rsidP="00167558">
            <w:pPr>
              <w:pStyle w:val="Tabletext"/>
              <w:ind w:left="0" w:right="0"/>
              <w:rPr>
                <w:b/>
                <w:sz w:val="20"/>
                <w:szCs w:val="20"/>
              </w:rPr>
            </w:pPr>
          </w:p>
        </w:tc>
        <w:tc>
          <w:tcPr>
            <w:tcW w:w="449" w:type="pct"/>
          </w:tcPr>
          <w:p w14:paraId="5A7ED48B" w14:textId="77777777" w:rsidR="00992EB9" w:rsidRPr="00167558" w:rsidRDefault="00992EB9" w:rsidP="00167558">
            <w:pPr>
              <w:pStyle w:val="Tabletext"/>
              <w:ind w:left="0" w:right="0"/>
              <w:rPr>
                <w:sz w:val="20"/>
                <w:szCs w:val="20"/>
              </w:rPr>
            </w:pPr>
            <w:r w:rsidRPr="00167558">
              <w:rPr>
                <w:sz w:val="20"/>
                <w:szCs w:val="20"/>
              </w:rPr>
              <w:t>Routine</w:t>
            </w:r>
          </w:p>
        </w:tc>
        <w:tc>
          <w:tcPr>
            <w:tcW w:w="539" w:type="pct"/>
          </w:tcPr>
          <w:p w14:paraId="4EACBE06" w14:textId="77777777" w:rsidR="00992EB9" w:rsidRPr="00167558" w:rsidRDefault="00992EB9" w:rsidP="00167558">
            <w:pPr>
              <w:pStyle w:val="Tabletext"/>
              <w:ind w:left="0" w:right="0"/>
              <w:rPr>
                <w:sz w:val="20"/>
                <w:szCs w:val="20"/>
              </w:rPr>
            </w:pPr>
            <w:r w:rsidRPr="00167558">
              <w:rPr>
                <w:sz w:val="20"/>
                <w:szCs w:val="20"/>
              </w:rPr>
              <w:t>Additional</w:t>
            </w:r>
          </w:p>
        </w:tc>
        <w:tc>
          <w:tcPr>
            <w:tcW w:w="435" w:type="pct"/>
          </w:tcPr>
          <w:p w14:paraId="5402CABD" w14:textId="77777777" w:rsidR="00992EB9" w:rsidRPr="00167558" w:rsidRDefault="00992EB9" w:rsidP="00167558">
            <w:pPr>
              <w:pStyle w:val="Tabletext"/>
              <w:ind w:left="0" w:right="0"/>
              <w:rPr>
                <w:sz w:val="20"/>
                <w:szCs w:val="20"/>
              </w:rPr>
            </w:pPr>
            <w:r w:rsidRPr="00167558">
              <w:rPr>
                <w:sz w:val="20"/>
                <w:szCs w:val="20"/>
              </w:rPr>
              <w:t>Routine</w:t>
            </w:r>
          </w:p>
        </w:tc>
        <w:tc>
          <w:tcPr>
            <w:tcW w:w="553" w:type="pct"/>
          </w:tcPr>
          <w:p w14:paraId="0A289758" w14:textId="77777777" w:rsidR="00992EB9" w:rsidRPr="00167558" w:rsidRDefault="00992EB9" w:rsidP="00167558">
            <w:pPr>
              <w:pStyle w:val="Tabletext"/>
              <w:ind w:left="0" w:right="0"/>
              <w:rPr>
                <w:sz w:val="20"/>
                <w:szCs w:val="20"/>
              </w:rPr>
            </w:pPr>
            <w:r w:rsidRPr="00167558">
              <w:rPr>
                <w:sz w:val="20"/>
                <w:szCs w:val="20"/>
              </w:rPr>
              <w:t>Additional</w:t>
            </w:r>
          </w:p>
        </w:tc>
      </w:tr>
      <w:tr w:rsidR="00992EB9" w:rsidRPr="00992EB9" w14:paraId="4F1A4F11" w14:textId="77777777" w:rsidTr="00167558">
        <w:trPr>
          <w:trHeight w:val="137"/>
        </w:trPr>
        <w:tc>
          <w:tcPr>
            <w:tcW w:w="701" w:type="pct"/>
          </w:tcPr>
          <w:p w14:paraId="66D5BE78" w14:textId="77777777" w:rsidR="00992EB9" w:rsidRPr="00167558" w:rsidRDefault="00992EB9" w:rsidP="00167558">
            <w:pPr>
              <w:pStyle w:val="Tabletext"/>
              <w:ind w:left="0" w:right="0"/>
              <w:rPr>
                <w:b/>
                <w:sz w:val="20"/>
                <w:szCs w:val="20"/>
              </w:rPr>
            </w:pPr>
            <w:r w:rsidRPr="00167558">
              <w:rPr>
                <w:b/>
                <w:sz w:val="20"/>
                <w:szCs w:val="20"/>
              </w:rPr>
              <w:t>Important identified risks</w:t>
            </w:r>
          </w:p>
        </w:tc>
        <w:tc>
          <w:tcPr>
            <w:tcW w:w="2323" w:type="pct"/>
          </w:tcPr>
          <w:p w14:paraId="30F8FC07" w14:textId="77777777" w:rsidR="00992EB9" w:rsidRPr="00167558" w:rsidRDefault="00992EB9" w:rsidP="00167558">
            <w:pPr>
              <w:pStyle w:val="Tabletext"/>
              <w:ind w:left="0" w:right="0"/>
              <w:rPr>
                <w:sz w:val="20"/>
                <w:szCs w:val="20"/>
              </w:rPr>
            </w:pPr>
            <w:r w:rsidRPr="00167558">
              <w:rPr>
                <w:sz w:val="20"/>
                <w:szCs w:val="20"/>
              </w:rPr>
              <w:t>Interference with indirect antiglobulin test (indirect Coombs test) and possible resulting adverse clinical consequences for the patient (bleeding due to transfusion delay, transfusion haemolysis)</w:t>
            </w:r>
          </w:p>
        </w:tc>
        <w:tc>
          <w:tcPr>
            <w:tcW w:w="449" w:type="pct"/>
          </w:tcPr>
          <w:p w14:paraId="5AE96ABD"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39" w:type="pct"/>
          </w:tcPr>
          <w:p w14:paraId="47B0B877" w14:textId="77777777" w:rsidR="00992EB9" w:rsidRPr="00167558" w:rsidRDefault="00992EB9" w:rsidP="00167558">
            <w:pPr>
              <w:pStyle w:val="Tabletext"/>
              <w:ind w:left="0" w:right="0"/>
              <w:jc w:val="center"/>
              <w:rPr>
                <w:sz w:val="20"/>
                <w:szCs w:val="20"/>
              </w:rPr>
            </w:pPr>
            <w:r w:rsidRPr="00167558">
              <w:rPr>
                <w:sz w:val="20"/>
                <w:szCs w:val="20"/>
              </w:rPr>
              <w:sym w:font="Wingdings" w:char="F0FC"/>
            </w:r>
            <w:r w:rsidRPr="00167558">
              <w:rPr>
                <w:sz w:val="20"/>
                <w:szCs w:val="20"/>
              </w:rPr>
              <w:t>*</w:t>
            </w:r>
          </w:p>
        </w:tc>
        <w:tc>
          <w:tcPr>
            <w:tcW w:w="435" w:type="pct"/>
          </w:tcPr>
          <w:p w14:paraId="61A184F8"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53" w:type="pct"/>
          </w:tcPr>
          <w:p w14:paraId="0C7712D6" w14:textId="77777777" w:rsidR="00992EB9" w:rsidRPr="00167558" w:rsidRDefault="00992EB9" w:rsidP="00167558">
            <w:pPr>
              <w:pStyle w:val="Tabletext"/>
              <w:ind w:left="0" w:right="0"/>
              <w:jc w:val="center"/>
              <w:rPr>
                <w:sz w:val="20"/>
                <w:szCs w:val="20"/>
              </w:rPr>
            </w:pPr>
            <w:r w:rsidRPr="00167558">
              <w:rPr>
                <w:sz w:val="20"/>
                <w:szCs w:val="20"/>
              </w:rPr>
              <w:sym w:font="Wingdings" w:char="F0FC"/>
            </w:r>
            <w:r w:rsidRPr="00167558">
              <w:rPr>
                <w:sz w:val="20"/>
                <w:szCs w:val="20"/>
              </w:rPr>
              <w:t>†</w:t>
            </w:r>
          </w:p>
        </w:tc>
      </w:tr>
      <w:tr w:rsidR="00992EB9" w:rsidRPr="00992EB9" w14:paraId="736BA69D" w14:textId="77777777" w:rsidTr="00167558">
        <w:trPr>
          <w:trHeight w:val="159"/>
        </w:trPr>
        <w:tc>
          <w:tcPr>
            <w:tcW w:w="701" w:type="pct"/>
            <w:vMerge w:val="restart"/>
          </w:tcPr>
          <w:p w14:paraId="3F582946" w14:textId="77777777" w:rsidR="00992EB9" w:rsidRPr="00167558" w:rsidRDefault="00992EB9" w:rsidP="00167558">
            <w:pPr>
              <w:pStyle w:val="Tabletext"/>
              <w:ind w:left="0" w:right="0"/>
              <w:rPr>
                <w:b/>
                <w:sz w:val="20"/>
                <w:szCs w:val="20"/>
              </w:rPr>
            </w:pPr>
            <w:r w:rsidRPr="00167558">
              <w:rPr>
                <w:b/>
                <w:sz w:val="20"/>
                <w:szCs w:val="20"/>
              </w:rPr>
              <w:t>Important potential risks</w:t>
            </w:r>
          </w:p>
        </w:tc>
        <w:tc>
          <w:tcPr>
            <w:tcW w:w="2323" w:type="pct"/>
          </w:tcPr>
          <w:p w14:paraId="34344410" w14:textId="5B7ECD92" w:rsidR="00992EB9" w:rsidRPr="00167558" w:rsidRDefault="0024691D" w:rsidP="00167558">
            <w:pPr>
              <w:pStyle w:val="Tabletext"/>
              <w:ind w:left="0" w:right="0"/>
              <w:rPr>
                <w:sz w:val="20"/>
                <w:szCs w:val="20"/>
              </w:rPr>
            </w:pPr>
            <w:r w:rsidRPr="00A11F7B">
              <w:rPr>
                <w:sz w:val="20"/>
                <w:szCs w:val="20"/>
              </w:rPr>
              <w:t>Tumour lysis syndrome (TLS)</w:t>
            </w:r>
          </w:p>
        </w:tc>
        <w:tc>
          <w:tcPr>
            <w:tcW w:w="449" w:type="pct"/>
          </w:tcPr>
          <w:p w14:paraId="5423E74A"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39" w:type="pct"/>
          </w:tcPr>
          <w:p w14:paraId="006CD4AF" w14:textId="77777777" w:rsidR="00992EB9" w:rsidRPr="00167558" w:rsidRDefault="00992EB9" w:rsidP="00167558">
            <w:pPr>
              <w:pStyle w:val="Tabletext"/>
              <w:ind w:left="0" w:right="0"/>
              <w:jc w:val="center"/>
              <w:rPr>
                <w:sz w:val="20"/>
                <w:szCs w:val="20"/>
              </w:rPr>
            </w:pPr>
            <w:r w:rsidRPr="00167558">
              <w:rPr>
                <w:sz w:val="20"/>
                <w:szCs w:val="20"/>
              </w:rPr>
              <w:t>–</w:t>
            </w:r>
          </w:p>
        </w:tc>
        <w:tc>
          <w:tcPr>
            <w:tcW w:w="435" w:type="pct"/>
          </w:tcPr>
          <w:p w14:paraId="6A27E609"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53" w:type="pct"/>
          </w:tcPr>
          <w:p w14:paraId="17B0C469" w14:textId="77777777" w:rsidR="00992EB9" w:rsidRPr="00167558" w:rsidRDefault="00992EB9" w:rsidP="00167558">
            <w:pPr>
              <w:pStyle w:val="Tabletext"/>
              <w:ind w:left="0" w:right="0"/>
              <w:jc w:val="center"/>
              <w:rPr>
                <w:sz w:val="20"/>
                <w:szCs w:val="20"/>
              </w:rPr>
            </w:pPr>
            <w:r w:rsidRPr="00167558">
              <w:rPr>
                <w:sz w:val="20"/>
                <w:szCs w:val="20"/>
              </w:rPr>
              <w:t>–</w:t>
            </w:r>
          </w:p>
        </w:tc>
      </w:tr>
      <w:tr w:rsidR="00992EB9" w:rsidRPr="00992EB9" w14:paraId="1E74AD7C" w14:textId="77777777" w:rsidTr="00167558">
        <w:trPr>
          <w:trHeight w:val="122"/>
        </w:trPr>
        <w:tc>
          <w:tcPr>
            <w:tcW w:w="701" w:type="pct"/>
            <w:vMerge/>
          </w:tcPr>
          <w:p w14:paraId="03E3D744" w14:textId="77777777" w:rsidR="00992EB9" w:rsidRPr="00167558" w:rsidRDefault="00992EB9" w:rsidP="00167558">
            <w:pPr>
              <w:pStyle w:val="Tabletext"/>
              <w:ind w:left="0" w:right="0"/>
              <w:rPr>
                <w:b/>
                <w:sz w:val="20"/>
                <w:szCs w:val="20"/>
              </w:rPr>
            </w:pPr>
          </w:p>
        </w:tc>
        <w:tc>
          <w:tcPr>
            <w:tcW w:w="2323" w:type="pct"/>
          </w:tcPr>
          <w:p w14:paraId="56C5F37D" w14:textId="178F7D12" w:rsidR="00992EB9" w:rsidRPr="00167558" w:rsidRDefault="00992EB9" w:rsidP="00167558">
            <w:pPr>
              <w:pStyle w:val="Tabletext"/>
              <w:ind w:left="0" w:right="0"/>
              <w:rPr>
                <w:sz w:val="20"/>
                <w:szCs w:val="20"/>
              </w:rPr>
            </w:pPr>
            <w:r w:rsidRPr="00167558">
              <w:rPr>
                <w:sz w:val="20"/>
                <w:szCs w:val="20"/>
              </w:rPr>
              <w:t>Sec</w:t>
            </w:r>
            <w:r w:rsidR="0024691D" w:rsidRPr="00A11F7B">
              <w:rPr>
                <w:sz w:val="20"/>
                <w:szCs w:val="20"/>
              </w:rPr>
              <w:t>ond primary malignancies (SPMs)</w:t>
            </w:r>
          </w:p>
        </w:tc>
        <w:tc>
          <w:tcPr>
            <w:tcW w:w="449" w:type="pct"/>
          </w:tcPr>
          <w:p w14:paraId="031AED90"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39" w:type="pct"/>
          </w:tcPr>
          <w:p w14:paraId="3B18570C" w14:textId="77777777" w:rsidR="00992EB9" w:rsidRPr="00167558" w:rsidRDefault="00992EB9" w:rsidP="00167558">
            <w:pPr>
              <w:pStyle w:val="Tabletext"/>
              <w:ind w:left="0" w:right="0"/>
              <w:jc w:val="center"/>
              <w:rPr>
                <w:sz w:val="20"/>
                <w:szCs w:val="20"/>
              </w:rPr>
            </w:pPr>
            <w:r w:rsidRPr="00167558">
              <w:rPr>
                <w:sz w:val="20"/>
                <w:szCs w:val="20"/>
              </w:rPr>
              <w:t>–</w:t>
            </w:r>
          </w:p>
        </w:tc>
        <w:tc>
          <w:tcPr>
            <w:tcW w:w="435" w:type="pct"/>
          </w:tcPr>
          <w:p w14:paraId="2FD047DF"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53" w:type="pct"/>
          </w:tcPr>
          <w:p w14:paraId="6461FEB1" w14:textId="77777777" w:rsidR="00992EB9" w:rsidRPr="00167558" w:rsidRDefault="00992EB9" w:rsidP="00167558">
            <w:pPr>
              <w:pStyle w:val="Tabletext"/>
              <w:ind w:left="0" w:right="0"/>
              <w:jc w:val="center"/>
              <w:rPr>
                <w:sz w:val="20"/>
                <w:szCs w:val="20"/>
              </w:rPr>
            </w:pPr>
            <w:r w:rsidRPr="00167558">
              <w:rPr>
                <w:sz w:val="20"/>
                <w:szCs w:val="20"/>
              </w:rPr>
              <w:t>–</w:t>
            </w:r>
          </w:p>
        </w:tc>
      </w:tr>
      <w:tr w:rsidR="00992EB9" w:rsidRPr="00992EB9" w14:paraId="4DF4C81F" w14:textId="77777777" w:rsidTr="00167558">
        <w:trPr>
          <w:trHeight w:val="178"/>
        </w:trPr>
        <w:tc>
          <w:tcPr>
            <w:tcW w:w="701" w:type="pct"/>
            <w:vMerge w:val="restart"/>
          </w:tcPr>
          <w:p w14:paraId="7D303813" w14:textId="77777777" w:rsidR="00992EB9" w:rsidRPr="00167558" w:rsidRDefault="00992EB9" w:rsidP="00167558">
            <w:pPr>
              <w:pStyle w:val="Tabletext"/>
              <w:ind w:left="0" w:right="0"/>
              <w:rPr>
                <w:b/>
                <w:sz w:val="20"/>
                <w:szCs w:val="20"/>
              </w:rPr>
            </w:pPr>
            <w:r w:rsidRPr="00167558">
              <w:rPr>
                <w:b/>
                <w:sz w:val="20"/>
                <w:szCs w:val="20"/>
              </w:rPr>
              <w:t>Missing information</w:t>
            </w:r>
          </w:p>
        </w:tc>
        <w:tc>
          <w:tcPr>
            <w:tcW w:w="2323" w:type="pct"/>
          </w:tcPr>
          <w:p w14:paraId="3DE41C6D" w14:textId="0B1171AD" w:rsidR="00992EB9" w:rsidRPr="00167558" w:rsidRDefault="00992EB9" w:rsidP="00167558">
            <w:pPr>
              <w:pStyle w:val="Tabletext"/>
              <w:ind w:left="0" w:right="0"/>
              <w:rPr>
                <w:sz w:val="20"/>
                <w:szCs w:val="20"/>
              </w:rPr>
            </w:pPr>
            <w:r w:rsidRPr="00167558">
              <w:rPr>
                <w:sz w:val="20"/>
                <w:szCs w:val="20"/>
              </w:rPr>
              <w:t>Use in pregnant and lact</w:t>
            </w:r>
            <w:r w:rsidR="0024691D" w:rsidRPr="00A11F7B">
              <w:rPr>
                <w:sz w:val="20"/>
                <w:szCs w:val="20"/>
              </w:rPr>
              <w:t>ating women</w:t>
            </w:r>
          </w:p>
        </w:tc>
        <w:tc>
          <w:tcPr>
            <w:tcW w:w="449" w:type="pct"/>
          </w:tcPr>
          <w:p w14:paraId="73234E3F"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39" w:type="pct"/>
          </w:tcPr>
          <w:p w14:paraId="2C7DC01F" w14:textId="77777777" w:rsidR="00992EB9" w:rsidRPr="00167558" w:rsidRDefault="00992EB9" w:rsidP="00167558">
            <w:pPr>
              <w:pStyle w:val="Tabletext"/>
              <w:ind w:left="0" w:right="0"/>
              <w:jc w:val="center"/>
              <w:rPr>
                <w:sz w:val="20"/>
                <w:szCs w:val="20"/>
              </w:rPr>
            </w:pPr>
            <w:r w:rsidRPr="00167558">
              <w:rPr>
                <w:sz w:val="20"/>
                <w:szCs w:val="20"/>
              </w:rPr>
              <w:t>–</w:t>
            </w:r>
          </w:p>
        </w:tc>
        <w:tc>
          <w:tcPr>
            <w:tcW w:w="435" w:type="pct"/>
          </w:tcPr>
          <w:p w14:paraId="6F403B34"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53" w:type="pct"/>
          </w:tcPr>
          <w:p w14:paraId="0E2C20D8" w14:textId="77777777" w:rsidR="00992EB9" w:rsidRPr="00167558" w:rsidRDefault="00992EB9" w:rsidP="00167558">
            <w:pPr>
              <w:pStyle w:val="Tabletext"/>
              <w:ind w:left="0" w:right="0"/>
              <w:jc w:val="center"/>
              <w:rPr>
                <w:sz w:val="20"/>
                <w:szCs w:val="20"/>
              </w:rPr>
            </w:pPr>
            <w:r w:rsidRPr="00167558">
              <w:rPr>
                <w:sz w:val="20"/>
                <w:szCs w:val="20"/>
              </w:rPr>
              <w:t>–</w:t>
            </w:r>
          </w:p>
        </w:tc>
      </w:tr>
      <w:tr w:rsidR="00992EB9" w:rsidRPr="00992EB9" w14:paraId="470C657F" w14:textId="77777777" w:rsidTr="00167558">
        <w:trPr>
          <w:trHeight w:val="103"/>
        </w:trPr>
        <w:tc>
          <w:tcPr>
            <w:tcW w:w="701" w:type="pct"/>
            <w:vMerge/>
          </w:tcPr>
          <w:p w14:paraId="42AE3C4E" w14:textId="77777777" w:rsidR="00992EB9" w:rsidRPr="00167558" w:rsidRDefault="00992EB9" w:rsidP="00167558">
            <w:pPr>
              <w:pStyle w:val="Tabletext"/>
              <w:ind w:left="0" w:right="0"/>
              <w:rPr>
                <w:sz w:val="20"/>
                <w:szCs w:val="20"/>
              </w:rPr>
            </w:pPr>
          </w:p>
        </w:tc>
        <w:tc>
          <w:tcPr>
            <w:tcW w:w="2323" w:type="pct"/>
          </w:tcPr>
          <w:p w14:paraId="314C5D85" w14:textId="77777777" w:rsidR="00992EB9" w:rsidRPr="00167558" w:rsidRDefault="00992EB9" w:rsidP="00167558">
            <w:pPr>
              <w:pStyle w:val="Tabletext"/>
              <w:ind w:left="0" w:right="0"/>
              <w:rPr>
                <w:sz w:val="20"/>
                <w:szCs w:val="20"/>
              </w:rPr>
            </w:pPr>
            <w:r w:rsidRPr="00167558">
              <w:rPr>
                <w:sz w:val="20"/>
                <w:szCs w:val="20"/>
              </w:rPr>
              <w:t>Effect on male and female fertility</w:t>
            </w:r>
          </w:p>
        </w:tc>
        <w:tc>
          <w:tcPr>
            <w:tcW w:w="449" w:type="pct"/>
          </w:tcPr>
          <w:p w14:paraId="59AC8158"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39" w:type="pct"/>
          </w:tcPr>
          <w:p w14:paraId="49EAF87E" w14:textId="77777777" w:rsidR="00992EB9" w:rsidRPr="00167558" w:rsidRDefault="00992EB9" w:rsidP="00167558">
            <w:pPr>
              <w:pStyle w:val="Tabletext"/>
              <w:ind w:left="0" w:right="0"/>
              <w:jc w:val="center"/>
              <w:rPr>
                <w:sz w:val="20"/>
                <w:szCs w:val="20"/>
              </w:rPr>
            </w:pPr>
            <w:r w:rsidRPr="00167558">
              <w:rPr>
                <w:sz w:val="20"/>
                <w:szCs w:val="20"/>
              </w:rPr>
              <w:t>–</w:t>
            </w:r>
          </w:p>
        </w:tc>
        <w:tc>
          <w:tcPr>
            <w:tcW w:w="435" w:type="pct"/>
          </w:tcPr>
          <w:p w14:paraId="564BC659"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53" w:type="pct"/>
          </w:tcPr>
          <w:p w14:paraId="34053699" w14:textId="77777777" w:rsidR="00992EB9" w:rsidRPr="00167558" w:rsidRDefault="00992EB9" w:rsidP="00167558">
            <w:pPr>
              <w:pStyle w:val="Tabletext"/>
              <w:ind w:left="0" w:right="0"/>
              <w:jc w:val="center"/>
              <w:rPr>
                <w:sz w:val="20"/>
                <w:szCs w:val="20"/>
              </w:rPr>
            </w:pPr>
            <w:r w:rsidRPr="00167558">
              <w:rPr>
                <w:sz w:val="20"/>
                <w:szCs w:val="20"/>
              </w:rPr>
              <w:t>–</w:t>
            </w:r>
          </w:p>
        </w:tc>
      </w:tr>
      <w:tr w:rsidR="00992EB9" w:rsidRPr="00992EB9" w14:paraId="519CD064" w14:textId="77777777" w:rsidTr="00167558">
        <w:trPr>
          <w:trHeight w:val="140"/>
        </w:trPr>
        <w:tc>
          <w:tcPr>
            <w:tcW w:w="701" w:type="pct"/>
            <w:vMerge/>
          </w:tcPr>
          <w:p w14:paraId="419E91C7" w14:textId="77777777" w:rsidR="00992EB9" w:rsidRPr="00167558" w:rsidRDefault="00992EB9" w:rsidP="00167558">
            <w:pPr>
              <w:pStyle w:val="Tabletext"/>
              <w:ind w:left="0" w:right="0"/>
              <w:rPr>
                <w:sz w:val="20"/>
                <w:szCs w:val="20"/>
              </w:rPr>
            </w:pPr>
          </w:p>
        </w:tc>
        <w:tc>
          <w:tcPr>
            <w:tcW w:w="2323" w:type="pct"/>
          </w:tcPr>
          <w:p w14:paraId="7B4B548F" w14:textId="3F901249" w:rsidR="00992EB9" w:rsidRPr="00167558" w:rsidRDefault="00992EB9" w:rsidP="00167558">
            <w:pPr>
              <w:pStyle w:val="Tabletext"/>
              <w:ind w:left="0" w:right="0"/>
              <w:rPr>
                <w:sz w:val="20"/>
                <w:szCs w:val="20"/>
              </w:rPr>
            </w:pPr>
            <w:r w:rsidRPr="00167558">
              <w:rPr>
                <w:sz w:val="20"/>
                <w:szCs w:val="20"/>
              </w:rPr>
              <w:t>Use in patients with mod</w:t>
            </w:r>
            <w:r w:rsidR="0024691D" w:rsidRPr="00A11F7B">
              <w:rPr>
                <w:sz w:val="20"/>
                <w:szCs w:val="20"/>
              </w:rPr>
              <w:t>erate/severe hepatic impairment</w:t>
            </w:r>
          </w:p>
        </w:tc>
        <w:tc>
          <w:tcPr>
            <w:tcW w:w="449" w:type="pct"/>
          </w:tcPr>
          <w:p w14:paraId="13F7E6EA"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39" w:type="pct"/>
          </w:tcPr>
          <w:p w14:paraId="28626751" w14:textId="77777777" w:rsidR="00992EB9" w:rsidRPr="00167558" w:rsidRDefault="00992EB9" w:rsidP="00167558">
            <w:pPr>
              <w:pStyle w:val="Tabletext"/>
              <w:ind w:left="0" w:right="0"/>
              <w:jc w:val="center"/>
              <w:rPr>
                <w:sz w:val="20"/>
                <w:szCs w:val="20"/>
              </w:rPr>
            </w:pPr>
            <w:r w:rsidRPr="00167558">
              <w:rPr>
                <w:sz w:val="20"/>
                <w:szCs w:val="20"/>
              </w:rPr>
              <w:t>–</w:t>
            </w:r>
          </w:p>
        </w:tc>
        <w:tc>
          <w:tcPr>
            <w:tcW w:w="435" w:type="pct"/>
          </w:tcPr>
          <w:p w14:paraId="62224CC4"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53" w:type="pct"/>
          </w:tcPr>
          <w:p w14:paraId="58E7D9D6" w14:textId="77777777" w:rsidR="00992EB9" w:rsidRPr="00167558" w:rsidRDefault="00992EB9" w:rsidP="00167558">
            <w:pPr>
              <w:pStyle w:val="Tabletext"/>
              <w:ind w:left="0" w:right="0"/>
              <w:jc w:val="center"/>
              <w:rPr>
                <w:sz w:val="20"/>
                <w:szCs w:val="20"/>
              </w:rPr>
            </w:pPr>
            <w:r w:rsidRPr="00167558">
              <w:rPr>
                <w:sz w:val="20"/>
                <w:szCs w:val="20"/>
              </w:rPr>
              <w:t>–</w:t>
            </w:r>
          </w:p>
        </w:tc>
      </w:tr>
      <w:tr w:rsidR="00992EB9" w:rsidRPr="00992EB9" w14:paraId="70A57B67" w14:textId="77777777" w:rsidTr="00167558">
        <w:trPr>
          <w:trHeight w:val="140"/>
        </w:trPr>
        <w:tc>
          <w:tcPr>
            <w:tcW w:w="701" w:type="pct"/>
            <w:vMerge/>
          </w:tcPr>
          <w:p w14:paraId="07F36A84" w14:textId="77777777" w:rsidR="00992EB9" w:rsidRPr="00167558" w:rsidRDefault="00992EB9" w:rsidP="00167558">
            <w:pPr>
              <w:pStyle w:val="Tabletext"/>
              <w:ind w:left="0" w:right="0"/>
              <w:rPr>
                <w:sz w:val="20"/>
                <w:szCs w:val="20"/>
              </w:rPr>
            </w:pPr>
          </w:p>
        </w:tc>
        <w:tc>
          <w:tcPr>
            <w:tcW w:w="2323" w:type="pct"/>
          </w:tcPr>
          <w:p w14:paraId="204A09CB" w14:textId="03972ED2" w:rsidR="00992EB9" w:rsidRPr="00167558" w:rsidRDefault="00992EB9" w:rsidP="00167558">
            <w:pPr>
              <w:pStyle w:val="Tabletext"/>
              <w:ind w:left="0" w:right="0"/>
              <w:rPr>
                <w:sz w:val="20"/>
                <w:szCs w:val="20"/>
              </w:rPr>
            </w:pPr>
            <w:r w:rsidRPr="00167558">
              <w:rPr>
                <w:sz w:val="20"/>
                <w:szCs w:val="20"/>
              </w:rPr>
              <w:t>Long-term use (&gt;</w:t>
            </w:r>
            <w:r w:rsidR="0024691D">
              <w:rPr>
                <w:sz w:val="20"/>
                <w:szCs w:val="20"/>
              </w:rPr>
              <w:t xml:space="preserve"> </w:t>
            </w:r>
            <w:r w:rsidRPr="00167558">
              <w:rPr>
                <w:sz w:val="20"/>
                <w:szCs w:val="20"/>
              </w:rPr>
              <w:t>2 years)</w:t>
            </w:r>
          </w:p>
        </w:tc>
        <w:tc>
          <w:tcPr>
            <w:tcW w:w="449" w:type="pct"/>
          </w:tcPr>
          <w:p w14:paraId="5366814B"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39" w:type="pct"/>
          </w:tcPr>
          <w:p w14:paraId="1E7AFE34" w14:textId="77777777" w:rsidR="00992EB9" w:rsidRPr="00167558" w:rsidRDefault="00992EB9" w:rsidP="00167558">
            <w:pPr>
              <w:pStyle w:val="Tabletext"/>
              <w:ind w:left="0" w:right="0"/>
              <w:jc w:val="center"/>
              <w:rPr>
                <w:sz w:val="20"/>
                <w:szCs w:val="20"/>
              </w:rPr>
            </w:pPr>
            <w:r w:rsidRPr="00167558">
              <w:rPr>
                <w:sz w:val="20"/>
                <w:szCs w:val="20"/>
              </w:rPr>
              <w:t>–</w:t>
            </w:r>
          </w:p>
        </w:tc>
        <w:tc>
          <w:tcPr>
            <w:tcW w:w="435" w:type="pct"/>
          </w:tcPr>
          <w:p w14:paraId="6F76D034" w14:textId="77777777" w:rsidR="00992EB9" w:rsidRPr="00167558" w:rsidRDefault="00992EB9" w:rsidP="00167558">
            <w:pPr>
              <w:pStyle w:val="Tabletext"/>
              <w:ind w:left="0" w:right="0"/>
              <w:jc w:val="center"/>
              <w:rPr>
                <w:sz w:val="20"/>
                <w:szCs w:val="20"/>
              </w:rPr>
            </w:pPr>
            <w:r w:rsidRPr="00167558">
              <w:rPr>
                <w:sz w:val="20"/>
                <w:szCs w:val="20"/>
              </w:rPr>
              <w:sym w:font="Wingdings" w:char="F0FC"/>
            </w:r>
          </w:p>
        </w:tc>
        <w:tc>
          <w:tcPr>
            <w:tcW w:w="553" w:type="pct"/>
          </w:tcPr>
          <w:p w14:paraId="3C1E4763" w14:textId="77777777" w:rsidR="00992EB9" w:rsidRPr="00167558" w:rsidRDefault="00992EB9" w:rsidP="00167558">
            <w:pPr>
              <w:pStyle w:val="Tabletext"/>
              <w:ind w:left="0" w:right="0"/>
              <w:jc w:val="center"/>
              <w:rPr>
                <w:sz w:val="20"/>
                <w:szCs w:val="20"/>
              </w:rPr>
            </w:pPr>
            <w:r w:rsidRPr="00167558">
              <w:rPr>
                <w:sz w:val="20"/>
                <w:szCs w:val="20"/>
              </w:rPr>
              <w:t>–</w:t>
            </w:r>
          </w:p>
        </w:tc>
      </w:tr>
    </w:tbl>
    <w:p w14:paraId="39563C8B" w14:textId="693C77E4" w:rsidR="00992EB9" w:rsidRDefault="00992EB9" w:rsidP="00167558">
      <w:pPr>
        <w:pStyle w:val="TableDescription"/>
        <w:rPr>
          <w:noProof/>
          <w:lang w:eastAsia="en-AU"/>
        </w:rPr>
      </w:pPr>
      <w:r>
        <w:rPr>
          <w:noProof/>
          <w:lang w:eastAsia="en-AU"/>
        </w:rPr>
        <w:t>* PASS survey to assess effectiveness of brochure and patient alert card (survey condu</w:t>
      </w:r>
      <w:r w:rsidR="0024691D">
        <w:rPr>
          <w:noProof/>
          <w:lang w:eastAsia="en-AU"/>
        </w:rPr>
        <w:t xml:space="preserve">cted in the EU only). </w:t>
      </w:r>
      <w:r>
        <w:rPr>
          <w:noProof/>
          <w:lang w:eastAsia="en-AU"/>
        </w:rPr>
        <w:t>† HCPs and bloods banks brochure; patient alert card</w:t>
      </w:r>
      <w:r w:rsidR="0024691D">
        <w:rPr>
          <w:noProof/>
          <w:lang w:eastAsia="en-AU"/>
        </w:rPr>
        <w:t>.</w:t>
      </w:r>
    </w:p>
    <w:p w14:paraId="0048DFD1" w14:textId="347D10E0" w:rsidR="00992EB9" w:rsidRDefault="00992EB9" w:rsidP="00167558">
      <w:pPr>
        <w:rPr>
          <w:rFonts w:asciiTheme="minorHAnsi" w:hAnsiTheme="minorHAnsi"/>
        </w:rPr>
      </w:pPr>
      <w:r>
        <w:rPr>
          <w:rFonts w:asciiTheme="minorHAnsi" w:hAnsiTheme="minorHAnsi"/>
        </w:rPr>
        <w:t>The RMP evaluator has raised no objections to registration.</w:t>
      </w:r>
    </w:p>
    <w:p w14:paraId="66A44C44" w14:textId="0443BB99" w:rsidR="00992EB9" w:rsidRDefault="0024691D" w:rsidP="00167558">
      <w:pPr>
        <w:rPr>
          <w:rFonts w:asciiTheme="minorHAnsi" w:hAnsiTheme="minorHAnsi"/>
        </w:rPr>
      </w:pPr>
      <w:r>
        <w:rPr>
          <w:rFonts w:asciiTheme="minorHAnsi" w:hAnsiTheme="minorHAnsi"/>
        </w:rPr>
        <w:t>The RMP e</w:t>
      </w:r>
      <w:r w:rsidR="00992EB9">
        <w:rPr>
          <w:rFonts w:asciiTheme="minorHAnsi" w:hAnsiTheme="minorHAnsi"/>
        </w:rPr>
        <w:t>valuator has raised the issue of cardiac arrhythmias and requested that this be noted as an identified risk. The Delegate does not agree this is appropriate for the rea</w:t>
      </w:r>
      <w:r w:rsidR="00447CB8">
        <w:rPr>
          <w:rFonts w:asciiTheme="minorHAnsi" w:hAnsiTheme="minorHAnsi"/>
        </w:rPr>
        <w:t xml:space="preserve">sons set out </w:t>
      </w:r>
      <w:r w:rsidR="0060207E">
        <w:rPr>
          <w:rFonts w:asciiTheme="minorHAnsi" w:hAnsiTheme="minorHAnsi"/>
        </w:rPr>
        <w:t xml:space="preserve">(see the Delegate’s considerations, in the </w:t>
      </w:r>
      <w:r w:rsidR="00BF2155">
        <w:rPr>
          <w:rFonts w:asciiTheme="minorHAnsi" w:hAnsiTheme="minorHAnsi"/>
        </w:rPr>
        <w:t>‘</w:t>
      </w:r>
      <w:r w:rsidR="00BF2155" w:rsidRPr="00BF2155">
        <w:rPr>
          <w:rFonts w:asciiTheme="minorHAnsi" w:hAnsiTheme="minorHAnsi"/>
          <w:i/>
        </w:rPr>
        <w:t>Risk-b</w:t>
      </w:r>
      <w:r w:rsidR="0060207E" w:rsidRPr="00BF2155">
        <w:rPr>
          <w:rFonts w:asciiTheme="minorHAnsi" w:hAnsiTheme="minorHAnsi"/>
          <w:i/>
        </w:rPr>
        <w:t>enefit analysis</w:t>
      </w:r>
      <w:r w:rsidR="00BF2155">
        <w:rPr>
          <w:rFonts w:asciiTheme="minorHAnsi" w:hAnsiTheme="minorHAnsi"/>
        </w:rPr>
        <w:t>’ section</w:t>
      </w:r>
      <w:r w:rsidR="0060207E">
        <w:rPr>
          <w:rFonts w:asciiTheme="minorHAnsi" w:hAnsiTheme="minorHAnsi"/>
        </w:rPr>
        <w:t>, below).</w:t>
      </w:r>
    </w:p>
    <w:p w14:paraId="23C7B39B" w14:textId="2A6005F5" w:rsidR="002C0820" w:rsidRPr="00167558" w:rsidRDefault="00992EB9">
      <w:pPr>
        <w:rPr>
          <w:rFonts w:asciiTheme="minorHAnsi" w:hAnsiTheme="minorHAnsi"/>
        </w:rPr>
      </w:pPr>
      <w:r>
        <w:rPr>
          <w:rFonts w:asciiTheme="minorHAnsi" w:hAnsiTheme="minorHAnsi"/>
        </w:rPr>
        <w:t>The Delegate notes that observation of rates of secondary malignancy has not been specified in th</w:t>
      </w:r>
      <w:r w:rsidR="00447CB8">
        <w:rPr>
          <w:rFonts w:asciiTheme="minorHAnsi" w:hAnsiTheme="minorHAnsi"/>
        </w:rPr>
        <w:t>e RMP plan.</w:t>
      </w:r>
    </w:p>
    <w:p w14:paraId="3F420D83" w14:textId="77777777" w:rsidR="008E7846" w:rsidRDefault="00AA0ED0" w:rsidP="008E7846">
      <w:pPr>
        <w:pStyle w:val="Heading3"/>
      </w:pPr>
      <w:bookmarkStart w:id="40" w:name="_Toc247691531"/>
      <w:bookmarkStart w:id="41" w:name="_Toc314842515"/>
      <w:bookmarkStart w:id="42" w:name="_Toc196046505"/>
      <w:bookmarkStart w:id="43" w:name="_Toc196046949"/>
      <w:bookmarkStart w:id="44" w:name="_Toc55918740"/>
      <w:r>
        <w:t>Risk-benefit a</w:t>
      </w:r>
      <w:r w:rsidR="008E7846">
        <w:t>nalysis</w:t>
      </w:r>
      <w:bookmarkEnd w:id="40"/>
      <w:bookmarkEnd w:id="41"/>
      <w:bookmarkEnd w:id="44"/>
    </w:p>
    <w:p w14:paraId="640D2A03" w14:textId="77777777" w:rsidR="00D23139" w:rsidRDefault="00D23139" w:rsidP="00D23139">
      <w:pPr>
        <w:pStyle w:val="Heading4"/>
      </w:pPr>
      <w:r w:rsidRPr="00D23139">
        <w:t>Delegate’s considerations</w:t>
      </w:r>
    </w:p>
    <w:p w14:paraId="07BE6E71" w14:textId="6A5F4402" w:rsidR="00BD4D82" w:rsidRPr="00BD4D82" w:rsidRDefault="00BD4D82" w:rsidP="00167558">
      <w:r w:rsidRPr="00BD4D82">
        <w:t xml:space="preserve">The pivotal efficacy </w:t>
      </w:r>
      <w:r w:rsidR="0024691D">
        <w:t>study, Study</w:t>
      </w:r>
      <w:r w:rsidR="0024691D" w:rsidRPr="00BD4D82">
        <w:t xml:space="preserve"> </w:t>
      </w:r>
      <w:r w:rsidRPr="00BD4D82">
        <w:t>EFC14335</w:t>
      </w:r>
      <w:r w:rsidR="0024691D">
        <w:t>,</w:t>
      </w:r>
      <w:r w:rsidRPr="00BD4D82">
        <w:t xml:space="preserve"> provides robust evidence that there is a PFS benefit in adding </w:t>
      </w:r>
      <w:r w:rsidR="0024691D">
        <w:t>i</w:t>
      </w:r>
      <w:r w:rsidRPr="00BD4D82">
        <w:t xml:space="preserve">satuximab to the combination of </w:t>
      </w:r>
      <w:r w:rsidR="0024691D">
        <w:t>p</w:t>
      </w:r>
      <w:r w:rsidRPr="00BD4D82">
        <w:t xml:space="preserve">omalidomide and </w:t>
      </w:r>
      <w:r w:rsidR="0024691D">
        <w:t>d</w:t>
      </w:r>
      <w:r w:rsidRPr="00BD4D82">
        <w:t>examethasone. This clearly comes with an additional burden of toxicity, particularly neutropenia and infections, but this is in the context of a disease with a very poor prognosis if treatment fails.</w:t>
      </w:r>
    </w:p>
    <w:p w14:paraId="1A9F6E37" w14:textId="072DAF55" w:rsidR="00BD4D82" w:rsidRPr="00BD4D82" w:rsidRDefault="00BD4D82" w:rsidP="00167558">
      <w:r w:rsidRPr="00BD4D82">
        <w:t xml:space="preserve">The main issue regarding efficacy is that the clinical trial excluded patients who had been treated with </w:t>
      </w:r>
      <w:r w:rsidR="0024691D">
        <w:t>d</w:t>
      </w:r>
      <w:r w:rsidRPr="00BD4D82">
        <w:t xml:space="preserve">aratumumab. While this may have been reasonable given the limited availability of </w:t>
      </w:r>
      <w:r w:rsidR="0024691D">
        <w:t>d</w:t>
      </w:r>
      <w:r w:rsidRPr="00BD4D82">
        <w:t xml:space="preserve">aratumumab when the </w:t>
      </w:r>
      <w:r w:rsidR="0024691D">
        <w:t>i</w:t>
      </w:r>
      <w:r w:rsidRPr="00BD4D82">
        <w:t xml:space="preserve">satuximab clinical trial program was commenced, it leaves the question of comparative efficacy unresolved. Patients in whom one CD38 inhibitor fails may have to consider treatment with the other and, since </w:t>
      </w:r>
      <w:r w:rsidR="0024691D">
        <w:t>d</w:t>
      </w:r>
      <w:r w:rsidRPr="00BD4D82">
        <w:t xml:space="preserve">aratumumab is </w:t>
      </w:r>
      <w:r w:rsidRPr="00BD4D82">
        <w:lastRenderedPageBreak/>
        <w:t xml:space="preserve">already registered, these patients may constitute the first Australian cohort exposed to </w:t>
      </w:r>
      <w:r w:rsidR="0024691D">
        <w:t>i</w:t>
      </w:r>
      <w:r w:rsidRPr="00BD4D82">
        <w:t xml:space="preserve">satuximab. There is, however, no way to resolve the appropriate ordering of these medications from the pre-market data available. The Delegate notes that while </w:t>
      </w:r>
      <w:r w:rsidR="0024691D">
        <w:t>i</w:t>
      </w:r>
      <w:r w:rsidRPr="00BD4D82">
        <w:t xml:space="preserve">satuximab recognises a different CD38 epitope to </w:t>
      </w:r>
      <w:r w:rsidR="0024691D">
        <w:t>d</w:t>
      </w:r>
      <w:r w:rsidRPr="00BD4D82">
        <w:t xml:space="preserve">aratumumab, the mechanism of </w:t>
      </w:r>
      <w:r w:rsidR="0024691D">
        <w:t>d</w:t>
      </w:r>
      <w:r w:rsidRPr="00BD4D82">
        <w:t>aratumumab resistance has not been elucidated and might</w:t>
      </w:r>
      <w:r w:rsidR="0024691D">
        <w:t xml:space="preserve"> </w:t>
      </w:r>
      <w:r w:rsidRPr="00BD4D82">
        <w:t xml:space="preserve">include factors such as receptor down-regulation that would be equally significant to </w:t>
      </w:r>
      <w:r w:rsidR="0024691D">
        <w:t>i</w:t>
      </w:r>
      <w:r w:rsidRPr="00BD4D82">
        <w:t>satuximab.</w:t>
      </w:r>
    </w:p>
    <w:p w14:paraId="7153F2D8" w14:textId="2779D233" w:rsidR="00BD4D82" w:rsidRPr="00BD4D82" w:rsidRDefault="00BD4D82" w:rsidP="00167558">
      <w:r w:rsidRPr="00BD4D82">
        <w:t xml:space="preserve">The Delegate notes that the patients enrolled in the pivotal trial had </w:t>
      </w:r>
      <w:r w:rsidR="0024691D">
        <w:t>RR</w:t>
      </w:r>
      <w:r w:rsidRPr="00BD4D82">
        <w:t>MM, and that this is not specified in the proposed indication. The Delegate notes, however, that the indication requires failure of several prior lines of therapy and that, in the context of MM, this would imply relapsed or refractory disease. The Delegate is minded to accept the proposed indication, albeit without knowing the wording which may be approved by FDA or EMA.</w:t>
      </w:r>
    </w:p>
    <w:p w14:paraId="3C983185" w14:textId="1592988B" w:rsidR="00BD4D82" w:rsidRPr="00BD4D82" w:rsidRDefault="00BD4D82" w:rsidP="00167558">
      <w:r w:rsidRPr="00BD4D82">
        <w:t xml:space="preserve">The </w:t>
      </w:r>
      <w:r w:rsidR="0024691D">
        <w:t>e</w:t>
      </w:r>
      <w:r w:rsidRPr="00BD4D82">
        <w:t>valuator and expert advice has noted that the 20</w:t>
      </w:r>
      <w:r w:rsidR="0024691D">
        <w:t xml:space="preserve"> </w:t>
      </w:r>
      <w:r w:rsidRPr="00BD4D82">
        <w:t xml:space="preserve">mg/kg dose is potentially optimal for efficacy, and noted that it would have been useful to continue it into the </w:t>
      </w:r>
      <w:r w:rsidR="003A33F3">
        <w:t>P</w:t>
      </w:r>
      <w:r w:rsidRPr="00BD4D82">
        <w:t>hase III trials. While the Delegate agrees there is some evidence to support better response rates in the higher dose, the safety information at that dose is insufficient to conclude that it would be tolerated by most patients. The Delegate does not, therefore, intend to suggest that this could be an appropriate dose for therapy until more data is available.</w:t>
      </w:r>
    </w:p>
    <w:p w14:paraId="35B08845" w14:textId="54A4633D" w:rsidR="00BD4D82" w:rsidRPr="00BD4D82" w:rsidRDefault="00BD4D82" w:rsidP="00167558">
      <w:r w:rsidRPr="00BD4D82">
        <w:t xml:space="preserve">The Delegate notes that the </w:t>
      </w:r>
      <w:r w:rsidR="0024691D">
        <w:t>s</w:t>
      </w:r>
      <w:r w:rsidRPr="00BD4D82">
        <w:t xml:space="preserve">ponsor has included both rates of </w:t>
      </w:r>
      <w:r w:rsidR="0024691D" w:rsidRPr="00BD4D82">
        <w:t xml:space="preserve">minimal residual disease </w:t>
      </w:r>
      <w:r w:rsidRPr="00BD4D82">
        <w:t>(MRD) and improved renal function (</w:t>
      </w:r>
      <w:r w:rsidR="003A33F3" w:rsidRPr="00BD4D82">
        <w:t>renal response</w:t>
      </w:r>
      <w:r w:rsidRPr="00BD4D82">
        <w:t xml:space="preserve">) in the description of the pivotal trial in the draft </w:t>
      </w:r>
      <w:r w:rsidR="003A33F3">
        <w:t>PI</w:t>
      </w:r>
      <w:r w:rsidRPr="00BD4D82">
        <w:t xml:space="preserve">. These were both exploratory post-hoc analyses performed on 14 and 43 of the 153 patients in the </w:t>
      </w:r>
      <w:r w:rsidR="003A33F3">
        <w:t xml:space="preserve">isatuximab </w:t>
      </w:r>
      <w:r w:rsidR="00787D84">
        <w:t>plus</w:t>
      </w:r>
      <w:r w:rsidR="003A33F3">
        <w:t xml:space="preserve"> pomalidomide</w:t>
      </w:r>
      <w:r w:rsidRPr="00BD4D82">
        <w:t xml:space="preserve"> arm, with no statistical control for multiplicity of testing or confounding. The Delegate intends to remove this data from the PI as, while it does numerically favour </w:t>
      </w:r>
      <w:r w:rsidR="003A33F3">
        <w:t xml:space="preserve">isatuximab </w:t>
      </w:r>
      <w:r w:rsidR="00787D84">
        <w:t>plus</w:t>
      </w:r>
      <w:r w:rsidR="003A33F3">
        <w:t xml:space="preserve"> pomalidomide</w:t>
      </w:r>
      <w:r w:rsidRPr="00BD4D82">
        <w:t xml:space="preserve"> therapy over </w:t>
      </w:r>
      <w:r w:rsidR="003A33F3">
        <w:rPr>
          <w:rFonts w:eastAsiaTheme="minorHAnsi" w:cs="Cambria"/>
          <w:color w:val="000000"/>
        </w:rPr>
        <w:t>pomalidomide</w:t>
      </w:r>
      <w:r w:rsidRPr="00BD4D82">
        <w:t>, it should not be considered quantitatively or statistically robust.</w:t>
      </w:r>
    </w:p>
    <w:p w14:paraId="50688772" w14:textId="15E2F126" w:rsidR="00BD4D82" w:rsidRPr="00BD4D82" w:rsidRDefault="00BD4D82" w:rsidP="00167558">
      <w:r w:rsidRPr="00BD4D82">
        <w:t xml:space="preserve">The Delegate notes that the </w:t>
      </w:r>
      <w:r w:rsidR="003A33F3">
        <w:t>s</w:t>
      </w:r>
      <w:r w:rsidRPr="00BD4D82">
        <w:t xml:space="preserve">ponsor has included ORR in high and low-risk cytogenetic populations in the description of the pivotal trial in the draft </w:t>
      </w:r>
      <w:r w:rsidR="003A33F3">
        <w:t>PI</w:t>
      </w:r>
      <w:r w:rsidRPr="00BD4D82">
        <w:t xml:space="preserve">. This was also an exploratory subgroup analysis (and so described in the body of the study report) performed in a subset of patients and while the results numerically favoured </w:t>
      </w:r>
      <w:r w:rsidR="003A33F3">
        <w:t xml:space="preserve">isatuximab </w:t>
      </w:r>
      <w:r w:rsidR="00787D84">
        <w:t>plus</w:t>
      </w:r>
      <w:r w:rsidR="003A33F3">
        <w:t xml:space="preserve"> pomalidomide</w:t>
      </w:r>
      <w:r w:rsidRPr="00BD4D82">
        <w:t xml:space="preserve"> over </w:t>
      </w:r>
      <w:r w:rsidR="003A33F3">
        <w:rPr>
          <w:rFonts w:eastAsiaTheme="minorHAnsi" w:cs="Cambria"/>
          <w:color w:val="000000"/>
        </w:rPr>
        <w:t>pomalidomide</w:t>
      </w:r>
      <w:r w:rsidRPr="00BD4D82">
        <w:t>, this was not a statistically significant result.</w:t>
      </w:r>
    </w:p>
    <w:p w14:paraId="55210C16" w14:textId="5F2CC958" w:rsidR="00BD4D82" w:rsidRPr="00BD4D82" w:rsidRDefault="00BD4D82" w:rsidP="00167558">
      <w:pPr>
        <w:pStyle w:val="Heading5"/>
        <w:rPr>
          <w:rFonts w:eastAsiaTheme="minorHAnsi"/>
        </w:rPr>
      </w:pPr>
      <w:r w:rsidRPr="00BD4D82">
        <w:rPr>
          <w:rFonts w:eastAsiaTheme="minorHAnsi"/>
        </w:rPr>
        <w:t>Safety (general)</w:t>
      </w:r>
    </w:p>
    <w:p w14:paraId="6FD98281" w14:textId="00C2092C" w:rsidR="00BD4D82" w:rsidRPr="00BD4D82" w:rsidRDefault="00BD4D82" w:rsidP="00167558">
      <w:r w:rsidRPr="00BD4D82">
        <w:t xml:space="preserve">The toxicity profile evidenced in the trial is similar to </w:t>
      </w:r>
      <w:r w:rsidR="003A33F3">
        <w:t>d</w:t>
      </w:r>
      <w:r w:rsidRPr="00BD4D82">
        <w:t xml:space="preserve">aratumumab. Acknowledging the relatively small patient exposure, the </w:t>
      </w:r>
      <w:r w:rsidR="003A33F3">
        <w:t>c</w:t>
      </w:r>
      <w:r w:rsidRPr="00BD4D82">
        <w:t xml:space="preserve">linical </w:t>
      </w:r>
      <w:r w:rsidR="003A33F3">
        <w:t>e</w:t>
      </w:r>
      <w:r w:rsidRPr="00BD4D82">
        <w:t xml:space="preserve">valuator has not identified novel toxicity in </w:t>
      </w:r>
      <w:r w:rsidR="003A33F3">
        <w:t>i</w:t>
      </w:r>
      <w:r w:rsidRPr="00BD4D82">
        <w:t>satuximab.</w:t>
      </w:r>
    </w:p>
    <w:p w14:paraId="067078E4" w14:textId="2FA5A66C" w:rsidR="00BD4D82" w:rsidRDefault="00BD4D82">
      <w:r w:rsidRPr="00BD4D82">
        <w:t xml:space="preserve">The Delegate requested additional information regarding cardiac arrhythmias as part of the collaborative international evaluation of this medication, and has concluded that there is no evidence of an increased rate of severe events in </w:t>
      </w:r>
      <w:r w:rsidR="003A33F3">
        <w:t xml:space="preserve">isatuximab </w:t>
      </w:r>
      <w:r w:rsidR="00787D84">
        <w:t xml:space="preserve">plus </w:t>
      </w:r>
      <w:r w:rsidR="003A33F3">
        <w:t>pomalidomide</w:t>
      </w:r>
      <w:r w:rsidRPr="00BD4D82">
        <w:t xml:space="preserve"> therapy. This is supported by evaluated data indicating no significant effect on ECG parameters in </w:t>
      </w:r>
      <w:r w:rsidR="00787D84">
        <w:t>i</w:t>
      </w:r>
      <w:r w:rsidRPr="00BD4D82">
        <w:t>satuximab treated patients. CD38 is only expressed in cardiac tissue in trace amounts, and no cross-tissue reactivity was identified in a cross-reactivity study (</w:t>
      </w:r>
      <w:r w:rsidR="003A33F3">
        <w:t xml:space="preserve">Study </w:t>
      </w:r>
      <w:r w:rsidRPr="00BD4D82">
        <w:t xml:space="preserve">IHX003) conducted in product development. The </w:t>
      </w:r>
      <w:r w:rsidR="003A33F3">
        <w:t>s</w:t>
      </w:r>
      <w:r w:rsidRPr="00BD4D82">
        <w:t xml:space="preserve">ponsor has indicated that there is no conclusive evidence of cardiac tissue binding by </w:t>
      </w:r>
      <w:r w:rsidR="003A33F3">
        <w:t>i</w:t>
      </w:r>
      <w:r w:rsidRPr="00BD4D82">
        <w:t>satuximab.</w:t>
      </w:r>
    </w:p>
    <w:p w14:paraId="23DA7734" w14:textId="10E05F45" w:rsidR="008F62CB" w:rsidRPr="008F62CB" w:rsidRDefault="008F62CB" w:rsidP="00167558">
      <w:r w:rsidRPr="008F62CB">
        <w:t xml:space="preserve">The Delegate requested additional information regarding cardiac arrhythmias as part of the collaborative international evaluation of this medication, and has concluded that there is no evidence of an increased rate of severe events in </w:t>
      </w:r>
      <w:r w:rsidR="003A33F3">
        <w:t xml:space="preserve">isatuximab </w:t>
      </w:r>
      <w:r w:rsidR="00787D84">
        <w:t>plus</w:t>
      </w:r>
      <w:r w:rsidR="003A33F3">
        <w:t xml:space="preserve"> pomalidomide</w:t>
      </w:r>
      <w:r w:rsidRPr="008F62CB">
        <w:t xml:space="preserve"> therapy. This is supported by evaluated data indicating no significant effect on ECG parameters in </w:t>
      </w:r>
      <w:r w:rsidR="003A33F3">
        <w:t>i</w:t>
      </w:r>
      <w:r w:rsidRPr="008F62CB">
        <w:t>satuximab treated patients. CD38 is only expressed in cardiac tissue in trace amounts, and no cross-tissue reactivity was identified in a cross-reactivity study (</w:t>
      </w:r>
      <w:r w:rsidR="003A33F3">
        <w:t xml:space="preserve">Study </w:t>
      </w:r>
      <w:r w:rsidRPr="008F62CB">
        <w:t xml:space="preserve">IHX003) conducted in product development. The </w:t>
      </w:r>
      <w:r w:rsidR="003A33F3">
        <w:t>s</w:t>
      </w:r>
      <w:r w:rsidRPr="008F62CB">
        <w:t xml:space="preserve">ponsor has indicated that there is no conclusive evidence of cardiac tissue binding by </w:t>
      </w:r>
      <w:r w:rsidR="003A33F3">
        <w:t>i</w:t>
      </w:r>
      <w:r w:rsidRPr="008F62CB">
        <w:t>satuximab.</w:t>
      </w:r>
    </w:p>
    <w:p w14:paraId="690952E1" w14:textId="60D13B53" w:rsidR="003A33F3" w:rsidRDefault="008F62CB">
      <w:r w:rsidRPr="008F62CB">
        <w:lastRenderedPageBreak/>
        <w:t xml:space="preserve">It should be noted that the rate of cardiac arrhythmias in other </w:t>
      </w:r>
      <w:r w:rsidR="003A33F3">
        <w:t>i</w:t>
      </w:r>
      <w:r w:rsidRPr="008F62CB">
        <w:t xml:space="preserve">satuximab trials is lower, and was only 4.9% in an Isatuximab monotherapy trial. As the </w:t>
      </w:r>
      <w:r w:rsidR="003A33F3">
        <w:t>s</w:t>
      </w:r>
      <w:r w:rsidRPr="008F62CB">
        <w:t xml:space="preserve">ponsor has noted in response to the RMP </w:t>
      </w:r>
      <w:r w:rsidR="003A33F3">
        <w:t>e</w:t>
      </w:r>
      <w:r w:rsidRPr="008F62CB">
        <w:t>valuation</w:t>
      </w:r>
      <w:r w:rsidR="003A33F3">
        <w:t>:</w:t>
      </w:r>
    </w:p>
    <w:p w14:paraId="3B31FCCE" w14:textId="2CCEA60F" w:rsidR="008F62CB" w:rsidRDefault="008E37AA" w:rsidP="00167558">
      <w:pPr>
        <w:ind w:left="720"/>
      </w:pPr>
      <w:r>
        <w:t>‘</w:t>
      </w:r>
      <w:r w:rsidR="003A33F3">
        <w:t xml:space="preserve">In the pomalidomide registration study MM-002, TEAEs of cardiac disorders were reported in 18% of patients on </w:t>
      </w:r>
      <w:r w:rsidR="003A33F3">
        <w:rPr>
          <w:rFonts w:eastAsiaTheme="minorHAnsi" w:cs="Cambria"/>
          <w:color w:val="000000"/>
        </w:rPr>
        <w:t>pomalidomide</w:t>
      </w:r>
      <w:r w:rsidR="003A33F3">
        <w:t xml:space="preserve"> regimens, and TEAEs of cardiac disorders occurred in 14.5% and 4.0% of isatuximab + pomalidomide and </w:t>
      </w:r>
      <w:r w:rsidR="003A33F3">
        <w:rPr>
          <w:rFonts w:eastAsiaTheme="minorHAnsi" w:cs="Cambria"/>
          <w:color w:val="000000"/>
        </w:rPr>
        <w:t xml:space="preserve">pomalidomide, respectively, in Study EFC14335. By comparison, 10.2% of </w:t>
      </w:r>
      <w:r>
        <w:rPr>
          <w:rFonts w:eastAsiaTheme="minorHAnsi" w:cs="Cambria"/>
          <w:color w:val="000000"/>
        </w:rPr>
        <w:t>patients</w:t>
      </w:r>
      <w:r w:rsidR="003A33F3">
        <w:rPr>
          <w:rFonts w:eastAsiaTheme="minorHAnsi" w:cs="Cambria"/>
          <w:color w:val="000000"/>
        </w:rPr>
        <w:t xml:space="preserve"> in Data Pool 4 exposed to isatuximab reported TEAEs of cardiac disorders. Serious TEAEs of atrial fibrillation in the pomalidomide registration study MM-002 were reported in 3% of </w:t>
      </w:r>
      <w:r>
        <w:rPr>
          <w:rFonts w:eastAsiaTheme="minorHAnsi" w:cs="Cambria"/>
          <w:color w:val="000000"/>
        </w:rPr>
        <w:t>patients</w:t>
      </w:r>
      <w:r w:rsidR="003A33F3">
        <w:rPr>
          <w:rFonts w:eastAsiaTheme="minorHAnsi" w:cs="Cambria"/>
          <w:color w:val="000000"/>
        </w:rPr>
        <w:t xml:space="preserve"> who received pomalidomide, and were reported in 2% and 0.7% of </w:t>
      </w:r>
      <w:r w:rsidR="003A33F3">
        <w:t xml:space="preserve">isatuximab + pomalidomide and </w:t>
      </w:r>
      <w:r w:rsidR="003A33F3">
        <w:rPr>
          <w:rFonts w:eastAsiaTheme="minorHAnsi" w:cs="Cambria"/>
          <w:color w:val="000000"/>
        </w:rPr>
        <w:t>pomalidomide patients respectively, in Study EFC14335. By comparison, 1.0% of patients in Data Pool 4 exposed to isatuximab had a serious TEAE of atrial fibrillation.</w:t>
      </w:r>
      <w:r>
        <w:rPr>
          <w:rFonts w:eastAsiaTheme="minorHAnsi" w:cs="Cambria"/>
          <w:color w:val="000000"/>
        </w:rPr>
        <w:t>’</w:t>
      </w:r>
    </w:p>
    <w:p w14:paraId="07BC3D8F" w14:textId="73D4D6D4" w:rsidR="008F62CB" w:rsidRPr="008F62CB" w:rsidRDefault="008F62CB" w:rsidP="00167558">
      <w:r w:rsidRPr="008F62CB">
        <w:t xml:space="preserve">The Delegate has reviewed the case narratives of the two deaths in which atrial fibrillation was reported with </w:t>
      </w:r>
      <w:r w:rsidR="008E37AA">
        <w:t xml:space="preserve">isatuximab </w:t>
      </w:r>
      <w:r w:rsidR="00787D84">
        <w:t>plus</w:t>
      </w:r>
      <w:r w:rsidR="008E37AA">
        <w:t xml:space="preserve"> pomalidomide</w:t>
      </w:r>
      <w:r w:rsidRPr="008F62CB">
        <w:t xml:space="preserve"> treatment (as not associated with therapy), as well as those for other arrhythmias and agrees that there is little clinical evidence that arrhythmias could not be attributed to age or concomitant cardiovascular disease.</w:t>
      </w:r>
    </w:p>
    <w:p w14:paraId="5B925ECE" w14:textId="653A6A57" w:rsidR="008F62CB" w:rsidRPr="008F62CB" w:rsidRDefault="008F62CB" w:rsidP="00167558">
      <w:r w:rsidRPr="008F62CB">
        <w:t xml:space="preserve">The Delegate notes the numerically higher rate of secondary malignancies in the </w:t>
      </w:r>
      <w:r w:rsidR="008E37AA">
        <w:t xml:space="preserve">isatuximab </w:t>
      </w:r>
      <w:r w:rsidR="00787D84">
        <w:t>plus</w:t>
      </w:r>
      <w:r w:rsidR="008E37AA">
        <w:t xml:space="preserve"> pomalidomide</w:t>
      </w:r>
      <w:r w:rsidRPr="008F62CB">
        <w:t xml:space="preserve"> than the </w:t>
      </w:r>
      <w:r w:rsidR="008E37AA">
        <w:rPr>
          <w:rFonts w:eastAsiaTheme="minorHAnsi" w:cs="Cambria"/>
          <w:color w:val="000000"/>
        </w:rPr>
        <w:t>pomalidomide</w:t>
      </w:r>
      <w:r w:rsidRPr="008F62CB">
        <w:t xml:space="preserve"> arms. While this does not provide a definite ‘signal’ regarding this risk, the Delegate feels that the </w:t>
      </w:r>
      <w:r w:rsidR="008E37AA">
        <w:t>s</w:t>
      </w:r>
      <w:r w:rsidRPr="008F62CB">
        <w:t xml:space="preserve">ponsor should give specific attention to reporting rates of malignancy in </w:t>
      </w:r>
      <w:r w:rsidR="008E37AA">
        <w:t>i</w:t>
      </w:r>
      <w:r w:rsidRPr="008F62CB">
        <w:t xml:space="preserve">satuximab treated patients in analysis of post-marketing data reported to </w:t>
      </w:r>
      <w:r w:rsidR="00787D84">
        <w:t xml:space="preserve">the </w:t>
      </w:r>
      <w:r w:rsidRPr="008F62CB">
        <w:t>TGA.</w:t>
      </w:r>
    </w:p>
    <w:p w14:paraId="0FC6F7B8" w14:textId="56C4F4B7" w:rsidR="008F62CB" w:rsidRDefault="008F62CB" w:rsidP="00A11F7B">
      <w:r w:rsidRPr="008F62CB">
        <w:t>Rates of neutrop</w:t>
      </w:r>
      <w:r w:rsidR="00787D84">
        <w:t>a</w:t>
      </w:r>
      <w:r w:rsidRPr="008F62CB">
        <w:t xml:space="preserve">enia are higher in </w:t>
      </w:r>
      <w:r w:rsidR="008E37AA">
        <w:t xml:space="preserve">isatuximab </w:t>
      </w:r>
      <w:r w:rsidR="00787D84">
        <w:t>plus</w:t>
      </w:r>
      <w:r w:rsidR="008E37AA">
        <w:t xml:space="preserve"> pomalidomide</w:t>
      </w:r>
      <w:r w:rsidRPr="008F62CB">
        <w:t xml:space="preserve"> than </w:t>
      </w:r>
      <w:r w:rsidR="008E37AA">
        <w:rPr>
          <w:rFonts w:eastAsiaTheme="minorHAnsi" w:cs="Cambria"/>
          <w:color w:val="000000"/>
        </w:rPr>
        <w:t>pomalidomide</w:t>
      </w:r>
      <w:r w:rsidRPr="008F62CB">
        <w:t xml:space="preserve"> treated patients. This is not an unexpected adverse event with CD38 antibody therapy, and it resolved in the majority of cases. The Delegate notes that the safety and efficacy of medications for advanced multiple myeloma is dependent on expert clinical management in a specialised environment where therapy such as G-CSF and antibiotic cover is provided as needed.</w:t>
      </w:r>
    </w:p>
    <w:p w14:paraId="5F1A0EE1" w14:textId="6F13C20B" w:rsidR="008F62CB" w:rsidRPr="008F62CB" w:rsidRDefault="008F62CB" w:rsidP="00167558">
      <w:pPr>
        <w:pStyle w:val="Heading5"/>
        <w:rPr>
          <w:rFonts w:eastAsiaTheme="minorHAnsi"/>
        </w:rPr>
      </w:pPr>
      <w:r w:rsidRPr="008F62CB">
        <w:rPr>
          <w:rFonts w:eastAsiaTheme="minorHAnsi"/>
        </w:rPr>
        <w:t>Safety (</w:t>
      </w:r>
      <w:r w:rsidR="008E37AA">
        <w:rPr>
          <w:rFonts w:eastAsiaTheme="minorHAnsi"/>
        </w:rPr>
        <w:t>i</w:t>
      </w:r>
      <w:r w:rsidRPr="008F62CB">
        <w:rPr>
          <w:rFonts w:eastAsiaTheme="minorHAnsi"/>
        </w:rPr>
        <w:t>nfusion rate)</w:t>
      </w:r>
    </w:p>
    <w:p w14:paraId="05B9C10F" w14:textId="640802C0" w:rsidR="008F62CB" w:rsidRPr="008F62CB" w:rsidRDefault="008F62CB" w:rsidP="00167558">
      <w:r w:rsidRPr="008F62CB">
        <w:t>The Delegate is minded to register the fixed-volume infusion for most patients given it does not change the overall dose received. Isatuximab is 100% bioavailable and has a long half-life and, therefore, the dose rate is unlikely to influence efficacy. The Delegate considers the rate of administration to be significant for its potential to cause infusion reactions. These are similar between the fixed-dose and fixed-volume administration methods in a supplemental efficacy trial.</w:t>
      </w:r>
    </w:p>
    <w:p w14:paraId="422FFE78" w14:textId="225E692D" w:rsidR="008F62CB" w:rsidRPr="008F62CB" w:rsidRDefault="008F62CB" w:rsidP="00167558">
      <w:r w:rsidRPr="008F62CB">
        <w:t xml:space="preserve">The Delegate notes, however, that the concentration of drug in a fixed-volume infusion may become considerably higher than was administered in the pivotal trial where patients are of high body-weight. There are too few patients in </w:t>
      </w:r>
      <w:r w:rsidR="008E37AA">
        <w:t xml:space="preserve">Study </w:t>
      </w:r>
      <w:r w:rsidRPr="008F62CB">
        <w:t>TCD14079 to address this specific issue. The Delegate is minded that, should the fixed dosage regimen be approved, it would be appropriate to advise that the original weight-based infusions should be used in patients with high body weight.</w:t>
      </w:r>
    </w:p>
    <w:p w14:paraId="464206E7" w14:textId="1AF5ACA1" w:rsidR="008F62CB" w:rsidRPr="00BD4D82" w:rsidRDefault="008F62CB">
      <w:r w:rsidRPr="008F62CB">
        <w:t xml:space="preserve">The </w:t>
      </w:r>
      <w:r w:rsidR="008E37AA">
        <w:t>s</w:t>
      </w:r>
      <w:r w:rsidRPr="008F62CB">
        <w:t>ponsor should be aware that the Delegate will not consider advice that the number of high body weight individuals in the MM population is small as being determinative in this matter. The dosage instruction approved will be required to be safe for this population, and may be precautionary in the absence of sufficient safety data.</w:t>
      </w:r>
    </w:p>
    <w:p w14:paraId="6E0FA66E" w14:textId="77777777" w:rsidR="00D23139" w:rsidRDefault="00D23139" w:rsidP="00D23139">
      <w:pPr>
        <w:pStyle w:val="Heading4"/>
      </w:pPr>
      <w:r w:rsidRPr="00D23139">
        <w:t>Proposed action</w:t>
      </w:r>
    </w:p>
    <w:p w14:paraId="6970B3FB" w14:textId="5DEC68B0" w:rsidR="00456765" w:rsidRDefault="008F62CB" w:rsidP="006C41F3">
      <w:pPr>
        <w:pStyle w:val="Instructions"/>
        <w:rPr>
          <w:i w:val="0"/>
          <w:color w:val="auto"/>
        </w:rPr>
      </w:pPr>
      <w:r w:rsidRPr="0033276C">
        <w:rPr>
          <w:i w:val="0"/>
          <w:color w:val="auto"/>
        </w:rPr>
        <w:t xml:space="preserve">The Delegate intends to approve the application to register </w:t>
      </w:r>
      <w:r w:rsidR="0020718D">
        <w:rPr>
          <w:i w:val="0"/>
          <w:color w:val="auto"/>
        </w:rPr>
        <w:t>i</w:t>
      </w:r>
      <w:r w:rsidRPr="0033276C">
        <w:rPr>
          <w:i w:val="0"/>
          <w:color w:val="auto"/>
        </w:rPr>
        <w:t xml:space="preserve">satuximab </w:t>
      </w:r>
      <w:r w:rsidR="0020718D">
        <w:rPr>
          <w:i w:val="0"/>
          <w:color w:val="auto"/>
        </w:rPr>
        <w:t>for the indication:</w:t>
      </w:r>
    </w:p>
    <w:p w14:paraId="300CB7A8" w14:textId="5740EF98" w:rsidR="0020718D" w:rsidRDefault="0020718D" w:rsidP="00167558">
      <w:pPr>
        <w:ind w:left="720"/>
      </w:pPr>
      <w:r w:rsidRPr="00167558">
        <w:rPr>
          <w:i/>
        </w:rPr>
        <w:lastRenderedPageBreak/>
        <w:t>Sarclisa is indicated in combination with pomalidomide and dexamethasone, for the treatment of patients with multiple myeloma (MM) who have received at least two prior therapies including lenalidomide and a proteasome inhibitor (PI).</w:t>
      </w:r>
    </w:p>
    <w:p w14:paraId="08B24888" w14:textId="6AD31555" w:rsidR="0020718D" w:rsidRDefault="0020718D" w:rsidP="0020718D">
      <w:r>
        <w:t xml:space="preserve">With a </w:t>
      </w:r>
      <w:r w:rsidR="0031006E">
        <w:t>PI</w:t>
      </w:r>
      <w:r>
        <w:t xml:space="preserve"> document amended as follows from the draft submitted with the application:</w:t>
      </w:r>
    </w:p>
    <w:p w14:paraId="0836D3D5" w14:textId="192EE1E6" w:rsidR="0020718D" w:rsidRDefault="0020718D" w:rsidP="00167558">
      <w:pPr>
        <w:pStyle w:val="ListBullet"/>
      </w:pPr>
      <w:r>
        <w:t>Amendments as proposed in the pre-clinical evaluation will be included.</w:t>
      </w:r>
    </w:p>
    <w:p w14:paraId="737BB64C" w14:textId="27DDE33E" w:rsidR="0020718D" w:rsidRDefault="008E37AA" w:rsidP="00167558">
      <w:pPr>
        <w:pStyle w:val="ListBullet"/>
      </w:pPr>
      <w:r>
        <w:t>Table 5, detailing results of Study</w:t>
      </w:r>
      <w:r w:rsidR="0020718D">
        <w:t xml:space="preserve"> EFC14335, will be amended to remove VGPR, Duration of Response and MRD secondary endpoint data. The text descriptions of these endpoints will also be removed.</w:t>
      </w:r>
    </w:p>
    <w:p w14:paraId="71347BB3" w14:textId="734E5BD2" w:rsidR="0020718D" w:rsidRPr="0020718D" w:rsidRDefault="0020718D" w:rsidP="00167558">
      <w:r>
        <w:t xml:space="preserve">And with dosage advice worded as necessary to take into consideration the advice of the </w:t>
      </w:r>
      <w:r w:rsidR="009066FE">
        <w:t>Advisory Committee on Medicines (</w:t>
      </w:r>
      <w:r>
        <w:t>ACM</w:t>
      </w:r>
      <w:r w:rsidR="009066FE">
        <w:t>)</w:t>
      </w:r>
      <w:r>
        <w:t xml:space="preserve"> and information provided by the sponsor.</w:t>
      </w:r>
    </w:p>
    <w:p w14:paraId="23B5A549" w14:textId="77777777" w:rsidR="005D12DD" w:rsidRDefault="005D12DD" w:rsidP="006C41F3">
      <w:pPr>
        <w:pStyle w:val="Heading4"/>
      </w:pPr>
      <w:r>
        <w:t>Questions for sponsor</w:t>
      </w:r>
    </w:p>
    <w:p w14:paraId="341D8BC0" w14:textId="28BBF66F" w:rsidR="00620914" w:rsidRDefault="008F62CB" w:rsidP="00167558">
      <w:pPr>
        <w:rPr>
          <w:rFonts w:cs="Cambria"/>
        </w:rPr>
      </w:pPr>
      <w:r w:rsidRPr="008F62CB">
        <w:rPr>
          <w:rFonts w:cs="Cambria"/>
        </w:rPr>
        <w:t xml:space="preserve">The Delegate requests that the </w:t>
      </w:r>
      <w:r w:rsidR="00A661A4">
        <w:rPr>
          <w:rFonts w:cs="Cambria"/>
        </w:rPr>
        <w:t>s</w:t>
      </w:r>
      <w:r w:rsidRPr="008F62CB">
        <w:rPr>
          <w:rFonts w:cs="Cambria"/>
        </w:rPr>
        <w:t xml:space="preserve">ponsor specifically provide a response </w:t>
      </w:r>
      <w:r w:rsidR="00620914">
        <w:rPr>
          <w:rFonts w:cs="Cambria"/>
        </w:rPr>
        <w:t>to the following.</w:t>
      </w:r>
    </w:p>
    <w:p w14:paraId="3A538BF8" w14:textId="330A988F" w:rsidR="008F62CB" w:rsidRPr="00EF33EC" w:rsidRDefault="00BF2155" w:rsidP="00EF33EC">
      <w:pPr>
        <w:pStyle w:val="Numberbullet0"/>
        <w:rPr>
          <w:b/>
          <w:i/>
        </w:rPr>
      </w:pPr>
      <w:r>
        <w:rPr>
          <w:b/>
          <w:i/>
        </w:rPr>
        <w:t>Present</w:t>
      </w:r>
      <w:r w:rsidR="008F62CB" w:rsidRPr="00EF33EC">
        <w:rPr>
          <w:b/>
          <w:i/>
        </w:rPr>
        <w:t xml:space="preserve"> the concentration of </w:t>
      </w:r>
      <w:r w:rsidR="00A07330" w:rsidRPr="00EF33EC">
        <w:rPr>
          <w:b/>
          <w:i/>
        </w:rPr>
        <w:t>i</w:t>
      </w:r>
      <w:r w:rsidR="008F62CB" w:rsidRPr="00EF33EC">
        <w:rPr>
          <w:b/>
          <w:i/>
        </w:rPr>
        <w:t xml:space="preserve">satuximab in a proposed fixed-dose infusion versus the concentration of </w:t>
      </w:r>
      <w:r w:rsidR="008E37AA" w:rsidRPr="00EF33EC">
        <w:rPr>
          <w:b/>
          <w:i/>
        </w:rPr>
        <w:t>i</w:t>
      </w:r>
      <w:r w:rsidR="008F62CB" w:rsidRPr="00EF33EC">
        <w:rPr>
          <w:b/>
          <w:i/>
        </w:rPr>
        <w:t xml:space="preserve">satuxumab in the pivotal trial dosage regimen for stratified weight bands </w:t>
      </w:r>
      <w:r w:rsidR="00A07330" w:rsidRPr="00EF33EC">
        <w:rPr>
          <w:b/>
          <w:i/>
        </w:rPr>
        <w:t>for example,</w:t>
      </w:r>
      <w:r w:rsidR="008F62CB" w:rsidRPr="00EF33EC">
        <w:rPr>
          <w:b/>
          <w:i/>
        </w:rPr>
        <w:t xml:space="preserve"> 70</w:t>
      </w:r>
      <w:r w:rsidR="008E37AA" w:rsidRPr="00EF33EC">
        <w:rPr>
          <w:b/>
          <w:i/>
        </w:rPr>
        <w:t xml:space="preserve"> </w:t>
      </w:r>
      <w:r w:rsidR="008F62CB" w:rsidRPr="00EF33EC">
        <w:rPr>
          <w:b/>
          <w:i/>
        </w:rPr>
        <w:t>kg, 80</w:t>
      </w:r>
      <w:r w:rsidR="008E37AA" w:rsidRPr="00EF33EC">
        <w:rPr>
          <w:b/>
          <w:i/>
        </w:rPr>
        <w:t xml:space="preserve"> </w:t>
      </w:r>
      <w:r w:rsidR="008F62CB" w:rsidRPr="00EF33EC">
        <w:rPr>
          <w:b/>
          <w:i/>
        </w:rPr>
        <w:t>kg, 90</w:t>
      </w:r>
      <w:r w:rsidR="008E37AA" w:rsidRPr="00EF33EC">
        <w:rPr>
          <w:b/>
          <w:i/>
        </w:rPr>
        <w:t xml:space="preserve"> </w:t>
      </w:r>
      <w:r w:rsidR="008F62CB" w:rsidRPr="00EF33EC">
        <w:rPr>
          <w:b/>
          <w:i/>
        </w:rPr>
        <w:t>kg et</w:t>
      </w:r>
      <w:r w:rsidR="008E37AA" w:rsidRPr="00EF33EC">
        <w:rPr>
          <w:b/>
          <w:i/>
        </w:rPr>
        <w:t xml:space="preserve"> cetera</w:t>
      </w:r>
      <w:r w:rsidR="008F62CB" w:rsidRPr="00EF33EC">
        <w:rPr>
          <w:b/>
          <w:i/>
        </w:rPr>
        <w:t xml:space="preserve"> up to high body weights.</w:t>
      </w:r>
    </w:p>
    <w:p w14:paraId="322D70F3" w14:textId="65FF5825" w:rsidR="008F62CB" w:rsidRPr="00EF33EC" w:rsidRDefault="0020718D" w:rsidP="00EF33EC">
      <w:pPr>
        <w:rPr>
          <w:i/>
        </w:rPr>
      </w:pPr>
      <w:r w:rsidRPr="00EF33EC">
        <w:rPr>
          <w:i/>
        </w:rPr>
        <w:t>Sponsor’s response</w:t>
      </w:r>
    </w:p>
    <w:p w14:paraId="0FE5830C" w14:textId="1F66C28E" w:rsidR="0020718D" w:rsidRDefault="006A23A2" w:rsidP="00BF2155">
      <w:r w:rsidRPr="006A23A2">
        <w:t xml:space="preserve">The </w:t>
      </w:r>
      <w:r w:rsidR="008E37AA">
        <w:t>sponsor</w:t>
      </w:r>
      <w:r w:rsidRPr="006A23A2">
        <w:t xml:space="preserve"> proposed to register the dosage and administration regimen based on a fixed volume infusion following the positive results from Study TCD14079 Part B. </w:t>
      </w:r>
      <w:r w:rsidR="008E37AA">
        <w:t>Study</w:t>
      </w:r>
      <w:r w:rsidR="00620914">
        <w:t> </w:t>
      </w:r>
      <w:r w:rsidRPr="006A23A2">
        <w:t>TCD14079 Part B was conducted in a patient populatio</w:t>
      </w:r>
      <w:r w:rsidR="00BF2155">
        <w:t>n similar to the pivotal Phase </w:t>
      </w:r>
      <w:r w:rsidR="008E37AA">
        <w:t>III</w:t>
      </w:r>
      <w:r w:rsidRPr="006A23A2">
        <w:t xml:space="preserve"> study</w:t>
      </w:r>
      <w:r w:rsidR="008E37AA">
        <w:t>, Study</w:t>
      </w:r>
      <w:r w:rsidRPr="006A23A2">
        <w:t xml:space="preserve"> EFC14335</w:t>
      </w:r>
      <w:r w:rsidR="008E37AA">
        <w:t>,</w:t>
      </w:r>
      <w:r w:rsidRPr="006A23A2">
        <w:t xml:space="preserve"> and used t</w:t>
      </w:r>
      <w:r w:rsidR="008E37AA">
        <w:t>he exact same dosing regimen (that is</w:t>
      </w:r>
      <w:r w:rsidRPr="006A23A2">
        <w:t>, isatuximab 10</w:t>
      </w:r>
      <w:r w:rsidR="00BF2155">
        <w:t> </w:t>
      </w:r>
      <w:r w:rsidRPr="006A23A2">
        <w:t xml:space="preserve">mg/kg weekly during first cycle, followed by every 2 weeks administrations). The main objective of </w:t>
      </w:r>
      <w:r w:rsidR="008E37AA">
        <w:t xml:space="preserve">Study </w:t>
      </w:r>
      <w:r w:rsidRPr="006A23A2">
        <w:t>TCD14079 Part B was to demonstrate th</w:t>
      </w:r>
      <w:r w:rsidR="008E37AA">
        <w:t>e feasibility of a simpler, one</w:t>
      </w:r>
      <w:r w:rsidR="008E37AA">
        <w:noBreakHyphen/>
      </w:r>
      <w:r w:rsidRPr="006A23A2">
        <w:t xml:space="preserve">step infusion process using a fixed volume infusion of 250 mL, with infusion rates expressed in mL/hour, which could </w:t>
      </w:r>
      <w:r w:rsidR="00620914" w:rsidRPr="006A23A2">
        <w:t>minimi</w:t>
      </w:r>
      <w:r w:rsidR="00620914">
        <w:t>s</w:t>
      </w:r>
      <w:r w:rsidR="00620914" w:rsidRPr="006A23A2">
        <w:t xml:space="preserve">e </w:t>
      </w:r>
      <w:r w:rsidRPr="006A23A2">
        <w:t>the risk of infusion rate errors and reduce the infusion duration startin</w:t>
      </w:r>
      <w:r w:rsidR="008E37AA">
        <w:t>g with the second infusion. In S</w:t>
      </w:r>
      <w:r w:rsidRPr="006A23A2">
        <w:t>tudy EFC14335 (and other studies included in the application) isatuximab was administered with weight-based infusion volume and infusion rates expressed in mg/hour</w:t>
      </w:r>
      <w:r w:rsidR="008E37AA">
        <w:t>. The differences between the 2 </w:t>
      </w:r>
      <w:r w:rsidRPr="006A23A2">
        <w:t xml:space="preserve">methods are </w:t>
      </w:r>
      <w:r w:rsidR="008E37AA" w:rsidRPr="006A23A2">
        <w:t>analysed</w:t>
      </w:r>
      <w:r w:rsidRPr="006A23A2">
        <w:t xml:space="preserve"> in </w:t>
      </w:r>
      <w:r w:rsidR="008E37AA">
        <w:t>the following table</w:t>
      </w:r>
      <w:r w:rsidRPr="006A23A2">
        <w:t xml:space="preserve">. Of note, most patients in </w:t>
      </w:r>
      <w:r w:rsidR="008E37AA">
        <w:t xml:space="preserve">Study </w:t>
      </w:r>
      <w:r w:rsidRPr="006A23A2">
        <w:t>EFC14335 received their i</w:t>
      </w:r>
      <w:r w:rsidR="008E37AA">
        <w:t>nfusions with a volume of 250 mL,</w:t>
      </w:r>
      <w:r w:rsidRPr="006A23A2">
        <w:t xml:space="preserve"> similar to the volume used in patients treated in </w:t>
      </w:r>
      <w:r w:rsidR="008E37AA">
        <w:t xml:space="preserve">Study </w:t>
      </w:r>
      <w:r w:rsidRPr="006A23A2">
        <w:t>TCD14079 Part B.</w:t>
      </w:r>
    </w:p>
    <w:p w14:paraId="2172FC4F" w14:textId="3FD6DC79" w:rsidR="006A23A2" w:rsidRDefault="00A07330" w:rsidP="00167558">
      <w:pPr>
        <w:pStyle w:val="TableTitle"/>
        <w:rPr>
          <w:rFonts w:eastAsiaTheme="minorHAnsi" w:cs="Cambria"/>
          <w:color w:val="000000"/>
        </w:rPr>
      </w:pPr>
      <w:r>
        <w:t xml:space="preserve">Table </w:t>
      </w:r>
      <w:fldSimple w:instr=" SEQ Table \* ARABIC ">
        <w:r w:rsidR="00801CDC">
          <w:rPr>
            <w:noProof/>
          </w:rPr>
          <w:t>9</w:t>
        </w:r>
      </w:fldSimple>
      <w:r>
        <w:t xml:space="preserve">: </w:t>
      </w:r>
      <w:r w:rsidRPr="00A07330">
        <w:rPr>
          <w:rFonts w:eastAsiaTheme="minorHAnsi" w:cs="Cambria"/>
          <w:color w:val="000000"/>
        </w:rPr>
        <w:t>Isatuximab infusion methods</w:t>
      </w:r>
    </w:p>
    <w:tbl>
      <w:tblPr>
        <w:tblStyle w:val="TableTGAblue"/>
        <w:tblW w:w="8990" w:type="dxa"/>
        <w:tblLook w:val="04A0" w:firstRow="1" w:lastRow="0" w:firstColumn="1" w:lastColumn="0" w:noHBand="0" w:noVBand="1"/>
      </w:tblPr>
      <w:tblGrid>
        <w:gridCol w:w="1691"/>
        <w:gridCol w:w="3119"/>
        <w:gridCol w:w="4180"/>
      </w:tblGrid>
      <w:tr w:rsidR="000F61D3" w:rsidRPr="000F61D3" w14:paraId="110A830F" w14:textId="77777777" w:rsidTr="00EF33EC">
        <w:trPr>
          <w:cnfStyle w:val="100000000000" w:firstRow="1" w:lastRow="0" w:firstColumn="0" w:lastColumn="0" w:oddVBand="0" w:evenVBand="0" w:oddHBand="0" w:evenHBand="0" w:firstRowFirstColumn="0" w:firstRowLastColumn="0" w:lastRowFirstColumn="0" w:lastRowLastColumn="0"/>
        </w:trPr>
        <w:tc>
          <w:tcPr>
            <w:tcW w:w="1691" w:type="dxa"/>
          </w:tcPr>
          <w:p w14:paraId="7A28037A" w14:textId="77777777" w:rsidR="000F61D3" w:rsidRPr="00167558" w:rsidRDefault="000F61D3" w:rsidP="00EF33EC">
            <w:pPr>
              <w:ind w:left="0" w:right="0"/>
              <w:rPr>
                <w:sz w:val="20"/>
                <w:szCs w:val="20"/>
              </w:rPr>
            </w:pPr>
          </w:p>
        </w:tc>
        <w:tc>
          <w:tcPr>
            <w:tcW w:w="3119" w:type="dxa"/>
          </w:tcPr>
          <w:p w14:paraId="5C496815" w14:textId="64966EDD" w:rsidR="000F61D3" w:rsidRPr="00167558" w:rsidRDefault="000F61D3" w:rsidP="00EF33EC">
            <w:pPr>
              <w:ind w:left="0" w:right="0"/>
              <w:rPr>
                <w:sz w:val="20"/>
                <w:szCs w:val="20"/>
              </w:rPr>
            </w:pPr>
            <w:r w:rsidRPr="00167558">
              <w:rPr>
                <w:sz w:val="20"/>
                <w:szCs w:val="20"/>
              </w:rPr>
              <w:t>Weight-based volume infusion expressed in mg/hour</w:t>
            </w:r>
          </w:p>
        </w:tc>
        <w:tc>
          <w:tcPr>
            <w:tcW w:w="4180" w:type="dxa"/>
          </w:tcPr>
          <w:p w14:paraId="072AD3C3" w14:textId="38AAF6AF" w:rsidR="000F61D3" w:rsidRPr="00167558" w:rsidRDefault="000F61D3" w:rsidP="00EF33EC">
            <w:pPr>
              <w:ind w:left="0" w:right="0"/>
              <w:rPr>
                <w:sz w:val="20"/>
                <w:szCs w:val="20"/>
              </w:rPr>
            </w:pPr>
            <w:r w:rsidRPr="00167558">
              <w:rPr>
                <w:sz w:val="20"/>
                <w:szCs w:val="20"/>
              </w:rPr>
              <w:t>Fixed</w:t>
            </w:r>
            <w:r w:rsidR="008E37AA" w:rsidRPr="00A11F7B">
              <w:rPr>
                <w:sz w:val="20"/>
                <w:szCs w:val="20"/>
              </w:rPr>
              <w:t xml:space="preserve"> volume infusion expressed</w:t>
            </w:r>
            <w:r w:rsidR="00620914">
              <w:rPr>
                <w:sz w:val="20"/>
                <w:szCs w:val="20"/>
              </w:rPr>
              <w:t> </w:t>
            </w:r>
            <w:r w:rsidR="008E37AA" w:rsidRPr="00A11F7B">
              <w:rPr>
                <w:sz w:val="20"/>
                <w:szCs w:val="20"/>
              </w:rPr>
              <w:t>in</w:t>
            </w:r>
            <w:r w:rsidR="00620914">
              <w:rPr>
                <w:sz w:val="20"/>
                <w:szCs w:val="20"/>
              </w:rPr>
              <w:t> </w:t>
            </w:r>
            <w:r w:rsidR="008E37AA" w:rsidRPr="00A11F7B">
              <w:rPr>
                <w:sz w:val="20"/>
                <w:szCs w:val="20"/>
              </w:rPr>
              <w:t>mL</w:t>
            </w:r>
            <w:r w:rsidRPr="00167558">
              <w:rPr>
                <w:sz w:val="20"/>
                <w:szCs w:val="20"/>
              </w:rPr>
              <w:t>/hour</w:t>
            </w:r>
          </w:p>
        </w:tc>
      </w:tr>
      <w:tr w:rsidR="000F61D3" w:rsidRPr="000F61D3" w14:paraId="5A8C682E" w14:textId="77777777" w:rsidTr="00EF33EC">
        <w:tc>
          <w:tcPr>
            <w:tcW w:w="1691" w:type="dxa"/>
          </w:tcPr>
          <w:p w14:paraId="484006EA" w14:textId="3F3FAC3E" w:rsidR="000F61D3" w:rsidRPr="00167558" w:rsidRDefault="008E37AA" w:rsidP="00EF33EC">
            <w:pPr>
              <w:ind w:left="0" w:right="0"/>
              <w:rPr>
                <w:sz w:val="20"/>
                <w:szCs w:val="20"/>
              </w:rPr>
            </w:pPr>
            <w:r w:rsidRPr="00A11F7B">
              <w:rPr>
                <w:bCs/>
                <w:sz w:val="20"/>
                <w:szCs w:val="20"/>
              </w:rPr>
              <w:t>Clinical s</w:t>
            </w:r>
            <w:r w:rsidR="000F61D3" w:rsidRPr="00167558">
              <w:rPr>
                <w:bCs/>
                <w:sz w:val="20"/>
                <w:szCs w:val="20"/>
              </w:rPr>
              <w:t>tudies</w:t>
            </w:r>
          </w:p>
        </w:tc>
        <w:tc>
          <w:tcPr>
            <w:tcW w:w="3119" w:type="dxa"/>
          </w:tcPr>
          <w:p w14:paraId="5B529829" w14:textId="16756FD0" w:rsidR="000F61D3" w:rsidRPr="00167558" w:rsidRDefault="00620914" w:rsidP="00EF33EC">
            <w:pPr>
              <w:ind w:left="0" w:right="0"/>
              <w:rPr>
                <w:sz w:val="20"/>
                <w:szCs w:val="20"/>
              </w:rPr>
            </w:pPr>
            <w:r>
              <w:rPr>
                <w:sz w:val="20"/>
                <w:szCs w:val="20"/>
              </w:rPr>
              <w:t xml:space="preserve">Study </w:t>
            </w:r>
            <w:r w:rsidR="000F61D3" w:rsidRPr="00167558">
              <w:rPr>
                <w:sz w:val="20"/>
                <w:szCs w:val="20"/>
              </w:rPr>
              <w:t>EFC14335, and in other clinical studi</w:t>
            </w:r>
            <w:r w:rsidR="008E37AA" w:rsidRPr="00A11F7B">
              <w:rPr>
                <w:sz w:val="20"/>
                <w:szCs w:val="20"/>
              </w:rPr>
              <w:t>es throughout in the submission</w:t>
            </w:r>
          </w:p>
        </w:tc>
        <w:tc>
          <w:tcPr>
            <w:tcW w:w="4180" w:type="dxa"/>
          </w:tcPr>
          <w:p w14:paraId="0AA44233" w14:textId="6AA3158B" w:rsidR="000F61D3" w:rsidRPr="00167558" w:rsidRDefault="00620914" w:rsidP="00EF33EC">
            <w:pPr>
              <w:ind w:left="0" w:right="0"/>
              <w:rPr>
                <w:sz w:val="20"/>
                <w:szCs w:val="20"/>
              </w:rPr>
            </w:pPr>
            <w:r>
              <w:rPr>
                <w:sz w:val="20"/>
                <w:szCs w:val="20"/>
              </w:rPr>
              <w:t xml:space="preserve">Study </w:t>
            </w:r>
            <w:r w:rsidR="000F61D3" w:rsidRPr="00167558">
              <w:rPr>
                <w:sz w:val="20"/>
                <w:szCs w:val="20"/>
              </w:rPr>
              <w:t xml:space="preserve">TCD14079 </w:t>
            </w:r>
            <w:r w:rsidR="008E37AA" w:rsidRPr="00A11F7B">
              <w:rPr>
                <w:sz w:val="20"/>
                <w:szCs w:val="20"/>
              </w:rPr>
              <w:t>Part B</w:t>
            </w:r>
          </w:p>
        </w:tc>
      </w:tr>
      <w:tr w:rsidR="000F61D3" w:rsidRPr="000F61D3" w14:paraId="2E0B59A4" w14:textId="77777777" w:rsidTr="00EF33EC">
        <w:trPr>
          <w:cantSplit/>
        </w:trPr>
        <w:tc>
          <w:tcPr>
            <w:tcW w:w="1691" w:type="dxa"/>
          </w:tcPr>
          <w:p w14:paraId="0F15A4C0" w14:textId="07B6969E" w:rsidR="000F61D3" w:rsidRPr="00167558" w:rsidRDefault="008E37AA" w:rsidP="00EF33EC">
            <w:pPr>
              <w:ind w:left="0" w:right="0"/>
              <w:rPr>
                <w:sz w:val="20"/>
                <w:szCs w:val="20"/>
              </w:rPr>
            </w:pPr>
            <w:r w:rsidRPr="00A11F7B">
              <w:rPr>
                <w:bCs/>
                <w:sz w:val="20"/>
                <w:szCs w:val="20"/>
              </w:rPr>
              <w:lastRenderedPageBreak/>
              <w:t>Infusion v</w:t>
            </w:r>
            <w:r w:rsidR="000F61D3" w:rsidRPr="00167558">
              <w:rPr>
                <w:bCs/>
                <w:sz w:val="20"/>
                <w:szCs w:val="20"/>
              </w:rPr>
              <w:t>olume</w:t>
            </w:r>
          </w:p>
        </w:tc>
        <w:tc>
          <w:tcPr>
            <w:tcW w:w="3119" w:type="dxa"/>
          </w:tcPr>
          <w:p w14:paraId="57859BC1" w14:textId="00BB2572" w:rsidR="000F61D3" w:rsidRPr="00167558" w:rsidRDefault="000F61D3" w:rsidP="00EF33EC">
            <w:pPr>
              <w:ind w:left="0"/>
            </w:pPr>
            <w:r w:rsidRPr="00EF33EC">
              <w:rPr>
                <w:sz w:val="20"/>
              </w:rPr>
              <w:t>The appropriate volume of isatuximab (10 mg/kg) will be diluted in an infusion bag of 0.9% sodium chloride solution or 5% dextrose. The final infusion volume, based on patient weight, will be administered for a period of time that will depend on the dose administered and will be based on drug a</w:t>
            </w:r>
            <w:r w:rsidR="008E37AA" w:rsidRPr="00EF33EC">
              <w:rPr>
                <w:sz w:val="20"/>
              </w:rPr>
              <w:t>mount given per hour (mg/hour).</w:t>
            </w:r>
          </w:p>
        </w:tc>
        <w:tc>
          <w:tcPr>
            <w:tcW w:w="4180" w:type="dxa"/>
          </w:tcPr>
          <w:p w14:paraId="3BB51C4C" w14:textId="3C46F790" w:rsidR="000F61D3" w:rsidRPr="00620914" w:rsidRDefault="000F61D3" w:rsidP="00EF33EC">
            <w:pPr>
              <w:ind w:left="0"/>
            </w:pPr>
            <w:r w:rsidRPr="00EF33EC">
              <w:rPr>
                <w:sz w:val="20"/>
              </w:rPr>
              <w:t>The appropriate volume of isatuximab (10 mg/kg) will be diluted in an infusion bag with 250</w:t>
            </w:r>
            <w:r w:rsidR="00620914">
              <w:rPr>
                <w:sz w:val="20"/>
              </w:rPr>
              <w:t> </w:t>
            </w:r>
            <w:r w:rsidRPr="00EF33EC">
              <w:rPr>
                <w:sz w:val="20"/>
              </w:rPr>
              <w:t xml:space="preserve">mL of 0.9% sodium chloride solution. The infusion will be </w:t>
            </w:r>
            <w:r w:rsidR="008E37AA" w:rsidRPr="00EF33EC">
              <w:rPr>
                <w:sz w:val="20"/>
              </w:rPr>
              <w:t>administered at a mL/hour rate.</w:t>
            </w:r>
          </w:p>
        </w:tc>
      </w:tr>
      <w:tr w:rsidR="000F61D3" w:rsidRPr="000F61D3" w14:paraId="3CAB0810" w14:textId="77777777" w:rsidTr="00EF33EC">
        <w:tc>
          <w:tcPr>
            <w:tcW w:w="1691" w:type="dxa"/>
          </w:tcPr>
          <w:p w14:paraId="51DA5CF6" w14:textId="2C6B829B" w:rsidR="000F61D3" w:rsidRPr="00167558" w:rsidRDefault="000F61D3" w:rsidP="00EF33EC">
            <w:pPr>
              <w:ind w:left="0" w:right="0"/>
              <w:rPr>
                <w:sz w:val="20"/>
                <w:szCs w:val="20"/>
              </w:rPr>
            </w:pPr>
            <w:r w:rsidRPr="00167558">
              <w:rPr>
                <w:bCs/>
                <w:sz w:val="20"/>
                <w:szCs w:val="20"/>
              </w:rPr>
              <w:t xml:space="preserve">First infusion </w:t>
            </w:r>
          </w:p>
        </w:tc>
        <w:tc>
          <w:tcPr>
            <w:tcW w:w="3119" w:type="dxa"/>
          </w:tcPr>
          <w:p w14:paraId="337E3B44" w14:textId="4734ACEA" w:rsidR="000F61D3" w:rsidRPr="00167558" w:rsidRDefault="000F61D3" w:rsidP="00EF33EC">
            <w:pPr>
              <w:ind w:left="0"/>
              <w:rPr>
                <w:sz w:val="20"/>
                <w:szCs w:val="20"/>
              </w:rPr>
            </w:pPr>
            <w:r w:rsidRPr="00167558">
              <w:rPr>
                <w:color w:val="auto"/>
                <w:sz w:val="20"/>
                <w:szCs w:val="20"/>
              </w:rPr>
              <w:t>First infusion: initiate infusion at 175 mg/hour. In the absence of infusion reactions (IRs) after 1 hour of infusio</w:t>
            </w:r>
            <w:r w:rsidR="008E37AA" w:rsidRPr="00A11F7B">
              <w:rPr>
                <w:color w:val="auto"/>
                <w:sz w:val="20"/>
                <w:szCs w:val="20"/>
              </w:rPr>
              <w:t xml:space="preserve">n, increase infusion rate by 50 </w:t>
            </w:r>
            <w:r w:rsidRPr="00167558">
              <w:rPr>
                <w:color w:val="auto"/>
                <w:sz w:val="20"/>
                <w:szCs w:val="20"/>
              </w:rPr>
              <w:t>mg/hour increments every 30 minute</w:t>
            </w:r>
            <w:r w:rsidR="008E37AA" w:rsidRPr="00A11F7B">
              <w:rPr>
                <w:color w:val="auto"/>
                <w:sz w:val="20"/>
                <w:szCs w:val="20"/>
              </w:rPr>
              <w:t>s, to a maximum of 400</w:t>
            </w:r>
            <w:r w:rsidR="00620914">
              <w:rPr>
                <w:color w:val="auto"/>
                <w:sz w:val="20"/>
                <w:szCs w:val="20"/>
              </w:rPr>
              <w:t> </w:t>
            </w:r>
            <w:r w:rsidR="008E37AA" w:rsidRPr="00A11F7B">
              <w:rPr>
                <w:color w:val="auto"/>
                <w:sz w:val="20"/>
                <w:szCs w:val="20"/>
              </w:rPr>
              <w:t>mg/hour.</w:t>
            </w:r>
          </w:p>
          <w:p w14:paraId="047AADBE" w14:textId="018D8670" w:rsidR="000F61D3" w:rsidRPr="00167558" w:rsidRDefault="000F61D3" w:rsidP="00EF33EC">
            <w:pPr>
              <w:ind w:left="0" w:right="0"/>
              <w:rPr>
                <w:sz w:val="20"/>
                <w:szCs w:val="20"/>
              </w:rPr>
            </w:pPr>
            <w:r w:rsidRPr="00167558">
              <w:rPr>
                <w:sz w:val="20"/>
                <w:szCs w:val="20"/>
              </w:rPr>
              <w:t>Once a Grade 2 IR leading to interruption has improved to Grade</w:t>
            </w:r>
            <w:r w:rsidR="008E37AA">
              <w:rPr>
                <w:sz w:val="20"/>
                <w:szCs w:val="20"/>
              </w:rPr>
              <w:t xml:space="preserve"> </w:t>
            </w:r>
            <w:r w:rsidRPr="00167558">
              <w:rPr>
                <w:sz w:val="20"/>
                <w:szCs w:val="20"/>
              </w:rPr>
              <w:t>≤</w:t>
            </w:r>
            <w:r w:rsidR="008E37AA">
              <w:rPr>
                <w:sz w:val="20"/>
                <w:szCs w:val="20"/>
              </w:rPr>
              <w:t xml:space="preserve"> </w:t>
            </w:r>
            <w:r w:rsidRPr="00167558">
              <w:rPr>
                <w:sz w:val="20"/>
                <w:szCs w:val="20"/>
              </w:rPr>
              <w:t>1, the infusion may be restarted at half (87.5</w:t>
            </w:r>
            <w:r w:rsidR="00620914">
              <w:rPr>
                <w:sz w:val="20"/>
                <w:szCs w:val="20"/>
              </w:rPr>
              <w:t> </w:t>
            </w:r>
            <w:r w:rsidRPr="00167558">
              <w:rPr>
                <w:sz w:val="20"/>
                <w:szCs w:val="20"/>
              </w:rPr>
              <w:t>mg/h</w:t>
            </w:r>
            <w:r w:rsidR="00620914">
              <w:rPr>
                <w:sz w:val="20"/>
                <w:szCs w:val="20"/>
              </w:rPr>
              <w:t>our</w:t>
            </w:r>
            <w:r w:rsidRPr="00167558">
              <w:rPr>
                <w:sz w:val="20"/>
                <w:szCs w:val="20"/>
              </w:rPr>
              <w:t>) the initial infusion rate. If symptoms do not recur after 30</w:t>
            </w:r>
            <w:r w:rsidR="00620914">
              <w:rPr>
                <w:sz w:val="20"/>
                <w:szCs w:val="20"/>
              </w:rPr>
              <w:t> </w:t>
            </w:r>
            <w:r w:rsidRPr="00167558">
              <w:rPr>
                <w:sz w:val="20"/>
                <w:szCs w:val="20"/>
              </w:rPr>
              <w:t>minutes, the infus</w:t>
            </w:r>
            <w:r w:rsidR="008E37AA" w:rsidRPr="00A11F7B">
              <w:rPr>
                <w:sz w:val="20"/>
                <w:szCs w:val="20"/>
              </w:rPr>
              <w:t>ion rate may be increased by 50</w:t>
            </w:r>
            <w:r w:rsidR="00620914">
              <w:rPr>
                <w:sz w:val="20"/>
                <w:szCs w:val="20"/>
              </w:rPr>
              <w:t> </w:t>
            </w:r>
            <w:r w:rsidR="008E37AA" w:rsidRPr="00A11F7B">
              <w:rPr>
                <w:sz w:val="20"/>
                <w:szCs w:val="20"/>
              </w:rPr>
              <w:t>mg/hour increments every 30 minutes, to a maximum of 400 mg/hour.</w:t>
            </w:r>
          </w:p>
        </w:tc>
        <w:tc>
          <w:tcPr>
            <w:tcW w:w="4180" w:type="dxa"/>
          </w:tcPr>
          <w:p w14:paraId="02BBBA44" w14:textId="4EF1B9BA" w:rsidR="000F61D3" w:rsidRPr="00167558" w:rsidRDefault="000F61D3" w:rsidP="00EF33EC">
            <w:pPr>
              <w:ind w:left="0"/>
              <w:rPr>
                <w:sz w:val="20"/>
                <w:szCs w:val="20"/>
              </w:rPr>
            </w:pPr>
            <w:r w:rsidRPr="00167558">
              <w:rPr>
                <w:color w:val="auto"/>
                <w:sz w:val="20"/>
                <w:szCs w:val="20"/>
              </w:rPr>
              <w:t>First infusion: Initiate infusion at 25</w:t>
            </w:r>
            <w:r w:rsidR="00620914">
              <w:rPr>
                <w:color w:val="auto"/>
                <w:sz w:val="20"/>
                <w:szCs w:val="20"/>
              </w:rPr>
              <w:t> </w:t>
            </w:r>
            <w:r w:rsidRPr="00167558">
              <w:rPr>
                <w:color w:val="auto"/>
                <w:sz w:val="20"/>
                <w:szCs w:val="20"/>
              </w:rPr>
              <w:t>mL/hour. In the absence of infusion reactions (IRs) after 1 hour of infusio</w:t>
            </w:r>
            <w:r w:rsidR="008E37AA" w:rsidRPr="00A11F7B">
              <w:rPr>
                <w:color w:val="auto"/>
                <w:sz w:val="20"/>
                <w:szCs w:val="20"/>
              </w:rPr>
              <w:t>n, increase infusion rate by 25 mL/hour increments every 30 minutes, to a maximum of 150 mL/hour.</w:t>
            </w:r>
          </w:p>
          <w:p w14:paraId="7167F83C" w14:textId="795D6C21" w:rsidR="000F61D3" w:rsidRPr="00167558" w:rsidRDefault="008E37AA" w:rsidP="00EF33EC">
            <w:pPr>
              <w:ind w:left="0" w:right="0"/>
              <w:rPr>
                <w:sz w:val="20"/>
                <w:szCs w:val="20"/>
              </w:rPr>
            </w:pPr>
            <w:r w:rsidRPr="00A11F7B">
              <w:rPr>
                <w:sz w:val="20"/>
                <w:szCs w:val="20"/>
              </w:rPr>
              <w:t>In case of a G</w:t>
            </w:r>
            <w:r w:rsidR="000F61D3" w:rsidRPr="00167558">
              <w:rPr>
                <w:sz w:val="20"/>
                <w:szCs w:val="20"/>
              </w:rPr>
              <w:t>rade 2 IR during first infusion, after interruption, infusion could be restar</w:t>
            </w:r>
            <w:r w:rsidRPr="00A11F7B">
              <w:rPr>
                <w:sz w:val="20"/>
                <w:szCs w:val="20"/>
              </w:rPr>
              <w:t>ted at one</w:t>
            </w:r>
            <w:r w:rsidR="00620914">
              <w:rPr>
                <w:sz w:val="20"/>
                <w:szCs w:val="20"/>
              </w:rPr>
              <w:t xml:space="preserve"> </w:t>
            </w:r>
            <w:r w:rsidRPr="00A11F7B">
              <w:rPr>
                <w:sz w:val="20"/>
                <w:szCs w:val="20"/>
              </w:rPr>
              <w:t>half (12.5 </w:t>
            </w:r>
            <w:r w:rsidR="000F61D3" w:rsidRPr="00167558">
              <w:rPr>
                <w:sz w:val="20"/>
                <w:szCs w:val="20"/>
              </w:rPr>
              <w:t>mL/hour) of the initial infusion rate after the IR will have improved to Grade ≤1. If IR symptoms do not recur after 30 minutes, the infusion rate may be increased in 25</w:t>
            </w:r>
            <w:r w:rsidR="00620914">
              <w:rPr>
                <w:sz w:val="20"/>
                <w:szCs w:val="20"/>
              </w:rPr>
              <w:t xml:space="preserve"> </w:t>
            </w:r>
            <w:r w:rsidR="000F61D3" w:rsidRPr="00167558">
              <w:rPr>
                <w:sz w:val="20"/>
                <w:szCs w:val="20"/>
              </w:rPr>
              <w:t>mL/hour increments every 30 minutes, until the total volume is i</w:t>
            </w:r>
            <w:r w:rsidRPr="00A11F7B">
              <w:rPr>
                <w:sz w:val="20"/>
                <w:szCs w:val="20"/>
              </w:rPr>
              <w:t>nfused.</w:t>
            </w:r>
          </w:p>
        </w:tc>
      </w:tr>
      <w:tr w:rsidR="000F61D3" w:rsidRPr="000F61D3" w14:paraId="5988CDC6" w14:textId="77777777" w:rsidTr="00EF33EC">
        <w:tc>
          <w:tcPr>
            <w:tcW w:w="1691" w:type="dxa"/>
          </w:tcPr>
          <w:p w14:paraId="7E195DFD" w14:textId="21E730C7" w:rsidR="000F61D3" w:rsidRPr="00167558" w:rsidRDefault="000F61D3" w:rsidP="00EF33EC">
            <w:pPr>
              <w:ind w:left="0" w:right="0"/>
              <w:rPr>
                <w:sz w:val="20"/>
                <w:szCs w:val="20"/>
              </w:rPr>
            </w:pPr>
            <w:r w:rsidRPr="00167558">
              <w:rPr>
                <w:bCs/>
                <w:sz w:val="20"/>
                <w:szCs w:val="20"/>
              </w:rPr>
              <w:t xml:space="preserve">Second infusion </w:t>
            </w:r>
          </w:p>
        </w:tc>
        <w:tc>
          <w:tcPr>
            <w:tcW w:w="3119" w:type="dxa"/>
          </w:tcPr>
          <w:p w14:paraId="086127CE" w14:textId="636B302F" w:rsidR="000F61D3" w:rsidRPr="00167558" w:rsidRDefault="008E37AA" w:rsidP="00EF33EC">
            <w:pPr>
              <w:ind w:left="0"/>
            </w:pPr>
            <w:r w:rsidRPr="00EF33EC">
              <w:rPr>
                <w:sz w:val="20"/>
              </w:rPr>
              <w:t>See subsequent infusions below</w:t>
            </w:r>
          </w:p>
        </w:tc>
        <w:tc>
          <w:tcPr>
            <w:tcW w:w="4180" w:type="dxa"/>
          </w:tcPr>
          <w:p w14:paraId="67520C99" w14:textId="53CB35BE" w:rsidR="000F61D3" w:rsidRPr="00DF07CA" w:rsidRDefault="000F61D3" w:rsidP="00EF33EC">
            <w:pPr>
              <w:ind w:left="0"/>
              <w:rPr>
                <w:sz w:val="20"/>
                <w:szCs w:val="20"/>
              </w:rPr>
            </w:pPr>
            <w:r w:rsidRPr="00DF07CA">
              <w:rPr>
                <w:color w:val="auto"/>
                <w:sz w:val="20"/>
                <w:szCs w:val="20"/>
              </w:rPr>
              <w:t>Second in</w:t>
            </w:r>
            <w:r w:rsidR="008E37AA" w:rsidRPr="00DF07CA">
              <w:rPr>
                <w:color w:val="auto"/>
                <w:sz w:val="20"/>
                <w:szCs w:val="20"/>
              </w:rPr>
              <w:t>fusion: Initiate infusion at 50 </w:t>
            </w:r>
            <w:r w:rsidRPr="00DF07CA">
              <w:rPr>
                <w:color w:val="auto"/>
                <w:sz w:val="20"/>
                <w:szCs w:val="20"/>
              </w:rPr>
              <w:t>mL/hour regardless of whether Grade ≤</w:t>
            </w:r>
            <w:r w:rsidR="008E37AA" w:rsidRPr="00DF07CA">
              <w:rPr>
                <w:color w:val="auto"/>
                <w:sz w:val="20"/>
                <w:szCs w:val="20"/>
              </w:rPr>
              <w:t xml:space="preserve"> </w:t>
            </w:r>
            <w:r w:rsidRPr="00DF07CA">
              <w:rPr>
                <w:color w:val="auto"/>
                <w:sz w:val="20"/>
                <w:szCs w:val="20"/>
              </w:rPr>
              <w:t>2 IRs had occurred during first infusion. In the absence of Grade≥2 IRs after 30 minutes of infusion, increase rate by:</w:t>
            </w:r>
          </w:p>
          <w:p w14:paraId="51BA2FB5" w14:textId="1C21933B" w:rsidR="000F61D3" w:rsidRPr="00DF07CA" w:rsidRDefault="000F61D3" w:rsidP="00EF33EC">
            <w:pPr>
              <w:pStyle w:val="ListBullet"/>
              <w:ind w:left="0"/>
              <w:rPr>
                <w:sz w:val="20"/>
              </w:rPr>
            </w:pPr>
            <w:r w:rsidRPr="003F0B52">
              <w:rPr>
                <w:color w:val="auto"/>
                <w:sz w:val="20"/>
                <w:szCs w:val="20"/>
              </w:rPr>
              <w:t>5</w:t>
            </w:r>
            <w:r w:rsidR="00A71B7F" w:rsidRPr="00DF07CA">
              <w:rPr>
                <w:sz w:val="20"/>
              </w:rPr>
              <w:t>0 mL/hour for 30 minutes, then,</w:t>
            </w:r>
          </w:p>
          <w:p w14:paraId="6EC522B2" w14:textId="261F961C" w:rsidR="000F61D3" w:rsidRPr="00DF07CA" w:rsidRDefault="000F61D3" w:rsidP="00EF33EC">
            <w:pPr>
              <w:pStyle w:val="ListBullet"/>
              <w:ind w:left="0"/>
              <w:rPr>
                <w:sz w:val="20"/>
              </w:rPr>
            </w:pPr>
            <w:r w:rsidRPr="005E0D52">
              <w:rPr>
                <w:sz w:val="20"/>
                <w:szCs w:val="22"/>
              </w:rPr>
              <w:t>100 mL/</w:t>
            </w:r>
            <w:r w:rsidR="00A71B7F" w:rsidRPr="00DF07CA">
              <w:rPr>
                <w:sz w:val="20"/>
              </w:rPr>
              <w:t>h</w:t>
            </w:r>
            <w:r w:rsidR="00DF07CA">
              <w:rPr>
                <w:sz w:val="20"/>
              </w:rPr>
              <w:t>our</w:t>
            </w:r>
            <w:r w:rsidR="00A71B7F" w:rsidRPr="00DF07CA">
              <w:rPr>
                <w:sz w:val="20"/>
              </w:rPr>
              <w:t xml:space="preserve"> every 30</w:t>
            </w:r>
            <w:r w:rsidR="00DF07CA">
              <w:rPr>
                <w:sz w:val="20"/>
              </w:rPr>
              <w:t> </w:t>
            </w:r>
            <w:r w:rsidR="00A71B7F" w:rsidRPr="00DF07CA">
              <w:rPr>
                <w:sz w:val="20"/>
              </w:rPr>
              <w:t>minutes, up to 300 mL</w:t>
            </w:r>
            <w:r w:rsidRPr="005E0D52">
              <w:rPr>
                <w:sz w:val="20"/>
                <w:szCs w:val="22"/>
              </w:rPr>
              <w:t>/hour, unt</w:t>
            </w:r>
            <w:r w:rsidR="00A71B7F" w:rsidRPr="00DF07CA">
              <w:rPr>
                <w:sz w:val="20"/>
              </w:rPr>
              <w:t>il the total volume is infused.</w:t>
            </w:r>
          </w:p>
          <w:p w14:paraId="1240C316" w14:textId="2587D967" w:rsidR="000F61D3" w:rsidRPr="00EF33EC" w:rsidRDefault="000F61D3" w:rsidP="00EF33EC">
            <w:pPr>
              <w:ind w:left="0"/>
              <w:rPr>
                <w:sz w:val="20"/>
                <w:szCs w:val="20"/>
              </w:rPr>
            </w:pPr>
            <w:r w:rsidRPr="00EF33EC">
              <w:rPr>
                <w:sz w:val="20"/>
                <w:szCs w:val="20"/>
              </w:rPr>
              <w:t>In case of Grade 2 IR during second infusion, inf</w:t>
            </w:r>
            <w:r w:rsidR="00A71B7F" w:rsidRPr="00EF33EC">
              <w:rPr>
                <w:sz w:val="20"/>
                <w:szCs w:val="20"/>
              </w:rPr>
              <w:t xml:space="preserve">usion could be restarted at one </w:t>
            </w:r>
            <w:r w:rsidRPr="00EF33EC">
              <w:rPr>
                <w:sz w:val="20"/>
                <w:szCs w:val="20"/>
              </w:rPr>
              <w:t>half (25 mL/hour) of the initial infusion rate after the IR will have improved to Grade ≤</w:t>
            </w:r>
            <w:r w:rsidR="00A71B7F" w:rsidRPr="00EF33EC">
              <w:rPr>
                <w:sz w:val="20"/>
                <w:szCs w:val="20"/>
              </w:rPr>
              <w:t xml:space="preserve"> </w:t>
            </w:r>
            <w:r w:rsidRPr="00EF33EC">
              <w:rPr>
                <w:sz w:val="20"/>
                <w:szCs w:val="20"/>
              </w:rPr>
              <w:t>1. If symptoms do not recur after 30 minutes, the infus</w:t>
            </w:r>
            <w:r w:rsidR="00A71B7F" w:rsidRPr="00EF33EC">
              <w:rPr>
                <w:sz w:val="20"/>
                <w:szCs w:val="20"/>
              </w:rPr>
              <w:t xml:space="preserve">ion rate may be increased in 50 </w:t>
            </w:r>
            <w:r w:rsidRPr="00EF33EC">
              <w:rPr>
                <w:sz w:val="20"/>
                <w:szCs w:val="20"/>
              </w:rPr>
              <w:t>mL/hour increments every 30 minutes, unt</w:t>
            </w:r>
            <w:r w:rsidR="00A71B7F" w:rsidRPr="00EF33EC">
              <w:rPr>
                <w:sz w:val="20"/>
                <w:szCs w:val="20"/>
              </w:rPr>
              <w:t>il the total volume is infused.</w:t>
            </w:r>
          </w:p>
        </w:tc>
      </w:tr>
      <w:tr w:rsidR="000F61D3" w:rsidRPr="000F61D3" w14:paraId="63BAD47F" w14:textId="77777777" w:rsidTr="00EF33EC">
        <w:tc>
          <w:tcPr>
            <w:tcW w:w="1691" w:type="dxa"/>
          </w:tcPr>
          <w:p w14:paraId="28A2FF82" w14:textId="5980733C" w:rsidR="000F61D3" w:rsidRPr="00167558" w:rsidRDefault="000F61D3" w:rsidP="00EF33EC">
            <w:pPr>
              <w:ind w:left="0" w:right="0"/>
              <w:rPr>
                <w:sz w:val="20"/>
                <w:szCs w:val="20"/>
              </w:rPr>
            </w:pPr>
            <w:r w:rsidRPr="00167558">
              <w:rPr>
                <w:bCs/>
                <w:sz w:val="20"/>
                <w:szCs w:val="20"/>
              </w:rPr>
              <w:t xml:space="preserve">Subsequent infusions </w:t>
            </w:r>
          </w:p>
        </w:tc>
        <w:tc>
          <w:tcPr>
            <w:tcW w:w="3119" w:type="dxa"/>
          </w:tcPr>
          <w:p w14:paraId="704B1A44" w14:textId="2C6B02DA" w:rsidR="000F61D3" w:rsidRPr="00EF33EC" w:rsidRDefault="000F61D3" w:rsidP="00EF33EC">
            <w:pPr>
              <w:ind w:left="0"/>
              <w:rPr>
                <w:sz w:val="20"/>
              </w:rPr>
            </w:pPr>
            <w:r w:rsidRPr="00EF33EC">
              <w:rPr>
                <w:sz w:val="20"/>
              </w:rPr>
              <w:t>Subsequent infusions: initiate infusion at 175 mg/hour. In the absence of IRs after 1</w:t>
            </w:r>
            <w:r w:rsidR="00DF07CA">
              <w:rPr>
                <w:sz w:val="20"/>
              </w:rPr>
              <w:t> </w:t>
            </w:r>
            <w:r w:rsidRPr="00EF33EC">
              <w:rPr>
                <w:sz w:val="20"/>
              </w:rPr>
              <w:t>hour of</w:t>
            </w:r>
            <w:r w:rsidR="00A71B7F" w:rsidRPr="00EF33EC">
              <w:rPr>
                <w:sz w:val="20"/>
              </w:rPr>
              <w:t xml:space="preserve"> infusion, increase rate by </w:t>
            </w:r>
            <w:r w:rsidR="00A71B7F" w:rsidRPr="00EF33EC">
              <w:rPr>
                <w:sz w:val="20"/>
              </w:rPr>
              <w:lastRenderedPageBreak/>
              <w:t>100 </w:t>
            </w:r>
            <w:r w:rsidRPr="00EF33EC">
              <w:rPr>
                <w:sz w:val="20"/>
              </w:rPr>
              <w:t xml:space="preserve">mg/hour increments every </w:t>
            </w:r>
            <w:r w:rsidR="00A71B7F" w:rsidRPr="00EF33EC">
              <w:rPr>
                <w:sz w:val="20"/>
              </w:rPr>
              <w:t>30 minutes, to a maximum of 400 mg/hour.</w:t>
            </w:r>
          </w:p>
        </w:tc>
        <w:tc>
          <w:tcPr>
            <w:tcW w:w="4180" w:type="dxa"/>
          </w:tcPr>
          <w:p w14:paraId="0C3B8DC7" w14:textId="1D2D1CED" w:rsidR="000F61D3" w:rsidRPr="00EF33EC" w:rsidRDefault="000F61D3" w:rsidP="00EF33EC">
            <w:pPr>
              <w:ind w:left="0"/>
              <w:rPr>
                <w:sz w:val="20"/>
              </w:rPr>
            </w:pPr>
            <w:r w:rsidRPr="00EF33EC">
              <w:rPr>
                <w:sz w:val="20"/>
              </w:rPr>
              <w:lastRenderedPageBreak/>
              <w:t xml:space="preserve">Third and subsequent infusions: Initiate infusion </w:t>
            </w:r>
            <w:r w:rsidR="00A71B7F" w:rsidRPr="00EF33EC">
              <w:rPr>
                <w:sz w:val="20"/>
              </w:rPr>
              <w:t>at a fixed infusion rate of 200 </w:t>
            </w:r>
            <w:r w:rsidRPr="00EF33EC">
              <w:rPr>
                <w:sz w:val="20"/>
              </w:rPr>
              <w:t>mL/hour regardless of whether Grade ≤</w:t>
            </w:r>
            <w:r w:rsidR="00A71B7F" w:rsidRPr="00EF33EC">
              <w:rPr>
                <w:sz w:val="20"/>
              </w:rPr>
              <w:t xml:space="preserve"> </w:t>
            </w:r>
            <w:r w:rsidRPr="00EF33EC">
              <w:rPr>
                <w:sz w:val="20"/>
              </w:rPr>
              <w:t xml:space="preserve">2 IRs had occurred during previous </w:t>
            </w:r>
            <w:r w:rsidRPr="00EF33EC">
              <w:rPr>
                <w:sz w:val="20"/>
              </w:rPr>
              <w:lastRenderedPageBreak/>
              <w:t>infusions, until the total v</w:t>
            </w:r>
            <w:r w:rsidR="00A71B7F" w:rsidRPr="00EF33EC">
              <w:rPr>
                <w:sz w:val="20"/>
              </w:rPr>
              <w:t>olume is infused. In case of a G</w:t>
            </w:r>
            <w:r w:rsidRPr="00EF33EC">
              <w:rPr>
                <w:sz w:val="20"/>
              </w:rPr>
              <w:t>rade 2 IR during third infusion, after interruption, inf</w:t>
            </w:r>
            <w:r w:rsidR="00A71B7F" w:rsidRPr="00EF33EC">
              <w:rPr>
                <w:sz w:val="20"/>
              </w:rPr>
              <w:t xml:space="preserve">usion could be restarted at one </w:t>
            </w:r>
            <w:r w:rsidRPr="00EF33EC">
              <w:rPr>
                <w:sz w:val="20"/>
              </w:rPr>
              <w:t>half (100</w:t>
            </w:r>
            <w:r w:rsidR="00DF07CA">
              <w:rPr>
                <w:sz w:val="20"/>
              </w:rPr>
              <w:t> </w:t>
            </w:r>
            <w:r w:rsidRPr="00EF33EC">
              <w:rPr>
                <w:sz w:val="20"/>
              </w:rPr>
              <w:t>mL/hour) of the infusion rate after the IR will have improved to Grade ≤</w:t>
            </w:r>
            <w:r w:rsidR="00A71B7F" w:rsidRPr="00EF33EC">
              <w:rPr>
                <w:sz w:val="20"/>
              </w:rPr>
              <w:t xml:space="preserve"> </w:t>
            </w:r>
            <w:r w:rsidRPr="00EF33EC">
              <w:rPr>
                <w:sz w:val="20"/>
              </w:rPr>
              <w:t>1. If IR symptoms do not recur after 30</w:t>
            </w:r>
            <w:r w:rsidR="00DF07CA">
              <w:rPr>
                <w:sz w:val="20"/>
              </w:rPr>
              <w:t> </w:t>
            </w:r>
            <w:r w:rsidRPr="00EF33EC">
              <w:rPr>
                <w:sz w:val="20"/>
              </w:rPr>
              <w:t>minutes, the infus</w:t>
            </w:r>
            <w:r w:rsidR="00A71B7F" w:rsidRPr="00EF33EC">
              <w:rPr>
                <w:sz w:val="20"/>
              </w:rPr>
              <w:t>ion rate may be increased in 50 </w:t>
            </w:r>
            <w:r w:rsidRPr="00EF33EC">
              <w:rPr>
                <w:sz w:val="20"/>
              </w:rPr>
              <w:t>mL/hour increments every 30 minutes, unt</w:t>
            </w:r>
            <w:r w:rsidR="00A71B7F" w:rsidRPr="00EF33EC">
              <w:rPr>
                <w:sz w:val="20"/>
              </w:rPr>
              <w:t>il the total volume is infused.</w:t>
            </w:r>
          </w:p>
        </w:tc>
      </w:tr>
    </w:tbl>
    <w:p w14:paraId="47509E2D" w14:textId="528D3278" w:rsidR="000F61D3" w:rsidRPr="000F61D3" w:rsidRDefault="00A71B7F" w:rsidP="000F61D3">
      <w:pPr>
        <w:rPr>
          <w:rFonts w:eastAsiaTheme="minorHAnsi" w:cs="Cambria"/>
          <w:color w:val="000000"/>
        </w:rPr>
      </w:pPr>
      <w:r>
        <w:rPr>
          <w:rFonts w:eastAsiaTheme="minorHAnsi" w:cs="Cambria"/>
          <w:color w:val="000000"/>
        </w:rPr>
        <w:lastRenderedPageBreak/>
        <w:t xml:space="preserve">In </w:t>
      </w:r>
      <w:r w:rsidR="005E0D52">
        <w:rPr>
          <w:rFonts w:eastAsiaTheme="minorHAnsi" w:cs="Cambria"/>
          <w:color w:val="000000"/>
        </w:rPr>
        <w:t>S</w:t>
      </w:r>
      <w:r>
        <w:rPr>
          <w:rFonts w:eastAsiaTheme="minorHAnsi" w:cs="Cambria"/>
          <w:color w:val="000000"/>
        </w:rPr>
        <w:t>tudy TCD14079 Part B:</w:t>
      </w:r>
    </w:p>
    <w:p w14:paraId="7AD1042D" w14:textId="56590383" w:rsidR="000F61D3" w:rsidRPr="00A11F7B" w:rsidRDefault="00A71B7F" w:rsidP="00167558">
      <w:pPr>
        <w:pStyle w:val="ListBullet"/>
      </w:pPr>
      <w:r w:rsidRPr="00A11F7B">
        <w:t>For first</w:t>
      </w:r>
      <w:r w:rsidR="000F61D3" w:rsidRPr="00A11F7B">
        <w:t xml:space="preserve"> infusion, the starting infusion rate was 25 mL/hour, which corresponds to a lower infusion rate (40 to 120 mg/hour for patients with weight ranging from 40 to 120 kg) than the</w:t>
      </w:r>
      <w:r w:rsidRPr="00A11F7B">
        <w:t xml:space="preserve"> initial infusion rate used in S</w:t>
      </w:r>
      <w:r w:rsidR="000F61D3" w:rsidRPr="00A11F7B">
        <w:t>tudy EFC14335 (175 mg/hour).</w:t>
      </w:r>
    </w:p>
    <w:p w14:paraId="3F9A3EC3" w14:textId="57CCFABA" w:rsidR="000F61D3" w:rsidRPr="00A11F7B" w:rsidRDefault="000F61D3" w:rsidP="00167558">
      <w:pPr>
        <w:pStyle w:val="ListBullet"/>
      </w:pPr>
      <w:r w:rsidRPr="00A11F7B">
        <w:t xml:space="preserve">For </w:t>
      </w:r>
      <w:r w:rsidR="00A71B7F">
        <w:t>second</w:t>
      </w:r>
      <w:r w:rsidRPr="00A11F7B">
        <w:t xml:space="preserve"> infusion, the starting infusion rate was 50 mL/hour, which corresponds to a lower infusion rate (80 mg/h</w:t>
      </w:r>
      <w:r w:rsidR="00A71B7F">
        <w:t>our</w:t>
      </w:r>
      <w:r w:rsidRPr="00A11F7B">
        <w:t xml:space="preserve"> for patients with weight of 40 kg), similar infusion rate (175 mg/hour for patients with a weight of 87.5 kg</w:t>
      </w:r>
      <w:r w:rsidR="00A71B7F" w:rsidRPr="00A11F7B">
        <w:t>), or higher infusion rate (240 </w:t>
      </w:r>
      <w:r w:rsidRPr="00A11F7B">
        <w:t>mg/hour for patients with a weight of 120 kg) than the</w:t>
      </w:r>
      <w:r w:rsidR="00A71B7F" w:rsidRPr="00A11F7B">
        <w:t xml:space="preserve"> initial infusion rate used in S</w:t>
      </w:r>
      <w:r w:rsidRPr="00A11F7B">
        <w:t>tudy EFC14335 (175 mg/hour).</w:t>
      </w:r>
    </w:p>
    <w:p w14:paraId="1B66A7F7" w14:textId="1F4337E2" w:rsidR="000F61D3" w:rsidRPr="00A11F7B" w:rsidRDefault="000F61D3" w:rsidP="00167558">
      <w:pPr>
        <w:pStyle w:val="ListBullet"/>
      </w:pPr>
      <w:r w:rsidRPr="00A11F7B">
        <w:t xml:space="preserve">For </w:t>
      </w:r>
      <w:r w:rsidR="00A71B7F">
        <w:t>third</w:t>
      </w:r>
      <w:r w:rsidRPr="00A11F7B">
        <w:t xml:space="preserve"> and subsequent infusions, the fixed infusion rate of 200 mL/hour, corresponds to a higher infusion rate (320 to 960 mg/hour for patients with weight ranging from 40 to 120 kg) than the in</w:t>
      </w:r>
      <w:r w:rsidR="00A71B7F" w:rsidRPr="00A11F7B">
        <w:t>itial infusion rate used in Study EFC1335 (175 </w:t>
      </w:r>
      <w:r w:rsidRPr="00A11F7B">
        <w:t>mg/hour).</w:t>
      </w:r>
    </w:p>
    <w:p w14:paraId="4C468280" w14:textId="0F241615" w:rsidR="000F61D3" w:rsidRPr="000F61D3" w:rsidRDefault="000F61D3" w:rsidP="000F61D3">
      <w:pPr>
        <w:rPr>
          <w:rFonts w:eastAsiaTheme="minorHAnsi" w:cs="Cambria"/>
          <w:color w:val="000000"/>
        </w:rPr>
      </w:pPr>
      <w:r w:rsidRPr="000F61D3">
        <w:rPr>
          <w:rFonts w:eastAsiaTheme="minorHAnsi" w:cs="Cambria"/>
          <w:color w:val="000000"/>
        </w:rPr>
        <w:t xml:space="preserve">Concentrations of isatuximab (mg/ml) within the first 90 minutes </w:t>
      </w:r>
      <w:r w:rsidR="00A71B7F">
        <w:rPr>
          <w:rFonts w:eastAsiaTheme="minorHAnsi" w:cs="Cambria"/>
          <w:color w:val="000000"/>
        </w:rPr>
        <w:t>of first isatuximab infusion (that is</w:t>
      </w:r>
      <w:r w:rsidRPr="000F61D3">
        <w:rPr>
          <w:rFonts w:eastAsiaTheme="minorHAnsi" w:cs="Cambria"/>
          <w:color w:val="000000"/>
        </w:rPr>
        <w:t>, when infusion reactions generally occurred) were lower with volume based infusion than with the weight b</w:t>
      </w:r>
      <w:r w:rsidR="00A71B7F">
        <w:rPr>
          <w:rFonts w:eastAsiaTheme="minorHAnsi" w:cs="Cambria"/>
          <w:color w:val="000000"/>
        </w:rPr>
        <w:t>ased infusion for all patients</w:t>
      </w:r>
      <w:r w:rsidRPr="000F61D3">
        <w:rPr>
          <w:rFonts w:eastAsiaTheme="minorHAnsi" w:cs="Cambria"/>
          <w:color w:val="000000"/>
        </w:rPr>
        <w:t>.</w:t>
      </w:r>
    </w:p>
    <w:p w14:paraId="070FB4BA" w14:textId="4B60E741" w:rsidR="006A23A2" w:rsidRDefault="001D6B7E" w:rsidP="00167558">
      <w:pPr>
        <w:rPr>
          <w:rFonts w:eastAsiaTheme="minorHAnsi" w:cs="Cambria"/>
          <w:color w:val="000000"/>
        </w:rPr>
      </w:pPr>
      <w:r w:rsidRPr="00EF33EC">
        <w:rPr>
          <w:i/>
        </w:rPr>
        <w:t>Results</w:t>
      </w:r>
      <w:r w:rsidR="005E0D52">
        <w:rPr>
          <w:rFonts w:eastAsiaTheme="minorHAnsi" w:cs="Cambria"/>
          <w:color w:val="000000"/>
        </w:rPr>
        <w:t xml:space="preserve">: </w:t>
      </w:r>
      <w:r w:rsidR="000F61D3" w:rsidRPr="000F61D3">
        <w:rPr>
          <w:rFonts w:eastAsiaTheme="minorHAnsi" w:cs="Cambria"/>
          <w:color w:val="000000"/>
        </w:rPr>
        <w:t>In primary analysis results of</w:t>
      </w:r>
      <w:r w:rsidR="005E0D52">
        <w:rPr>
          <w:rFonts w:eastAsiaTheme="minorHAnsi" w:cs="Cambria"/>
          <w:color w:val="000000"/>
        </w:rPr>
        <w:t xml:space="preserve"> Study</w:t>
      </w:r>
      <w:r w:rsidR="000F61D3" w:rsidRPr="000F61D3">
        <w:rPr>
          <w:rFonts w:eastAsiaTheme="minorHAnsi" w:cs="Cambria"/>
          <w:color w:val="000000"/>
        </w:rPr>
        <w:t xml:space="preserve"> TCD14079 Part B, IRs of any grade were reported in 19 patients (40.4%), and in 20 episodes in 871 infusions (2.3%). All the IRs were Grade 2 and all IR episodes occurred during the first infusion (</w:t>
      </w:r>
      <w:r>
        <w:rPr>
          <w:rFonts w:eastAsiaTheme="minorHAnsi" w:cs="Cambria"/>
          <w:color w:val="000000"/>
        </w:rPr>
        <w:t>see</w:t>
      </w:r>
      <w:r w:rsidR="005E0D52">
        <w:rPr>
          <w:rFonts w:eastAsiaTheme="minorHAnsi" w:cs="Cambria"/>
          <w:color w:val="000000"/>
        </w:rPr>
        <w:t xml:space="preserve"> the following</w:t>
      </w:r>
      <w:r>
        <w:rPr>
          <w:rFonts w:eastAsiaTheme="minorHAnsi" w:cs="Cambria"/>
          <w:color w:val="000000"/>
        </w:rPr>
        <w:t xml:space="preserve"> table below</w:t>
      </w:r>
      <w:r w:rsidR="000F61D3" w:rsidRPr="000F61D3">
        <w:rPr>
          <w:rFonts w:eastAsiaTheme="minorHAnsi" w:cs="Cambria"/>
          <w:color w:val="000000"/>
        </w:rPr>
        <w:t>). Importantly, no IRs were reported after the first infusion.</w:t>
      </w:r>
    </w:p>
    <w:p w14:paraId="190EC579" w14:textId="3F3D3AF4" w:rsidR="000F61D3" w:rsidRDefault="000F61D3" w:rsidP="00167558">
      <w:pPr>
        <w:pStyle w:val="TableTitle"/>
      </w:pPr>
      <w:r>
        <w:lastRenderedPageBreak/>
        <w:t xml:space="preserve">Table </w:t>
      </w:r>
      <w:fldSimple w:instr=" SEQ Table \* ARABIC ">
        <w:r w:rsidR="00801CDC">
          <w:rPr>
            <w:noProof/>
          </w:rPr>
          <w:t>10</w:t>
        </w:r>
      </w:fldSimple>
      <w:r>
        <w:t xml:space="preserve">: </w:t>
      </w:r>
      <w:r w:rsidR="005E0D52" w:rsidRPr="005E0D52">
        <w:t xml:space="preserve">Study TCD14079 Part B </w:t>
      </w:r>
      <w:r w:rsidRPr="000F61D3">
        <w:t>Descr</w:t>
      </w:r>
      <w:r w:rsidR="001D6B7E">
        <w:t>iption of infusion reactions</w:t>
      </w:r>
      <w:r w:rsidR="005E0D52">
        <w:t xml:space="preserve"> (</w:t>
      </w:r>
      <w:r w:rsidR="001D6B7E">
        <w:t>a</w:t>
      </w:r>
      <w:r w:rsidRPr="000F61D3">
        <w:t>ll treated population</w:t>
      </w:r>
      <w:r w:rsidR="005E0D52">
        <w:t>)</w:t>
      </w:r>
    </w:p>
    <w:p w14:paraId="2FD5CC4C" w14:textId="66934C62" w:rsidR="000F61D3" w:rsidRDefault="000F61D3" w:rsidP="00167558">
      <w:pPr>
        <w:rPr>
          <w:rFonts w:eastAsiaTheme="minorHAnsi" w:cs="Cambria"/>
          <w:color w:val="000000"/>
        </w:rPr>
      </w:pPr>
      <w:r>
        <w:rPr>
          <w:noProof/>
          <w:lang w:eastAsia="en-AU"/>
        </w:rPr>
        <w:drawing>
          <wp:inline distT="0" distB="0" distL="0" distR="0" wp14:anchorId="3BE6468F" wp14:editId="3EC5D998">
            <wp:extent cx="4402460" cy="6368660"/>
            <wp:effectExtent l="0" t="0" r="0" b="0"/>
            <wp:docPr id="7" name="Picture 7" descr="Description of infusion reactions - all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8273" cy="6391536"/>
                    </a:xfrm>
                    <a:prstGeom prst="rect">
                      <a:avLst/>
                    </a:prstGeom>
                  </pic:spPr>
                </pic:pic>
              </a:graphicData>
            </a:graphic>
          </wp:inline>
        </w:drawing>
      </w:r>
    </w:p>
    <w:p w14:paraId="66258438" w14:textId="1206F19C" w:rsidR="000F61D3" w:rsidRPr="000F61D3" w:rsidRDefault="000F61D3" w:rsidP="00167558">
      <w:r w:rsidRPr="000F61D3">
        <w:t>In the population PK analysis (</w:t>
      </w:r>
      <w:r w:rsidR="005E0D52">
        <w:t xml:space="preserve">Report </w:t>
      </w:r>
      <w:r w:rsidRPr="000F61D3">
        <w:t xml:space="preserve">POH0503) when isatuximab is administered with weight based volume, body weight was already identified as a significant covariate with a 26% increase in linear </w:t>
      </w:r>
      <w:r w:rsidR="001D6B7E">
        <w:t>clearance (</w:t>
      </w:r>
      <w:r w:rsidRPr="000F61D3">
        <w:t>CL</w:t>
      </w:r>
      <w:r w:rsidR="001D6B7E">
        <w:t>)</w:t>
      </w:r>
      <w:r w:rsidRPr="000F61D3">
        <w:t xml:space="preserve"> at steady state and 19% increase in </w:t>
      </w:r>
      <w:r w:rsidR="001D6B7E">
        <w:t>apparent volume (</w:t>
      </w:r>
      <w:r w:rsidRPr="000F61D3">
        <w:t>V1</w:t>
      </w:r>
      <w:r w:rsidR="001D6B7E">
        <w:t>)</w:t>
      </w:r>
      <w:r w:rsidR="005E0D52">
        <w:t>;</w:t>
      </w:r>
      <w:r w:rsidR="001D6B7E">
        <w:rPr>
          <w:rStyle w:val="FootnoteReference"/>
        </w:rPr>
        <w:footnoteReference w:id="22"/>
      </w:r>
      <w:r w:rsidRPr="000F61D3">
        <w:t xml:space="preserve"> for a body weight of 109.5 kg (95th percentile in the population PK dataset) and a 21% and 17% decrease in linear CL at steady state and V1 respectively, for a body weight of 51.3 kg (5th percentile) compared to 75.6 kg (median weight).</w:t>
      </w:r>
    </w:p>
    <w:p w14:paraId="5BFC4CF0" w14:textId="5CC399FA" w:rsidR="000F61D3" w:rsidRDefault="000F61D3" w:rsidP="00167558">
      <w:r w:rsidRPr="000F61D3">
        <w:t>Simulations for a typical patient (5th percentile, median and 95th percentile of body weight) showed that patients with higher body weight (95th percentile) had a trend of higher exposure when isatuximab is given as body weight based dose (</w:t>
      </w:r>
      <w:r w:rsidR="001D6B7E">
        <w:t>see figure below</w:t>
      </w:r>
      <w:r w:rsidRPr="000F61D3">
        <w:t>).</w:t>
      </w:r>
    </w:p>
    <w:p w14:paraId="088EE84B" w14:textId="0688A1B6" w:rsidR="000F61D3" w:rsidRDefault="001D6B7E" w:rsidP="00167558">
      <w:pPr>
        <w:pStyle w:val="FigureTitle"/>
      </w:pPr>
      <w:r>
        <w:lastRenderedPageBreak/>
        <w:t xml:space="preserve">Figure </w:t>
      </w:r>
      <w:fldSimple w:instr=" SEQ Figure \* ARABIC ">
        <w:r w:rsidR="00801CDC">
          <w:rPr>
            <w:noProof/>
          </w:rPr>
          <w:t>4</w:t>
        </w:r>
      </w:fldSimple>
      <w:r w:rsidR="000F61D3">
        <w:t xml:space="preserve">: </w:t>
      </w:r>
      <w:r w:rsidR="005E0D52">
        <w:t xml:space="preserve">Report POH0503 </w:t>
      </w:r>
      <w:r w:rsidR="000F61D3" w:rsidRPr="000F61D3">
        <w:t>Isatuximab concentration-time pr</w:t>
      </w:r>
      <w:r>
        <w:t>ofile in a typical patient</w:t>
      </w:r>
      <w:r w:rsidR="000F61D3" w:rsidRPr="000F61D3">
        <w:t xml:space="preserve"> at 10 mg/kg </w:t>
      </w:r>
      <w:r>
        <w:t>once monthly</w:t>
      </w:r>
      <w:r w:rsidR="000F61D3" w:rsidRPr="000F61D3">
        <w:t xml:space="preserve"> then </w:t>
      </w:r>
      <w:r>
        <w:t>once every two weeks</w:t>
      </w:r>
    </w:p>
    <w:p w14:paraId="1C102758" w14:textId="2E1846DA" w:rsidR="000F61D3" w:rsidRDefault="000F61D3" w:rsidP="00167558">
      <w:pPr>
        <w:rPr>
          <w:rFonts w:eastAsiaTheme="minorHAnsi" w:cs="Cambria"/>
          <w:color w:val="000000"/>
        </w:rPr>
      </w:pPr>
      <w:r w:rsidRPr="000F61D3">
        <w:rPr>
          <w:rFonts w:eastAsiaTheme="minorHAnsi" w:cs="Cambria"/>
          <w:noProof/>
          <w:color w:val="000000"/>
          <w:lang w:eastAsia="en-AU"/>
        </w:rPr>
        <w:drawing>
          <wp:inline distT="0" distB="0" distL="0" distR="0" wp14:anchorId="17B5182F" wp14:editId="69732A9E">
            <wp:extent cx="3683635" cy="3359150"/>
            <wp:effectExtent l="0" t="0" r="0" b="0"/>
            <wp:docPr id="8" name="Picture 8" descr="Isatuximab concentration-time profile in a typical patient at 10 mg/kg once monthly then once every two weeks (POH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635" cy="3359150"/>
                    </a:xfrm>
                    <a:prstGeom prst="rect">
                      <a:avLst/>
                    </a:prstGeom>
                    <a:noFill/>
                    <a:ln>
                      <a:noFill/>
                    </a:ln>
                  </pic:spPr>
                </pic:pic>
              </a:graphicData>
            </a:graphic>
          </wp:inline>
        </w:drawing>
      </w:r>
    </w:p>
    <w:p w14:paraId="7462E53F" w14:textId="7A9710A5" w:rsidR="001D6B7E" w:rsidRDefault="001D6B7E" w:rsidP="00167558">
      <w:pPr>
        <w:pStyle w:val="TableDescription"/>
        <w:rPr>
          <w:rFonts w:eastAsiaTheme="minorHAnsi" w:cs="Cambria"/>
          <w:color w:val="000000"/>
        </w:rPr>
      </w:pPr>
      <w:r>
        <w:rPr>
          <w:rFonts w:eastAsiaTheme="minorHAnsi" w:cs="Cambria"/>
          <w:color w:val="000000"/>
        </w:rPr>
        <w:t xml:space="preserve">‘Typical patient’ = </w:t>
      </w:r>
      <w:r>
        <w:t>male, Ig MM Type=IgG, n</w:t>
      </w:r>
      <w:r w:rsidRPr="000F61D3">
        <w:t>ot A</w:t>
      </w:r>
      <w:r>
        <w:t>sian, β2 microglobulin=3.9 mg/L.</w:t>
      </w:r>
    </w:p>
    <w:p w14:paraId="056A80C1" w14:textId="77777777" w:rsidR="001D6B7E" w:rsidRDefault="00A07330" w:rsidP="00167558">
      <w:pPr>
        <w:rPr>
          <w:rFonts w:eastAsiaTheme="minorHAnsi" w:cs="Cambria"/>
          <w:color w:val="000000"/>
        </w:rPr>
      </w:pPr>
      <w:r w:rsidRPr="00A07330">
        <w:rPr>
          <w:rFonts w:eastAsiaTheme="minorHAnsi" w:cs="Cambria"/>
          <w:color w:val="000000"/>
        </w:rPr>
        <w:t xml:space="preserve">In this context, to assess the impact of the different </w:t>
      </w:r>
      <w:r w:rsidR="001D6B7E">
        <w:rPr>
          <w:rFonts w:eastAsiaTheme="minorHAnsi" w:cs="Cambria"/>
          <w:color w:val="000000"/>
        </w:rPr>
        <w:t>IV</w:t>
      </w:r>
      <w:r w:rsidRPr="00A07330">
        <w:rPr>
          <w:rFonts w:eastAsiaTheme="minorHAnsi" w:cs="Cambria"/>
          <w:color w:val="000000"/>
        </w:rPr>
        <w:t xml:space="preserve"> infusion durations on isatuximab </w:t>
      </w:r>
      <w:r w:rsidR="001D6B7E">
        <w:rPr>
          <w:rFonts w:eastAsiaTheme="minorHAnsi" w:cs="Cambria"/>
          <w:color w:val="000000"/>
        </w:rPr>
        <w:t>PK</w:t>
      </w:r>
      <w:r w:rsidRPr="00A07330">
        <w:rPr>
          <w:rFonts w:eastAsiaTheme="minorHAnsi" w:cs="Cambria"/>
          <w:color w:val="000000"/>
        </w:rPr>
        <w:t>, simulations using the previously developed population PK model were performed for a typical patient where all covariates were kept the same, except for body weight, using</w:t>
      </w:r>
      <w:r w:rsidR="001D6B7E">
        <w:rPr>
          <w:rFonts w:eastAsiaTheme="minorHAnsi" w:cs="Cambria"/>
          <w:color w:val="000000"/>
        </w:rPr>
        <w:t>:</w:t>
      </w:r>
    </w:p>
    <w:p w14:paraId="3ACA55C3" w14:textId="74F06B22" w:rsidR="001D6B7E" w:rsidRDefault="00A07330" w:rsidP="00167558">
      <w:pPr>
        <w:pStyle w:val="ListBullet"/>
      </w:pPr>
      <w:r w:rsidRPr="00A07330">
        <w:t xml:space="preserve">the fixed volume </w:t>
      </w:r>
      <w:r w:rsidR="001D6B7E">
        <w:t>infusion method implemented in S</w:t>
      </w:r>
      <w:r w:rsidRPr="00A07330">
        <w:t>tudy TCD14079 Part B (with different m</w:t>
      </w:r>
      <w:r w:rsidR="001D6B7E">
        <w:t>L/hour infusion rates), and</w:t>
      </w:r>
    </w:p>
    <w:p w14:paraId="3D3AFC02" w14:textId="77777777" w:rsidR="001D6B7E" w:rsidRDefault="00A07330" w:rsidP="00167558">
      <w:pPr>
        <w:pStyle w:val="ListBullet"/>
      </w:pPr>
      <w:r w:rsidRPr="00A07330">
        <w:t>an infusion method consisting of a weight-based volume (with dif</w:t>
      </w:r>
      <w:r w:rsidR="001D6B7E">
        <w:t>ferent mg/hour infusion rates).</w:t>
      </w:r>
    </w:p>
    <w:p w14:paraId="4D90C9BC" w14:textId="282C03C9" w:rsidR="00A07330" w:rsidRDefault="00A07330" w:rsidP="00167558">
      <w:pPr>
        <w:rPr>
          <w:rFonts w:eastAsiaTheme="minorHAnsi" w:cs="Cambria"/>
          <w:color w:val="000000"/>
        </w:rPr>
      </w:pPr>
      <w:r w:rsidRPr="00A07330">
        <w:rPr>
          <w:rFonts w:eastAsiaTheme="minorHAnsi" w:cs="Cambria"/>
          <w:color w:val="000000"/>
        </w:rPr>
        <w:t>In other words, the infusion duration per administration (first, second, or subsequent) remains the same across patients with the fixed-volume infusion protocol, while the duration per administration increased with weight a</w:t>
      </w:r>
      <w:r w:rsidR="001D6B7E">
        <w:rPr>
          <w:rFonts w:eastAsiaTheme="minorHAnsi" w:cs="Cambria"/>
          <w:color w:val="000000"/>
        </w:rPr>
        <w:t xml:space="preserve">cross patients for the variable volume (body weight </w:t>
      </w:r>
      <w:r w:rsidRPr="00A07330">
        <w:rPr>
          <w:rFonts w:eastAsiaTheme="minorHAnsi" w:cs="Cambria"/>
          <w:color w:val="000000"/>
        </w:rPr>
        <w:t xml:space="preserve">based) infusion protocol. The infusion durations for a patient with low (5th percentile of </w:t>
      </w:r>
      <w:r w:rsidR="00DF24AF">
        <w:rPr>
          <w:rFonts w:eastAsiaTheme="minorHAnsi" w:cs="Cambria"/>
          <w:color w:val="000000"/>
        </w:rPr>
        <w:t xml:space="preserve">population PK Report </w:t>
      </w:r>
      <w:r w:rsidRPr="00A07330">
        <w:rPr>
          <w:rFonts w:eastAsiaTheme="minorHAnsi" w:cs="Cambria"/>
          <w:color w:val="000000"/>
        </w:rPr>
        <w:t>POH0503 dataset), median (50th percentile of POH0503 dataset), or high (95th percentile of POH0503 dataset) body weight for the two infusion protocols are summari</w:t>
      </w:r>
      <w:r w:rsidR="00DF24AF">
        <w:rPr>
          <w:rFonts w:eastAsiaTheme="minorHAnsi" w:cs="Cambria"/>
          <w:color w:val="000000"/>
        </w:rPr>
        <w:t>s</w:t>
      </w:r>
      <w:r w:rsidRPr="00A07330">
        <w:rPr>
          <w:rFonts w:eastAsiaTheme="minorHAnsi" w:cs="Cambria"/>
          <w:color w:val="000000"/>
        </w:rPr>
        <w:t>ed in</w:t>
      </w:r>
      <w:r w:rsidR="001D6B7E">
        <w:rPr>
          <w:rFonts w:eastAsiaTheme="minorHAnsi" w:cs="Cambria"/>
          <w:color w:val="000000"/>
        </w:rPr>
        <w:t xml:space="preserve"> </w:t>
      </w:r>
      <w:r w:rsidR="001D6B7E">
        <w:rPr>
          <w:rFonts w:eastAsiaTheme="minorHAnsi" w:cs="Cambria"/>
          <w:color w:val="000000"/>
        </w:rPr>
        <w:fldChar w:fldCharType="begin"/>
      </w:r>
      <w:r w:rsidR="001D6B7E">
        <w:rPr>
          <w:rFonts w:eastAsiaTheme="minorHAnsi" w:cs="Cambria"/>
          <w:color w:val="000000"/>
        </w:rPr>
        <w:instrText xml:space="preserve"> REF _Ref50464801 \h </w:instrText>
      </w:r>
      <w:r w:rsidR="001D6B7E">
        <w:rPr>
          <w:rFonts w:eastAsiaTheme="minorHAnsi" w:cs="Cambria"/>
          <w:color w:val="000000"/>
        </w:rPr>
      </w:r>
      <w:r w:rsidR="001D6B7E">
        <w:rPr>
          <w:rFonts w:eastAsiaTheme="minorHAnsi" w:cs="Cambria"/>
          <w:color w:val="000000"/>
        </w:rPr>
        <w:fldChar w:fldCharType="separate"/>
      </w:r>
      <w:r w:rsidR="00801CDC">
        <w:t xml:space="preserve">Table </w:t>
      </w:r>
      <w:r w:rsidR="00801CDC">
        <w:rPr>
          <w:noProof/>
        </w:rPr>
        <w:t>11</w:t>
      </w:r>
      <w:r w:rsidR="001D6B7E">
        <w:rPr>
          <w:rFonts w:eastAsiaTheme="minorHAnsi" w:cs="Cambria"/>
          <w:color w:val="000000"/>
        </w:rPr>
        <w:fldChar w:fldCharType="end"/>
      </w:r>
      <w:r w:rsidRPr="00A07330">
        <w:rPr>
          <w:rFonts w:eastAsiaTheme="minorHAnsi" w:cs="Cambria"/>
          <w:color w:val="000000"/>
        </w:rPr>
        <w:t>. The effect of these two infusion protocols on isatuximab PK parameters is shown in</w:t>
      </w:r>
      <w:r w:rsidR="001D6B7E">
        <w:rPr>
          <w:rFonts w:eastAsiaTheme="minorHAnsi" w:cs="Cambria"/>
          <w:color w:val="000000"/>
        </w:rPr>
        <w:t xml:space="preserve"> </w:t>
      </w:r>
      <w:r w:rsidR="001D6B7E">
        <w:rPr>
          <w:rFonts w:eastAsiaTheme="minorHAnsi" w:cs="Cambria"/>
          <w:color w:val="000000"/>
        </w:rPr>
        <w:fldChar w:fldCharType="begin"/>
      </w:r>
      <w:r w:rsidR="001D6B7E">
        <w:rPr>
          <w:rFonts w:eastAsiaTheme="minorHAnsi" w:cs="Cambria"/>
          <w:color w:val="000000"/>
        </w:rPr>
        <w:instrText xml:space="preserve"> REF _Ref50464815 \h </w:instrText>
      </w:r>
      <w:r w:rsidR="001D6B7E">
        <w:rPr>
          <w:rFonts w:eastAsiaTheme="minorHAnsi" w:cs="Cambria"/>
          <w:color w:val="000000"/>
        </w:rPr>
      </w:r>
      <w:r w:rsidR="001D6B7E">
        <w:rPr>
          <w:rFonts w:eastAsiaTheme="minorHAnsi" w:cs="Cambria"/>
          <w:color w:val="000000"/>
        </w:rPr>
        <w:fldChar w:fldCharType="separate"/>
      </w:r>
      <w:r w:rsidR="00801CDC">
        <w:t xml:space="preserve">Table </w:t>
      </w:r>
      <w:r w:rsidR="00801CDC">
        <w:rPr>
          <w:noProof/>
        </w:rPr>
        <w:t>12</w:t>
      </w:r>
      <w:r w:rsidR="001D6B7E">
        <w:rPr>
          <w:rFonts w:eastAsiaTheme="minorHAnsi" w:cs="Cambria"/>
          <w:color w:val="000000"/>
        </w:rPr>
        <w:fldChar w:fldCharType="end"/>
      </w:r>
      <w:r w:rsidRPr="00A07330">
        <w:rPr>
          <w:rFonts w:eastAsiaTheme="minorHAnsi" w:cs="Cambria"/>
          <w:color w:val="000000"/>
        </w:rPr>
        <w:t>.</w:t>
      </w:r>
    </w:p>
    <w:p w14:paraId="05414499" w14:textId="102AFF39" w:rsidR="00A07330" w:rsidRPr="00A07330" w:rsidRDefault="00A07330" w:rsidP="00A07330">
      <w:pPr>
        <w:rPr>
          <w:rFonts w:eastAsiaTheme="minorHAnsi" w:cs="Cambria"/>
          <w:color w:val="000000"/>
        </w:rPr>
      </w:pPr>
      <w:r w:rsidRPr="00A07330">
        <w:rPr>
          <w:rFonts w:eastAsiaTheme="minorHAnsi" w:cs="Cambria"/>
          <w:color w:val="000000"/>
        </w:rPr>
        <w:t>As shown in</w:t>
      </w:r>
      <w:r w:rsidR="001D6B7E">
        <w:rPr>
          <w:rFonts w:eastAsiaTheme="minorHAnsi" w:cs="Cambria"/>
          <w:color w:val="000000"/>
        </w:rPr>
        <w:t xml:space="preserve"> </w:t>
      </w:r>
      <w:r w:rsidR="001D6B7E">
        <w:rPr>
          <w:rFonts w:eastAsiaTheme="minorHAnsi" w:cs="Cambria"/>
          <w:color w:val="000000"/>
        </w:rPr>
        <w:fldChar w:fldCharType="begin"/>
      </w:r>
      <w:r w:rsidR="001D6B7E">
        <w:rPr>
          <w:rFonts w:eastAsiaTheme="minorHAnsi" w:cs="Cambria"/>
          <w:color w:val="000000"/>
        </w:rPr>
        <w:instrText xml:space="preserve"> REF _Ref50464815 \h </w:instrText>
      </w:r>
      <w:r w:rsidR="001D6B7E">
        <w:rPr>
          <w:rFonts w:eastAsiaTheme="minorHAnsi" w:cs="Cambria"/>
          <w:color w:val="000000"/>
        </w:rPr>
      </w:r>
      <w:r w:rsidR="001D6B7E">
        <w:rPr>
          <w:rFonts w:eastAsiaTheme="minorHAnsi" w:cs="Cambria"/>
          <w:color w:val="000000"/>
        </w:rPr>
        <w:fldChar w:fldCharType="separate"/>
      </w:r>
      <w:r w:rsidR="00801CDC">
        <w:t xml:space="preserve">Table </w:t>
      </w:r>
      <w:r w:rsidR="00801CDC">
        <w:rPr>
          <w:noProof/>
        </w:rPr>
        <w:t>12</w:t>
      </w:r>
      <w:r w:rsidR="001D6B7E">
        <w:rPr>
          <w:rFonts w:eastAsiaTheme="minorHAnsi" w:cs="Cambria"/>
          <w:color w:val="000000"/>
        </w:rPr>
        <w:fldChar w:fldCharType="end"/>
      </w:r>
      <w:r w:rsidRPr="00A07330">
        <w:rPr>
          <w:rFonts w:eastAsiaTheme="minorHAnsi" w:cs="Cambria"/>
          <w:color w:val="000000"/>
        </w:rPr>
        <w:t xml:space="preserve">, the shorter infusion duration implemented from the second administration with the fixed volume infusion method in </w:t>
      </w:r>
      <w:r w:rsidR="001D6B7E">
        <w:rPr>
          <w:rFonts w:eastAsiaTheme="minorHAnsi" w:cs="Cambria"/>
          <w:color w:val="000000"/>
        </w:rPr>
        <w:t>Study</w:t>
      </w:r>
      <w:r w:rsidRPr="00A07330">
        <w:rPr>
          <w:rFonts w:eastAsiaTheme="minorHAnsi" w:cs="Cambria"/>
          <w:color w:val="000000"/>
        </w:rPr>
        <w:t xml:space="preserve">TCD14079 Part B has no impact on </w:t>
      </w:r>
      <w:r w:rsidR="001D6B7E">
        <w:rPr>
          <w:rFonts w:eastAsiaTheme="minorHAnsi" w:cs="Cambria"/>
          <w:color w:val="000000"/>
        </w:rPr>
        <w:t>maximum plasma concentration (</w:t>
      </w:r>
      <w:r w:rsidRPr="00A07330">
        <w:rPr>
          <w:rFonts w:eastAsiaTheme="minorHAnsi" w:cs="Cambria"/>
          <w:color w:val="000000"/>
        </w:rPr>
        <w:t>C</w:t>
      </w:r>
      <w:r w:rsidRPr="00167558">
        <w:rPr>
          <w:rFonts w:eastAsiaTheme="minorHAnsi" w:cs="Cambria"/>
          <w:color w:val="000000"/>
          <w:vertAlign w:val="subscript"/>
        </w:rPr>
        <w:t>max</w:t>
      </w:r>
      <w:r w:rsidR="001D6B7E">
        <w:rPr>
          <w:rFonts w:eastAsiaTheme="minorHAnsi" w:cs="Cambria"/>
          <w:color w:val="000000"/>
        </w:rPr>
        <w:t>)</w:t>
      </w:r>
      <w:r w:rsidRPr="00A07330">
        <w:rPr>
          <w:rFonts w:eastAsiaTheme="minorHAnsi" w:cs="Cambria"/>
          <w:color w:val="000000"/>
        </w:rPr>
        <w:t xml:space="preserve"> after repeat administration, although it </w:t>
      </w:r>
      <w:r w:rsidR="00A11F7B">
        <w:rPr>
          <w:rFonts w:eastAsiaTheme="minorHAnsi" w:cs="Cambria"/>
          <w:color w:val="000000"/>
        </w:rPr>
        <w:t>occurred earlier as expected (that is</w:t>
      </w:r>
      <w:r w:rsidRPr="00A07330">
        <w:rPr>
          <w:rFonts w:eastAsiaTheme="minorHAnsi" w:cs="Cambria"/>
          <w:color w:val="000000"/>
        </w:rPr>
        <w:t>, end of infusion).</w:t>
      </w:r>
    </w:p>
    <w:p w14:paraId="3C75E22A" w14:textId="259890FF" w:rsidR="00A07330" w:rsidRDefault="00A07330" w:rsidP="00167558">
      <w:pPr>
        <w:rPr>
          <w:rFonts w:eastAsiaTheme="minorHAnsi" w:cs="Cambria"/>
          <w:color w:val="000000"/>
        </w:rPr>
      </w:pPr>
      <w:r w:rsidRPr="00A07330">
        <w:rPr>
          <w:rFonts w:eastAsiaTheme="minorHAnsi" w:cs="Cambria"/>
          <w:color w:val="000000"/>
        </w:rPr>
        <w:t xml:space="preserve">To conclude, the change of the duration of infusion has minimal to no impact on isatuximab PK and the effect on body weight on isatuximab PK remains unchanged when isatuximab is administered with the </w:t>
      </w:r>
      <w:r w:rsidR="00A11F7B">
        <w:rPr>
          <w:rFonts w:eastAsiaTheme="minorHAnsi" w:cs="Cambria"/>
          <w:color w:val="000000"/>
        </w:rPr>
        <w:t>fixed volume infusion method (that is</w:t>
      </w:r>
      <w:r w:rsidRPr="00A07330">
        <w:rPr>
          <w:rFonts w:eastAsiaTheme="minorHAnsi" w:cs="Cambria"/>
          <w:color w:val="000000"/>
        </w:rPr>
        <w:t>, trend of higher plas</w:t>
      </w:r>
      <w:r w:rsidR="00A11F7B">
        <w:rPr>
          <w:rFonts w:eastAsiaTheme="minorHAnsi" w:cs="Cambria"/>
          <w:color w:val="000000"/>
        </w:rPr>
        <w:t xml:space="preserve">ma isatuximab concentration (that is, </w:t>
      </w:r>
      <w:r w:rsidRPr="00A07330">
        <w:rPr>
          <w:rFonts w:eastAsiaTheme="minorHAnsi" w:cs="Cambria"/>
          <w:color w:val="000000"/>
        </w:rPr>
        <w:t>C</w:t>
      </w:r>
      <w:r w:rsidRPr="00167558">
        <w:rPr>
          <w:rFonts w:eastAsiaTheme="minorHAnsi" w:cs="Cambria"/>
          <w:color w:val="000000"/>
          <w:vertAlign w:val="subscript"/>
        </w:rPr>
        <w:t>max</w:t>
      </w:r>
      <w:r w:rsidRPr="00A07330">
        <w:rPr>
          <w:rFonts w:eastAsiaTheme="minorHAnsi" w:cs="Cambria"/>
          <w:color w:val="000000"/>
        </w:rPr>
        <w:t>) in higher body weight patients).</w:t>
      </w:r>
    </w:p>
    <w:p w14:paraId="225DCB9B" w14:textId="21F98FDF" w:rsidR="00A07330" w:rsidRDefault="00A07330" w:rsidP="00167558">
      <w:pPr>
        <w:pStyle w:val="TableTitle"/>
        <w:rPr>
          <w:rFonts w:eastAsiaTheme="minorHAnsi" w:cs="Cambria"/>
          <w:color w:val="000000"/>
        </w:rPr>
      </w:pPr>
      <w:bookmarkStart w:id="45" w:name="_Ref50464801"/>
      <w:r>
        <w:lastRenderedPageBreak/>
        <w:t xml:space="preserve">Table </w:t>
      </w:r>
      <w:fldSimple w:instr=" SEQ Table \* ARABIC ">
        <w:r w:rsidR="00801CDC">
          <w:rPr>
            <w:noProof/>
          </w:rPr>
          <w:t>11</w:t>
        </w:r>
      </w:fldSimple>
      <w:bookmarkEnd w:id="45"/>
      <w:r>
        <w:t xml:space="preserve">: Duration of infusion used for the </w:t>
      </w:r>
      <w:r w:rsidR="00A11F7B">
        <w:t>pharmacokinetics</w:t>
      </w:r>
      <w:r>
        <w:t xml:space="preserve"> simulations by infusion protocol and body weight per administration at 10 mg/kg </w:t>
      </w:r>
      <w:r w:rsidR="00A11F7B">
        <w:t>once weekly</w:t>
      </w:r>
      <w:r>
        <w:t>/</w:t>
      </w:r>
      <w:r w:rsidR="00A11F7B">
        <w:t xml:space="preserve">once every 2 weeks </w:t>
      </w:r>
      <w:r w:rsidR="00DF24AF">
        <w:t>(</w:t>
      </w:r>
      <w:r w:rsidR="00A11F7B">
        <w:t>c</w:t>
      </w:r>
      <w:r>
        <w:t>omparison of the 2 infusion protocols</w:t>
      </w:r>
      <w:r w:rsidR="00DF24AF">
        <w:t>)</w:t>
      </w:r>
    </w:p>
    <w:p w14:paraId="0B7820E8" w14:textId="5294A8BE" w:rsidR="00A07330" w:rsidRDefault="00A07330" w:rsidP="00167558">
      <w:pPr>
        <w:rPr>
          <w:rFonts w:eastAsiaTheme="minorHAnsi" w:cs="Cambria"/>
          <w:color w:val="000000"/>
        </w:rPr>
      </w:pPr>
      <w:r>
        <w:rPr>
          <w:noProof/>
          <w:lang w:eastAsia="en-AU"/>
        </w:rPr>
        <w:drawing>
          <wp:inline distT="0" distB="0" distL="0" distR="0" wp14:anchorId="71E63918" wp14:editId="4078E65A">
            <wp:extent cx="4882551" cy="3097526"/>
            <wp:effectExtent l="0" t="0" r="0" b="8255"/>
            <wp:docPr id="15" name="Picture 15" descr="Duration of infusion used for the phamacokinetics simulations by infusion protocol and body weight per administration at 10 mg/kg once weekly/once every 2 weeks – comparison of the 2 infusion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395" cy="3099964"/>
                    </a:xfrm>
                    <a:prstGeom prst="rect">
                      <a:avLst/>
                    </a:prstGeom>
                  </pic:spPr>
                </pic:pic>
              </a:graphicData>
            </a:graphic>
          </wp:inline>
        </w:drawing>
      </w:r>
    </w:p>
    <w:p w14:paraId="2C1A6F9E" w14:textId="66F1B60E" w:rsidR="00A07330" w:rsidRDefault="00A07330" w:rsidP="00167558">
      <w:pPr>
        <w:pStyle w:val="TableTitle"/>
        <w:rPr>
          <w:rFonts w:eastAsiaTheme="minorHAnsi" w:cs="Cambria"/>
          <w:color w:val="000000"/>
        </w:rPr>
      </w:pPr>
      <w:bookmarkStart w:id="46" w:name="_Ref50464815"/>
      <w:r>
        <w:lastRenderedPageBreak/>
        <w:t xml:space="preserve">Table </w:t>
      </w:r>
      <w:fldSimple w:instr=" SEQ Table \* ARABIC ">
        <w:r w:rsidR="00801CDC">
          <w:rPr>
            <w:noProof/>
          </w:rPr>
          <w:t>12</w:t>
        </w:r>
      </w:fldSimple>
      <w:bookmarkEnd w:id="46"/>
      <w:r>
        <w:t xml:space="preserve">: Effect of the duration of infusion on the </w:t>
      </w:r>
      <w:r w:rsidR="00A11F7B">
        <w:t>pharmacokinetics</w:t>
      </w:r>
      <w:r>
        <w:t xml:space="preserve"> parameters of a typical patient after isatuximab at 10 mg/kg </w:t>
      </w:r>
      <w:r w:rsidR="00A11F7B">
        <w:t xml:space="preserve">once weekly/once every 2 weeks </w:t>
      </w:r>
      <w:r w:rsidR="00DF24AF">
        <w:t>(</w:t>
      </w:r>
      <w:r w:rsidR="00A11F7B">
        <w:t>c</w:t>
      </w:r>
      <w:r>
        <w:t>omparison of the 2 infusion protocols</w:t>
      </w:r>
      <w:r w:rsidR="00DF24AF">
        <w:t>)</w:t>
      </w:r>
    </w:p>
    <w:p w14:paraId="3124D041" w14:textId="677F22ED" w:rsidR="00A07330" w:rsidRDefault="00A07330" w:rsidP="00167558">
      <w:pPr>
        <w:rPr>
          <w:rFonts w:eastAsiaTheme="minorHAnsi" w:cs="Cambria"/>
          <w:color w:val="000000"/>
        </w:rPr>
      </w:pPr>
      <w:r>
        <w:rPr>
          <w:noProof/>
          <w:lang w:eastAsia="en-AU"/>
        </w:rPr>
        <w:drawing>
          <wp:inline distT="0" distB="0" distL="0" distR="0" wp14:anchorId="3A0F6A1D" wp14:editId="6B0BD8FA">
            <wp:extent cx="4787660" cy="4715598"/>
            <wp:effectExtent l="0" t="0" r="0" b="8890"/>
            <wp:docPr id="16" name="Picture 16" descr="Effect of the duration of infusion on the pharmacokinetics parameters of a typical patient after isatuximab at 10 mg/kg once weekly/once every 2 weeks – comparison of the 2 infusion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0389" cy="4728135"/>
                    </a:xfrm>
                    <a:prstGeom prst="rect">
                      <a:avLst/>
                    </a:prstGeom>
                  </pic:spPr>
                </pic:pic>
              </a:graphicData>
            </a:graphic>
          </wp:inline>
        </w:drawing>
      </w:r>
    </w:p>
    <w:p w14:paraId="3811B9A4" w14:textId="2E7BE798" w:rsidR="00A07330" w:rsidRPr="00EF33EC" w:rsidRDefault="008F62CB" w:rsidP="00EF33EC">
      <w:pPr>
        <w:pStyle w:val="Numberbullet0"/>
        <w:rPr>
          <w:b/>
          <w:i/>
        </w:rPr>
      </w:pPr>
      <w:r w:rsidRPr="00EF33EC">
        <w:rPr>
          <w:b/>
          <w:i/>
        </w:rPr>
        <w:t>Provide an analysis of the rate of infusion reactions in high-body weight individuals compared to those of standard and low body-weight, specifying the weight cut-offs for these strata</w:t>
      </w:r>
      <w:r w:rsidR="00BF2155">
        <w:rPr>
          <w:b/>
          <w:i/>
        </w:rPr>
        <w:t>.</w:t>
      </w:r>
    </w:p>
    <w:p w14:paraId="1452FB8A" w14:textId="4650482C" w:rsidR="008F62CB" w:rsidRPr="00EF33EC" w:rsidRDefault="00A07330" w:rsidP="00EF33EC">
      <w:pPr>
        <w:rPr>
          <w:i/>
        </w:rPr>
      </w:pPr>
      <w:r w:rsidRPr="00EF33EC">
        <w:rPr>
          <w:i/>
        </w:rPr>
        <w:t>Sponsor’s response</w:t>
      </w:r>
    </w:p>
    <w:p w14:paraId="4E8887C4" w14:textId="7113323F" w:rsidR="008F62CB" w:rsidRDefault="006A23A2" w:rsidP="00167558">
      <w:pPr>
        <w:rPr>
          <w:rFonts w:eastAsiaTheme="minorHAnsi" w:cs="Cambria"/>
          <w:color w:val="000000"/>
        </w:rPr>
      </w:pPr>
      <w:r w:rsidRPr="006A23A2">
        <w:rPr>
          <w:rFonts w:eastAsiaTheme="minorHAnsi" w:cs="Cambria"/>
          <w:color w:val="000000"/>
        </w:rPr>
        <w:t>Rate of infusion reactions by body weight (&lt;</w:t>
      </w:r>
      <w:r w:rsidR="00A11F7B">
        <w:rPr>
          <w:rFonts w:eastAsiaTheme="minorHAnsi" w:cs="Cambria"/>
          <w:color w:val="000000"/>
        </w:rPr>
        <w:t xml:space="preserve"> </w:t>
      </w:r>
      <w:r w:rsidRPr="006A23A2">
        <w:rPr>
          <w:rFonts w:eastAsiaTheme="minorHAnsi" w:cs="Cambria"/>
          <w:color w:val="000000"/>
        </w:rPr>
        <w:t>50 kg, ≥</w:t>
      </w:r>
      <w:r w:rsidR="00A11F7B">
        <w:rPr>
          <w:rFonts w:eastAsiaTheme="minorHAnsi" w:cs="Cambria"/>
          <w:color w:val="000000"/>
        </w:rPr>
        <w:t xml:space="preserve"> 50 to </w:t>
      </w:r>
      <w:r w:rsidRPr="006A23A2">
        <w:rPr>
          <w:rFonts w:eastAsiaTheme="minorHAnsi" w:cs="Cambria"/>
          <w:color w:val="000000"/>
        </w:rPr>
        <w:t>&lt;</w:t>
      </w:r>
      <w:r w:rsidR="00A11F7B">
        <w:rPr>
          <w:rFonts w:eastAsiaTheme="minorHAnsi" w:cs="Cambria"/>
          <w:color w:val="000000"/>
        </w:rPr>
        <w:t xml:space="preserve"> </w:t>
      </w:r>
      <w:r w:rsidRPr="006A23A2">
        <w:rPr>
          <w:rFonts w:eastAsiaTheme="minorHAnsi" w:cs="Cambria"/>
          <w:color w:val="000000"/>
        </w:rPr>
        <w:t>100 and ≥</w:t>
      </w:r>
      <w:r w:rsidR="00A11F7B">
        <w:rPr>
          <w:rFonts w:eastAsiaTheme="minorHAnsi" w:cs="Cambria"/>
          <w:color w:val="000000"/>
        </w:rPr>
        <w:t xml:space="preserve"> </w:t>
      </w:r>
      <w:r w:rsidRPr="006A23A2">
        <w:rPr>
          <w:rFonts w:eastAsiaTheme="minorHAnsi" w:cs="Cambria"/>
          <w:color w:val="000000"/>
        </w:rPr>
        <w:t>100</w:t>
      </w:r>
      <w:r w:rsidR="00A11F7B">
        <w:rPr>
          <w:rFonts w:eastAsiaTheme="minorHAnsi" w:cs="Cambria"/>
          <w:color w:val="000000"/>
        </w:rPr>
        <w:t xml:space="preserve"> </w:t>
      </w:r>
      <w:r w:rsidRPr="006A23A2">
        <w:rPr>
          <w:rFonts w:eastAsiaTheme="minorHAnsi" w:cs="Cambria"/>
          <w:color w:val="000000"/>
        </w:rPr>
        <w:t xml:space="preserve">kg) for </w:t>
      </w:r>
      <w:r w:rsidR="00A11F7B">
        <w:rPr>
          <w:rFonts w:eastAsiaTheme="minorHAnsi" w:cs="Cambria"/>
          <w:color w:val="000000"/>
        </w:rPr>
        <w:t>Study </w:t>
      </w:r>
      <w:r w:rsidRPr="006A23A2">
        <w:rPr>
          <w:rFonts w:eastAsiaTheme="minorHAnsi" w:cs="Cambria"/>
          <w:color w:val="000000"/>
        </w:rPr>
        <w:t>TCD14079 Part B and all isat</w:t>
      </w:r>
      <w:r w:rsidR="00A11F7B">
        <w:rPr>
          <w:rFonts w:eastAsiaTheme="minorHAnsi" w:cs="Cambria"/>
          <w:color w:val="000000"/>
        </w:rPr>
        <w:t xml:space="preserve">uximab-treated patients (weight </w:t>
      </w:r>
      <w:r w:rsidRPr="006A23A2">
        <w:rPr>
          <w:rFonts w:eastAsiaTheme="minorHAnsi" w:cs="Cambria"/>
          <w:color w:val="000000"/>
        </w:rPr>
        <w:t>based infusion volume) presented by data pool (</w:t>
      </w:r>
      <w:r w:rsidR="00A11F7B">
        <w:t xml:space="preserve">isatuximab </w:t>
      </w:r>
      <w:r w:rsidR="00FA0197">
        <w:t>plus</w:t>
      </w:r>
      <w:r w:rsidR="00A11F7B">
        <w:t xml:space="preserve"> pomalidomide</w:t>
      </w:r>
      <w:r w:rsidRPr="006A23A2">
        <w:rPr>
          <w:rFonts w:eastAsiaTheme="minorHAnsi" w:cs="Cambria"/>
          <w:color w:val="000000"/>
        </w:rPr>
        <w:t xml:space="preserve">, isatuximab </w:t>
      </w:r>
      <w:r w:rsidR="00FA0197">
        <w:rPr>
          <w:rFonts w:eastAsiaTheme="minorHAnsi" w:cs="Cambria"/>
          <w:color w:val="000000"/>
        </w:rPr>
        <w:t xml:space="preserve">with or without </w:t>
      </w:r>
      <w:r w:rsidRPr="006A23A2">
        <w:rPr>
          <w:rFonts w:eastAsiaTheme="minorHAnsi" w:cs="Cambria"/>
          <w:color w:val="000000"/>
        </w:rPr>
        <w:t>dexamethasone, other combinations and all isatuximab-treated patients) and overall are provided in</w:t>
      </w:r>
      <w:r w:rsidR="00A11F7B">
        <w:rPr>
          <w:rFonts w:eastAsiaTheme="minorHAnsi" w:cs="Cambria"/>
          <w:color w:val="000000"/>
        </w:rPr>
        <w:t xml:space="preserve"> </w:t>
      </w:r>
      <w:r w:rsidR="00A11F7B">
        <w:rPr>
          <w:rFonts w:eastAsiaTheme="minorHAnsi" w:cs="Cambria"/>
          <w:color w:val="000000"/>
        </w:rPr>
        <w:fldChar w:fldCharType="begin"/>
      </w:r>
      <w:r w:rsidR="00A11F7B">
        <w:rPr>
          <w:rFonts w:eastAsiaTheme="minorHAnsi" w:cs="Cambria"/>
          <w:color w:val="000000"/>
        </w:rPr>
        <w:instrText xml:space="preserve"> REF _Ref50465091 \h </w:instrText>
      </w:r>
      <w:r w:rsidR="00A11F7B">
        <w:rPr>
          <w:rFonts w:eastAsiaTheme="minorHAnsi" w:cs="Cambria"/>
          <w:color w:val="000000"/>
        </w:rPr>
      </w:r>
      <w:r w:rsidR="00A11F7B">
        <w:rPr>
          <w:rFonts w:eastAsiaTheme="minorHAnsi" w:cs="Cambria"/>
          <w:color w:val="000000"/>
        </w:rPr>
        <w:fldChar w:fldCharType="separate"/>
      </w:r>
      <w:r w:rsidR="00801CDC">
        <w:t xml:space="preserve">Table </w:t>
      </w:r>
      <w:r w:rsidR="00801CDC">
        <w:rPr>
          <w:noProof/>
        </w:rPr>
        <w:t>13</w:t>
      </w:r>
      <w:r w:rsidR="00A11F7B">
        <w:rPr>
          <w:rFonts w:eastAsiaTheme="minorHAnsi" w:cs="Cambria"/>
          <w:color w:val="000000"/>
        </w:rPr>
        <w:fldChar w:fldCharType="end"/>
      </w:r>
      <w:r w:rsidRPr="006A23A2">
        <w:rPr>
          <w:rFonts w:eastAsiaTheme="minorHAnsi" w:cs="Cambria"/>
          <w:color w:val="000000"/>
        </w:rPr>
        <w:t xml:space="preserve">. Overall, a trend toward more infusion reactions was observed in </w:t>
      </w:r>
      <w:r w:rsidR="00A11F7B">
        <w:rPr>
          <w:rFonts w:eastAsiaTheme="minorHAnsi" w:cs="Cambria"/>
          <w:color w:val="000000"/>
        </w:rPr>
        <w:t xml:space="preserve">Study </w:t>
      </w:r>
      <w:r w:rsidRPr="006A23A2">
        <w:rPr>
          <w:rFonts w:eastAsiaTheme="minorHAnsi" w:cs="Cambria"/>
          <w:color w:val="000000"/>
        </w:rPr>
        <w:t>TCD14079 Part B for patients with high-body weight; however, similar results were observed f</w:t>
      </w:r>
      <w:r w:rsidR="00A11F7B">
        <w:rPr>
          <w:rFonts w:eastAsiaTheme="minorHAnsi" w:cs="Cambria"/>
          <w:color w:val="000000"/>
        </w:rPr>
        <w:t xml:space="preserve">or patients treated with weight </w:t>
      </w:r>
      <w:r w:rsidRPr="006A23A2">
        <w:rPr>
          <w:rFonts w:eastAsiaTheme="minorHAnsi" w:cs="Cambria"/>
          <w:color w:val="000000"/>
        </w:rPr>
        <w:t>based infusion volume.</w:t>
      </w:r>
    </w:p>
    <w:p w14:paraId="45DF1AD5" w14:textId="3A1EC881" w:rsidR="006A23A2" w:rsidRDefault="006A23A2" w:rsidP="00167558">
      <w:pPr>
        <w:pStyle w:val="TableTitle"/>
        <w:rPr>
          <w:rFonts w:eastAsiaTheme="minorHAnsi" w:cs="Cambria"/>
          <w:color w:val="000000"/>
        </w:rPr>
      </w:pPr>
      <w:bookmarkStart w:id="47" w:name="_Ref50465091"/>
      <w:r>
        <w:lastRenderedPageBreak/>
        <w:t xml:space="preserve">Table </w:t>
      </w:r>
      <w:fldSimple w:instr=" SEQ Table \* ARABIC ">
        <w:r w:rsidR="00801CDC">
          <w:rPr>
            <w:noProof/>
          </w:rPr>
          <w:t>13</w:t>
        </w:r>
      </w:fldSimple>
      <w:bookmarkEnd w:id="47"/>
      <w:r>
        <w:t>: Rate of infusion reactions by body weight</w:t>
      </w:r>
    </w:p>
    <w:p w14:paraId="418238B6" w14:textId="0FC21888" w:rsidR="00FA0197" w:rsidRPr="008F62CB" w:rsidRDefault="006A23A2" w:rsidP="00BF2155">
      <w:pPr>
        <w:rPr>
          <w:rFonts w:eastAsiaTheme="minorHAnsi"/>
        </w:rPr>
      </w:pPr>
      <w:r>
        <w:rPr>
          <w:noProof/>
          <w:lang w:eastAsia="en-AU"/>
        </w:rPr>
        <w:drawing>
          <wp:inline distT="0" distB="0" distL="0" distR="0" wp14:anchorId="78B78FFC" wp14:editId="711DEAFE">
            <wp:extent cx="5400040" cy="3515995"/>
            <wp:effectExtent l="0" t="0" r="0" b="8255"/>
            <wp:docPr id="3" name="Picture 3" descr="Rate of infusion reactions by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515995"/>
                    </a:xfrm>
                    <a:prstGeom prst="rect">
                      <a:avLst/>
                    </a:prstGeom>
                  </pic:spPr>
                </pic:pic>
              </a:graphicData>
            </a:graphic>
          </wp:inline>
        </w:drawing>
      </w:r>
    </w:p>
    <w:p w14:paraId="2C0E6ACC" w14:textId="73CF53F2" w:rsidR="006A23A2" w:rsidRPr="00EF33EC" w:rsidRDefault="008F62CB" w:rsidP="00EF33EC">
      <w:pPr>
        <w:pStyle w:val="Numberbullet0"/>
        <w:rPr>
          <w:b/>
          <w:i/>
        </w:rPr>
      </w:pPr>
      <w:r w:rsidRPr="00EF33EC">
        <w:rPr>
          <w:b/>
          <w:i/>
        </w:rPr>
        <w:t xml:space="preserve">Indicates and justifies the maximum </w:t>
      </w:r>
      <w:r w:rsidR="00A07330" w:rsidRPr="00EF33EC">
        <w:rPr>
          <w:b/>
          <w:i/>
        </w:rPr>
        <w:t>i</w:t>
      </w:r>
      <w:r w:rsidRPr="00EF33EC">
        <w:rPr>
          <w:b/>
          <w:i/>
        </w:rPr>
        <w:t xml:space="preserve">satuximab concentration (if any) which the </w:t>
      </w:r>
      <w:r w:rsidR="00A07330" w:rsidRPr="00EF33EC">
        <w:rPr>
          <w:b/>
          <w:i/>
        </w:rPr>
        <w:t>s</w:t>
      </w:r>
      <w:r w:rsidRPr="00EF33EC">
        <w:rPr>
          <w:b/>
          <w:i/>
        </w:rPr>
        <w:t>ponsor</w:t>
      </w:r>
      <w:r w:rsidR="00A07330" w:rsidRPr="00EF33EC">
        <w:rPr>
          <w:b/>
          <w:i/>
        </w:rPr>
        <w:t xml:space="preserve"> </w:t>
      </w:r>
      <w:r w:rsidRPr="00EF33EC">
        <w:rPr>
          <w:b/>
          <w:i/>
        </w:rPr>
        <w:t>considers safe for infusion in terms of infusion reactions or other infusion-related adverse events.</w:t>
      </w:r>
    </w:p>
    <w:p w14:paraId="2A84D0DD" w14:textId="77777777" w:rsidR="006A23A2" w:rsidRPr="00EF33EC" w:rsidRDefault="006A23A2" w:rsidP="00EF33EC">
      <w:pPr>
        <w:rPr>
          <w:i/>
        </w:rPr>
      </w:pPr>
      <w:r w:rsidRPr="00EF33EC">
        <w:rPr>
          <w:i/>
        </w:rPr>
        <w:t>Sponsor’s response</w:t>
      </w:r>
    </w:p>
    <w:p w14:paraId="7CD9ECE0" w14:textId="6C5BCA10" w:rsidR="006A23A2" w:rsidRPr="006A23A2" w:rsidRDefault="006A23A2" w:rsidP="006A23A2">
      <w:pPr>
        <w:rPr>
          <w:rFonts w:eastAsiaTheme="minorHAnsi" w:cs="Cambria"/>
          <w:color w:val="000000"/>
        </w:rPr>
      </w:pPr>
      <w:r w:rsidRPr="006A23A2">
        <w:rPr>
          <w:rFonts w:eastAsiaTheme="minorHAnsi" w:cs="Cambria"/>
          <w:color w:val="000000"/>
        </w:rPr>
        <w:t xml:space="preserve">The feasibility of isatuximab administration with fixed volume infusion of 250 mL and infusion rates expressed in mL/hour was demonstrated in </w:t>
      </w:r>
      <w:r w:rsidR="00A11F7B">
        <w:rPr>
          <w:rFonts w:eastAsiaTheme="minorHAnsi" w:cs="Cambria"/>
          <w:color w:val="000000"/>
        </w:rPr>
        <w:t xml:space="preserve">Study </w:t>
      </w:r>
      <w:r w:rsidRPr="006A23A2">
        <w:rPr>
          <w:rFonts w:eastAsiaTheme="minorHAnsi" w:cs="Cambria"/>
          <w:color w:val="000000"/>
        </w:rPr>
        <w:t xml:space="preserve">TCD14079 Part B. In this study, the incidence of IRs was 40.4% which is consistent with the incidence of infusion reactions of 38% reported in the pivotal </w:t>
      </w:r>
      <w:r w:rsidR="00A11F7B">
        <w:rPr>
          <w:rFonts w:eastAsiaTheme="minorHAnsi" w:cs="Cambria"/>
          <w:color w:val="000000"/>
        </w:rPr>
        <w:t xml:space="preserve">study, Study </w:t>
      </w:r>
      <w:r w:rsidRPr="006A23A2">
        <w:rPr>
          <w:rFonts w:eastAsiaTheme="minorHAnsi" w:cs="Cambria"/>
          <w:color w:val="000000"/>
        </w:rPr>
        <w:t>EFC</w:t>
      </w:r>
      <w:r w:rsidR="00A11F7B">
        <w:rPr>
          <w:rFonts w:eastAsiaTheme="minorHAnsi" w:cs="Cambria"/>
          <w:color w:val="000000"/>
        </w:rPr>
        <w:t>14335</w:t>
      </w:r>
      <w:r w:rsidRPr="006A23A2">
        <w:rPr>
          <w:rFonts w:eastAsiaTheme="minorHAnsi" w:cs="Cambria"/>
          <w:color w:val="000000"/>
        </w:rPr>
        <w:t>. All the IRs were Grade 2 and all occurred during the first infusion. No infusion reaction occurred</w:t>
      </w:r>
      <w:r w:rsidR="00A11F7B">
        <w:rPr>
          <w:rFonts w:eastAsiaTheme="minorHAnsi" w:cs="Cambria"/>
          <w:color w:val="000000"/>
        </w:rPr>
        <w:t xml:space="preserve"> at infusion 2 or subsequent (that is</w:t>
      </w:r>
      <w:r w:rsidRPr="006A23A2">
        <w:rPr>
          <w:rFonts w:eastAsiaTheme="minorHAnsi" w:cs="Cambria"/>
          <w:color w:val="000000"/>
        </w:rPr>
        <w:t>, when infusion rat</w:t>
      </w:r>
      <w:r w:rsidR="00A11F7B">
        <w:rPr>
          <w:rFonts w:eastAsiaTheme="minorHAnsi" w:cs="Cambria"/>
          <w:color w:val="000000"/>
        </w:rPr>
        <w:t>e is similar or higher than in S</w:t>
      </w:r>
      <w:r w:rsidRPr="006A23A2">
        <w:rPr>
          <w:rFonts w:eastAsiaTheme="minorHAnsi" w:cs="Cambria"/>
          <w:color w:val="000000"/>
        </w:rPr>
        <w:t xml:space="preserve">tudy EFC14335). The change of the infusion duration has minimal to no impact on isatuximab PK and the effect on body weight on isatuximab PK remains unchanged when isatuximab is administered with the fixed volume method. A trend toward more infusion reactions was observed in </w:t>
      </w:r>
      <w:r w:rsidR="00A11F7B">
        <w:rPr>
          <w:rFonts w:eastAsiaTheme="minorHAnsi" w:cs="Cambria"/>
          <w:color w:val="000000"/>
        </w:rPr>
        <w:t>Study </w:t>
      </w:r>
      <w:r w:rsidRPr="006A23A2">
        <w:rPr>
          <w:rFonts w:eastAsiaTheme="minorHAnsi" w:cs="Cambria"/>
          <w:color w:val="000000"/>
        </w:rPr>
        <w:t>TCD14079 Part B for patients with high-body weight; however, similar results were observed for patients treated with weight-based infusion volume. Therefore, the higher incidence of IRs in patients with high-body weight does not seem to be related to the infusion method.</w:t>
      </w:r>
    </w:p>
    <w:p w14:paraId="66CD519A" w14:textId="73D457C8" w:rsidR="008F62CB" w:rsidRPr="008F62CB" w:rsidRDefault="006A23A2" w:rsidP="00167558">
      <w:pPr>
        <w:rPr>
          <w:rFonts w:eastAsiaTheme="minorHAnsi" w:cs="Cambria"/>
          <w:color w:val="000000"/>
        </w:rPr>
      </w:pPr>
      <w:r w:rsidRPr="006A23A2">
        <w:rPr>
          <w:rFonts w:eastAsiaTheme="minorHAnsi" w:cs="Cambria"/>
          <w:color w:val="000000"/>
        </w:rPr>
        <w:t>In conclusion, based on these results and</w:t>
      </w:r>
      <w:r w:rsidR="00A11F7B">
        <w:rPr>
          <w:rFonts w:eastAsiaTheme="minorHAnsi" w:cs="Cambria"/>
          <w:color w:val="000000"/>
        </w:rPr>
        <w:t xml:space="preserve"> consistent with the United States Prescribing Information (USPI), the s</w:t>
      </w:r>
      <w:r w:rsidRPr="006A23A2">
        <w:rPr>
          <w:rFonts w:eastAsiaTheme="minorHAnsi" w:cs="Cambria"/>
          <w:color w:val="000000"/>
        </w:rPr>
        <w:t xml:space="preserve">ponsor considers that the fixed volume infusion can be safely used </w:t>
      </w:r>
      <w:r w:rsidR="00A11F7B">
        <w:rPr>
          <w:rFonts w:eastAsiaTheme="minorHAnsi" w:cs="Cambria"/>
          <w:color w:val="000000"/>
        </w:rPr>
        <w:t>for all patients. However, the s</w:t>
      </w:r>
      <w:r w:rsidRPr="006A23A2">
        <w:rPr>
          <w:rFonts w:eastAsiaTheme="minorHAnsi" w:cs="Cambria"/>
          <w:color w:val="000000"/>
        </w:rPr>
        <w:t>ponsor will continue to monitor the safety of the patients treated with fixed volume infusion.</w:t>
      </w:r>
    </w:p>
    <w:p w14:paraId="6192D948" w14:textId="6A0C6757" w:rsidR="00A661A4" w:rsidRDefault="00727220" w:rsidP="00A661A4">
      <w:pPr>
        <w:pStyle w:val="Heading4"/>
      </w:pPr>
      <w:r>
        <w:t>I</w:t>
      </w:r>
      <w:r w:rsidR="00A661A4">
        <w:t>ndependent expert advice</w:t>
      </w:r>
    </w:p>
    <w:p w14:paraId="57A91AC3" w14:textId="64D46178" w:rsidR="00937934" w:rsidRDefault="00A661A4" w:rsidP="00EF33EC">
      <w:r>
        <w:t xml:space="preserve">The Delegate sought </w:t>
      </w:r>
      <w:r w:rsidR="00727220">
        <w:t xml:space="preserve">and received </w:t>
      </w:r>
      <w:r>
        <w:t xml:space="preserve">independent expert clinical </w:t>
      </w:r>
      <w:r w:rsidR="00A07330">
        <w:t>advice</w:t>
      </w:r>
      <w:r>
        <w:t xml:space="preserve"> on the following</w:t>
      </w:r>
      <w:r w:rsidR="00727220">
        <w:t xml:space="preserve"> questions.</w:t>
      </w:r>
    </w:p>
    <w:p w14:paraId="6611970D" w14:textId="4394E878" w:rsidR="00A661A4" w:rsidRPr="00EF33EC" w:rsidRDefault="00A661A4" w:rsidP="00EF33EC">
      <w:pPr>
        <w:pStyle w:val="Numberbullet0"/>
        <w:numPr>
          <w:ilvl w:val="0"/>
          <w:numId w:val="37"/>
        </w:numPr>
        <w:rPr>
          <w:b/>
          <w:i/>
        </w:rPr>
      </w:pPr>
      <w:r w:rsidRPr="00EF33EC">
        <w:rPr>
          <w:b/>
          <w:i/>
        </w:rPr>
        <w:t>Please comment on the adverse event profile of isatuximab, particularly rates of neutropenia, with respect to the likely place of isatuximab in clinical therapy. In particular, the comparative toxicity with daratumumab.</w:t>
      </w:r>
    </w:p>
    <w:p w14:paraId="658503BD" w14:textId="1F039ADD" w:rsidR="00937934" w:rsidRPr="00727220" w:rsidRDefault="0031006E" w:rsidP="00EF33EC">
      <w:r>
        <w:lastRenderedPageBreak/>
        <w:t>In brief</w:t>
      </w:r>
      <w:r w:rsidRPr="0031006E">
        <w:t>, the external experts agreed that the rate of neutropenia was within tolerable limits. This is a recognised side effect of a number of anti-cancer medications including other CD38 inhibitors and clinical teams are both aware of the need to monitor for it, and able to intervene to treat emerging cases early.</w:t>
      </w:r>
    </w:p>
    <w:p w14:paraId="4BDCC336" w14:textId="2ABFFDD9" w:rsidR="00A661A4" w:rsidRPr="00EF33EC" w:rsidRDefault="00A661A4" w:rsidP="00EF33EC">
      <w:pPr>
        <w:pStyle w:val="Numberbullet0"/>
        <w:rPr>
          <w:b/>
          <w:i/>
        </w:rPr>
      </w:pPr>
      <w:r w:rsidRPr="00EF33EC">
        <w:rPr>
          <w:b/>
          <w:i/>
        </w:rPr>
        <w:t>Please comment on the appropriateness of excluding daratumumab treated patients from the pivotal trial, as well as any implications that may have for the place of isatuximab in clinical therapy.</w:t>
      </w:r>
    </w:p>
    <w:p w14:paraId="61E40F78" w14:textId="53B19EC5" w:rsidR="00937934" w:rsidRPr="00727220" w:rsidRDefault="0031006E" w:rsidP="00EF33EC">
      <w:r>
        <w:t>The exclusion of d</w:t>
      </w:r>
      <w:r w:rsidRPr="0031006E">
        <w:t>aratumumab from the trials was noted</w:t>
      </w:r>
      <w:r w:rsidR="00A11F7B">
        <w:t>,</w:t>
      </w:r>
      <w:r w:rsidRPr="0031006E">
        <w:t xml:space="preserve"> but not considered significant to the overall use of the medication.</w:t>
      </w:r>
    </w:p>
    <w:p w14:paraId="6DC07442" w14:textId="4342D9E5" w:rsidR="005D12DD" w:rsidRPr="00EF33EC" w:rsidRDefault="00A661A4" w:rsidP="00EF33EC">
      <w:pPr>
        <w:pStyle w:val="Numberbullet0"/>
        <w:rPr>
          <w:b/>
          <w:i/>
        </w:rPr>
      </w:pPr>
      <w:r w:rsidRPr="00EF33EC">
        <w:rPr>
          <w:b/>
          <w:i/>
        </w:rPr>
        <w:t>Please note any other concerns with the efficacy and safety of isatuximab you consider clinically relevant.</w:t>
      </w:r>
    </w:p>
    <w:p w14:paraId="76ADF337" w14:textId="4AFFB432" w:rsidR="00727220" w:rsidRPr="0031006E" w:rsidRDefault="0031006E" w:rsidP="00167558">
      <w:r>
        <w:t>In general, the external experts supported i</w:t>
      </w:r>
      <w:r w:rsidRPr="0031006E">
        <w:t>satuximab for registration.</w:t>
      </w:r>
    </w:p>
    <w:p w14:paraId="0B38F6B9" w14:textId="791FF594" w:rsidR="00D23139" w:rsidRDefault="00A22D57" w:rsidP="00D23139">
      <w:pPr>
        <w:pStyle w:val="Heading4"/>
      </w:pPr>
      <w:r>
        <w:t xml:space="preserve">Request for </w:t>
      </w:r>
      <w:r w:rsidR="00967D82">
        <w:t xml:space="preserve">Advisory Committee on Medicines </w:t>
      </w:r>
      <w:r w:rsidR="00D23139" w:rsidRPr="00D23139">
        <w:t>advice</w:t>
      </w:r>
    </w:p>
    <w:p w14:paraId="5EB02909" w14:textId="654D5099" w:rsidR="008F62CB" w:rsidRPr="00727220" w:rsidRDefault="008F62CB" w:rsidP="00167558">
      <w:pPr>
        <w:pStyle w:val="Numberbullet0"/>
        <w:numPr>
          <w:ilvl w:val="0"/>
          <w:numId w:val="38"/>
        </w:numPr>
      </w:pPr>
      <w:r w:rsidRPr="00727220">
        <w:t xml:space="preserve">Advice is sought whether the ACM has any concerns with the approval of </w:t>
      </w:r>
      <w:r w:rsidR="00A661A4" w:rsidRPr="00727220">
        <w:t>i</w:t>
      </w:r>
      <w:r w:rsidRPr="00727220">
        <w:t>satuximab for marketing in Australia.</w:t>
      </w:r>
    </w:p>
    <w:p w14:paraId="089D1922" w14:textId="46B9B2D4" w:rsidR="00456765" w:rsidRPr="0031006E" w:rsidRDefault="008F62CB" w:rsidP="00167558">
      <w:pPr>
        <w:pStyle w:val="Numberbullet0"/>
      </w:pPr>
      <w:r w:rsidRPr="00727220">
        <w:t>Advice is sought regarding the appropriate dosage advice, re</w:t>
      </w:r>
      <w:r w:rsidR="00A11F7B">
        <w:t>garding</w:t>
      </w:r>
      <w:r w:rsidRPr="00727220">
        <w:t xml:space="preserve"> fixed or weight/based dosing of </w:t>
      </w:r>
      <w:r w:rsidR="00A661A4" w:rsidRPr="00727220">
        <w:t>i</w:t>
      </w:r>
      <w:r w:rsidRPr="00727220">
        <w:t>satuximab.</w:t>
      </w:r>
    </w:p>
    <w:p w14:paraId="0588FF52" w14:textId="7B68079E" w:rsidR="00A661A4" w:rsidRPr="00167558" w:rsidRDefault="00A661A4" w:rsidP="00167558">
      <w:pPr>
        <w:pStyle w:val="Heading4"/>
      </w:pPr>
      <w:r>
        <w:t>Advisory Committee considerations</w:t>
      </w:r>
      <w:r>
        <w:rPr>
          <w:rStyle w:val="FootnoteReference"/>
        </w:rPr>
        <w:footnoteReference w:id="23"/>
      </w:r>
    </w:p>
    <w:p w14:paraId="578F45E3" w14:textId="0DD05C6C" w:rsidR="00B75AD8" w:rsidRPr="00B75AD8" w:rsidRDefault="00B75AD8" w:rsidP="00167558">
      <w:r w:rsidRPr="00B75AD8">
        <w:t>The ACM considered this product to have an overall positive benefit-r</w:t>
      </w:r>
      <w:r w:rsidR="00A661A4">
        <w:t>isk profile for the indication:</w:t>
      </w:r>
    </w:p>
    <w:p w14:paraId="71E5026B" w14:textId="7F4A1D05" w:rsidR="00B75AD8" w:rsidRPr="00167558" w:rsidRDefault="00A661A4" w:rsidP="00167558">
      <w:pPr>
        <w:ind w:left="720"/>
        <w:rPr>
          <w:bCs/>
          <w:i/>
        </w:rPr>
      </w:pPr>
      <w:r w:rsidRPr="000F61D3">
        <w:rPr>
          <w:i/>
        </w:rPr>
        <w:t>Sarclisa</w:t>
      </w:r>
      <w:r w:rsidR="00B75AD8" w:rsidRPr="00167558">
        <w:rPr>
          <w:i/>
        </w:rPr>
        <w:t xml:space="preserve"> is indicated in combination with pomalidomide and dexamethasone, for the treatment of patients with multiple myeloma (MM) who have received at least two prior therapies including lenalidomide a</w:t>
      </w:r>
      <w:r w:rsidRPr="000F61D3">
        <w:rPr>
          <w:i/>
        </w:rPr>
        <w:t>nd a proteasome inhibitor (PI).</w:t>
      </w:r>
    </w:p>
    <w:p w14:paraId="019C4406" w14:textId="7E354AAC" w:rsidR="00B75AD8" w:rsidRDefault="00B75AD8" w:rsidP="00167558">
      <w:pPr>
        <w:pStyle w:val="Heading5"/>
      </w:pPr>
      <w:r>
        <w:t>Specific advice</w:t>
      </w:r>
    </w:p>
    <w:p w14:paraId="7116E64C" w14:textId="0D764D4A" w:rsidR="006A38E5" w:rsidRPr="006A38E5" w:rsidRDefault="006A38E5" w:rsidP="006A38E5">
      <w:pPr>
        <w:autoSpaceDE w:val="0"/>
        <w:autoSpaceDN w:val="0"/>
        <w:adjustRightInd w:val="0"/>
        <w:spacing w:before="0" w:after="0" w:line="240" w:lineRule="auto"/>
        <w:rPr>
          <w:rFonts w:eastAsiaTheme="minorHAnsi" w:cs="Cambria"/>
          <w:color w:val="000000"/>
        </w:rPr>
      </w:pPr>
      <w:r w:rsidRPr="006A38E5">
        <w:rPr>
          <w:rFonts w:eastAsiaTheme="minorHAnsi" w:cs="Cambria"/>
          <w:color w:val="000000"/>
        </w:rPr>
        <w:t>The ACM advised the following in response to the Delegate’s specific request for advice</w:t>
      </w:r>
      <w:r w:rsidR="00B75AD8">
        <w:rPr>
          <w:rFonts w:eastAsiaTheme="minorHAnsi" w:cs="Cambria"/>
          <w:color w:val="000000"/>
        </w:rPr>
        <w:t>.</w:t>
      </w:r>
    </w:p>
    <w:p w14:paraId="168DDAF6" w14:textId="3053014E" w:rsidR="006A38E5" w:rsidRPr="00167558" w:rsidRDefault="006A38E5" w:rsidP="00167558">
      <w:pPr>
        <w:pStyle w:val="Numberbullet0"/>
        <w:numPr>
          <w:ilvl w:val="0"/>
          <w:numId w:val="36"/>
        </w:numPr>
        <w:rPr>
          <w:b/>
          <w:i/>
        </w:rPr>
      </w:pPr>
      <w:r w:rsidRPr="00167558">
        <w:rPr>
          <w:b/>
          <w:i/>
        </w:rPr>
        <w:t xml:space="preserve">Advice is sought whether the ACM has any concerns with the approval of </w:t>
      </w:r>
      <w:r w:rsidR="00B75AD8" w:rsidRPr="00167558">
        <w:rPr>
          <w:b/>
          <w:i/>
        </w:rPr>
        <w:t>i</w:t>
      </w:r>
      <w:r w:rsidRPr="00167558">
        <w:rPr>
          <w:b/>
          <w:i/>
        </w:rPr>
        <w:t>satuximab for marketing in Australia.</w:t>
      </w:r>
    </w:p>
    <w:p w14:paraId="6F1F9046" w14:textId="7B65CF45" w:rsidR="006A38E5" w:rsidRPr="006A38E5" w:rsidRDefault="006A38E5" w:rsidP="00167558">
      <w:r w:rsidRPr="006A38E5">
        <w:t>This ACM raised no concerns with approval of isatuximab</w:t>
      </w:r>
      <w:r w:rsidR="00A661A4">
        <w:t>.</w:t>
      </w:r>
    </w:p>
    <w:p w14:paraId="28EEBA9A" w14:textId="65C7D6AA" w:rsidR="006A38E5" w:rsidRPr="00167558" w:rsidRDefault="006A38E5" w:rsidP="00167558">
      <w:pPr>
        <w:pStyle w:val="Numberbullet0"/>
        <w:numPr>
          <w:ilvl w:val="0"/>
          <w:numId w:val="36"/>
        </w:numPr>
        <w:rPr>
          <w:b/>
          <w:i/>
        </w:rPr>
      </w:pPr>
      <w:r w:rsidRPr="00167558">
        <w:rPr>
          <w:b/>
          <w:i/>
        </w:rPr>
        <w:t>Advice is sought regarding the appropriate dosage advice, re</w:t>
      </w:r>
      <w:r w:rsidR="00A11F7B">
        <w:rPr>
          <w:b/>
          <w:i/>
        </w:rPr>
        <w:t>garding</w:t>
      </w:r>
      <w:r w:rsidRPr="00167558">
        <w:rPr>
          <w:b/>
          <w:i/>
        </w:rPr>
        <w:t xml:space="preserve"> fixed or weight/based dosing of </w:t>
      </w:r>
      <w:r w:rsidR="00A661A4" w:rsidRPr="00167558">
        <w:rPr>
          <w:b/>
          <w:i/>
        </w:rPr>
        <w:t>i</w:t>
      </w:r>
      <w:r w:rsidRPr="00167558">
        <w:rPr>
          <w:b/>
          <w:i/>
        </w:rPr>
        <w:t>satuximab.</w:t>
      </w:r>
    </w:p>
    <w:p w14:paraId="73286AB5" w14:textId="3E83309E" w:rsidR="006A38E5" w:rsidRPr="006A38E5" w:rsidRDefault="006A38E5" w:rsidP="00167558">
      <w:r w:rsidRPr="006A38E5">
        <w:t xml:space="preserve">The trial evidence presented supports the dosage of 10 mg/kg as a weight based dosing regimen as it gives more even exposure than a fixed dose. The ACM noted that any infusion reactions caused by fixed volume administration and the higher concentration being administered to heavier patients can be managed in the clinic. Further, fixed volume </w:t>
      </w:r>
      <w:r w:rsidRPr="006A38E5">
        <w:lastRenderedPageBreak/>
        <w:t>administration would allow faster infusions which are also more practical in the real life clinical setting.</w:t>
      </w:r>
    </w:p>
    <w:p w14:paraId="7092A626" w14:textId="22C191BD" w:rsidR="006A38E5" w:rsidRPr="00167558" w:rsidRDefault="006A38E5" w:rsidP="00167558">
      <w:pPr>
        <w:pStyle w:val="Numberbullet0"/>
        <w:numPr>
          <w:ilvl w:val="0"/>
          <w:numId w:val="36"/>
        </w:numPr>
        <w:rPr>
          <w:b/>
          <w:i/>
        </w:rPr>
      </w:pPr>
      <w:r w:rsidRPr="00167558">
        <w:rPr>
          <w:b/>
          <w:i/>
        </w:rPr>
        <w:t>Whether the evidence supports the indications.</w:t>
      </w:r>
    </w:p>
    <w:p w14:paraId="38BCA110" w14:textId="7700CF88" w:rsidR="006A38E5" w:rsidRPr="006A38E5" w:rsidRDefault="006A38E5" w:rsidP="00167558">
      <w:r w:rsidRPr="006A38E5">
        <w:t>The evidence supports the indications proposed by the sponsor.</w:t>
      </w:r>
    </w:p>
    <w:p w14:paraId="377BA281" w14:textId="61FDCEFD" w:rsidR="006A38E5" w:rsidRPr="006A38E5" w:rsidRDefault="006A38E5" w:rsidP="00167558">
      <w:r w:rsidRPr="006A38E5">
        <w:t xml:space="preserve">The ACM proposed amendments to the </w:t>
      </w:r>
      <w:r w:rsidR="00A661A4">
        <w:t>PI</w:t>
      </w:r>
      <w:r w:rsidRPr="006A38E5">
        <w:t xml:space="preserve"> document and strongly supported isatuximab patients carry a patient card, similar to that recommended for other drugs in this class, as cross matching will be a problem.</w:t>
      </w:r>
    </w:p>
    <w:p w14:paraId="1D15F17A" w14:textId="60FAB013" w:rsidR="006A38E5" w:rsidRPr="006A38E5" w:rsidRDefault="006A38E5" w:rsidP="00167558">
      <w:r w:rsidRPr="006A38E5">
        <w:t>No other issues or concerns regarding the application data or the clinical use of agent were raised by the ACM.</w:t>
      </w:r>
    </w:p>
    <w:p w14:paraId="6DDD9B27" w14:textId="77777777" w:rsidR="006A38E5" w:rsidRDefault="006A38E5" w:rsidP="000F61D3">
      <w:pPr>
        <w:rPr>
          <w:bCs/>
        </w:rPr>
      </w:pPr>
      <w:r w:rsidRPr="006A38E5">
        <w:t>The ACM advised that implementation by the sponsor of the recommendations outlined above to the satisfaction of the TGA, in addition to the evidence of efficacy and safety provided would support the safe and effective use of Sarclisa.</w:t>
      </w:r>
    </w:p>
    <w:p w14:paraId="69960C18" w14:textId="77777777" w:rsidR="008E7846" w:rsidRPr="002E238E" w:rsidRDefault="008E7846" w:rsidP="008E7846">
      <w:pPr>
        <w:pStyle w:val="Heading3"/>
      </w:pPr>
      <w:bookmarkStart w:id="48" w:name="_Toc247691532"/>
      <w:bookmarkStart w:id="49" w:name="_Toc314842516"/>
      <w:bookmarkStart w:id="50" w:name="_Toc55918741"/>
      <w:bookmarkEnd w:id="26"/>
      <w:bookmarkEnd w:id="42"/>
      <w:bookmarkEnd w:id="43"/>
      <w:r>
        <w:t>Outcome</w:t>
      </w:r>
      <w:bookmarkEnd w:id="48"/>
      <w:bookmarkEnd w:id="49"/>
      <w:bookmarkEnd w:id="50"/>
    </w:p>
    <w:p w14:paraId="068FE923" w14:textId="35FC8CE9" w:rsidR="00614110" w:rsidRDefault="00D23139" w:rsidP="00F07F6E">
      <w:pPr>
        <w:autoSpaceDE w:val="0"/>
        <w:autoSpaceDN w:val="0"/>
        <w:adjustRightInd w:val="0"/>
        <w:spacing w:before="0" w:after="0" w:line="240" w:lineRule="auto"/>
      </w:pPr>
      <w:bookmarkStart w:id="51" w:name="_Toc247691533"/>
      <w:bookmarkStart w:id="52" w:name="_Toc314842517"/>
      <w:r w:rsidRPr="00D23139">
        <w:t>Based on a review of quality, safety and efficacy, TG</w:t>
      </w:r>
      <w:r w:rsidR="0033276C">
        <w:t xml:space="preserve">A approved the registration of </w:t>
      </w:r>
      <w:r w:rsidR="00A661A4" w:rsidRPr="00705754">
        <w:t>Sarclisa (</w:t>
      </w:r>
      <w:r w:rsidR="00A661A4">
        <w:t>i</w:t>
      </w:r>
      <w:r w:rsidR="00A661A4" w:rsidRPr="00705754">
        <w:t xml:space="preserve">satuximab) </w:t>
      </w:r>
      <w:r w:rsidR="00A661A4">
        <w:t>500 mg/25 mL and 100 mg/5 mL</w:t>
      </w:r>
      <w:r w:rsidR="00A661A4" w:rsidRPr="00705754" w:rsidDel="00D124DD">
        <w:rPr>
          <w:sz w:val="23"/>
          <w:szCs w:val="23"/>
        </w:rPr>
        <w:t xml:space="preserve"> </w:t>
      </w:r>
      <w:r w:rsidR="00A661A4" w:rsidRPr="00167558">
        <w:t>concentrated injection</w:t>
      </w:r>
      <w:r w:rsidR="00A661A4">
        <w:rPr>
          <w:sz w:val="23"/>
          <w:szCs w:val="23"/>
        </w:rPr>
        <w:t>,</w:t>
      </w:r>
      <w:r w:rsidR="00F07F6E">
        <w:rPr>
          <w:rFonts w:eastAsiaTheme="minorHAnsi" w:cs="Cambria"/>
        </w:rPr>
        <w:t xml:space="preserve"> </w:t>
      </w:r>
      <w:r w:rsidRPr="00D23139">
        <w:t>indicated for</w:t>
      </w:r>
      <w:r w:rsidR="00F07F6E">
        <w:t>:</w:t>
      </w:r>
    </w:p>
    <w:p w14:paraId="59EF988A" w14:textId="5CB34CAB" w:rsidR="00D23139" w:rsidRPr="008124C8" w:rsidRDefault="002C5D5D" w:rsidP="00167558">
      <w:pPr>
        <w:ind w:left="720"/>
        <w:rPr>
          <w:rFonts w:ascii="TimesNewRomanPSMT" w:eastAsiaTheme="minorHAnsi" w:hAnsi="TimesNewRomanPSMT" w:cs="TimesNewRomanPSMT"/>
          <w:i/>
          <w:sz w:val="24"/>
          <w:szCs w:val="24"/>
        </w:rPr>
      </w:pPr>
      <w:r w:rsidRPr="00167558">
        <w:rPr>
          <w:i/>
        </w:rPr>
        <w:t>Sarclisa is indicated in combination with pomalidomide and dexamethasone, for the treatment of patients with multiple myeloma (MM) who have received at least two prior therapies</w:t>
      </w:r>
      <w:r w:rsidR="0020718D">
        <w:rPr>
          <w:i/>
        </w:rPr>
        <w:t xml:space="preserve"> </w:t>
      </w:r>
      <w:r w:rsidRPr="00167558">
        <w:rPr>
          <w:i/>
        </w:rPr>
        <w:t>including lenalidomide and a proteasome inhibitor (PI).</w:t>
      </w:r>
    </w:p>
    <w:p w14:paraId="57BBC225" w14:textId="77777777" w:rsidR="00D23139" w:rsidRDefault="00D23139" w:rsidP="00D23139">
      <w:pPr>
        <w:pStyle w:val="Heading4"/>
      </w:pPr>
      <w:r w:rsidRPr="00D23139">
        <w:t>Specific conditions of registration applying to these goods</w:t>
      </w:r>
    </w:p>
    <w:p w14:paraId="342C5B09" w14:textId="77777777" w:rsidR="008124C8" w:rsidRDefault="008124C8" w:rsidP="008124C8">
      <w:pPr>
        <w:pStyle w:val="ListBullet"/>
        <w:numPr>
          <w:ilvl w:val="0"/>
          <w:numId w:val="30"/>
        </w:numPr>
        <w:spacing w:after="180"/>
        <w:rPr>
          <w:b/>
          <w:bCs/>
        </w:rPr>
      </w:pPr>
      <w:r>
        <w:t>Sarclisa</w:t>
      </w:r>
      <w:r w:rsidRPr="00142806">
        <w:t xml:space="preserve"> (isatuximab) is to be included in the Black Triangle Scheme. The</w:t>
      </w:r>
      <w:r>
        <w:t xml:space="preserve"> Product Information (PI) and Consumer Medicines Information (CMI) </w:t>
      </w:r>
      <w:r w:rsidRPr="00142806">
        <w:t>for Sarclisa must include the black triangle symbol and mandatory accompanying</w:t>
      </w:r>
      <w:r>
        <w:rPr>
          <w:b/>
          <w:bCs/>
        </w:rPr>
        <w:t xml:space="preserve"> </w:t>
      </w:r>
      <w:r w:rsidRPr="00142806">
        <w:t>text for five years, which starts from the date that the sponsor notifies the TGA of</w:t>
      </w:r>
      <w:r>
        <w:rPr>
          <w:b/>
          <w:bCs/>
        </w:rPr>
        <w:t xml:space="preserve"> </w:t>
      </w:r>
      <w:r w:rsidRPr="00142806">
        <w:t>supply of the product.</w:t>
      </w:r>
    </w:p>
    <w:p w14:paraId="24AD482E" w14:textId="08D7FC8C" w:rsidR="008124C8" w:rsidRDefault="008124C8" w:rsidP="008124C8">
      <w:pPr>
        <w:pStyle w:val="ListBullet"/>
        <w:numPr>
          <w:ilvl w:val="0"/>
          <w:numId w:val="30"/>
        </w:numPr>
        <w:spacing w:after="180"/>
        <w:rPr>
          <w:b/>
          <w:bCs/>
        </w:rPr>
      </w:pPr>
      <w:r>
        <w:t>The i</w:t>
      </w:r>
      <w:r w:rsidRPr="00142806">
        <w:t xml:space="preserve">satuximab (Sarclisa) </w:t>
      </w:r>
      <w:r>
        <w:t>EU-</w:t>
      </w:r>
      <w:r w:rsidR="003150EC">
        <w:t>RMP</w:t>
      </w:r>
      <w:r w:rsidRPr="00142806">
        <w:t xml:space="preserve"> (version 0.1, dated 12 April</w:t>
      </w:r>
      <w:r>
        <w:rPr>
          <w:b/>
          <w:bCs/>
        </w:rPr>
        <w:t xml:space="preserve"> </w:t>
      </w:r>
      <w:r w:rsidRPr="00142806">
        <w:t>2019, data lock point 15 N</w:t>
      </w:r>
      <w:r>
        <w:t>ovember 2018), with Australian s</w:t>
      </w:r>
      <w:r w:rsidRPr="00142806">
        <w:t>pecific Annex (version 1.0,</w:t>
      </w:r>
      <w:r>
        <w:rPr>
          <w:b/>
          <w:bCs/>
        </w:rPr>
        <w:t xml:space="preserve"> </w:t>
      </w:r>
      <w:r w:rsidRPr="00142806">
        <w:t>dated 30 June 2019), included with submission PM-2019-02568-1-6, and any</w:t>
      </w:r>
      <w:r>
        <w:rPr>
          <w:b/>
          <w:bCs/>
        </w:rPr>
        <w:t xml:space="preserve"> </w:t>
      </w:r>
      <w:r w:rsidRPr="00142806">
        <w:t>subsequent revisions, as agreed with the TGA will be implemented in Australia.</w:t>
      </w:r>
    </w:p>
    <w:p w14:paraId="26B6D35F" w14:textId="77777777" w:rsidR="008124C8" w:rsidRDefault="008124C8" w:rsidP="008124C8">
      <w:pPr>
        <w:ind w:left="360"/>
        <w:rPr>
          <w:b/>
          <w:bCs/>
        </w:rPr>
      </w:pPr>
      <w:r w:rsidRPr="00142806">
        <w:t>An obligatory component of risk management plans is routine pharmacovigilance.</w:t>
      </w:r>
      <w:r>
        <w:rPr>
          <w:b/>
          <w:bCs/>
        </w:rPr>
        <w:t xml:space="preserve"> </w:t>
      </w:r>
      <w:r w:rsidRPr="00142806">
        <w:t>Routine pharmacovigilance includes the submission of periodic safety update reports</w:t>
      </w:r>
      <w:r>
        <w:rPr>
          <w:b/>
          <w:bCs/>
        </w:rPr>
        <w:t xml:space="preserve"> </w:t>
      </w:r>
      <w:r w:rsidRPr="00142806">
        <w:t>(PSURs).</w:t>
      </w:r>
    </w:p>
    <w:p w14:paraId="4ED7A200" w14:textId="77777777" w:rsidR="008124C8" w:rsidRDefault="008124C8" w:rsidP="008124C8">
      <w:pPr>
        <w:ind w:left="360"/>
        <w:rPr>
          <w:b/>
          <w:bCs/>
        </w:rPr>
      </w:pPr>
      <w:r w:rsidRPr="00142806">
        <w:t>Unless agreed separately between the supplier who is the recipient of the approval and</w:t>
      </w:r>
      <w:r>
        <w:rPr>
          <w:b/>
          <w:bCs/>
        </w:rPr>
        <w:t xml:space="preserve"> </w:t>
      </w:r>
      <w:r w:rsidRPr="00142806">
        <w:t>the TGA, the first report must be submitted to TGA no later than 15 calendar months</w:t>
      </w:r>
      <w:r>
        <w:rPr>
          <w:b/>
          <w:bCs/>
        </w:rPr>
        <w:t xml:space="preserve"> </w:t>
      </w:r>
      <w:r w:rsidRPr="00142806">
        <w:t xml:space="preserve">after the date of </w:t>
      </w:r>
      <w:r>
        <w:t>the</w:t>
      </w:r>
      <w:r w:rsidRPr="00142806">
        <w:t xml:space="preserve"> approval letter. The subsequent reports must be submitted no less</w:t>
      </w:r>
      <w:r>
        <w:rPr>
          <w:b/>
          <w:bCs/>
        </w:rPr>
        <w:t xml:space="preserve"> </w:t>
      </w:r>
      <w:r w:rsidRPr="00142806">
        <w:t>frequently than annually from the date of the first submitted report until the period</w:t>
      </w:r>
      <w:r>
        <w:rPr>
          <w:b/>
          <w:bCs/>
        </w:rPr>
        <w:t xml:space="preserve"> </w:t>
      </w:r>
      <w:r w:rsidRPr="00142806">
        <w:t>covered by such reports is not less than t</w:t>
      </w:r>
      <w:r>
        <w:t>hree years from the date of the</w:t>
      </w:r>
      <w:r w:rsidRPr="00142806">
        <w:t xml:space="preserve"> approval letter.</w:t>
      </w:r>
      <w:r>
        <w:rPr>
          <w:b/>
          <w:bCs/>
        </w:rPr>
        <w:t xml:space="preserve"> </w:t>
      </w:r>
      <w:r w:rsidRPr="00142806">
        <w:t>The annual submission may be made up of two PSURs each covering six months. If the</w:t>
      </w:r>
      <w:r>
        <w:rPr>
          <w:b/>
          <w:bCs/>
        </w:rPr>
        <w:t xml:space="preserve"> </w:t>
      </w:r>
      <w:r w:rsidRPr="00142806">
        <w:t>sponsor wishes, the six monthly reports may be submitted separately as they become</w:t>
      </w:r>
      <w:r>
        <w:rPr>
          <w:b/>
          <w:bCs/>
        </w:rPr>
        <w:t xml:space="preserve"> </w:t>
      </w:r>
      <w:r w:rsidRPr="00142806">
        <w:t>available.</w:t>
      </w:r>
    </w:p>
    <w:p w14:paraId="416EC692" w14:textId="77777777" w:rsidR="008124C8" w:rsidRDefault="008124C8" w:rsidP="008124C8">
      <w:pPr>
        <w:ind w:left="360"/>
        <w:rPr>
          <w:b/>
          <w:bCs/>
        </w:rPr>
      </w:pPr>
      <w:r w:rsidRPr="00142806">
        <w:t>If the product is approved in the EU during the three years period, reports can be</w:t>
      </w:r>
      <w:r>
        <w:rPr>
          <w:b/>
          <w:bCs/>
        </w:rPr>
        <w:t xml:space="preserve"> </w:t>
      </w:r>
      <w:r w:rsidRPr="00142806">
        <w:t>provided in line with the published list of EU reference dates no less frequently than</w:t>
      </w:r>
      <w:r>
        <w:rPr>
          <w:b/>
          <w:bCs/>
        </w:rPr>
        <w:t xml:space="preserve"> </w:t>
      </w:r>
      <w:r>
        <w:t xml:space="preserve">annually from the date </w:t>
      </w:r>
      <w:r w:rsidRPr="00142806">
        <w:t>of the first submitted report until the period covered by such</w:t>
      </w:r>
      <w:r>
        <w:rPr>
          <w:b/>
          <w:bCs/>
        </w:rPr>
        <w:t xml:space="preserve"> </w:t>
      </w:r>
      <w:r w:rsidRPr="00142806">
        <w:t>reports is not less than three years from the date of t</w:t>
      </w:r>
      <w:r>
        <w:t>he</w:t>
      </w:r>
      <w:r w:rsidRPr="00142806">
        <w:t xml:space="preserve"> approval letter.</w:t>
      </w:r>
    </w:p>
    <w:p w14:paraId="51C4B072" w14:textId="77777777" w:rsidR="008124C8" w:rsidRDefault="008124C8" w:rsidP="008124C8">
      <w:pPr>
        <w:ind w:left="360"/>
        <w:rPr>
          <w:b/>
          <w:bCs/>
        </w:rPr>
      </w:pPr>
      <w:r w:rsidRPr="00142806">
        <w:t>The reports are to at least meet the requirements for PSURs as described in the</w:t>
      </w:r>
      <w:r>
        <w:rPr>
          <w:b/>
          <w:bCs/>
        </w:rPr>
        <w:t xml:space="preserve"> </w:t>
      </w:r>
      <w:r w:rsidRPr="00142806">
        <w:t xml:space="preserve">European Medicines Agency’s Guideline on </w:t>
      </w:r>
      <w:r>
        <w:t>G</w:t>
      </w:r>
      <w:r w:rsidRPr="00142806">
        <w:t xml:space="preserve">ood </w:t>
      </w:r>
      <w:r>
        <w:t>P</w:t>
      </w:r>
      <w:r w:rsidRPr="00142806">
        <w:t xml:space="preserve">harmacovigilance </w:t>
      </w:r>
      <w:r>
        <w:t>P</w:t>
      </w:r>
      <w:r w:rsidRPr="00142806">
        <w:t>ractices (GVP)</w:t>
      </w:r>
      <w:r>
        <w:rPr>
          <w:b/>
          <w:bCs/>
        </w:rPr>
        <w:t xml:space="preserve"> </w:t>
      </w:r>
      <w:r w:rsidRPr="00142806">
        <w:t>Module VII-periodic safety update report (Rev 1), Part VII.B Structures and processes.</w:t>
      </w:r>
      <w:r>
        <w:rPr>
          <w:b/>
          <w:bCs/>
        </w:rPr>
        <w:t xml:space="preserve"> </w:t>
      </w:r>
      <w:r w:rsidRPr="00142806">
        <w:lastRenderedPageBreak/>
        <w:t>Note that submission of a PSUR does not constitute an application to vary the</w:t>
      </w:r>
      <w:r>
        <w:rPr>
          <w:b/>
          <w:bCs/>
        </w:rPr>
        <w:t xml:space="preserve"> </w:t>
      </w:r>
      <w:r w:rsidRPr="00142806">
        <w:t>registration. Each report must have been prepared within ninety calendar days of the</w:t>
      </w:r>
      <w:r>
        <w:rPr>
          <w:b/>
          <w:bCs/>
        </w:rPr>
        <w:t xml:space="preserve"> </w:t>
      </w:r>
      <w:r w:rsidRPr="00142806">
        <w:t>data lock point for that report.</w:t>
      </w:r>
    </w:p>
    <w:p w14:paraId="01B1E45A" w14:textId="77777777" w:rsidR="008124C8" w:rsidRPr="005035DC" w:rsidRDefault="008124C8" w:rsidP="008124C8">
      <w:pPr>
        <w:pStyle w:val="ListBullet"/>
        <w:numPr>
          <w:ilvl w:val="0"/>
          <w:numId w:val="30"/>
        </w:numPr>
        <w:spacing w:after="180"/>
      </w:pPr>
      <w:r w:rsidRPr="005035DC">
        <w:t>It is a condition of registration that all batches of</w:t>
      </w:r>
      <w:r>
        <w:t>:</w:t>
      </w:r>
    </w:p>
    <w:p w14:paraId="2092097E" w14:textId="77777777" w:rsidR="008124C8" w:rsidRPr="000629C7" w:rsidRDefault="008124C8" w:rsidP="008124C8">
      <w:pPr>
        <w:pStyle w:val="ListBullet2"/>
        <w:numPr>
          <w:ilvl w:val="1"/>
          <w:numId w:val="30"/>
        </w:numPr>
        <w:spacing w:after="180"/>
        <w:ind w:left="850" w:hanging="425"/>
      </w:pPr>
      <w:r w:rsidRPr="000629C7">
        <w:t>Sarclisa isatuximab 500 mg/25 mL concentrated injection vial</w:t>
      </w:r>
    </w:p>
    <w:p w14:paraId="2E29D40C" w14:textId="77777777" w:rsidR="00A661A4" w:rsidRPr="00167558" w:rsidRDefault="008124C8" w:rsidP="008124C8">
      <w:pPr>
        <w:pStyle w:val="ListBullet2"/>
        <w:numPr>
          <w:ilvl w:val="1"/>
          <w:numId w:val="30"/>
        </w:numPr>
        <w:spacing w:after="180"/>
        <w:ind w:left="850" w:hanging="425"/>
      </w:pPr>
      <w:r w:rsidRPr="000629C7">
        <w:t>Sarclisa isatuximab 100 mg/5 mL concentrated injection vial</w:t>
      </w:r>
    </w:p>
    <w:p w14:paraId="1D82F47B" w14:textId="7708F848" w:rsidR="008124C8" w:rsidRPr="000629C7" w:rsidRDefault="008124C8" w:rsidP="00167558">
      <w:pPr>
        <w:pStyle w:val="ListBullet2"/>
        <w:numPr>
          <w:ilvl w:val="0"/>
          <w:numId w:val="0"/>
        </w:numPr>
        <w:spacing w:after="180"/>
        <w:ind w:left="850"/>
      </w:pPr>
      <w:r w:rsidRPr="000629C7">
        <w:t>imported into/manufactured in Australia must comply with the product details</w:t>
      </w:r>
      <w:r w:rsidRPr="000629C7">
        <w:rPr>
          <w:b/>
          <w:bCs/>
        </w:rPr>
        <w:t xml:space="preserve"> </w:t>
      </w:r>
      <w:r w:rsidRPr="000629C7">
        <w:t>and specifications approved during evaluation and detailed in the Certified</w:t>
      </w:r>
      <w:r w:rsidRPr="000629C7">
        <w:rPr>
          <w:b/>
          <w:bCs/>
        </w:rPr>
        <w:t xml:space="preserve"> </w:t>
      </w:r>
      <w:r w:rsidRPr="000629C7">
        <w:t>Product Details (CPD).</w:t>
      </w:r>
    </w:p>
    <w:p w14:paraId="43E9C4A9" w14:textId="77777777" w:rsidR="008124C8" w:rsidRPr="000629C7" w:rsidRDefault="008124C8" w:rsidP="008124C8">
      <w:pPr>
        <w:pStyle w:val="ListBullet"/>
        <w:numPr>
          <w:ilvl w:val="0"/>
          <w:numId w:val="30"/>
        </w:numPr>
        <w:spacing w:after="180"/>
      </w:pPr>
      <w:r w:rsidRPr="000629C7">
        <w:t>It is a condition of registration that up to 5 initial batches of:</w:t>
      </w:r>
    </w:p>
    <w:p w14:paraId="7A2A6726" w14:textId="77777777" w:rsidR="008124C8" w:rsidRPr="000629C7" w:rsidRDefault="008124C8" w:rsidP="008124C8">
      <w:pPr>
        <w:pStyle w:val="ListBullet2"/>
        <w:numPr>
          <w:ilvl w:val="1"/>
          <w:numId w:val="30"/>
        </w:numPr>
        <w:spacing w:after="180"/>
        <w:ind w:left="850" w:hanging="425"/>
      </w:pPr>
      <w:r w:rsidRPr="000629C7">
        <w:t>Sarclisa isatuximab 500</w:t>
      </w:r>
      <w:r>
        <w:t xml:space="preserve"> </w:t>
      </w:r>
      <w:r w:rsidRPr="000629C7">
        <w:t>mg/25</w:t>
      </w:r>
      <w:r>
        <w:t xml:space="preserve"> </w:t>
      </w:r>
      <w:r w:rsidRPr="000629C7">
        <w:t>mL concentrated injection vial</w:t>
      </w:r>
    </w:p>
    <w:p w14:paraId="47C42240" w14:textId="77777777" w:rsidR="008124C8" w:rsidRPr="005035DC" w:rsidRDefault="008124C8" w:rsidP="008124C8">
      <w:pPr>
        <w:pStyle w:val="ListBullet2"/>
        <w:numPr>
          <w:ilvl w:val="1"/>
          <w:numId w:val="30"/>
        </w:numPr>
        <w:spacing w:after="180"/>
        <w:ind w:left="850" w:hanging="425"/>
      </w:pPr>
      <w:r w:rsidRPr="000629C7">
        <w:t>Sarclisa isatuximab</w:t>
      </w:r>
      <w:r w:rsidRPr="005035DC">
        <w:t xml:space="preserve"> 100</w:t>
      </w:r>
      <w:r>
        <w:t xml:space="preserve"> </w:t>
      </w:r>
      <w:r w:rsidRPr="005035DC">
        <w:t>mg/5</w:t>
      </w:r>
      <w:r>
        <w:t xml:space="preserve"> </w:t>
      </w:r>
      <w:r w:rsidRPr="005035DC">
        <w:t>mL concentrated injection vial</w:t>
      </w:r>
      <w:r w:rsidRPr="005035DC">
        <w:rPr>
          <w:b/>
          <w:bCs/>
        </w:rPr>
        <w:t xml:space="preserve"> </w:t>
      </w:r>
    </w:p>
    <w:p w14:paraId="4A62DE6C" w14:textId="087B8716" w:rsidR="008124C8" w:rsidRDefault="008124C8" w:rsidP="008124C8">
      <w:pPr>
        <w:pStyle w:val="ListBullet2"/>
        <w:numPr>
          <w:ilvl w:val="0"/>
          <w:numId w:val="0"/>
        </w:numPr>
        <w:ind w:left="850"/>
        <w:rPr>
          <w:b/>
          <w:bCs/>
        </w:rPr>
      </w:pPr>
      <w:r w:rsidRPr="00142806">
        <w:t>imported into/manufactured in Australia is not released for sale until samples and/or</w:t>
      </w:r>
      <w:r>
        <w:rPr>
          <w:b/>
          <w:bCs/>
        </w:rPr>
        <w:t xml:space="preserve"> </w:t>
      </w:r>
      <w:r w:rsidRPr="00142806">
        <w:t>the manufacturer’s release data have been assessed and endorsed for release by the</w:t>
      </w:r>
      <w:r>
        <w:rPr>
          <w:b/>
          <w:bCs/>
        </w:rPr>
        <w:t xml:space="preserve"> </w:t>
      </w:r>
      <w:r w:rsidRPr="00142806">
        <w:t>TGA Laboratories Branch. Outcomes of laboratory testing are published biannually in</w:t>
      </w:r>
      <w:r>
        <w:rPr>
          <w:b/>
          <w:bCs/>
        </w:rPr>
        <w:t xml:space="preserve"> </w:t>
      </w:r>
      <w:r w:rsidRPr="00142806">
        <w:t xml:space="preserve">the TGA Database of Laboratory Testing Results </w:t>
      </w:r>
      <w:hyperlink r:id="rId31" w:history="1">
        <w:r w:rsidRPr="005E0B6B">
          <w:rPr>
            <w:rStyle w:val="Hyperlink"/>
          </w:rPr>
          <w:t>http://www.tga.gov.au/ws-labsindex</w:t>
        </w:r>
      </w:hyperlink>
      <w:r>
        <w:t>.</w:t>
      </w:r>
    </w:p>
    <w:p w14:paraId="4DFBA1A9" w14:textId="77777777" w:rsidR="008124C8" w:rsidRPr="005035DC" w:rsidRDefault="008124C8" w:rsidP="008124C8">
      <w:pPr>
        <w:pStyle w:val="ListBullet"/>
        <w:numPr>
          <w:ilvl w:val="0"/>
          <w:numId w:val="30"/>
        </w:numPr>
        <w:spacing w:after="180"/>
      </w:pPr>
      <w:r w:rsidRPr="00142806">
        <w:t>The sponsor should be prepared to provide product samples, reference materials and</w:t>
      </w:r>
      <w:r>
        <w:rPr>
          <w:b/>
          <w:bCs/>
        </w:rPr>
        <w:t xml:space="preserve"> </w:t>
      </w:r>
      <w:r w:rsidRPr="00142806">
        <w:t>documentary evidence as defined by the TGA Laboratories branch. The sponsor must</w:t>
      </w:r>
      <w:r>
        <w:rPr>
          <w:b/>
          <w:bCs/>
        </w:rPr>
        <w:t xml:space="preserve"> </w:t>
      </w:r>
      <w:r w:rsidRPr="00142806">
        <w:t>contact Biochemistry.Testing@health.gov.au for specific material requirements related</w:t>
      </w:r>
      <w:r>
        <w:rPr>
          <w:b/>
          <w:bCs/>
        </w:rPr>
        <w:t xml:space="preserve"> </w:t>
      </w:r>
      <w:r w:rsidRPr="00142806">
        <w:t>to the batch release testing/assessment of the product. More information on TGA testing</w:t>
      </w:r>
      <w:r>
        <w:rPr>
          <w:b/>
          <w:bCs/>
        </w:rPr>
        <w:t xml:space="preserve"> </w:t>
      </w:r>
      <w:r w:rsidRPr="00142806">
        <w:t>of biological medicines is available at https://www.tga.gov.au/publication/testingbiological-</w:t>
      </w:r>
      <w:r>
        <w:rPr>
          <w:b/>
          <w:bCs/>
        </w:rPr>
        <w:t xml:space="preserve"> </w:t>
      </w:r>
      <w:r w:rsidRPr="00142806">
        <w:t>medicines.</w:t>
      </w:r>
    </w:p>
    <w:p w14:paraId="4975B4B9" w14:textId="77777777" w:rsidR="008124C8" w:rsidRPr="0059214A" w:rsidRDefault="008124C8" w:rsidP="008124C8">
      <w:pPr>
        <w:pStyle w:val="ListBullet"/>
        <w:numPr>
          <w:ilvl w:val="0"/>
          <w:numId w:val="0"/>
        </w:numPr>
        <w:ind w:left="360"/>
        <w:rPr>
          <w:b/>
          <w:bCs/>
        </w:rPr>
      </w:pPr>
      <w:r w:rsidRPr="00142806">
        <w:t>This batch release condition will be reviewed and may be modified on the basis of actual</w:t>
      </w:r>
      <w:r>
        <w:rPr>
          <w:b/>
          <w:bCs/>
        </w:rPr>
        <w:t xml:space="preserve"> </w:t>
      </w:r>
      <w:r w:rsidRPr="00142806">
        <w:t xml:space="preserve">batch quality and consistency. </w:t>
      </w:r>
      <w:r w:rsidRPr="000629C7">
        <w:t>This condition remains in place until the sponsor is notified</w:t>
      </w:r>
      <w:r w:rsidRPr="000629C7">
        <w:rPr>
          <w:bCs/>
        </w:rPr>
        <w:t xml:space="preserve"> </w:t>
      </w:r>
      <w:r w:rsidRPr="000629C7">
        <w:t>in writing of any variation.</w:t>
      </w:r>
    </w:p>
    <w:p w14:paraId="43A2FF5D" w14:textId="77777777" w:rsidR="008124C8" w:rsidRPr="000629C7" w:rsidRDefault="008124C8" w:rsidP="008124C8">
      <w:pPr>
        <w:pStyle w:val="ListBullet"/>
        <w:numPr>
          <w:ilvl w:val="0"/>
          <w:numId w:val="30"/>
        </w:numPr>
        <w:spacing w:after="180"/>
      </w:pPr>
      <w:r w:rsidRPr="000629C7">
        <w:t>Certified Product Details</w:t>
      </w:r>
    </w:p>
    <w:p w14:paraId="12E62717" w14:textId="1D79D508" w:rsidR="00F07F6E" w:rsidRDefault="008124C8" w:rsidP="00167558">
      <w:pPr>
        <w:pStyle w:val="ListBullet"/>
        <w:numPr>
          <w:ilvl w:val="0"/>
          <w:numId w:val="0"/>
        </w:numPr>
        <w:ind w:left="360"/>
      </w:pPr>
      <w:r w:rsidRPr="000629C7">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509A30F9" w14:textId="431189F4" w:rsidR="008E7846" w:rsidRDefault="00A80B5B" w:rsidP="00D23139">
      <w:pPr>
        <w:pStyle w:val="Heading2"/>
      </w:pPr>
      <w:bookmarkStart w:id="53" w:name="_Toc55918742"/>
      <w:r>
        <w:t xml:space="preserve">Attachment 1. </w:t>
      </w:r>
      <w:r w:rsidR="008E7846">
        <w:t xml:space="preserve">Product </w:t>
      </w:r>
      <w:r w:rsidR="00AA0ED0">
        <w:t>I</w:t>
      </w:r>
      <w:r w:rsidR="008E7846">
        <w:t>nformation</w:t>
      </w:r>
      <w:bookmarkEnd w:id="51"/>
      <w:bookmarkEnd w:id="52"/>
      <w:bookmarkEnd w:id="53"/>
    </w:p>
    <w:p w14:paraId="79E31738" w14:textId="3F89C908" w:rsidR="00770CAC" w:rsidRDefault="006136D7" w:rsidP="00167558">
      <w:pPr>
        <w:rPr>
          <w:lang w:eastAsia="ja-JP"/>
        </w:rPr>
      </w:pPr>
      <w:r w:rsidRPr="002B3624">
        <w:t xml:space="preserve">The </w:t>
      </w:r>
      <w:r>
        <w:t>PI</w:t>
      </w:r>
      <w:r w:rsidRPr="002B3624">
        <w:t xml:space="preserve"> for </w:t>
      </w:r>
      <w:r w:rsidR="00992EB9">
        <w:t>Sarclisa</w:t>
      </w:r>
      <w:r w:rsidR="00992EB9"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2" w:history="1">
        <w:r w:rsidR="007C6B9B" w:rsidRPr="007C6B9B">
          <w:rPr>
            <w:rStyle w:val="Hyperlink"/>
          </w:rPr>
          <w:t>https://www.tga.gov.au/product-information-pi</w:t>
        </w:r>
      </w:hyperlink>
      <w:r w:rsidR="007C6B9B" w:rsidRPr="007C6B9B">
        <w:t>&gt;.</w:t>
      </w:r>
    </w:p>
    <w:p w14:paraId="17FEBB94" w14:textId="77777777" w:rsidR="00291957" w:rsidRDefault="00291957" w:rsidP="00291957">
      <w:pPr>
        <w:rPr>
          <w:lang w:eastAsia="ja-JP"/>
        </w:rPr>
      </w:pPr>
    </w:p>
    <w:p w14:paraId="226ED68A" w14:textId="77777777" w:rsidR="00C80137" w:rsidRPr="001D043B" w:rsidRDefault="00C80137" w:rsidP="003A7F6C">
      <w:pPr>
        <w:pStyle w:val="TableTitle"/>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1F0925E" w14:textId="77777777" w:rsidTr="00A05FA4">
        <w:trPr>
          <w:trHeight w:hRule="exact" w:val="704"/>
        </w:trPr>
        <w:tc>
          <w:tcPr>
            <w:tcW w:w="9175" w:type="dxa"/>
          </w:tcPr>
          <w:p w14:paraId="11292156" w14:textId="77777777" w:rsidR="001C32CD" w:rsidRPr="00487162" w:rsidRDefault="001C32CD" w:rsidP="00A05FA4">
            <w:pPr>
              <w:pStyle w:val="TGASignoff"/>
            </w:pPr>
            <w:r w:rsidRPr="00487162">
              <w:lastRenderedPageBreak/>
              <w:t>Therapeutic Goods Administration</w:t>
            </w:r>
          </w:p>
        </w:tc>
      </w:tr>
      <w:tr w:rsidR="001C32CD" w:rsidRPr="004C239D" w14:paraId="0CDCCB6E" w14:textId="77777777" w:rsidTr="00A05FA4">
        <w:trPr>
          <w:trHeight w:val="1221"/>
        </w:trPr>
        <w:tc>
          <w:tcPr>
            <w:tcW w:w="9175" w:type="dxa"/>
            <w:tcMar>
              <w:top w:w="28" w:type="dxa"/>
            </w:tcMar>
          </w:tcPr>
          <w:p w14:paraId="352C0DD8" w14:textId="77777777" w:rsidR="001C32CD" w:rsidRPr="00487162" w:rsidRDefault="001C32CD" w:rsidP="00A05FA4">
            <w:pPr>
              <w:pStyle w:val="Address"/>
            </w:pPr>
            <w:r w:rsidRPr="00487162">
              <w:t>PO Box 100 Woden ACT 2606 Australia</w:t>
            </w:r>
          </w:p>
          <w:p w14:paraId="761BEE4F" w14:textId="23F2163E" w:rsidR="001C32CD" w:rsidRPr="00487162" w:rsidRDefault="001C32CD" w:rsidP="00A05FA4">
            <w:pPr>
              <w:pStyle w:val="Address"/>
            </w:pPr>
            <w:r w:rsidRPr="00487162">
              <w:t xml:space="preserve">Email: </w:t>
            </w:r>
            <w:hyperlink r:id="rId37" w:history="1">
              <w:r w:rsidRPr="004C239D">
                <w:rPr>
                  <w:rStyle w:val="Hyperlink"/>
                </w:rPr>
                <w:t>info@tga.gov.au</w:t>
              </w:r>
            </w:hyperlink>
            <w:r w:rsidRPr="00487162">
              <w:t xml:space="preserve">  Phone: 1800 020 653  Fax: 02 6232 8605</w:t>
            </w:r>
          </w:p>
          <w:p w14:paraId="28923A8C" w14:textId="194C164D" w:rsidR="001C32CD" w:rsidRPr="004C239D" w:rsidRDefault="007603A1" w:rsidP="00A05FA4">
            <w:pPr>
              <w:pStyle w:val="Address"/>
              <w:spacing w:line="260" w:lineRule="atLeast"/>
              <w:rPr>
                <w:b/>
                <w:color w:val="0000FF"/>
                <w:u w:val="single"/>
              </w:rPr>
            </w:pPr>
            <w:hyperlink r:id="rId38" w:history="1">
              <w:r w:rsidR="007C6B9B" w:rsidRPr="007C6B9B">
                <w:rPr>
                  <w:rStyle w:val="Hyperlink"/>
                  <w:b/>
                </w:rPr>
                <w:t>https://www.tga.gov.au</w:t>
              </w:r>
            </w:hyperlink>
          </w:p>
        </w:tc>
      </w:tr>
    </w:tbl>
    <w:p w14:paraId="0D74E1C7" w14:textId="77777777"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DD62C" w14:textId="77777777" w:rsidR="007603A1" w:rsidRDefault="007603A1" w:rsidP="00C40A36">
      <w:pPr>
        <w:spacing w:after="0"/>
      </w:pPr>
      <w:r>
        <w:separator/>
      </w:r>
    </w:p>
  </w:endnote>
  <w:endnote w:type="continuationSeparator" w:id="0">
    <w:p w14:paraId="4E26E188" w14:textId="77777777" w:rsidR="007603A1" w:rsidRDefault="007603A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TeXGyrePagella-Regular">
    <w:panose1 w:val="00000000000000000000"/>
    <w:charset w:val="00"/>
    <w:family w:val="roman"/>
    <w:notTrueType/>
    <w:pitch w:val="default"/>
    <w:sig w:usb0="00000003" w:usb1="00000000" w:usb2="00000000" w:usb3="00000000" w:csb0="00000001" w:csb1="00000000"/>
  </w:font>
  <w:font w:name="ArialMT">
    <w:altName w:val="Yu Gothic UI"/>
    <w:panose1 w:val="00000000000000000000"/>
    <w:charset w:val="80"/>
    <w:family w:val="auto"/>
    <w:notTrueType/>
    <w:pitch w:val="default"/>
    <w:sig w:usb0="00000001" w:usb1="08070000" w:usb2="00000010" w:usb3="00000000" w:csb0="00020000" w:csb1="00000000"/>
  </w:font>
  <w:font w:name="TimesNewRoman">
    <w:altName w:val="Yu Gothic UI"/>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5EED0" w14:textId="77777777" w:rsidR="007603A1" w:rsidRDefault="00760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603A1" w:rsidRPr="00487162" w14:paraId="0E8EA013" w14:textId="77777777" w:rsidTr="00DB750B">
      <w:trPr>
        <w:trHeight w:val="269"/>
      </w:trPr>
      <w:tc>
        <w:tcPr>
          <w:tcW w:w="7371" w:type="dxa"/>
          <w:tcMar>
            <w:top w:w="142" w:type="dxa"/>
            <w:bottom w:w="0" w:type="dxa"/>
          </w:tcMar>
        </w:tcPr>
        <w:p w14:paraId="716FC98C" w14:textId="329F6330" w:rsidR="007603A1" w:rsidRPr="00487162" w:rsidRDefault="007603A1" w:rsidP="00B36A18">
          <w:pPr>
            <w:pStyle w:val="Footer"/>
          </w:pPr>
          <w:r w:rsidRPr="00487162">
            <w:t>AusPA</w:t>
          </w:r>
          <w:r>
            <w:t>R – Sarclisa – isatuximab - Sanofi-Aventis Australia Pty Ltd - PM-2019</w:t>
          </w:r>
          <w:r w:rsidRPr="00487162">
            <w:t>-</w:t>
          </w:r>
          <w:r>
            <w:t>02568-1-6</w:t>
          </w:r>
          <w:r>
            <w:br/>
            <w:t>FINAL 2 November 2020</w:t>
          </w:r>
        </w:p>
      </w:tc>
      <w:tc>
        <w:tcPr>
          <w:tcW w:w="1490" w:type="dxa"/>
          <w:tcMar>
            <w:top w:w="142" w:type="dxa"/>
            <w:bottom w:w="0" w:type="dxa"/>
          </w:tcMar>
        </w:tcPr>
        <w:p w14:paraId="6893F0ED" w14:textId="1E1E0F51" w:rsidR="007603A1" w:rsidRPr="00487162" w:rsidRDefault="007603A1" w:rsidP="00DB750B">
          <w:pPr>
            <w:pStyle w:val="Footer"/>
            <w:jc w:val="right"/>
          </w:pPr>
          <w:r w:rsidRPr="00487162">
            <w:t xml:space="preserve">Page </w:t>
          </w:r>
          <w:r>
            <w:fldChar w:fldCharType="begin"/>
          </w:r>
          <w:r>
            <w:instrText xml:space="preserve"> PAGE  \* Arabic </w:instrText>
          </w:r>
          <w:r>
            <w:fldChar w:fldCharType="separate"/>
          </w:r>
          <w:r w:rsidR="00660F94">
            <w:rPr>
              <w:noProof/>
            </w:rPr>
            <w:t>4</w:t>
          </w:r>
          <w:r>
            <w:fldChar w:fldCharType="end"/>
          </w:r>
          <w:r w:rsidRPr="00487162">
            <w:t xml:space="preserve"> of </w:t>
          </w:r>
          <w:fldSimple w:instr=" NUMPAGES  \* Arabic ">
            <w:r w:rsidR="00660F94">
              <w:rPr>
                <w:noProof/>
              </w:rPr>
              <w:t>38</w:t>
            </w:r>
          </w:fldSimple>
        </w:p>
      </w:tc>
    </w:tr>
  </w:tbl>
  <w:p w14:paraId="109FA291" w14:textId="77777777" w:rsidR="007603A1" w:rsidRDefault="007603A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F6D80" w14:textId="77777777" w:rsidR="007603A1" w:rsidRDefault="00760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603A1" w:rsidRPr="00487162" w14:paraId="5B6E3E7D" w14:textId="77777777" w:rsidTr="00E45619">
      <w:trPr>
        <w:trHeight w:val="269"/>
      </w:trPr>
      <w:tc>
        <w:tcPr>
          <w:tcW w:w="4519" w:type="dxa"/>
          <w:tcBorders>
            <w:top w:val="single" w:sz="4" w:space="0" w:color="auto"/>
          </w:tcBorders>
          <w:tcMar>
            <w:top w:w="142" w:type="dxa"/>
            <w:bottom w:w="0" w:type="dxa"/>
          </w:tcMar>
        </w:tcPr>
        <w:p w14:paraId="41A483CF" w14:textId="77777777" w:rsidR="007603A1" w:rsidRPr="00487162" w:rsidRDefault="007603A1" w:rsidP="00FE1DEE">
          <w:pPr>
            <w:pStyle w:val="Footer"/>
          </w:pPr>
          <w:r w:rsidRPr="00487162">
            <w:t>Document title, Part #, Section # - Section title</w:t>
          </w:r>
        </w:p>
        <w:p w14:paraId="5F6170B7" w14:textId="77777777" w:rsidR="007603A1" w:rsidRPr="00487162" w:rsidRDefault="007603A1" w:rsidP="00FE1DEE">
          <w:pPr>
            <w:pStyle w:val="Footer"/>
          </w:pPr>
          <w:r w:rsidRPr="00487162">
            <w:t>V1.0 October 2010</w:t>
          </w:r>
        </w:p>
      </w:tc>
      <w:tc>
        <w:tcPr>
          <w:tcW w:w="4342" w:type="dxa"/>
          <w:tcBorders>
            <w:top w:val="single" w:sz="4" w:space="0" w:color="auto"/>
          </w:tcBorders>
          <w:tcMar>
            <w:top w:w="142" w:type="dxa"/>
            <w:bottom w:w="0" w:type="dxa"/>
          </w:tcMar>
        </w:tcPr>
        <w:p w14:paraId="382E187D" w14:textId="77777777" w:rsidR="007603A1" w:rsidRPr="00487162" w:rsidRDefault="007603A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2F601B66" w14:textId="77777777" w:rsidR="007603A1" w:rsidRDefault="007603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00596" w14:textId="77777777" w:rsidR="007603A1" w:rsidRPr="001C32CD" w:rsidRDefault="007603A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603A1" w14:paraId="06800A70" w14:textId="77777777" w:rsidTr="0010601F">
      <w:trPr>
        <w:trHeight w:val="108"/>
      </w:trPr>
      <w:tc>
        <w:tcPr>
          <w:tcW w:w="8875" w:type="dxa"/>
          <w:gridSpan w:val="2"/>
          <w:tcBorders>
            <w:bottom w:val="single" w:sz="4" w:space="0" w:color="auto"/>
          </w:tcBorders>
          <w:tcMar>
            <w:right w:w="284" w:type="dxa"/>
          </w:tcMar>
        </w:tcPr>
        <w:p w14:paraId="3B0B0015" w14:textId="77777777" w:rsidR="007603A1" w:rsidRDefault="007603A1" w:rsidP="006E08B3">
          <w:pPr>
            <w:pStyle w:val="Heading3"/>
          </w:pPr>
          <w:r>
            <w:t>Copyright</w:t>
          </w:r>
        </w:p>
        <w:p w14:paraId="300EF97A" w14:textId="77777777" w:rsidR="007603A1" w:rsidRDefault="007603A1" w:rsidP="006E08B3">
          <w:r>
            <w:rPr>
              <w:rFonts w:cs="Arial"/>
            </w:rPr>
            <w:t>©</w:t>
          </w:r>
          <w:r>
            <w:t xml:space="preserve"> Commonwealth of Australia [add year]</w:t>
          </w:r>
        </w:p>
        <w:p w14:paraId="49857A9D" w14:textId="77777777" w:rsidR="007603A1" w:rsidRDefault="007603A1" w:rsidP="006E08B3"/>
        <w:p w14:paraId="20BDA2D7" w14:textId="77777777" w:rsidR="007603A1" w:rsidRDefault="007603A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61CE8B9" w14:textId="77777777" w:rsidR="007603A1" w:rsidRDefault="007603A1" w:rsidP="006E08B3"/>
        <w:p w14:paraId="3E18DA26" w14:textId="77777777" w:rsidR="007603A1" w:rsidRDefault="007603A1" w:rsidP="006E08B3">
          <w:pPr>
            <w:pStyle w:val="Heading3"/>
          </w:pPr>
          <w:r>
            <w:t>Confidentiality</w:t>
          </w:r>
        </w:p>
        <w:p w14:paraId="5A75AE95" w14:textId="77777777" w:rsidR="007603A1" w:rsidRDefault="007603A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FB76E9B" w14:textId="77777777" w:rsidR="007603A1" w:rsidRDefault="007603A1" w:rsidP="006E08B3"/>
        <w:p w14:paraId="6B1B2066" w14:textId="77777777" w:rsidR="007603A1" w:rsidRDefault="007603A1" w:rsidP="006E08B3">
          <w:r>
            <w:t>For submission made by individuals, all personal details, other than your name, will be removed from your submission before it is published on the TGA’s Internet site.</w:t>
          </w:r>
        </w:p>
        <w:p w14:paraId="0AB6DF12" w14:textId="77777777" w:rsidR="007603A1" w:rsidRDefault="007603A1" w:rsidP="006E08B3"/>
        <w:p w14:paraId="24986C50" w14:textId="77777777" w:rsidR="007603A1" w:rsidRDefault="007603A1" w:rsidP="006E08B3">
          <w:r>
            <w:t>In addition, a list of parties making submissions will be published. If you do not wish to be identified with your submission you must specifically request this in the space provided ib the submission coversheet.</w:t>
          </w:r>
        </w:p>
      </w:tc>
    </w:tr>
    <w:tr w:rsidR="007603A1" w14:paraId="01DF9DAC" w14:textId="77777777" w:rsidTr="0010601F">
      <w:trPr>
        <w:trHeight w:val="417"/>
      </w:trPr>
      <w:tc>
        <w:tcPr>
          <w:tcW w:w="4519" w:type="dxa"/>
          <w:tcBorders>
            <w:top w:val="single" w:sz="4" w:space="0" w:color="auto"/>
          </w:tcBorders>
          <w:tcMar>
            <w:top w:w="142" w:type="dxa"/>
            <w:bottom w:w="0" w:type="dxa"/>
          </w:tcMar>
        </w:tcPr>
        <w:p w14:paraId="791D2833" w14:textId="77777777" w:rsidR="007603A1" w:rsidRDefault="007603A1" w:rsidP="006E08B3">
          <w:r>
            <w:t>Document title, Part #, Section # - Section title</w:t>
          </w:r>
        </w:p>
        <w:p w14:paraId="6E9C3199" w14:textId="77777777" w:rsidR="007603A1" w:rsidRDefault="007603A1" w:rsidP="006E08B3">
          <w:r>
            <w:t>V1.0 October 2010</w:t>
          </w:r>
        </w:p>
      </w:tc>
      <w:tc>
        <w:tcPr>
          <w:tcW w:w="4356" w:type="dxa"/>
          <w:tcBorders>
            <w:top w:val="single" w:sz="4" w:space="0" w:color="auto"/>
          </w:tcBorders>
          <w:tcMar>
            <w:top w:w="142" w:type="dxa"/>
            <w:bottom w:w="0" w:type="dxa"/>
          </w:tcMar>
        </w:tcPr>
        <w:p w14:paraId="7927AB32" w14:textId="77777777" w:rsidR="007603A1" w:rsidRDefault="007603A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7AB07060" w14:textId="77777777" w:rsidR="007603A1" w:rsidRDefault="007603A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54C39" w14:textId="77777777" w:rsidR="007603A1" w:rsidRDefault="007603A1" w:rsidP="00C40A36">
      <w:pPr>
        <w:spacing w:after="0"/>
      </w:pPr>
      <w:r>
        <w:separator/>
      </w:r>
    </w:p>
  </w:footnote>
  <w:footnote w:type="continuationSeparator" w:id="0">
    <w:p w14:paraId="3047905B" w14:textId="77777777" w:rsidR="007603A1" w:rsidRDefault="007603A1" w:rsidP="00C40A36">
      <w:pPr>
        <w:spacing w:after="0"/>
      </w:pPr>
      <w:r>
        <w:continuationSeparator/>
      </w:r>
    </w:p>
  </w:footnote>
  <w:footnote w:id="1">
    <w:p w14:paraId="15F7199B" w14:textId="77777777" w:rsidR="007603A1" w:rsidRDefault="007603A1">
      <w:pPr>
        <w:pStyle w:val="FootnoteText"/>
      </w:pPr>
      <w:r>
        <w:rPr>
          <w:rStyle w:val="FootnoteReference"/>
        </w:rPr>
        <w:footnoteRef/>
      </w:r>
      <w:r>
        <w:t xml:space="preserve"> </w:t>
      </w:r>
      <w:r w:rsidRPr="00C61EC3">
        <w:t xml:space="preserve">The </w:t>
      </w:r>
      <w:r w:rsidRPr="00C61EC3">
        <w:rPr>
          <w:b/>
        </w:rPr>
        <w:t>Black Triangle Scheme</w:t>
      </w:r>
      <w:r w:rsidRPr="00C61EC3">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4E7D34A3" w14:textId="5DFBC520" w:rsidR="007603A1" w:rsidRPr="00EF33EC" w:rsidRDefault="007603A1">
      <w:pPr>
        <w:pStyle w:val="FootnoteText"/>
        <w:rPr>
          <w:lang w:val="en-GB"/>
        </w:rPr>
      </w:pPr>
      <w:r>
        <w:rPr>
          <w:rStyle w:val="FootnoteReference"/>
        </w:rPr>
        <w:footnoteRef/>
      </w:r>
      <w:r>
        <w:t xml:space="preserve"> </w:t>
      </w:r>
      <w:r w:rsidRPr="00DD6F98">
        <w:t xml:space="preserve">The acronym CRAB was </w:t>
      </w:r>
      <w:r>
        <w:t xml:space="preserve">originally </w:t>
      </w:r>
      <w:r w:rsidRPr="00DD6F98">
        <w:t>defined in</w:t>
      </w:r>
      <w:r>
        <w:t xml:space="preserve"> the 2003 classification criteria of multiple myeloma by the </w:t>
      </w:r>
      <w:r w:rsidRPr="00DD6F98">
        <w:t>International Myeloma Working Group in 2003 to simplify the most typical clinical manifestations of multiple myeloma</w:t>
      </w:r>
      <w:r>
        <w:t>.</w:t>
      </w:r>
    </w:p>
  </w:footnote>
  <w:footnote w:id="3">
    <w:p w14:paraId="19810264" w14:textId="3ABE9A15" w:rsidR="007603A1" w:rsidRPr="00EF33EC" w:rsidRDefault="007603A1">
      <w:pPr>
        <w:pStyle w:val="FootnoteText"/>
        <w:rPr>
          <w:lang w:val="en-US"/>
        </w:rPr>
      </w:pPr>
      <w:r>
        <w:rPr>
          <w:rStyle w:val="FootnoteReference"/>
        </w:rPr>
        <w:footnoteRef/>
      </w:r>
      <w:r>
        <w:t xml:space="preserve"> International Myeloma Working Group; </w:t>
      </w:r>
      <w:r w:rsidRPr="00DD6F98">
        <w:t>Criteria for the classification of monoclonal gammopathies, multiple myeloma and related disorders: a report of the International Myeloma Working Group</w:t>
      </w:r>
      <w:r>
        <w:t xml:space="preserve">. </w:t>
      </w:r>
      <w:r w:rsidRPr="00EF33EC">
        <w:rPr>
          <w:i/>
        </w:rPr>
        <w:t>British Journal of Haematology</w:t>
      </w:r>
      <w:r w:rsidRPr="00DD6F98">
        <w:t>, 121</w:t>
      </w:r>
      <w:r>
        <w:t xml:space="preserve"> (2003)</w:t>
      </w:r>
      <w:r w:rsidRPr="00DD6F98">
        <w:t>: 749-757.</w:t>
      </w:r>
    </w:p>
  </w:footnote>
  <w:footnote w:id="4">
    <w:p w14:paraId="210B16E1" w14:textId="7AC42F35" w:rsidR="007603A1" w:rsidRDefault="007603A1">
      <w:pPr>
        <w:pStyle w:val="FootnoteText"/>
      </w:pPr>
      <w:r>
        <w:rPr>
          <w:rStyle w:val="FootnoteReference"/>
        </w:rPr>
        <w:footnoteRef/>
      </w:r>
      <w:r>
        <w:t xml:space="preserve"> </w:t>
      </w:r>
      <w:r w:rsidRPr="009C6A66">
        <w:rPr>
          <w:rFonts w:asciiTheme="minorHAnsi" w:hAnsiTheme="minorHAnsi" w:cs="Calibri"/>
        </w:rPr>
        <w:t>Australian Institute of Health and Welfare</w:t>
      </w:r>
      <w:r>
        <w:rPr>
          <w:rFonts w:asciiTheme="minorHAnsi" w:hAnsiTheme="minorHAnsi" w:cs="Calibri"/>
        </w:rPr>
        <w:t xml:space="preserve"> (AIHW)</w:t>
      </w:r>
      <w:r w:rsidRPr="009C6A66">
        <w:rPr>
          <w:rFonts w:asciiTheme="minorHAnsi" w:hAnsiTheme="minorHAnsi" w:cs="Calibri"/>
        </w:rPr>
        <w:t xml:space="preserve"> 2017. Cancer in Australia 2017. Cancer series no. 101. Cat.</w:t>
      </w:r>
      <w:r>
        <w:rPr>
          <w:rFonts w:asciiTheme="minorHAnsi" w:hAnsiTheme="minorHAnsi" w:cs="Calibri"/>
        </w:rPr>
        <w:t> </w:t>
      </w:r>
      <w:r w:rsidRPr="009C6A66">
        <w:rPr>
          <w:rFonts w:asciiTheme="minorHAnsi" w:hAnsiTheme="minorHAnsi" w:cs="Calibri"/>
        </w:rPr>
        <w:t>No. CAN 100. Canberra: AIHW.</w:t>
      </w:r>
    </w:p>
  </w:footnote>
  <w:footnote w:id="5">
    <w:p w14:paraId="414D61A3" w14:textId="77777777" w:rsidR="007603A1" w:rsidRPr="009A706C" w:rsidRDefault="007603A1" w:rsidP="001F4B9D">
      <w:pPr>
        <w:pStyle w:val="FootnoteText"/>
        <w:rPr>
          <w:lang w:val="en-US"/>
        </w:rPr>
      </w:pPr>
      <w:r>
        <w:rPr>
          <w:rStyle w:val="FootnoteReference"/>
        </w:rPr>
        <w:footnoteRef/>
      </w:r>
      <w:r>
        <w:t xml:space="preserve"> </w:t>
      </w:r>
      <w:r w:rsidRPr="00062DB3">
        <w:t>Darzalex daratumumab 100 mg/5 mL concentrated solution for infusion vial</w:t>
      </w:r>
      <w:r>
        <w:t xml:space="preserve"> (ARTG: </w:t>
      </w:r>
      <w:r w:rsidRPr="00062DB3">
        <w:t>281842</w:t>
      </w:r>
      <w:r>
        <w:t>); 400 mg/20 </w:t>
      </w:r>
      <w:r w:rsidRPr="001F4B9D">
        <w:t>mL concentr</w:t>
      </w:r>
      <w:r>
        <w:t xml:space="preserve">ated solution for infusion vial (ARTG </w:t>
      </w:r>
      <w:r w:rsidRPr="001F4B9D">
        <w:t>281843</w:t>
      </w:r>
      <w:r>
        <w:t xml:space="preserve">); and </w:t>
      </w:r>
      <w:r w:rsidRPr="001F4B9D">
        <w:t>1800 mg/15 mL solution for injection vial</w:t>
      </w:r>
      <w:r>
        <w:t xml:space="preserve"> (ARTG </w:t>
      </w:r>
      <w:r w:rsidRPr="001F4B9D">
        <w:t>322685</w:t>
      </w:r>
      <w:r>
        <w:t>). ARTG effective date 7 October 2020.</w:t>
      </w:r>
    </w:p>
  </w:footnote>
  <w:footnote w:id="6">
    <w:p w14:paraId="1116D438" w14:textId="3BE7D53A" w:rsidR="007603A1" w:rsidRPr="00EF33EC" w:rsidRDefault="007603A1">
      <w:pPr>
        <w:pStyle w:val="FootnoteText"/>
        <w:rPr>
          <w:lang w:val="en-US"/>
        </w:rPr>
      </w:pPr>
      <w:r>
        <w:rPr>
          <w:rStyle w:val="FootnoteReference"/>
        </w:rPr>
        <w:footnoteRef/>
      </w:r>
      <w:r>
        <w:t xml:space="preserve"> </w:t>
      </w:r>
      <w:r>
        <w:rPr>
          <w:lang w:val="en-US"/>
        </w:rPr>
        <w:t xml:space="preserve">See AusPAR for </w:t>
      </w:r>
      <w:r w:rsidRPr="001F4B9D">
        <w:rPr>
          <w:lang w:val="en-US"/>
        </w:rPr>
        <w:t>Pomalyst</w:t>
      </w:r>
      <w:r>
        <w:rPr>
          <w:lang w:val="en-US"/>
        </w:rPr>
        <w:t xml:space="preserve"> p</w:t>
      </w:r>
      <w:r w:rsidRPr="001F4B9D">
        <w:rPr>
          <w:lang w:val="en-US"/>
        </w:rPr>
        <w:t>omalidomide</w:t>
      </w:r>
      <w:r>
        <w:rPr>
          <w:lang w:val="en-US"/>
        </w:rPr>
        <w:t xml:space="preserve"> </w:t>
      </w:r>
      <w:r w:rsidRPr="001F4B9D">
        <w:rPr>
          <w:lang w:val="en-US"/>
        </w:rPr>
        <w:t>Celgene Australia Pty Ltd</w:t>
      </w:r>
      <w:r>
        <w:rPr>
          <w:lang w:val="en-US"/>
        </w:rPr>
        <w:t xml:space="preserve"> </w:t>
      </w:r>
      <w:r w:rsidRPr="001F4B9D">
        <w:rPr>
          <w:lang w:val="en-US"/>
        </w:rPr>
        <w:t>PM-2013-02037-1-4</w:t>
      </w:r>
      <w:r>
        <w:rPr>
          <w:lang w:val="en-US"/>
        </w:rPr>
        <w:t xml:space="preserve">. Published 20 November 2014 at </w:t>
      </w:r>
      <w:r w:rsidRPr="001F4B9D">
        <w:rPr>
          <w:lang w:val="en-US"/>
        </w:rPr>
        <w:t>https://www.tga.gov.au/auspar/auspar-pomalidomide</w:t>
      </w:r>
    </w:p>
  </w:footnote>
  <w:footnote w:id="7">
    <w:p w14:paraId="439DFCF1" w14:textId="77777777" w:rsidR="007603A1" w:rsidRPr="00774BB2" w:rsidRDefault="007603A1" w:rsidP="00705754">
      <w:pPr>
        <w:pStyle w:val="FootnoteText"/>
      </w:pPr>
      <w:r>
        <w:rPr>
          <w:rStyle w:val="FootnoteReference"/>
        </w:rPr>
        <w:footnoteRef/>
      </w:r>
      <w:r>
        <w:t xml:space="preserve"> </w:t>
      </w:r>
      <w:r w:rsidRPr="00774BB2">
        <w:t>The ACSS Consortium is a collaborative initiative of like-minded, medium-sized regulatory authorities between Australia's Therapeutic Goods Administration (TGA), Health Canada (HC), Singapore's Health Sciences Authority (HSA) and the Swiss Agency for Therapeutic Products (Swissmedic). Regulatory authorities face very similar challenges, such as increasing workload and increasing complexities in the medicinal applications that are being regulated, thus contributing to increasing pressure on available resources. The purpose of the consortium is to build synergies and share knowledge amongst the regulatory authorities thereby enhancing efficiency of regulatory systems.</w:t>
      </w:r>
    </w:p>
    <w:p w14:paraId="7C75DE37" w14:textId="1EBC6EA6" w:rsidR="007603A1" w:rsidRDefault="007603A1">
      <w:pPr>
        <w:pStyle w:val="FootnoteText"/>
      </w:pPr>
      <w:r w:rsidRPr="00774BB2">
        <w:t>The ACSS Consortium consists of various projects that aim to help meet the challenges faced by regulatory authorities, including timely access to safe therapeutic products within a limited resource capacity. The ACSS uses a network of bilateral confidentiality agreements and Memoranda of Understanding to conduct their work.</w:t>
      </w:r>
    </w:p>
  </w:footnote>
  <w:footnote w:id="8">
    <w:p w14:paraId="2859E4FC" w14:textId="2F18B495" w:rsidR="007603A1" w:rsidRPr="00EF33EC" w:rsidRDefault="007603A1">
      <w:pPr>
        <w:pStyle w:val="FootnoteText"/>
        <w:rPr>
          <w:lang w:val="en-US"/>
        </w:rPr>
      </w:pPr>
      <w:r>
        <w:rPr>
          <w:rStyle w:val="FootnoteReference"/>
        </w:rPr>
        <w:footnoteRef/>
      </w:r>
      <w:r>
        <w:t xml:space="preserve"> </w:t>
      </w:r>
      <w:r w:rsidRPr="00BF32D9">
        <w:t xml:space="preserve">'Orphan drugs'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w:t>
      </w:r>
      <w:r w:rsidRPr="00EF33EC">
        <w:rPr>
          <w:b/>
        </w:rPr>
        <w:t>orphan designation</w:t>
      </w:r>
      <w:r w:rsidRPr="00BF32D9">
        <w:t xml:space="preserve">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9">
    <w:p w14:paraId="4B609F3E" w14:textId="50924B37" w:rsidR="007603A1" w:rsidRDefault="007603A1">
      <w:pPr>
        <w:pStyle w:val="FootnoteText"/>
      </w:pPr>
      <w:r>
        <w:rPr>
          <w:rStyle w:val="FootnoteReference"/>
        </w:rPr>
        <w:footnoteRef/>
      </w:r>
      <w:r>
        <w:t xml:space="preserve"> European Medicines Agency (EMA), </w:t>
      </w:r>
      <w:r w:rsidRPr="00C97EAD">
        <w:t xml:space="preserve">Committee for Medicinal Products for Human Use </w:t>
      </w:r>
      <w:r>
        <w:t>(CHMP), ICH guideline S9 on nonclinical evaluation for anticancer pharmaceuticals, EMA/CHMP/ICH/646107/2008. Adopted May 2010.</w:t>
      </w:r>
    </w:p>
  </w:footnote>
  <w:footnote w:id="10">
    <w:p w14:paraId="4AB2EAA7" w14:textId="4FA62E32" w:rsidR="007603A1" w:rsidRDefault="007603A1">
      <w:pPr>
        <w:pStyle w:val="FootnoteText"/>
      </w:pPr>
      <w:r>
        <w:rPr>
          <w:rStyle w:val="FootnoteReference"/>
        </w:rPr>
        <w:footnoteRef/>
      </w:r>
      <w:r>
        <w:t xml:space="preserve"> EMA, CHMP, ICH guideline S6 (R1) – preclinical safety evaluation of biotechnology-derived pharmaceuticals, EMA/CHMP/ICH/731268/1998. Adopted June 2011.</w:t>
      </w:r>
    </w:p>
  </w:footnote>
  <w:footnote w:id="11">
    <w:p w14:paraId="7AC2A35D" w14:textId="1AD88D98" w:rsidR="007603A1" w:rsidRPr="00EF33EC" w:rsidRDefault="007603A1">
      <w:pPr>
        <w:pStyle w:val="FootnoteText"/>
        <w:rPr>
          <w:lang w:val="en-US"/>
        </w:rPr>
      </w:pPr>
      <w:r>
        <w:rPr>
          <w:rStyle w:val="FootnoteReference"/>
        </w:rPr>
        <w:footnoteRef/>
      </w:r>
      <w:r>
        <w:t xml:space="preserve"> </w:t>
      </w:r>
      <w:r w:rsidRPr="00EF33EC">
        <w:rPr>
          <w:b/>
        </w:rPr>
        <w:t>Good Laboratory Practice (GLP)</w:t>
      </w:r>
      <w:r w:rsidRPr="00A50633">
        <w:t xml:space="preserve"> is an international quality system of management controls for the experimental (non-clinical) research arena, research laboratories and organisations to ensure the uniformity, consistency, reliability, reproducibility, quality, and integrity of products in development for human or animal health (including pharmaceuticals) through noncli</w:t>
      </w:r>
      <w:r>
        <w:t>nical safety tests; from physio</w:t>
      </w:r>
      <w:r w:rsidRPr="00A50633">
        <w:t>chemical properties through acute to chronic toxicity tests.</w:t>
      </w:r>
    </w:p>
  </w:footnote>
  <w:footnote w:id="12">
    <w:p w14:paraId="1BD3CE37" w14:textId="21E316F5" w:rsidR="007603A1" w:rsidRDefault="007603A1">
      <w:pPr>
        <w:pStyle w:val="FootnoteText"/>
      </w:pPr>
      <w:r>
        <w:rPr>
          <w:rStyle w:val="FootnoteReference"/>
        </w:rPr>
        <w:footnoteRef/>
      </w:r>
      <w:r>
        <w:t xml:space="preserve"> Kato, I et al..</w:t>
      </w:r>
      <w:r w:rsidRPr="00AC2556">
        <w:t xml:space="preserve"> CD38 disruption impairs glucose-induced increases in cyclic ADP-ribose, [Ca2+]i, and insulin secretion. </w:t>
      </w:r>
      <w:r w:rsidRPr="00167558">
        <w:rPr>
          <w:i/>
        </w:rPr>
        <w:t>J. Biol. Chem</w:t>
      </w:r>
      <w:r w:rsidRPr="00AC2556">
        <w:t xml:space="preserve">. </w:t>
      </w:r>
      <w:r>
        <w:t xml:space="preserve">1999; </w:t>
      </w:r>
      <w:r w:rsidRPr="00AC2556">
        <w:t>274: 1869–1872.</w:t>
      </w:r>
    </w:p>
  </w:footnote>
  <w:footnote w:id="13">
    <w:p w14:paraId="32EB8DA9" w14:textId="5D0F6EF5" w:rsidR="007603A1" w:rsidRDefault="007603A1">
      <w:pPr>
        <w:pStyle w:val="FootnoteText"/>
      </w:pPr>
      <w:r>
        <w:rPr>
          <w:rStyle w:val="FootnoteReference"/>
        </w:rPr>
        <w:footnoteRef/>
      </w:r>
      <w:r>
        <w:t xml:space="preserve"> </w:t>
      </w:r>
      <w:r w:rsidRPr="00AC2556">
        <w:t xml:space="preserve">Sun L., </w:t>
      </w:r>
      <w:r>
        <w:t xml:space="preserve">et al. </w:t>
      </w:r>
      <w:r w:rsidRPr="00AC2556">
        <w:t xml:space="preserve">Disordered osteoclast formation and function in a CD38 (ADP-ribosyl cyclase)-deficient mouse establishes an essential role for CD38 in bone resorption. </w:t>
      </w:r>
      <w:r w:rsidRPr="00167558">
        <w:rPr>
          <w:i/>
        </w:rPr>
        <w:t>FASEB J</w:t>
      </w:r>
      <w:r w:rsidRPr="00AC2556">
        <w:t xml:space="preserve">. </w:t>
      </w:r>
      <w:r>
        <w:t xml:space="preserve">2003; </w:t>
      </w:r>
      <w:r w:rsidRPr="00AC2556">
        <w:t>17: 369–375.</w:t>
      </w:r>
    </w:p>
  </w:footnote>
  <w:footnote w:id="14">
    <w:p w14:paraId="4361CEDA" w14:textId="47A8D5C9" w:rsidR="007603A1" w:rsidRDefault="007603A1">
      <w:pPr>
        <w:pStyle w:val="FootnoteText"/>
      </w:pPr>
      <w:r>
        <w:rPr>
          <w:rStyle w:val="FootnoteReference"/>
        </w:rPr>
        <w:footnoteRef/>
      </w:r>
      <w:r>
        <w:t xml:space="preserve"> </w:t>
      </w:r>
      <w:r w:rsidRPr="00AC2556">
        <w:t>Cockayne</w:t>
      </w:r>
      <w:r>
        <w:t>,</w:t>
      </w:r>
      <w:r w:rsidRPr="00AC2556">
        <w:t xml:space="preserve"> D.A., </w:t>
      </w:r>
      <w:r>
        <w:t>et al.</w:t>
      </w:r>
      <w:r w:rsidRPr="00AC2556">
        <w:t xml:space="preserve"> Mice deficient for the ecto-nicotinamide adenine dinucleotide glycohydrolase CD38 exhibit altered humoral immune responses. </w:t>
      </w:r>
      <w:r w:rsidRPr="00167558">
        <w:rPr>
          <w:i/>
        </w:rPr>
        <w:t>Blood</w:t>
      </w:r>
      <w:r w:rsidRPr="00AC2556">
        <w:t xml:space="preserve">. </w:t>
      </w:r>
      <w:r>
        <w:t xml:space="preserve">1998; </w:t>
      </w:r>
      <w:r w:rsidRPr="00AC2556">
        <w:t>92: 1324–1333.</w:t>
      </w:r>
    </w:p>
  </w:footnote>
  <w:footnote w:id="15">
    <w:p w14:paraId="05976CE7" w14:textId="41BD7801" w:rsidR="007603A1" w:rsidRDefault="007603A1">
      <w:pPr>
        <w:pStyle w:val="FootnoteText"/>
      </w:pPr>
      <w:r>
        <w:rPr>
          <w:rStyle w:val="FootnoteReference"/>
        </w:rPr>
        <w:footnoteRef/>
      </w:r>
      <w:r>
        <w:t xml:space="preserve"> </w:t>
      </w:r>
      <w:r w:rsidRPr="00EF33EC">
        <w:rPr>
          <w:b/>
        </w:rPr>
        <w:t>Australian Pregnancy Category C</w:t>
      </w:r>
      <w:r>
        <w:t xml:space="preserve">: </w:t>
      </w:r>
      <w:r w:rsidRPr="009C1794">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6">
    <w:p w14:paraId="7E9D8AD9" w14:textId="4FF71DF7" w:rsidR="007603A1" w:rsidRPr="00EF33EC" w:rsidRDefault="007603A1">
      <w:pPr>
        <w:pStyle w:val="FootnoteText"/>
        <w:rPr>
          <w:lang w:val="en-US"/>
        </w:rPr>
      </w:pPr>
      <w:r>
        <w:rPr>
          <w:rStyle w:val="FootnoteReference"/>
        </w:rPr>
        <w:footnoteRef/>
      </w:r>
      <w:r>
        <w:t xml:space="preserve"> </w:t>
      </w:r>
      <w:r>
        <w:rPr>
          <w:lang w:val="en-US"/>
        </w:rPr>
        <w:t>Study EFC13225; title: ‘</w:t>
      </w:r>
      <w:r w:rsidRPr="008908E5">
        <w:rPr>
          <w:lang w:val="en-US"/>
        </w:rPr>
        <w:t>A Phase 3 Randomized, Open-label, Multicenter Study Comparing Isatuximab (SAR650984) in Combination with Pomalidomide and Low-dose Dexamethasone versus Pomalidomide and Low-dose Dexamethasone in Patients with Refractory or Relapsed and Refractory Multiple Myeloma</w:t>
      </w:r>
      <w:r>
        <w:rPr>
          <w:lang w:val="en-US"/>
        </w:rPr>
        <w:t xml:space="preserve">’. EudraCT number: </w:t>
      </w:r>
      <w:r w:rsidRPr="008908E5">
        <w:rPr>
          <w:lang w:val="en-US"/>
        </w:rPr>
        <w:t>2016-003097-41</w:t>
      </w:r>
      <w:r>
        <w:rPr>
          <w:lang w:val="en-US"/>
        </w:rPr>
        <w:t xml:space="preserve">; </w:t>
      </w:r>
      <w:r w:rsidRPr="008908E5">
        <w:rPr>
          <w:lang w:val="en-US"/>
        </w:rPr>
        <w:t>WHO Universal Trial Reference Number (UTRN)</w:t>
      </w:r>
      <w:r>
        <w:rPr>
          <w:lang w:val="en-US"/>
        </w:rPr>
        <w:t xml:space="preserve">: </w:t>
      </w:r>
      <w:r w:rsidRPr="008908E5">
        <w:rPr>
          <w:lang w:val="en-US"/>
        </w:rPr>
        <w:t>U1111-1180-6262</w:t>
      </w:r>
      <w:r>
        <w:rPr>
          <w:lang w:val="en-US"/>
        </w:rPr>
        <w:t xml:space="preserve">; NCT number: </w:t>
      </w:r>
      <w:r w:rsidRPr="008908E5">
        <w:rPr>
          <w:lang w:val="en-US"/>
        </w:rPr>
        <w:t>NCT02990338</w:t>
      </w:r>
      <w:r>
        <w:rPr>
          <w:lang w:val="en-US"/>
        </w:rPr>
        <w:t>.</w:t>
      </w:r>
    </w:p>
  </w:footnote>
  <w:footnote w:id="17">
    <w:p w14:paraId="103A2C67" w14:textId="0FC50347" w:rsidR="007603A1" w:rsidRPr="00EF33EC" w:rsidRDefault="007603A1">
      <w:pPr>
        <w:pStyle w:val="FootnoteText"/>
        <w:rPr>
          <w:lang w:val="en-US"/>
        </w:rPr>
      </w:pPr>
      <w:r>
        <w:rPr>
          <w:rStyle w:val="FootnoteReference"/>
        </w:rPr>
        <w:footnoteRef/>
      </w:r>
      <w:r>
        <w:t xml:space="preserve"> </w:t>
      </w:r>
      <w:r>
        <w:rPr>
          <w:lang w:val="en-US"/>
        </w:rPr>
        <w:t xml:space="preserve">Study </w:t>
      </w:r>
      <w:r w:rsidRPr="00C92938">
        <w:rPr>
          <w:lang w:val="en-US"/>
        </w:rPr>
        <w:t>TCD14079</w:t>
      </w:r>
      <w:r>
        <w:rPr>
          <w:lang w:val="en-US"/>
        </w:rPr>
        <w:t>; title: ‘</w:t>
      </w:r>
      <w:r w:rsidRPr="00C92938">
        <w:rPr>
          <w:lang w:val="en-US"/>
        </w:rPr>
        <w:t>SAR650984, Pomalidomide and Dexamethasone in Combination in RRMM Patients (PomdeSAR)</w:t>
      </w:r>
      <w:r>
        <w:rPr>
          <w:lang w:val="en-US"/>
        </w:rPr>
        <w:t xml:space="preserve">’. </w:t>
      </w:r>
      <w:r w:rsidRPr="008908E5">
        <w:rPr>
          <w:lang w:val="en-US"/>
        </w:rPr>
        <w:t>WHO Universal Trial Reference Number (UTRN)</w:t>
      </w:r>
      <w:r>
        <w:rPr>
          <w:lang w:val="en-US"/>
        </w:rPr>
        <w:t xml:space="preserve">: </w:t>
      </w:r>
      <w:r w:rsidRPr="00C92938">
        <w:rPr>
          <w:lang w:val="en-US"/>
        </w:rPr>
        <w:t>U1111-1155-7484</w:t>
      </w:r>
      <w:r>
        <w:rPr>
          <w:lang w:val="en-US"/>
        </w:rPr>
        <w:t xml:space="preserve">; NCT number: </w:t>
      </w:r>
      <w:r w:rsidRPr="00C92938">
        <w:rPr>
          <w:lang w:val="en-US"/>
        </w:rPr>
        <w:t>NCT02283775</w:t>
      </w:r>
      <w:r>
        <w:rPr>
          <w:lang w:val="en-US"/>
        </w:rPr>
        <w:t>.</w:t>
      </w:r>
    </w:p>
  </w:footnote>
  <w:footnote w:id="18">
    <w:p w14:paraId="3C5890FF" w14:textId="77777777" w:rsidR="007603A1" w:rsidRDefault="007603A1" w:rsidP="00352817">
      <w:pPr>
        <w:pStyle w:val="FootnoteText"/>
        <w:rPr>
          <w:rStyle w:val="FootnoteTextChar"/>
        </w:rPr>
      </w:pPr>
      <w:r>
        <w:rPr>
          <w:rStyle w:val="FootnoteReference"/>
        </w:rPr>
        <w:footnoteRef/>
      </w:r>
      <w:r>
        <w:t xml:space="preserve"> </w:t>
      </w:r>
      <w:r w:rsidRPr="000F1877">
        <w:t xml:space="preserve">The </w:t>
      </w:r>
      <w:r w:rsidRPr="00EF33EC">
        <w:rPr>
          <w:b/>
        </w:rPr>
        <w:t>QT interval</w:t>
      </w:r>
      <w:r w:rsidRPr="000F1877">
        <w:t xml:space="preserve"> is the time from the start of the Q</w:t>
      </w:r>
      <w:r>
        <w:t>RS</w:t>
      </w:r>
      <w:r w:rsidRPr="000F1877">
        <w:t xml:space="preserve"> wave</w:t>
      </w:r>
      <w:r>
        <w:t xml:space="preserve"> complex</w:t>
      </w:r>
      <w:r w:rsidRPr="000F1877">
        <w:t xml:space="preserve"> to the end of the</w:t>
      </w:r>
      <w:r>
        <w:t xml:space="preserve"> corresponding</w:t>
      </w:r>
      <w:r w:rsidRPr="000F1877">
        <w:t xml:space="preserve"> T wave. It </w:t>
      </w:r>
      <w:r>
        <w:t xml:space="preserve">approximates to </w:t>
      </w:r>
      <w:r w:rsidRPr="000F1877">
        <w:t xml:space="preserve">the time taken for ventricular depolarisation and repolarisation, </w:t>
      </w:r>
      <w:r>
        <w:t>that is to say, the</w:t>
      </w:r>
      <w:r w:rsidRPr="000F1877">
        <w:t xml:space="preserve"> period of ventricular systole from ventricular isovolumetric contraction to isovolumetric relaxation.</w:t>
      </w:r>
    </w:p>
    <w:p w14:paraId="57BF1819" w14:textId="2CBF5889" w:rsidR="007603A1" w:rsidRPr="00EF33EC" w:rsidRDefault="007603A1" w:rsidP="00352817">
      <w:pPr>
        <w:pStyle w:val="FootnoteText"/>
        <w:rPr>
          <w:lang w:val="en-US"/>
        </w:rPr>
      </w:pPr>
      <w:r w:rsidRPr="00436FD3">
        <w:rPr>
          <w:rStyle w:val="FootnoteTextChar"/>
        </w:rPr>
        <w:t xml:space="preserve">The </w:t>
      </w:r>
      <w:r w:rsidRPr="00D104F0">
        <w:rPr>
          <w:rStyle w:val="FootnoteTextChar"/>
          <w:b/>
        </w:rPr>
        <w:t>corrected QT interval (QTc)</w:t>
      </w:r>
      <w:r w:rsidRPr="00436FD3">
        <w:rPr>
          <w:rStyle w:val="FootnoteTextChar"/>
        </w:rPr>
        <w:t> estimates the QT interval at a standard heart rate. This allows comparison of QT values over time at different heart rates and improves detection of patients at increased risk of arrhythmias.</w:t>
      </w:r>
    </w:p>
  </w:footnote>
  <w:footnote w:id="19">
    <w:p w14:paraId="6FABC660" w14:textId="5FE6C0DA" w:rsidR="007603A1" w:rsidRPr="00EF33EC" w:rsidRDefault="007603A1">
      <w:pPr>
        <w:pStyle w:val="FootnoteText"/>
        <w:rPr>
          <w:lang w:val="en-US"/>
        </w:rPr>
      </w:pPr>
      <w:r>
        <w:rPr>
          <w:rStyle w:val="FootnoteReference"/>
        </w:rPr>
        <w:footnoteRef/>
      </w:r>
      <w:r>
        <w:t xml:space="preserve"> </w:t>
      </w:r>
      <w:r>
        <w:rPr>
          <w:lang w:val="en-US"/>
        </w:rPr>
        <w:t>IAR = Infusion associated reaction</w:t>
      </w:r>
    </w:p>
  </w:footnote>
  <w:footnote w:id="20">
    <w:p w14:paraId="257A9746" w14:textId="0F409090" w:rsidR="007603A1" w:rsidRDefault="007603A1" w:rsidP="00A41799">
      <w:pPr>
        <w:pStyle w:val="FootnoteText"/>
      </w:pPr>
      <w:r>
        <w:rPr>
          <w:rStyle w:val="FootnoteReference"/>
        </w:rPr>
        <w:footnoteRef/>
      </w:r>
      <w:r>
        <w:t xml:space="preserve"> Rajkumar, S.V. et al. </w:t>
      </w:r>
      <w:r w:rsidRPr="00A41799">
        <w:t>International Myeloma Working Group updated criteria for the diagnosis of multiple myeloma</w:t>
      </w:r>
      <w:r>
        <w:t xml:space="preserve">, </w:t>
      </w:r>
      <w:r w:rsidRPr="00167558">
        <w:rPr>
          <w:i/>
        </w:rPr>
        <w:t>Lancet Oncol</w:t>
      </w:r>
      <w:r>
        <w:t>. 2014; 15(12): e538-548.</w:t>
      </w:r>
    </w:p>
  </w:footnote>
  <w:footnote w:id="21">
    <w:p w14:paraId="50DAE1B6" w14:textId="77777777" w:rsidR="007603A1" w:rsidRDefault="007603A1" w:rsidP="00B870E9">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811D529" w14:textId="77777777" w:rsidR="007603A1" w:rsidRDefault="007603A1" w:rsidP="00B870E9">
      <w:pPr>
        <w:pStyle w:val="FootnoteText"/>
      </w:pPr>
      <w:r w:rsidRPr="00F12492">
        <w:rPr>
          <w:i/>
        </w:rPr>
        <w:t>Routine pharmacovigilance</w:t>
      </w:r>
      <w:r>
        <w:t xml:space="preserve"> practices involve the following activities:</w:t>
      </w:r>
    </w:p>
    <w:p w14:paraId="5F2B8220" w14:textId="77777777" w:rsidR="007603A1" w:rsidRDefault="007603A1" w:rsidP="00B870E9">
      <w:pPr>
        <w:pStyle w:val="FootnoteText"/>
        <w:numPr>
          <w:ilvl w:val="0"/>
          <w:numId w:val="28"/>
        </w:numPr>
      </w:pPr>
      <w:r>
        <w:t>All suspected adverse reactions that are reported to the personnel of the company are collected and collated in an accessible manner;</w:t>
      </w:r>
    </w:p>
    <w:p w14:paraId="232BE5C3" w14:textId="77777777" w:rsidR="007603A1" w:rsidRDefault="007603A1" w:rsidP="00B870E9">
      <w:pPr>
        <w:pStyle w:val="FootnoteText"/>
        <w:numPr>
          <w:ilvl w:val="0"/>
          <w:numId w:val="28"/>
        </w:numPr>
      </w:pPr>
      <w:r>
        <w:t>Reporting to regulatory authorities;</w:t>
      </w:r>
    </w:p>
    <w:p w14:paraId="661A1F09" w14:textId="77777777" w:rsidR="007603A1" w:rsidRDefault="007603A1" w:rsidP="00B870E9">
      <w:pPr>
        <w:pStyle w:val="FootnoteText"/>
        <w:numPr>
          <w:ilvl w:val="0"/>
          <w:numId w:val="28"/>
        </w:numPr>
      </w:pPr>
      <w:r>
        <w:t>Continuous monitoring of the safety profiles of approved products including signal detection and updating of labelling;</w:t>
      </w:r>
    </w:p>
    <w:p w14:paraId="13259B20" w14:textId="77777777" w:rsidR="007603A1" w:rsidRDefault="007603A1" w:rsidP="00B870E9">
      <w:pPr>
        <w:pStyle w:val="FootnoteText"/>
        <w:numPr>
          <w:ilvl w:val="0"/>
          <w:numId w:val="28"/>
        </w:numPr>
      </w:pPr>
      <w:r>
        <w:t>Submission of PSURs;</w:t>
      </w:r>
    </w:p>
    <w:p w14:paraId="24BCE1F5" w14:textId="77777777" w:rsidR="007603A1" w:rsidRPr="00F12492" w:rsidRDefault="007603A1" w:rsidP="00B870E9">
      <w:pPr>
        <w:pStyle w:val="FootnoteText"/>
        <w:numPr>
          <w:ilvl w:val="0"/>
          <w:numId w:val="28"/>
        </w:numPr>
        <w:rPr>
          <w:lang w:val="en-US"/>
        </w:rPr>
      </w:pPr>
      <w:r>
        <w:t>Meeting other local regulatory agency requirements.</w:t>
      </w:r>
    </w:p>
  </w:footnote>
  <w:footnote w:id="22">
    <w:p w14:paraId="09FF8606" w14:textId="14FC1E5D" w:rsidR="007603A1" w:rsidRDefault="007603A1" w:rsidP="001D6B7E">
      <w:pPr>
        <w:pStyle w:val="FootnoteText"/>
      </w:pPr>
      <w:r>
        <w:rPr>
          <w:rStyle w:val="FootnoteReference"/>
        </w:rPr>
        <w:footnoteRef/>
      </w:r>
      <w:r>
        <w:t xml:space="preserve"> V1 = Apparent volume of the central or plasma compartment in a two-compartment model.</w:t>
      </w:r>
    </w:p>
  </w:footnote>
  <w:footnote w:id="23">
    <w:p w14:paraId="60F944F6" w14:textId="77777777" w:rsidR="007603A1" w:rsidRDefault="007603A1" w:rsidP="00A661A4">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5D78847" w14:textId="77777777" w:rsidR="007603A1" w:rsidRPr="00456765" w:rsidRDefault="007603A1" w:rsidP="00A661A4">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E3E44" w14:textId="77777777" w:rsidR="007603A1" w:rsidRDefault="00760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A310F" w14:textId="77777777" w:rsidR="007603A1" w:rsidRDefault="007603A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D525B" w14:textId="77777777" w:rsidR="007603A1" w:rsidRDefault="007603A1">
    <w:pPr>
      <w:rPr>
        <w:noProof/>
        <w:lang w:eastAsia="en-AU"/>
      </w:rPr>
    </w:pPr>
    <w:r w:rsidRPr="00347824">
      <w:rPr>
        <w:noProof/>
        <w:lang w:eastAsia="en-AU"/>
      </w:rPr>
      <w:drawing>
        <wp:anchor distT="0" distB="0" distL="114300" distR="114300" simplePos="0" relativeHeight="251659264" behindDoc="1" locked="0" layoutInCell="1" allowOverlap="1" wp14:anchorId="6C39A049" wp14:editId="79C6F658">
          <wp:simplePos x="0" y="0"/>
          <wp:positionH relativeFrom="column">
            <wp:posOffset>-1089660</wp:posOffset>
          </wp:positionH>
          <wp:positionV relativeFrom="paragraph">
            <wp:posOffset>-585470</wp:posOffset>
          </wp:positionV>
          <wp:extent cx="7572375" cy="10706100"/>
          <wp:effectExtent l="19050" t="0" r="0" b="0"/>
          <wp:wrapNone/>
          <wp:docPr id="1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7DD56EE" w14:textId="009C54AE" w:rsidR="007603A1" w:rsidRDefault="007603A1"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8A10" w14:textId="77777777" w:rsidR="007603A1" w:rsidRDefault="00760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5C370" w14:textId="77777777" w:rsidR="007603A1" w:rsidRDefault="007603A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075C4" w14:textId="77777777" w:rsidR="007603A1" w:rsidRDefault="007603A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505E7" w14:textId="77777777" w:rsidR="007603A1" w:rsidRDefault="00760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2FCD7" w14:textId="77777777" w:rsidR="007603A1" w:rsidRDefault="007603A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56202" w14:textId="77777777" w:rsidR="007603A1" w:rsidRDefault="007603A1" w:rsidP="006E08B3">
    <w:r>
      <w:t>Therapeutic Goods Administration</w:t>
    </w:r>
  </w:p>
  <w:p w14:paraId="147DC1B1" w14:textId="77777777" w:rsidR="007603A1" w:rsidRDefault="007603A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6D2C88A6"/>
    <w:lvl w:ilvl="0" w:tplc="AEE41538">
      <w:start w:val="1"/>
      <w:numFmt w:val="bullet"/>
      <w:pStyle w:val="Bulletlis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5F989E16"/>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D23B1D"/>
    <w:multiLevelType w:val="hybridMultilevel"/>
    <w:tmpl w:val="C54A58B4"/>
    <w:lvl w:ilvl="0" w:tplc="F57E8076">
      <w:start w:val="1"/>
      <w:numFmt w:val="decimal"/>
      <w:lvlText w:val="%1."/>
      <w:lvlJc w:val="left"/>
      <w:pPr>
        <w:ind w:left="780" w:hanging="4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4305B81"/>
    <w:multiLevelType w:val="hybridMultilevel"/>
    <w:tmpl w:val="88E2DC6A"/>
    <w:lvl w:ilvl="0" w:tplc="9CD28E32">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11"/>
  </w:num>
  <w:num w:numId="29">
    <w:abstractNumId w:val="10"/>
  </w:num>
  <w:num w:numId="30">
    <w:abstractNumId w:val="6"/>
    <w:lvlOverride w:ilvl="0">
      <w:lvl w:ilvl="0">
        <w:start w:val="4"/>
        <w:numFmt w:val="bullet"/>
        <w:pStyle w:val="ListBullet"/>
        <w:lvlText w:val="•"/>
        <w:lvlJc w:val="left"/>
        <w:pPr>
          <w:ind w:left="360" w:hanging="360"/>
        </w:pPr>
        <w:rPr>
          <w:rFonts w:ascii="Cambria" w:eastAsia="Cambria" w:hAnsi="Cambria" w:hint="default"/>
          <w:color w:val="auto"/>
        </w:rPr>
      </w:lvl>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7"/>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0E9"/>
    <w:rsid w:val="00002031"/>
    <w:rsid w:val="00004734"/>
    <w:rsid w:val="00006B22"/>
    <w:rsid w:val="0001276A"/>
    <w:rsid w:val="000177A1"/>
    <w:rsid w:val="000246AE"/>
    <w:rsid w:val="00025C67"/>
    <w:rsid w:val="000404E6"/>
    <w:rsid w:val="000414B2"/>
    <w:rsid w:val="00044772"/>
    <w:rsid w:val="0004541C"/>
    <w:rsid w:val="0005559E"/>
    <w:rsid w:val="000604D6"/>
    <w:rsid w:val="00062DB3"/>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476B"/>
    <w:rsid w:val="000F4869"/>
    <w:rsid w:val="000F5B42"/>
    <w:rsid w:val="000F61D3"/>
    <w:rsid w:val="000F6E6F"/>
    <w:rsid w:val="00105606"/>
    <w:rsid w:val="0010601F"/>
    <w:rsid w:val="0010788A"/>
    <w:rsid w:val="00107A31"/>
    <w:rsid w:val="00110EA5"/>
    <w:rsid w:val="00112F56"/>
    <w:rsid w:val="001230A4"/>
    <w:rsid w:val="00124ACD"/>
    <w:rsid w:val="00125318"/>
    <w:rsid w:val="001305A2"/>
    <w:rsid w:val="00133238"/>
    <w:rsid w:val="00133A1B"/>
    <w:rsid w:val="0014197B"/>
    <w:rsid w:val="001447CD"/>
    <w:rsid w:val="001516B1"/>
    <w:rsid w:val="00154D8A"/>
    <w:rsid w:val="00154EBB"/>
    <w:rsid w:val="00156316"/>
    <w:rsid w:val="00157A7F"/>
    <w:rsid w:val="00161181"/>
    <w:rsid w:val="00162D14"/>
    <w:rsid w:val="00163780"/>
    <w:rsid w:val="00165389"/>
    <w:rsid w:val="00167558"/>
    <w:rsid w:val="0017693F"/>
    <w:rsid w:val="0018110E"/>
    <w:rsid w:val="00181684"/>
    <w:rsid w:val="001843C6"/>
    <w:rsid w:val="001850E0"/>
    <w:rsid w:val="0019438A"/>
    <w:rsid w:val="001A03AF"/>
    <w:rsid w:val="001A2158"/>
    <w:rsid w:val="001A525F"/>
    <w:rsid w:val="001B09F9"/>
    <w:rsid w:val="001B5C90"/>
    <w:rsid w:val="001B6448"/>
    <w:rsid w:val="001C32CD"/>
    <w:rsid w:val="001D2984"/>
    <w:rsid w:val="001D6B7E"/>
    <w:rsid w:val="001E07CF"/>
    <w:rsid w:val="001E59F1"/>
    <w:rsid w:val="001F2CEE"/>
    <w:rsid w:val="001F49EB"/>
    <w:rsid w:val="001F4B9D"/>
    <w:rsid w:val="001F6CBA"/>
    <w:rsid w:val="00201D4E"/>
    <w:rsid w:val="0020718D"/>
    <w:rsid w:val="002076C9"/>
    <w:rsid w:val="00220B8A"/>
    <w:rsid w:val="002257F3"/>
    <w:rsid w:val="002327EA"/>
    <w:rsid w:val="00233456"/>
    <w:rsid w:val="002339A5"/>
    <w:rsid w:val="00241699"/>
    <w:rsid w:val="0024691D"/>
    <w:rsid w:val="002546AA"/>
    <w:rsid w:val="00257848"/>
    <w:rsid w:val="002578E8"/>
    <w:rsid w:val="002619DD"/>
    <w:rsid w:val="0027084A"/>
    <w:rsid w:val="00280265"/>
    <w:rsid w:val="00286434"/>
    <w:rsid w:val="00286C59"/>
    <w:rsid w:val="00291957"/>
    <w:rsid w:val="002942D1"/>
    <w:rsid w:val="0029501A"/>
    <w:rsid w:val="002A3721"/>
    <w:rsid w:val="002B0FF3"/>
    <w:rsid w:val="002B1638"/>
    <w:rsid w:val="002B3624"/>
    <w:rsid w:val="002B4351"/>
    <w:rsid w:val="002C0820"/>
    <w:rsid w:val="002C5D5D"/>
    <w:rsid w:val="002C736F"/>
    <w:rsid w:val="002D0952"/>
    <w:rsid w:val="002D6ECC"/>
    <w:rsid w:val="002E40B3"/>
    <w:rsid w:val="002E4C9A"/>
    <w:rsid w:val="002F11F8"/>
    <w:rsid w:val="002F3F56"/>
    <w:rsid w:val="002F44B5"/>
    <w:rsid w:val="002F5122"/>
    <w:rsid w:val="00306DB5"/>
    <w:rsid w:val="0031006E"/>
    <w:rsid w:val="00311AC0"/>
    <w:rsid w:val="003150EC"/>
    <w:rsid w:val="003176FC"/>
    <w:rsid w:val="0032583B"/>
    <w:rsid w:val="00327883"/>
    <w:rsid w:val="0033276C"/>
    <w:rsid w:val="00335504"/>
    <w:rsid w:val="00340C18"/>
    <w:rsid w:val="003442FD"/>
    <w:rsid w:val="00347824"/>
    <w:rsid w:val="00350567"/>
    <w:rsid w:val="003515F3"/>
    <w:rsid w:val="003521E8"/>
    <w:rsid w:val="00352817"/>
    <w:rsid w:val="00370CE3"/>
    <w:rsid w:val="003728F3"/>
    <w:rsid w:val="003735BC"/>
    <w:rsid w:val="00374368"/>
    <w:rsid w:val="0037496E"/>
    <w:rsid w:val="00383221"/>
    <w:rsid w:val="00386150"/>
    <w:rsid w:val="003874CE"/>
    <w:rsid w:val="0039041D"/>
    <w:rsid w:val="00390900"/>
    <w:rsid w:val="003A33F3"/>
    <w:rsid w:val="003A7213"/>
    <w:rsid w:val="003A7F6C"/>
    <w:rsid w:val="003B4D60"/>
    <w:rsid w:val="003B7E39"/>
    <w:rsid w:val="003C58DC"/>
    <w:rsid w:val="003D1E62"/>
    <w:rsid w:val="003E0B99"/>
    <w:rsid w:val="003E2486"/>
    <w:rsid w:val="003E3208"/>
    <w:rsid w:val="003F0B04"/>
    <w:rsid w:val="003F0B52"/>
    <w:rsid w:val="003F0BDA"/>
    <w:rsid w:val="0040134E"/>
    <w:rsid w:val="00405743"/>
    <w:rsid w:val="004310F4"/>
    <w:rsid w:val="004334C7"/>
    <w:rsid w:val="00440A2D"/>
    <w:rsid w:val="00441C3F"/>
    <w:rsid w:val="00444D1A"/>
    <w:rsid w:val="00447CB8"/>
    <w:rsid w:val="0045186A"/>
    <w:rsid w:val="004564A7"/>
    <w:rsid w:val="00456765"/>
    <w:rsid w:val="004617BF"/>
    <w:rsid w:val="00463658"/>
    <w:rsid w:val="004637A0"/>
    <w:rsid w:val="004722CC"/>
    <w:rsid w:val="0047260D"/>
    <w:rsid w:val="00490483"/>
    <w:rsid w:val="004936E4"/>
    <w:rsid w:val="00494E60"/>
    <w:rsid w:val="00497487"/>
    <w:rsid w:val="004A2771"/>
    <w:rsid w:val="004A6189"/>
    <w:rsid w:val="004A7390"/>
    <w:rsid w:val="004B7B76"/>
    <w:rsid w:val="004C239D"/>
    <w:rsid w:val="004C2DCA"/>
    <w:rsid w:val="004C61D2"/>
    <w:rsid w:val="004E4515"/>
    <w:rsid w:val="004F0C4A"/>
    <w:rsid w:val="004F0F38"/>
    <w:rsid w:val="004F3729"/>
    <w:rsid w:val="004F47D6"/>
    <w:rsid w:val="00500337"/>
    <w:rsid w:val="00501921"/>
    <w:rsid w:val="00504D5C"/>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951C1"/>
    <w:rsid w:val="005A68B6"/>
    <w:rsid w:val="005C5570"/>
    <w:rsid w:val="005C79A4"/>
    <w:rsid w:val="005D12DD"/>
    <w:rsid w:val="005D5442"/>
    <w:rsid w:val="005E0D52"/>
    <w:rsid w:val="005F0F58"/>
    <w:rsid w:val="00600FAF"/>
    <w:rsid w:val="0060207E"/>
    <w:rsid w:val="00603F32"/>
    <w:rsid w:val="00605AD4"/>
    <w:rsid w:val="006136D7"/>
    <w:rsid w:val="00614110"/>
    <w:rsid w:val="00620914"/>
    <w:rsid w:val="00621247"/>
    <w:rsid w:val="0062173C"/>
    <w:rsid w:val="00621FCF"/>
    <w:rsid w:val="00625A6E"/>
    <w:rsid w:val="00632398"/>
    <w:rsid w:val="00633940"/>
    <w:rsid w:val="00640FC3"/>
    <w:rsid w:val="00642020"/>
    <w:rsid w:val="006430EE"/>
    <w:rsid w:val="0065337B"/>
    <w:rsid w:val="0065419D"/>
    <w:rsid w:val="006603BC"/>
    <w:rsid w:val="006604D8"/>
    <w:rsid w:val="00660F94"/>
    <w:rsid w:val="00664A5B"/>
    <w:rsid w:val="0066735C"/>
    <w:rsid w:val="006763D2"/>
    <w:rsid w:val="00680C08"/>
    <w:rsid w:val="00681B4B"/>
    <w:rsid w:val="0069017C"/>
    <w:rsid w:val="006916A0"/>
    <w:rsid w:val="006931B1"/>
    <w:rsid w:val="006A15C0"/>
    <w:rsid w:val="006A23A2"/>
    <w:rsid w:val="006A38E5"/>
    <w:rsid w:val="006A58A8"/>
    <w:rsid w:val="006B37C4"/>
    <w:rsid w:val="006C3E2A"/>
    <w:rsid w:val="006C41F3"/>
    <w:rsid w:val="006C642F"/>
    <w:rsid w:val="006C6F0E"/>
    <w:rsid w:val="006D03E5"/>
    <w:rsid w:val="006D4950"/>
    <w:rsid w:val="006D5D3E"/>
    <w:rsid w:val="006E08B3"/>
    <w:rsid w:val="006F17AC"/>
    <w:rsid w:val="006F25B8"/>
    <w:rsid w:val="006F572E"/>
    <w:rsid w:val="007046D6"/>
    <w:rsid w:val="007056C7"/>
    <w:rsid w:val="00705754"/>
    <w:rsid w:val="00705DB0"/>
    <w:rsid w:val="00711D69"/>
    <w:rsid w:val="00722B57"/>
    <w:rsid w:val="00727220"/>
    <w:rsid w:val="00730F8A"/>
    <w:rsid w:val="00735A8C"/>
    <w:rsid w:val="00740C6F"/>
    <w:rsid w:val="0074253D"/>
    <w:rsid w:val="0074429B"/>
    <w:rsid w:val="00745306"/>
    <w:rsid w:val="0075031C"/>
    <w:rsid w:val="00752FD9"/>
    <w:rsid w:val="007603A1"/>
    <w:rsid w:val="00761051"/>
    <w:rsid w:val="007615BC"/>
    <w:rsid w:val="00762F05"/>
    <w:rsid w:val="007652FF"/>
    <w:rsid w:val="00770CAC"/>
    <w:rsid w:val="00770EF1"/>
    <w:rsid w:val="00773EF7"/>
    <w:rsid w:val="00774E1D"/>
    <w:rsid w:val="007765D8"/>
    <w:rsid w:val="0077675A"/>
    <w:rsid w:val="00780355"/>
    <w:rsid w:val="007819FD"/>
    <w:rsid w:val="00785717"/>
    <w:rsid w:val="00785721"/>
    <w:rsid w:val="00786B89"/>
    <w:rsid w:val="00787D84"/>
    <w:rsid w:val="00793A59"/>
    <w:rsid w:val="007A46F5"/>
    <w:rsid w:val="007A6505"/>
    <w:rsid w:val="007B6132"/>
    <w:rsid w:val="007B6E9F"/>
    <w:rsid w:val="007C1216"/>
    <w:rsid w:val="007C1AF7"/>
    <w:rsid w:val="007C6B9B"/>
    <w:rsid w:val="008000E8"/>
    <w:rsid w:val="00801CDC"/>
    <w:rsid w:val="00805D27"/>
    <w:rsid w:val="00806DCB"/>
    <w:rsid w:val="008124C8"/>
    <w:rsid w:val="00821776"/>
    <w:rsid w:val="0082351F"/>
    <w:rsid w:val="008321F5"/>
    <w:rsid w:val="00832369"/>
    <w:rsid w:val="00832747"/>
    <w:rsid w:val="00834660"/>
    <w:rsid w:val="00836BC2"/>
    <w:rsid w:val="00845D42"/>
    <w:rsid w:val="0085156D"/>
    <w:rsid w:val="00852B28"/>
    <w:rsid w:val="00854094"/>
    <w:rsid w:val="0085641B"/>
    <w:rsid w:val="00857136"/>
    <w:rsid w:val="00875A6B"/>
    <w:rsid w:val="00884863"/>
    <w:rsid w:val="00885B11"/>
    <w:rsid w:val="00886D15"/>
    <w:rsid w:val="00887DD8"/>
    <w:rsid w:val="008908E5"/>
    <w:rsid w:val="00891BA9"/>
    <w:rsid w:val="00896018"/>
    <w:rsid w:val="008960DD"/>
    <w:rsid w:val="0089635C"/>
    <w:rsid w:val="008A2B9D"/>
    <w:rsid w:val="008A3D9F"/>
    <w:rsid w:val="008A5E0B"/>
    <w:rsid w:val="008A6D59"/>
    <w:rsid w:val="008B4B03"/>
    <w:rsid w:val="008B596F"/>
    <w:rsid w:val="008C159F"/>
    <w:rsid w:val="008C1623"/>
    <w:rsid w:val="008C1850"/>
    <w:rsid w:val="008C3981"/>
    <w:rsid w:val="008C51A9"/>
    <w:rsid w:val="008E37AA"/>
    <w:rsid w:val="008E7846"/>
    <w:rsid w:val="008F02E5"/>
    <w:rsid w:val="008F1CCC"/>
    <w:rsid w:val="008F2967"/>
    <w:rsid w:val="008F62CB"/>
    <w:rsid w:val="008F6943"/>
    <w:rsid w:val="00900C80"/>
    <w:rsid w:val="00902A21"/>
    <w:rsid w:val="009066FE"/>
    <w:rsid w:val="0091523F"/>
    <w:rsid w:val="00920330"/>
    <w:rsid w:val="009219D7"/>
    <w:rsid w:val="00922D53"/>
    <w:rsid w:val="00923B70"/>
    <w:rsid w:val="00924482"/>
    <w:rsid w:val="00930237"/>
    <w:rsid w:val="009341E0"/>
    <w:rsid w:val="00937934"/>
    <w:rsid w:val="00937C17"/>
    <w:rsid w:val="00940A89"/>
    <w:rsid w:val="00941F77"/>
    <w:rsid w:val="00946EA5"/>
    <w:rsid w:val="00960520"/>
    <w:rsid w:val="00963C08"/>
    <w:rsid w:val="00967D82"/>
    <w:rsid w:val="00973A8C"/>
    <w:rsid w:val="009752A5"/>
    <w:rsid w:val="00984803"/>
    <w:rsid w:val="0098585A"/>
    <w:rsid w:val="00992EB9"/>
    <w:rsid w:val="009A42D7"/>
    <w:rsid w:val="009A4CED"/>
    <w:rsid w:val="009A690D"/>
    <w:rsid w:val="009B1D12"/>
    <w:rsid w:val="009B416B"/>
    <w:rsid w:val="009B523D"/>
    <w:rsid w:val="009B551A"/>
    <w:rsid w:val="009B57FF"/>
    <w:rsid w:val="009C1794"/>
    <w:rsid w:val="009C4BD5"/>
    <w:rsid w:val="009D7B77"/>
    <w:rsid w:val="009E0BB0"/>
    <w:rsid w:val="009E3FBB"/>
    <w:rsid w:val="009F7353"/>
    <w:rsid w:val="009F7F51"/>
    <w:rsid w:val="00A04F85"/>
    <w:rsid w:val="00A05FA4"/>
    <w:rsid w:val="00A07330"/>
    <w:rsid w:val="00A102E4"/>
    <w:rsid w:val="00A11F7B"/>
    <w:rsid w:val="00A1219C"/>
    <w:rsid w:val="00A12C42"/>
    <w:rsid w:val="00A14DF7"/>
    <w:rsid w:val="00A22D57"/>
    <w:rsid w:val="00A3246D"/>
    <w:rsid w:val="00A36FA7"/>
    <w:rsid w:val="00A41799"/>
    <w:rsid w:val="00A44DDB"/>
    <w:rsid w:val="00A46A34"/>
    <w:rsid w:val="00A475B7"/>
    <w:rsid w:val="00A476C7"/>
    <w:rsid w:val="00A47AF7"/>
    <w:rsid w:val="00A47C3E"/>
    <w:rsid w:val="00A50226"/>
    <w:rsid w:val="00A50633"/>
    <w:rsid w:val="00A54E4A"/>
    <w:rsid w:val="00A565EC"/>
    <w:rsid w:val="00A60BAD"/>
    <w:rsid w:val="00A661A4"/>
    <w:rsid w:val="00A71B7F"/>
    <w:rsid w:val="00A77F87"/>
    <w:rsid w:val="00A80B5B"/>
    <w:rsid w:val="00A84E36"/>
    <w:rsid w:val="00A91D19"/>
    <w:rsid w:val="00A964D1"/>
    <w:rsid w:val="00AA0ED0"/>
    <w:rsid w:val="00AC2556"/>
    <w:rsid w:val="00AC2B40"/>
    <w:rsid w:val="00AC2BB2"/>
    <w:rsid w:val="00AC2C3C"/>
    <w:rsid w:val="00AC512D"/>
    <w:rsid w:val="00AD0083"/>
    <w:rsid w:val="00AD3935"/>
    <w:rsid w:val="00AD72E5"/>
    <w:rsid w:val="00AE5B41"/>
    <w:rsid w:val="00AE65EB"/>
    <w:rsid w:val="00AE67A7"/>
    <w:rsid w:val="00AF1D94"/>
    <w:rsid w:val="00AF60C5"/>
    <w:rsid w:val="00B009C6"/>
    <w:rsid w:val="00B01548"/>
    <w:rsid w:val="00B069B3"/>
    <w:rsid w:val="00B130C5"/>
    <w:rsid w:val="00B13EBD"/>
    <w:rsid w:val="00B21D29"/>
    <w:rsid w:val="00B25034"/>
    <w:rsid w:val="00B33588"/>
    <w:rsid w:val="00B33863"/>
    <w:rsid w:val="00B36A18"/>
    <w:rsid w:val="00B37D17"/>
    <w:rsid w:val="00B4175E"/>
    <w:rsid w:val="00B41C85"/>
    <w:rsid w:val="00B452CE"/>
    <w:rsid w:val="00B54C25"/>
    <w:rsid w:val="00B5588A"/>
    <w:rsid w:val="00B75AD8"/>
    <w:rsid w:val="00B76B91"/>
    <w:rsid w:val="00B77EB1"/>
    <w:rsid w:val="00B80306"/>
    <w:rsid w:val="00B811C6"/>
    <w:rsid w:val="00B855B0"/>
    <w:rsid w:val="00B870E9"/>
    <w:rsid w:val="00B92E08"/>
    <w:rsid w:val="00BA5E00"/>
    <w:rsid w:val="00BC0390"/>
    <w:rsid w:val="00BC1D3B"/>
    <w:rsid w:val="00BC622A"/>
    <w:rsid w:val="00BD4D82"/>
    <w:rsid w:val="00BE0A78"/>
    <w:rsid w:val="00BE5B46"/>
    <w:rsid w:val="00BE79F0"/>
    <w:rsid w:val="00BF046D"/>
    <w:rsid w:val="00BF1190"/>
    <w:rsid w:val="00BF2155"/>
    <w:rsid w:val="00BF3235"/>
    <w:rsid w:val="00BF32D9"/>
    <w:rsid w:val="00BF3774"/>
    <w:rsid w:val="00BF5D04"/>
    <w:rsid w:val="00C009AA"/>
    <w:rsid w:val="00C01C3F"/>
    <w:rsid w:val="00C1164D"/>
    <w:rsid w:val="00C16861"/>
    <w:rsid w:val="00C24AA3"/>
    <w:rsid w:val="00C346AB"/>
    <w:rsid w:val="00C404A6"/>
    <w:rsid w:val="00C40A36"/>
    <w:rsid w:val="00C44419"/>
    <w:rsid w:val="00C45E7B"/>
    <w:rsid w:val="00C471B1"/>
    <w:rsid w:val="00C52E24"/>
    <w:rsid w:val="00C55723"/>
    <w:rsid w:val="00C6316B"/>
    <w:rsid w:val="00C634A9"/>
    <w:rsid w:val="00C64586"/>
    <w:rsid w:val="00C70D53"/>
    <w:rsid w:val="00C73D0B"/>
    <w:rsid w:val="00C74F5C"/>
    <w:rsid w:val="00C772FF"/>
    <w:rsid w:val="00C77515"/>
    <w:rsid w:val="00C80137"/>
    <w:rsid w:val="00C801AF"/>
    <w:rsid w:val="00C80256"/>
    <w:rsid w:val="00C92938"/>
    <w:rsid w:val="00C94CD4"/>
    <w:rsid w:val="00C9747E"/>
    <w:rsid w:val="00C97EAD"/>
    <w:rsid w:val="00CA08C6"/>
    <w:rsid w:val="00CA792D"/>
    <w:rsid w:val="00CB0EE4"/>
    <w:rsid w:val="00CB6BC0"/>
    <w:rsid w:val="00CB6FA7"/>
    <w:rsid w:val="00CC1B7C"/>
    <w:rsid w:val="00CC5018"/>
    <w:rsid w:val="00CC727F"/>
    <w:rsid w:val="00CF15C3"/>
    <w:rsid w:val="00CF2B6F"/>
    <w:rsid w:val="00CF2F3E"/>
    <w:rsid w:val="00CF58B6"/>
    <w:rsid w:val="00D0062D"/>
    <w:rsid w:val="00D015C4"/>
    <w:rsid w:val="00D017ED"/>
    <w:rsid w:val="00D040D3"/>
    <w:rsid w:val="00D04C65"/>
    <w:rsid w:val="00D124DD"/>
    <w:rsid w:val="00D153D8"/>
    <w:rsid w:val="00D201D2"/>
    <w:rsid w:val="00D224FE"/>
    <w:rsid w:val="00D23139"/>
    <w:rsid w:val="00D425BB"/>
    <w:rsid w:val="00D453FA"/>
    <w:rsid w:val="00D6493E"/>
    <w:rsid w:val="00D7195D"/>
    <w:rsid w:val="00D7301E"/>
    <w:rsid w:val="00D756BD"/>
    <w:rsid w:val="00D83AE1"/>
    <w:rsid w:val="00D855D4"/>
    <w:rsid w:val="00D902C9"/>
    <w:rsid w:val="00D93466"/>
    <w:rsid w:val="00DA1124"/>
    <w:rsid w:val="00DA64CB"/>
    <w:rsid w:val="00DB06B8"/>
    <w:rsid w:val="00DB6124"/>
    <w:rsid w:val="00DB750B"/>
    <w:rsid w:val="00DB75B7"/>
    <w:rsid w:val="00DC0A2F"/>
    <w:rsid w:val="00DC0B15"/>
    <w:rsid w:val="00DC1948"/>
    <w:rsid w:val="00DC6E02"/>
    <w:rsid w:val="00DD28CD"/>
    <w:rsid w:val="00DD6F98"/>
    <w:rsid w:val="00DE02AE"/>
    <w:rsid w:val="00DE39D1"/>
    <w:rsid w:val="00DF07CA"/>
    <w:rsid w:val="00DF1D7F"/>
    <w:rsid w:val="00DF24AF"/>
    <w:rsid w:val="00DF4BE4"/>
    <w:rsid w:val="00DF4CFD"/>
    <w:rsid w:val="00E02382"/>
    <w:rsid w:val="00E02FB4"/>
    <w:rsid w:val="00E13FC7"/>
    <w:rsid w:val="00E20571"/>
    <w:rsid w:val="00E235F7"/>
    <w:rsid w:val="00E23659"/>
    <w:rsid w:val="00E239D4"/>
    <w:rsid w:val="00E26130"/>
    <w:rsid w:val="00E2651B"/>
    <w:rsid w:val="00E40B22"/>
    <w:rsid w:val="00E41CDB"/>
    <w:rsid w:val="00E44ED1"/>
    <w:rsid w:val="00E45619"/>
    <w:rsid w:val="00E4588F"/>
    <w:rsid w:val="00E46DA3"/>
    <w:rsid w:val="00E51BB1"/>
    <w:rsid w:val="00E55CB0"/>
    <w:rsid w:val="00E624A5"/>
    <w:rsid w:val="00E64BA4"/>
    <w:rsid w:val="00E7344E"/>
    <w:rsid w:val="00E74867"/>
    <w:rsid w:val="00E82665"/>
    <w:rsid w:val="00E87767"/>
    <w:rsid w:val="00E9729B"/>
    <w:rsid w:val="00EB0798"/>
    <w:rsid w:val="00EB40AD"/>
    <w:rsid w:val="00EB586E"/>
    <w:rsid w:val="00EB5FC8"/>
    <w:rsid w:val="00EC1F86"/>
    <w:rsid w:val="00EC463D"/>
    <w:rsid w:val="00EC7A85"/>
    <w:rsid w:val="00ED2922"/>
    <w:rsid w:val="00ED3CAD"/>
    <w:rsid w:val="00ED5A41"/>
    <w:rsid w:val="00EE1DE8"/>
    <w:rsid w:val="00EE27C2"/>
    <w:rsid w:val="00EF33EC"/>
    <w:rsid w:val="00EF4BAD"/>
    <w:rsid w:val="00EF59DC"/>
    <w:rsid w:val="00F033EC"/>
    <w:rsid w:val="00F04F68"/>
    <w:rsid w:val="00F07F6E"/>
    <w:rsid w:val="00F12670"/>
    <w:rsid w:val="00F14B27"/>
    <w:rsid w:val="00F152B7"/>
    <w:rsid w:val="00F3148D"/>
    <w:rsid w:val="00F325C5"/>
    <w:rsid w:val="00F32FE0"/>
    <w:rsid w:val="00F35298"/>
    <w:rsid w:val="00F42CD5"/>
    <w:rsid w:val="00F47333"/>
    <w:rsid w:val="00F47E37"/>
    <w:rsid w:val="00F514F0"/>
    <w:rsid w:val="00F53C07"/>
    <w:rsid w:val="00F54B65"/>
    <w:rsid w:val="00F640B6"/>
    <w:rsid w:val="00F66DF2"/>
    <w:rsid w:val="00F80E40"/>
    <w:rsid w:val="00F848D9"/>
    <w:rsid w:val="00FA0197"/>
    <w:rsid w:val="00FA5069"/>
    <w:rsid w:val="00FA5B82"/>
    <w:rsid w:val="00FA639E"/>
    <w:rsid w:val="00FC1FCA"/>
    <w:rsid w:val="00FC25E4"/>
    <w:rsid w:val="00FC4EF7"/>
    <w:rsid w:val="00FD0824"/>
    <w:rsid w:val="00FD0D18"/>
    <w:rsid w:val="00FD119B"/>
    <w:rsid w:val="00FD1EDC"/>
    <w:rsid w:val="00FE1DEE"/>
    <w:rsid w:val="00FF1D91"/>
    <w:rsid w:val="00FF2126"/>
    <w:rsid w:val="00FF422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595FC92"/>
  <w15:docId w15:val="{A28CB6F7-8925-45D6-9521-5EF3240C5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422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884863"/>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75031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5031C"/>
    <w:pPr>
      <w:ind w:left="720"/>
      <w:contextualSpacing/>
    </w:pPr>
  </w:style>
  <w:style w:type="paragraph" w:styleId="NormalWeb">
    <w:name w:val="Normal (Web)"/>
    <w:basedOn w:val="Normal"/>
    <w:uiPriority w:val="99"/>
    <w:semiHidden/>
    <w:unhideWhenUsed/>
    <w:rsid w:val="0020718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ulletlist">
    <w:name w:val="Bullet list"/>
    <w:basedOn w:val="Normal"/>
    <w:link w:val="BulletlistChar"/>
    <w:qFormat/>
    <w:rsid w:val="00992EB9"/>
    <w:pPr>
      <w:numPr>
        <w:numId w:val="32"/>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992EB9"/>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992EB9"/>
    <w:rPr>
      <w:rFonts w:ascii="Cambria" w:eastAsia="Cambria" w:hAnsi="Cambria" w:cs="Times New Roman"/>
      <w:sz w:val="19"/>
    </w:rPr>
  </w:style>
  <w:style w:type="paragraph" w:customStyle="1" w:styleId="Bulletpoint">
    <w:name w:val="Bullet point"/>
    <w:basedOn w:val="Normal"/>
    <w:rsid w:val="00374368"/>
    <w:pPr>
      <w:numPr>
        <w:numId w:val="33"/>
      </w:numPr>
      <w:tabs>
        <w:tab w:val="clear" w:pos="369"/>
        <w:tab w:val="left" w:pos="397"/>
        <w:tab w:val="num" w:pos="511"/>
      </w:tabs>
      <w:spacing w:before="0" w:after="180" w:line="252" w:lineRule="auto"/>
    </w:pPr>
    <w:rPr>
      <w:rFonts w:eastAsia="Times New Roman"/>
      <w:snapToGrid w:val="0"/>
      <w:kern w:val="16"/>
      <w:szCs w:val="24"/>
    </w:rPr>
  </w:style>
  <w:style w:type="paragraph" w:styleId="TOC6">
    <w:name w:val="toc 6"/>
    <w:basedOn w:val="Normal"/>
    <w:next w:val="Normal"/>
    <w:autoRedefine/>
    <w:uiPriority w:val="39"/>
    <w:semiHidden/>
    <w:unhideWhenUsed/>
    <w:rsid w:val="00352817"/>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859657">
      <w:bodyDiv w:val="1"/>
      <w:marLeft w:val="0"/>
      <w:marRight w:val="0"/>
      <w:marTop w:val="0"/>
      <w:marBottom w:val="0"/>
      <w:divBdr>
        <w:top w:val="none" w:sz="0" w:space="0" w:color="auto"/>
        <w:left w:val="none" w:sz="0" w:space="0" w:color="auto"/>
        <w:bottom w:val="none" w:sz="0" w:space="0" w:color="auto"/>
        <w:right w:val="none" w:sz="0" w:space="0" w:color="auto"/>
      </w:divBdr>
    </w:div>
    <w:div w:id="1097486942">
      <w:bodyDiv w:val="1"/>
      <w:marLeft w:val="0"/>
      <w:marRight w:val="0"/>
      <w:marTop w:val="0"/>
      <w:marBottom w:val="0"/>
      <w:divBdr>
        <w:top w:val="none" w:sz="0" w:space="0" w:color="auto"/>
        <w:left w:val="none" w:sz="0" w:space="0" w:color="auto"/>
        <w:bottom w:val="none" w:sz="0" w:space="0" w:color="auto"/>
        <w:right w:val="none" w:sz="0" w:space="0" w:color="auto"/>
      </w:divBdr>
    </w:div>
    <w:div w:id="1263145405">
      <w:bodyDiv w:val="1"/>
      <w:marLeft w:val="0"/>
      <w:marRight w:val="0"/>
      <w:marTop w:val="0"/>
      <w:marBottom w:val="0"/>
      <w:divBdr>
        <w:top w:val="none" w:sz="0" w:space="0" w:color="auto"/>
        <w:left w:val="none" w:sz="0" w:space="0" w:color="auto"/>
        <w:bottom w:val="none" w:sz="0" w:space="0" w:color="auto"/>
        <w:right w:val="none" w:sz="0" w:space="0" w:color="auto"/>
      </w:divBdr>
    </w:div>
    <w:div w:id="1853299951">
      <w:bodyDiv w:val="1"/>
      <w:marLeft w:val="0"/>
      <w:marRight w:val="0"/>
      <w:marTop w:val="0"/>
      <w:marBottom w:val="0"/>
      <w:divBdr>
        <w:top w:val="none" w:sz="0" w:space="0" w:color="auto"/>
        <w:left w:val="none" w:sz="0" w:space="0" w:color="auto"/>
        <w:bottom w:val="none" w:sz="0" w:space="0" w:color="auto"/>
        <w:right w:val="none" w:sz="0" w:space="0" w:color="auto"/>
      </w:divBdr>
    </w:div>
    <w:div w:id="2055082430">
      <w:bodyDiv w:val="1"/>
      <w:marLeft w:val="0"/>
      <w:marRight w:val="0"/>
      <w:marTop w:val="0"/>
      <w:marBottom w:val="0"/>
      <w:divBdr>
        <w:top w:val="none" w:sz="0" w:space="0" w:color="auto"/>
        <w:left w:val="none" w:sz="0" w:space="0" w:color="auto"/>
        <w:bottom w:val="none" w:sz="0" w:space="0" w:color="auto"/>
        <w:right w:val="none" w:sz="0" w:space="0" w:color="auto"/>
      </w:divBdr>
      <w:divsChild>
        <w:div w:id="218173090">
          <w:marLeft w:val="0"/>
          <w:marRight w:val="0"/>
          <w:marTop w:val="0"/>
          <w:marBottom w:val="0"/>
          <w:divBdr>
            <w:top w:val="none" w:sz="0" w:space="0" w:color="auto"/>
            <w:left w:val="none" w:sz="0" w:space="0" w:color="auto"/>
            <w:bottom w:val="none" w:sz="0" w:space="0" w:color="auto"/>
            <w:right w:val="none" w:sz="0" w:space="0" w:color="auto"/>
          </w:divBdr>
          <w:divsChild>
            <w:div w:id="1685546899">
              <w:marLeft w:val="0"/>
              <w:marRight w:val="0"/>
              <w:marTop w:val="0"/>
              <w:marBottom w:val="0"/>
              <w:divBdr>
                <w:top w:val="none" w:sz="0" w:space="0" w:color="auto"/>
                <w:left w:val="none" w:sz="0" w:space="0" w:color="auto"/>
                <w:bottom w:val="none" w:sz="0" w:space="0" w:color="auto"/>
                <w:right w:val="none" w:sz="0" w:space="0" w:color="auto"/>
              </w:divBdr>
              <w:divsChild>
                <w:div w:id="1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hyperlink" Target="https://www.tga.gov.au/product-information-pi" TargetMode="External"/><Relationship Id="rId37" Type="http://schemas.openxmlformats.org/officeDocument/2006/relationships/hyperlink" Target="mailto:info@tga.gov.au" TargetMode="Externa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www.tga.gov.au/ws-labsinde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header" Target="header6.xml"/><Relationship Id="rId43"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707B-EA74-45AD-90AC-E994B745F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10910</Words>
  <Characters>62188</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Australian public assessment report for Isatuximab</vt:lpstr>
    </vt:vector>
  </TitlesOfParts>
  <Company>Department of Health Therapeutic Goods Administration</Company>
  <LinksUpToDate>false</LinksUpToDate>
  <CharactersWithSpaces>72953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Isatuximab</dc:title>
  <dc:subject>prescription medicines</dc:subject>
  <dc:creator>Therapeutic Goods Administration</dc:creator>
  <cp:keywords/>
  <cp:lastPrinted>2019-08-14T04:30:00Z</cp:lastPrinted>
  <dcterms:created xsi:type="dcterms:W3CDTF">2020-11-10T05:39:00Z</dcterms:created>
  <dcterms:modified xsi:type="dcterms:W3CDTF">2020-11-10T05:39:00Z</dcterms:modified>
  <cp:category/>
</cp:coreProperties>
</file>