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Y="3316"/>
        <w:tblW w:w="9180" w:type="dxa"/>
        <w:tblLayout w:type="fixed"/>
        <w:tblLook w:val="04A0" w:firstRow="1" w:lastRow="0" w:firstColumn="1" w:lastColumn="0" w:noHBand="0" w:noVBand="1"/>
      </w:tblPr>
      <w:tblGrid>
        <w:gridCol w:w="9180"/>
      </w:tblGrid>
      <w:tr w:rsidR="0032583B" w:rsidRPr="00184C7D" w:rsidTr="004B3C07">
        <w:trPr>
          <w:trHeight w:val="1548"/>
        </w:trPr>
        <w:tc>
          <w:tcPr>
            <w:tcW w:w="9180" w:type="dxa"/>
          </w:tcPr>
          <w:p w:rsidR="0032583B" w:rsidRPr="00A964D1" w:rsidRDefault="008C3672" w:rsidP="00A964D1">
            <w:pPr>
              <w:pStyle w:val="Title"/>
              <w:rPr>
                <w:color w:val="FFFFFF" w:themeColor="background1"/>
              </w:rPr>
            </w:pPr>
            <w:bookmarkStart w:id="0" w:name="_GoBack"/>
            <w:bookmarkEnd w:id="0"/>
            <w:r>
              <w:rPr>
                <w:color w:val="FFFFFF" w:themeColor="background1"/>
              </w:rPr>
              <w:t>AusPAR At</w:t>
            </w:r>
            <w:r w:rsidR="00877585">
              <w:rPr>
                <w:color w:val="FFFFFF" w:themeColor="background1"/>
              </w:rPr>
              <w:t>ta</w:t>
            </w:r>
            <w:r w:rsidR="00B542FB">
              <w:rPr>
                <w:color w:val="FFFFFF" w:themeColor="background1"/>
              </w:rPr>
              <w:t>c</w:t>
            </w:r>
            <w:r w:rsidR="00E07F15">
              <w:rPr>
                <w:color w:val="FFFFFF" w:themeColor="background1"/>
              </w:rPr>
              <w:t>hment 2</w:t>
            </w:r>
          </w:p>
        </w:tc>
      </w:tr>
      <w:tr w:rsidR="00E07F15" w:rsidRPr="00184C7D" w:rsidTr="004B3C07">
        <w:trPr>
          <w:trHeight w:val="1154"/>
        </w:trPr>
        <w:tc>
          <w:tcPr>
            <w:tcW w:w="9180" w:type="dxa"/>
          </w:tcPr>
          <w:p w:rsidR="00E07F15" w:rsidRPr="00A964D1" w:rsidRDefault="00E07F15" w:rsidP="00CE4894">
            <w:pPr>
              <w:pStyle w:val="Title"/>
              <w:rPr>
                <w:color w:val="FFFFFF" w:themeColor="background1"/>
              </w:rPr>
            </w:pPr>
            <w:r>
              <w:rPr>
                <w:color w:val="FFFFFF" w:themeColor="background1"/>
              </w:rPr>
              <w:t>Extract from the Clinical Evaluation Report</w:t>
            </w:r>
            <w:r w:rsidR="004D00E8">
              <w:rPr>
                <w:color w:val="FFFFFF" w:themeColor="background1"/>
              </w:rPr>
              <w:t xml:space="preserve"> for</w:t>
            </w:r>
            <w:r w:rsidR="00CE4894" w:rsidRPr="005031B0">
              <w:rPr>
                <w:color w:val="FFFFFF" w:themeColor="background1"/>
              </w:rPr>
              <w:t xml:space="preserve"> irinotecan </w:t>
            </w:r>
            <w:r w:rsidR="00CE4894">
              <w:rPr>
                <w:color w:val="FFFFFF" w:themeColor="background1"/>
              </w:rPr>
              <w:t>(</w:t>
            </w:r>
            <w:r w:rsidR="00CE4894" w:rsidRPr="005031B0">
              <w:rPr>
                <w:color w:val="FFFFFF" w:themeColor="background1"/>
              </w:rPr>
              <w:t>as sucrosofate</w:t>
            </w:r>
            <w:r w:rsidR="00CE4894">
              <w:rPr>
                <w:color w:val="FFFFFF" w:themeColor="background1"/>
              </w:rPr>
              <w:t>)</w:t>
            </w:r>
            <w:r w:rsidR="00295C34" w:rsidRPr="00295C34">
              <w:rPr>
                <w:rFonts w:cs="Arial"/>
                <w:color w:val="FFFFFF"/>
                <w:sz w:val="40"/>
                <w:szCs w:val="28"/>
              </w:rPr>
              <w:t xml:space="preserve"> </w:t>
            </w:r>
          </w:p>
        </w:tc>
      </w:tr>
      <w:tr w:rsidR="00E07F15" w:rsidRPr="00184C7D" w:rsidTr="004B3C07">
        <w:tc>
          <w:tcPr>
            <w:tcW w:w="9180" w:type="dxa"/>
          </w:tcPr>
          <w:p w:rsidR="00E07F15" w:rsidRPr="008E7846" w:rsidRDefault="00E07F15" w:rsidP="0085068D">
            <w:pPr>
              <w:pStyle w:val="Subtitle"/>
              <w:rPr>
                <w:color w:val="FFFFFF" w:themeColor="background1"/>
              </w:rPr>
            </w:pPr>
            <w:r w:rsidRPr="008E7846">
              <w:rPr>
                <w:color w:val="FFFFFF" w:themeColor="background1"/>
              </w:rPr>
              <w:t>Proprietary Product Name:</w:t>
            </w:r>
            <w:r w:rsidR="00184C7D" w:rsidRPr="00184C7D">
              <w:rPr>
                <w:rFonts w:cs="Arial"/>
                <w:color w:val="FFFFFF"/>
                <w:szCs w:val="28"/>
              </w:rPr>
              <w:t xml:space="preserve"> Onivyde</w:t>
            </w:r>
            <w:r w:rsidR="005B3372" w:rsidRPr="005B3372">
              <w:rPr>
                <w:rFonts w:cs="Arial"/>
                <w:color w:val="FFFFFF"/>
                <w:szCs w:val="28"/>
              </w:rPr>
              <w:t xml:space="preserve"> </w:t>
            </w:r>
          </w:p>
        </w:tc>
      </w:tr>
      <w:tr w:rsidR="00E07F15" w:rsidRPr="00184C7D" w:rsidTr="004B3C07">
        <w:trPr>
          <w:trHeight w:val="486"/>
        </w:trPr>
        <w:tc>
          <w:tcPr>
            <w:tcW w:w="9180" w:type="dxa"/>
          </w:tcPr>
          <w:p w:rsidR="0041712E" w:rsidRPr="008E7846" w:rsidRDefault="00E07F15" w:rsidP="00AB5983">
            <w:pPr>
              <w:pStyle w:val="Subtitle"/>
              <w:rPr>
                <w:color w:val="FFFFFF" w:themeColor="background1"/>
              </w:rPr>
            </w:pPr>
            <w:r w:rsidRPr="008E7846">
              <w:rPr>
                <w:color w:val="FFFFFF" w:themeColor="background1"/>
              </w:rPr>
              <w:t>Sponsor:</w:t>
            </w:r>
            <w:r w:rsidR="00184C7D" w:rsidRPr="00184C7D">
              <w:rPr>
                <w:rFonts w:cs="Arial"/>
                <w:color w:val="FFFFFF"/>
                <w:szCs w:val="28"/>
              </w:rPr>
              <w:t xml:space="preserve"> Baxalta Australia Pty Ltd</w:t>
            </w:r>
            <w:r w:rsidR="005B3372" w:rsidRPr="005B3372">
              <w:rPr>
                <w:rFonts w:cs="Arial"/>
                <w:color w:val="FFFFFF"/>
                <w:szCs w:val="28"/>
              </w:rPr>
              <w:tab/>
            </w:r>
            <w:r w:rsidRPr="008E7846">
              <w:rPr>
                <w:color w:val="FFFFFF" w:themeColor="background1"/>
              </w:rPr>
              <w:t xml:space="preserve"> </w:t>
            </w:r>
          </w:p>
          <w:p w:rsidR="00E07F15" w:rsidRPr="008E7846" w:rsidRDefault="00E07F15" w:rsidP="00AB5983">
            <w:pPr>
              <w:pStyle w:val="Subtitle"/>
              <w:rPr>
                <w:color w:val="FFFFFF" w:themeColor="background1"/>
              </w:rPr>
            </w:pPr>
          </w:p>
        </w:tc>
      </w:tr>
    </w:tbl>
    <w:tbl>
      <w:tblPr>
        <w:tblpPr w:leftFromText="180" w:rightFromText="180" w:vertAnchor="text" w:horzAnchor="margin" w:tblpXSpec="center" w:tblpY="9907"/>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7"/>
      </w:tblGrid>
      <w:tr w:rsidR="000B3AB3" w:rsidRPr="00184C7D" w:rsidTr="0041712E">
        <w:trPr>
          <w:trHeight w:val="1620"/>
        </w:trPr>
        <w:tc>
          <w:tcPr>
            <w:tcW w:w="9497" w:type="dxa"/>
            <w:tcBorders>
              <w:top w:val="nil"/>
              <w:left w:val="nil"/>
              <w:bottom w:val="nil"/>
              <w:right w:val="nil"/>
            </w:tcBorders>
          </w:tcPr>
          <w:p w:rsidR="000B3AB3" w:rsidRPr="008C220A" w:rsidRDefault="00CE4894" w:rsidP="001C0996">
            <w:pPr>
              <w:pStyle w:val="Style1"/>
              <w:numPr>
                <w:ilvl w:val="0"/>
                <w:numId w:val="0"/>
              </w:numPr>
              <w:ind w:left="360" w:hanging="360"/>
              <w:rPr>
                <w:rFonts w:ascii="Arial" w:hAnsi="Arial" w:cs="Arial"/>
                <w:b/>
                <w:color w:val="002C47"/>
                <w:sz w:val="36"/>
                <w:highlight w:val="yellow"/>
              </w:rPr>
            </w:pPr>
            <w:r>
              <w:rPr>
                <w:rFonts w:ascii="Arial" w:hAnsi="Arial" w:cs="Arial"/>
                <w:b/>
                <w:color w:val="002C47"/>
                <w:sz w:val="36"/>
              </w:rPr>
              <w:t>F</w:t>
            </w:r>
            <w:r w:rsidR="000B3AB3" w:rsidRPr="008C220A">
              <w:rPr>
                <w:rFonts w:ascii="Arial" w:hAnsi="Arial" w:cs="Arial"/>
                <w:b/>
                <w:color w:val="002C47"/>
                <w:sz w:val="36"/>
              </w:rPr>
              <w:t>irst round report:</w:t>
            </w:r>
            <w:r w:rsidR="00B75A7B" w:rsidRPr="008C220A">
              <w:rPr>
                <w:rFonts w:ascii="Arial" w:hAnsi="Arial" w:cs="Arial"/>
                <w:b/>
                <w:color w:val="002C47"/>
                <w:sz w:val="36"/>
              </w:rPr>
              <w:t xml:space="preserve"> </w:t>
            </w:r>
            <w:r w:rsidR="00184C7D" w:rsidRPr="00184C7D">
              <w:rPr>
                <w:rFonts w:ascii="Arial" w:hAnsi="Arial" w:cs="Arial"/>
                <w:b/>
                <w:color w:val="002C47"/>
                <w:sz w:val="36"/>
                <w:szCs w:val="28"/>
              </w:rPr>
              <w:t>February 2016</w:t>
            </w:r>
            <w:r w:rsidR="0085068D" w:rsidRPr="008C220A">
              <w:rPr>
                <w:rFonts w:ascii="Arial" w:hAnsi="Arial" w:cs="Arial"/>
                <w:b/>
                <w:color w:val="002C47"/>
                <w:sz w:val="36"/>
              </w:rPr>
              <w:t xml:space="preserve"> </w:t>
            </w:r>
            <w:r w:rsidR="000B3AB3" w:rsidRPr="008C220A">
              <w:rPr>
                <w:rFonts w:ascii="Arial" w:hAnsi="Arial" w:cs="Arial"/>
                <w:b/>
                <w:color w:val="002C47"/>
                <w:sz w:val="36"/>
              </w:rPr>
              <w:t xml:space="preserve"> </w:t>
            </w:r>
            <w:r w:rsidR="00136E00" w:rsidRPr="008C220A">
              <w:rPr>
                <w:rFonts w:ascii="Arial" w:hAnsi="Arial" w:cs="Arial"/>
                <w:b/>
                <w:color w:val="002C47"/>
                <w:sz w:val="36"/>
              </w:rPr>
              <w:tab/>
            </w:r>
          </w:p>
          <w:p w:rsidR="000B3AB3" w:rsidRPr="008C220A" w:rsidRDefault="00CE4894" w:rsidP="001C0996">
            <w:pPr>
              <w:pStyle w:val="Style1"/>
              <w:numPr>
                <w:ilvl w:val="0"/>
                <w:numId w:val="0"/>
              </w:numPr>
              <w:ind w:left="360" w:hanging="360"/>
              <w:rPr>
                <w:rFonts w:ascii="Arial" w:hAnsi="Arial" w:cs="Arial"/>
                <w:b/>
                <w:color w:val="002C47"/>
                <w:sz w:val="36"/>
              </w:rPr>
            </w:pPr>
            <w:bookmarkStart w:id="1" w:name="_Toc460584701"/>
            <w:r>
              <w:rPr>
                <w:rFonts w:ascii="Arial" w:hAnsi="Arial" w:cs="Arial"/>
                <w:b/>
                <w:color w:val="002C47"/>
                <w:sz w:val="36"/>
              </w:rPr>
              <w:t>S</w:t>
            </w:r>
            <w:r w:rsidR="000B3AB3" w:rsidRPr="008C220A">
              <w:rPr>
                <w:rFonts w:ascii="Arial" w:hAnsi="Arial" w:cs="Arial"/>
                <w:b/>
                <w:color w:val="002C47"/>
                <w:sz w:val="36"/>
              </w:rPr>
              <w:t>econd round report:</w:t>
            </w:r>
            <w:r w:rsidR="0085068D" w:rsidRPr="008C220A">
              <w:rPr>
                <w:rFonts w:ascii="Arial" w:hAnsi="Arial" w:cs="Arial"/>
                <w:b/>
                <w:color w:val="002C47"/>
                <w:sz w:val="36"/>
              </w:rPr>
              <w:t xml:space="preserve"> </w:t>
            </w:r>
            <w:r w:rsidR="00184C7D" w:rsidRPr="00184C7D">
              <w:rPr>
                <w:rFonts w:ascii="Arial" w:hAnsi="Arial" w:cs="Arial"/>
                <w:b/>
                <w:color w:val="002C47"/>
                <w:sz w:val="36"/>
                <w:szCs w:val="28"/>
              </w:rPr>
              <w:t>July 2016</w:t>
            </w:r>
            <w:bookmarkEnd w:id="1"/>
          </w:p>
        </w:tc>
      </w:tr>
      <w:tr w:rsidR="000B3AB3" w:rsidRPr="00184C7D" w:rsidTr="0041712E">
        <w:trPr>
          <w:trHeight w:val="1620"/>
        </w:trPr>
        <w:tc>
          <w:tcPr>
            <w:tcW w:w="9497" w:type="dxa"/>
            <w:tcBorders>
              <w:top w:val="nil"/>
              <w:left w:val="nil"/>
              <w:bottom w:val="nil"/>
              <w:right w:val="nil"/>
            </w:tcBorders>
          </w:tcPr>
          <w:p w:rsidR="000B3AB3" w:rsidRPr="00184C7D" w:rsidRDefault="000B3AB3" w:rsidP="000B3AB3">
            <w:pPr>
              <w:rPr>
                <w:rFonts w:cs="Arial"/>
                <w:b/>
                <w:color w:val="002C47"/>
                <w:szCs w:val="36"/>
              </w:rPr>
            </w:pP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F39D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184C7D">
      <w:pPr>
        <w:pStyle w:val="ListBullet"/>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184C7D">
      <w:pPr>
        <w:pStyle w:val="ListBullet"/>
      </w:pPr>
      <w:r>
        <w:t>The work of the TGA is based on applying scientific and clinical expertise to decision-making, to ensure that the benefits to consumers outweigh any risks associated with the use of medicines and medical devices.</w:t>
      </w:r>
    </w:p>
    <w:p w:rsidR="008E7846" w:rsidRPr="00197FA7" w:rsidRDefault="008E7846" w:rsidP="00184C7D">
      <w:pPr>
        <w:pStyle w:val="ListBullet"/>
      </w:pPr>
      <w:r>
        <w:t xml:space="preserve">The TGA relies on the public, healthcare professionals and industry to report problems with medicines or </w:t>
      </w:r>
      <w:r w:rsidRPr="00197FA7">
        <w:t>medical devices. TGA investigates reports received by it to determine any necessary regulatory action.</w:t>
      </w:r>
    </w:p>
    <w:p w:rsidR="008E7846" w:rsidRPr="00197FA7" w:rsidRDefault="008E7846" w:rsidP="00184C7D">
      <w:pPr>
        <w:pStyle w:val="ListBullet"/>
      </w:pPr>
      <w:r w:rsidRPr="00197FA7">
        <w:t>To report a problem with a medicine or medical device, please see the information on the TGA website</w:t>
      </w:r>
      <w:r w:rsidR="00112F56" w:rsidRPr="00197FA7">
        <w:t xml:space="preserve"> &lt;</w:t>
      </w:r>
      <w:hyperlink r:id="rId9" w:history="1">
        <w:r w:rsidR="00E979F4" w:rsidRPr="00197FA7">
          <w:rPr>
            <w:rStyle w:val="Hyperlink"/>
          </w:rPr>
          <w:t>https://www.tga.gov.au</w:t>
        </w:r>
      </w:hyperlink>
      <w:r w:rsidR="00112F56" w:rsidRPr="00197FA7">
        <w:t>&gt;</w:t>
      </w:r>
      <w:r w:rsidRPr="00197FA7">
        <w:t>.</w:t>
      </w:r>
    </w:p>
    <w:p w:rsidR="0017078F" w:rsidRPr="00197FA7" w:rsidRDefault="0017078F" w:rsidP="0017078F">
      <w:pPr>
        <w:pStyle w:val="NonTOCHeading2"/>
      </w:pPr>
      <w:r w:rsidRPr="00197FA7">
        <w:t>About the Extract from the Clinical Evaluation Report</w:t>
      </w:r>
    </w:p>
    <w:p w:rsidR="0017078F" w:rsidRPr="00197FA7" w:rsidRDefault="003D0A3B" w:rsidP="0017078F">
      <w:pPr>
        <w:pStyle w:val="ListBullet"/>
      </w:pPr>
      <w:r w:rsidRPr="00197FA7">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Pr="00197FA7" w:rsidRDefault="003D0A3B" w:rsidP="003D0A3B">
      <w:pPr>
        <w:pStyle w:val="ListBullet"/>
      </w:pPr>
      <w:r w:rsidRPr="00197FA7">
        <w:t>The words [Information redacted], where they appear in this document, indicate that confidential information has been deleted.</w:t>
      </w:r>
    </w:p>
    <w:p w:rsidR="0017078F" w:rsidRPr="00197FA7" w:rsidRDefault="003D0A3B" w:rsidP="008911A1">
      <w:pPr>
        <w:pStyle w:val="ListBullet"/>
      </w:pPr>
      <w:r w:rsidRPr="00197FA7">
        <w:t>For the most</w:t>
      </w:r>
      <w:r w:rsidR="000771AD" w:rsidRPr="00197FA7">
        <w:t xml:space="preserve"> </w:t>
      </w:r>
      <w:r w:rsidRPr="00197FA7">
        <w:t xml:space="preserve">recent Product Information (PI), please refer to the TGA website </w:t>
      </w:r>
      <w:r w:rsidR="00B1425E" w:rsidRPr="00197FA7">
        <w:t>&lt;</w:t>
      </w:r>
      <w:hyperlink r:id="rId10" w:history="1">
        <w:r w:rsidR="0010193C" w:rsidRPr="00197FA7">
          <w:rPr>
            <w:rStyle w:val="Hyperlink"/>
          </w:rPr>
          <w:t>https://www.tga.gov.au/product-information-pi</w:t>
        </w:r>
      </w:hyperlink>
      <w:r w:rsidR="0017078F" w:rsidRPr="00197FA7">
        <w:t>&gt;.</w:t>
      </w:r>
    </w:p>
    <w:p w:rsidR="00924482" w:rsidRPr="00197FA7" w:rsidRDefault="00924482" w:rsidP="00BC6738">
      <w:pPr>
        <w:pStyle w:val="LegalSubheading"/>
        <w:spacing w:before="3600" w:after="120"/>
      </w:pPr>
      <w:r w:rsidRPr="00197FA7">
        <w:t>Copyright</w:t>
      </w:r>
    </w:p>
    <w:p w:rsidR="00924482" w:rsidRDefault="00924482" w:rsidP="00924482">
      <w:pPr>
        <w:pStyle w:val="LegalCopy"/>
      </w:pPr>
      <w:r w:rsidRPr="00197FA7">
        <w:rPr>
          <w:lang w:val="en-GB"/>
        </w:rPr>
        <w:t>© Commonwealth of Australia 201</w:t>
      </w:r>
      <w:r w:rsidR="00197FA7">
        <w:rPr>
          <w:lang w:val="en-GB"/>
        </w:rPr>
        <w:t>7</w:t>
      </w:r>
      <w:r w:rsidRPr="00197FA7">
        <w:rPr>
          <w:lang w:val="en-GB"/>
        </w:rPr>
        <w:br/>
      </w:r>
      <w:proofErr w:type="gramStart"/>
      <w:r w:rsidRPr="00197FA7">
        <w:rPr>
          <w:lang w:val="en-GB"/>
        </w:rPr>
        <w:t>This</w:t>
      </w:r>
      <w:proofErr w:type="gramEnd"/>
      <w:r w:rsidRPr="00197FA7">
        <w:rPr>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7FA7">
        <w:rPr>
          <w:i/>
          <w:lang w:val="en-GB"/>
        </w:rPr>
        <w:t>Copyright Act 1968</w:t>
      </w:r>
      <w:r w:rsidRPr="00197FA7">
        <w:rPr>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7FA7">
        <w:rPr>
          <w:lang w:val="en-GB"/>
        </w:rPr>
        <w:t>Woden</w:t>
      </w:r>
      <w:proofErr w:type="spellEnd"/>
      <w:r w:rsidRPr="00197FA7">
        <w:rPr>
          <w:lang w:val="en-GB"/>
        </w:rPr>
        <w:t xml:space="preserve"> ACT 2606 or emailed to &lt;</w:t>
      </w:r>
      <w:hyperlink r:id="rId11" w:history="1">
        <w:r w:rsidRPr="00197FA7">
          <w:rPr>
            <w:rStyle w:val="Hyperlink"/>
            <w:lang w:val="en-GB"/>
          </w:rPr>
          <w:t>tga.copyright@tga.gov.au</w:t>
        </w:r>
      </w:hyperlink>
      <w:r w:rsidRPr="00197FA7">
        <w:t>&gt;.</w:t>
      </w:r>
    </w:p>
    <w:p w:rsidR="00924482" w:rsidRDefault="00924482" w:rsidP="00924482">
      <w:pPr>
        <w:pStyle w:val="LegalCopy"/>
        <w:sectPr w:rsidR="00924482" w:rsidSect="00264F16">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start="1"/>
          <w:cols w:space="708"/>
          <w:titlePg/>
          <w:docGrid w:linePitch="360"/>
        </w:sectPr>
      </w:pPr>
    </w:p>
    <w:bookmarkStart w:id="2" w:name="_Toc196046425" w:displacedByCustomXml="next"/>
    <w:bookmarkStart w:id="3"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702C40" w:rsidRDefault="0089635C" w:rsidP="003A26A8">
          <w:pPr>
            <w:pStyle w:val="Contents"/>
            <w:rPr>
              <w:noProof/>
            </w:rPr>
          </w:pPr>
          <w:r w:rsidRPr="0010788A">
            <w:t>Contents</w:t>
          </w:r>
          <w:r w:rsidR="004F4AF5">
            <w:rPr>
              <w:b w:val="0"/>
              <w:sz w:val="22"/>
            </w:rPr>
            <w:fldChar w:fldCharType="begin"/>
          </w:r>
          <w:r>
            <w:instrText xml:space="preserve"> TOC \o "1-3" \h \z \u </w:instrText>
          </w:r>
          <w:r w:rsidR="004F4AF5">
            <w:rPr>
              <w:b w:val="0"/>
              <w:sz w:val="22"/>
            </w:rPr>
            <w:fldChar w:fldCharType="separate"/>
          </w:r>
        </w:p>
        <w:p w:rsidR="00702C40" w:rsidRDefault="00584489">
          <w:pPr>
            <w:pStyle w:val="TOC2"/>
            <w:rPr>
              <w:rFonts w:asciiTheme="minorHAnsi" w:eastAsiaTheme="minorEastAsia" w:hAnsiTheme="minorHAnsi" w:cstheme="minorBidi"/>
              <w:b w:val="0"/>
              <w:noProof/>
              <w:sz w:val="22"/>
              <w:lang w:eastAsia="en-AU"/>
            </w:rPr>
          </w:pPr>
          <w:hyperlink w:anchor="_Toc490577126" w:history="1">
            <w:r w:rsidR="00702C40" w:rsidRPr="004418F5">
              <w:rPr>
                <w:rStyle w:val="Hyperlink"/>
                <w:noProof/>
              </w:rPr>
              <w:t>List of abbreviations</w:t>
            </w:r>
            <w:r w:rsidR="00702C40">
              <w:rPr>
                <w:noProof/>
                <w:webHidden/>
              </w:rPr>
              <w:tab/>
            </w:r>
            <w:r w:rsidR="00702C40">
              <w:rPr>
                <w:noProof/>
                <w:webHidden/>
              </w:rPr>
              <w:fldChar w:fldCharType="begin"/>
            </w:r>
            <w:r w:rsidR="00702C40">
              <w:rPr>
                <w:noProof/>
                <w:webHidden/>
              </w:rPr>
              <w:instrText xml:space="preserve"> PAGEREF _Toc490577126 \h </w:instrText>
            </w:r>
            <w:r w:rsidR="00702C40">
              <w:rPr>
                <w:noProof/>
                <w:webHidden/>
              </w:rPr>
            </w:r>
            <w:r w:rsidR="00702C40">
              <w:rPr>
                <w:noProof/>
                <w:webHidden/>
              </w:rPr>
              <w:fldChar w:fldCharType="separate"/>
            </w:r>
            <w:r w:rsidR="00145C75">
              <w:rPr>
                <w:noProof/>
                <w:webHidden/>
              </w:rPr>
              <w:t>5</w:t>
            </w:r>
            <w:r w:rsidR="00702C40">
              <w:rPr>
                <w:noProof/>
                <w:webHidden/>
              </w:rPr>
              <w:fldChar w:fldCharType="end"/>
            </w:r>
          </w:hyperlink>
        </w:p>
        <w:p w:rsidR="00702C40" w:rsidRDefault="00584489">
          <w:pPr>
            <w:pStyle w:val="TOC2"/>
            <w:tabs>
              <w:tab w:val="left" w:pos="1247"/>
            </w:tabs>
            <w:rPr>
              <w:rFonts w:asciiTheme="minorHAnsi" w:eastAsiaTheme="minorEastAsia" w:hAnsiTheme="minorHAnsi" w:cstheme="minorBidi"/>
              <w:b w:val="0"/>
              <w:noProof/>
              <w:sz w:val="22"/>
              <w:lang w:eastAsia="en-AU"/>
            </w:rPr>
          </w:pPr>
          <w:hyperlink w:anchor="_Toc490577127" w:history="1">
            <w:r w:rsidR="00702C40" w:rsidRPr="004418F5">
              <w:rPr>
                <w:rStyle w:val="Hyperlink"/>
                <w:noProof/>
                <w:lang w:eastAsia="en-AU"/>
              </w:rPr>
              <w:t>1.</w:t>
            </w:r>
            <w:r w:rsidR="00702C40">
              <w:rPr>
                <w:rFonts w:asciiTheme="minorHAnsi" w:eastAsiaTheme="minorEastAsia" w:hAnsiTheme="minorHAnsi" w:cstheme="minorBidi"/>
                <w:b w:val="0"/>
                <w:noProof/>
                <w:sz w:val="22"/>
                <w:lang w:eastAsia="en-AU"/>
              </w:rPr>
              <w:tab/>
            </w:r>
            <w:r w:rsidR="00702C40" w:rsidRPr="004418F5">
              <w:rPr>
                <w:rStyle w:val="Hyperlink"/>
                <w:noProof/>
                <w:lang w:eastAsia="en-AU"/>
              </w:rPr>
              <w:t>Introduction</w:t>
            </w:r>
            <w:r w:rsidR="00702C40">
              <w:rPr>
                <w:noProof/>
                <w:webHidden/>
              </w:rPr>
              <w:tab/>
            </w:r>
            <w:r w:rsidR="00702C40">
              <w:rPr>
                <w:noProof/>
                <w:webHidden/>
              </w:rPr>
              <w:fldChar w:fldCharType="begin"/>
            </w:r>
            <w:r w:rsidR="00702C40">
              <w:rPr>
                <w:noProof/>
                <w:webHidden/>
              </w:rPr>
              <w:instrText xml:space="preserve"> PAGEREF _Toc490577127 \h </w:instrText>
            </w:r>
            <w:r w:rsidR="00702C40">
              <w:rPr>
                <w:noProof/>
                <w:webHidden/>
              </w:rPr>
            </w:r>
            <w:r w:rsidR="00702C40">
              <w:rPr>
                <w:noProof/>
                <w:webHidden/>
              </w:rPr>
              <w:fldChar w:fldCharType="separate"/>
            </w:r>
            <w:r w:rsidR="00145C75">
              <w:rPr>
                <w:noProof/>
                <w:webHidden/>
              </w:rPr>
              <w:t>8</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28" w:history="1">
            <w:r w:rsidR="00702C40" w:rsidRPr="004418F5">
              <w:rPr>
                <w:rStyle w:val="Hyperlink"/>
                <w:noProof/>
              </w:rPr>
              <w:t>1.1.</w:t>
            </w:r>
            <w:r w:rsidR="00702C40">
              <w:rPr>
                <w:rFonts w:asciiTheme="minorHAnsi" w:eastAsiaTheme="minorEastAsia" w:hAnsiTheme="minorHAnsi" w:cstheme="minorBidi"/>
                <w:noProof/>
                <w:lang w:eastAsia="en-AU"/>
              </w:rPr>
              <w:tab/>
            </w:r>
            <w:r w:rsidR="00702C40" w:rsidRPr="004418F5">
              <w:rPr>
                <w:rStyle w:val="Hyperlink"/>
                <w:noProof/>
              </w:rPr>
              <w:t>Drug class and therapeutic indication</w:t>
            </w:r>
            <w:r w:rsidR="00702C40">
              <w:rPr>
                <w:noProof/>
                <w:webHidden/>
              </w:rPr>
              <w:tab/>
            </w:r>
            <w:r w:rsidR="00702C40">
              <w:rPr>
                <w:noProof/>
                <w:webHidden/>
              </w:rPr>
              <w:fldChar w:fldCharType="begin"/>
            </w:r>
            <w:r w:rsidR="00702C40">
              <w:rPr>
                <w:noProof/>
                <w:webHidden/>
              </w:rPr>
              <w:instrText xml:space="preserve"> PAGEREF _Toc490577128 \h </w:instrText>
            </w:r>
            <w:r w:rsidR="00702C40">
              <w:rPr>
                <w:noProof/>
                <w:webHidden/>
              </w:rPr>
            </w:r>
            <w:r w:rsidR="00702C40">
              <w:rPr>
                <w:noProof/>
                <w:webHidden/>
              </w:rPr>
              <w:fldChar w:fldCharType="separate"/>
            </w:r>
            <w:r w:rsidR="00145C75">
              <w:rPr>
                <w:noProof/>
                <w:webHidden/>
              </w:rPr>
              <w:t>8</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29" w:history="1">
            <w:r w:rsidR="00702C40" w:rsidRPr="004418F5">
              <w:rPr>
                <w:rStyle w:val="Hyperlink"/>
                <w:noProof/>
              </w:rPr>
              <w:t>1.2.</w:t>
            </w:r>
            <w:r w:rsidR="00702C40">
              <w:rPr>
                <w:rFonts w:asciiTheme="minorHAnsi" w:eastAsiaTheme="minorEastAsia" w:hAnsiTheme="minorHAnsi" w:cstheme="minorBidi"/>
                <w:noProof/>
                <w:lang w:eastAsia="en-AU"/>
              </w:rPr>
              <w:tab/>
            </w:r>
            <w:r w:rsidR="00702C40" w:rsidRPr="004418F5">
              <w:rPr>
                <w:rStyle w:val="Hyperlink"/>
                <w:noProof/>
              </w:rPr>
              <w:t>Dosage forms and strengths</w:t>
            </w:r>
            <w:r w:rsidR="00702C40">
              <w:rPr>
                <w:noProof/>
                <w:webHidden/>
              </w:rPr>
              <w:tab/>
            </w:r>
            <w:r w:rsidR="00702C40">
              <w:rPr>
                <w:noProof/>
                <w:webHidden/>
              </w:rPr>
              <w:fldChar w:fldCharType="begin"/>
            </w:r>
            <w:r w:rsidR="00702C40">
              <w:rPr>
                <w:noProof/>
                <w:webHidden/>
              </w:rPr>
              <w:instrText xml:space="preserve"> PAGEREF _Toc490577129 \h </w:instrText>
            </w:r>
            <w:r w:rsidR="00702C40">
              <w:rPr>
                <w:noProof/>
                <w:webHidden/>
              </w:rPr>
            </w:r>
            <w:r w:rsidR="00702C40">
              <w:rPr>
                <w:noProof/>
                <w:webHidden/>
              </w:rPr>
              <w:fldChar w:fldCharType="separate"/>
            </w:r>
            <w:r w:rsidR="00145C75">
              <w:rPr>
                <w:noProof/>
                <w:webHidden/>
              </w:rPr>
              <w:t>8</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30" w:history="1">
            <w:r w:rsidR="00702C40" w:rsidRPr="004418F5">
              <w:rPr>
                <w:rStyle w:val="Hyperlink"/>
                <w:noProof/>
              </w:rPr>
              <w:t>1.3.</w:t>
            </w:r>
            <w:r w:rsidR="00702C40">
              <w:rPr>
                <w:rFonts w:asciiTheme="minorHAnsi" w:eastAsiaTheme="minorEastAsia" w:hAnsiTheme="minorHAnsi" w:cstheme="minorBidi"/>
                <w:noProof/>
                <w:lang w:eastAsia="en-AU"/>
              </w:rPr>
              <w:tab/>
            </w:r>
            <w:r w:rsidR="00702C40" w:rsidRPr="004418F5">
              <w:rPr>
                <w:rStyle w:val="Hyperlink"/>
                <w:noProof/>
              </w:rPr>
              <w:t>Dosage and administration</w:t>
            </w:r>
            <w:r w:rsidR="00702C40">
              <w:rPr>
                <w:noProof/>
                <w:webHidden/>
              </w:rPr>
              <w:tab/>
            </w:r>
            <w:r w:rsidR="00702C40">
              <w:rPr>
                <w:noProof/>
                <w:webHidden/>
              </w:rPr>
              <w:fldChar w:fldCharType="begin"/>
            </w:r>
            <w:r w:rsidR="00702C40">
              <w:rPr>
                <w:noProof/>
                <w:webHidden/>
              </w:rPr>
              <w:instrText xml:space="preserve"> PAGEREF _Toc490577130 \h </w:instrText>
            </w:r>
            <w:r w:rsidR="00702C40">
              <w:rPr>
                <w:noProof/>
                <w:webHidden/>
              </w:rPr>
            </w:r>
            <w:r w:rsidR="00702C40">
              <w:rPr>
                <w:noProof/>
                <w:webHidden/>
              </w:rPr>
              <w:fldChar w:fldCharType="separate"/>
            </w:r>
            <w:r w:rsidR="00145C75">
              <w:rPr>
                <w:noProof/>
                <w:webHidden/>
              </w:rPr>
              <w:t>8</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31" w:history="1">
            <w:r w:rsidR="00702C40" w:rsidRPr="004418F5">
              <w:rPr>
                <w:rStyle w:val="Hyperlink"/>
                <w:noProof/>
              </w:rPr>
              <w:t>1.4.</w:t>
            </w:r>
            <w:r w:rsidR="00702C40">
              <w:rPr>
                <w:rFonts w:asciiTheme="minorHAnsi" w:eastAsiaTheme="minorEastAsia" w:hAnsiTheme="minorHAnsi" w:cstheme="minorBidi"/>
                <w:noProof/>
                <w:lang w:eastAsia="en-AU"/>
              </w:rPr>
              <w:tab/>
            </w:r>
            <w:r w:rsidR="00702C40" w:rsidRPr="004418F5">
              <w:rPr>
                <w:rStyle w:val="Hyperlink"/>
                <w:noProof/>
              </w:rPr>
              <w:t>Other proposed changes to the PI</w:t>
            </w:r>
            <w:r w:rsidR="00702C40">
              <w:rPr>
                <w:noProof/>
                <w:webHidden/>
              </w:rPr>
              <w:tab/>
            </w:r>
            <w:r w:rsidR="00702C40">
              <w:rPr>
                <w:noProof/>
                <w:webHidden/>
              </w:rPr>
              <w:fldChar w:fldCharType="begin"/>
            </w:r>
            <w:r w:rsidR="00702C40">
              <w:rPr>
                <w:noProof/>
                <w:webHidden/>
              </w:rPr>
              <w:instrText xml:space="preserve"> PAGEREF _Toc490577131 \h </w:instrText>
            </w:r>
            <w:r w:rsidR="00702C40">
              <w:rPr>
                <w:noProof/>
                <w:webHidden/>
              </w:rPr>
            </w:r>
            <w:r w:rsidR="00702C40">
              <w:rPr>
                <w:noProof/>
                <w:webHidden/>
              </w:rPr>
              <w:fldChar w:fldCharType="separate"/>
            </w:r>
            <w:r w:rsidR="00145C75">
              <w:rPr>
                <w:noProof/>
                <w:webHidden/>
              </w:rPr>
              <w:t>8</w:t>
            </w:r>
            <w:r w:rsidR="00702C40">
              <w:rPr>
                <w:noProof/>
                <w:webHidden/>
              </w:rPr>
              <w:fldChar w:fldCharType="end"/>
            </w:r>
          </w:hyperlink>
        </w:p>
        <w:p w:rsidR="00702C40" w:rsidRDefault="00584489">
          <w:pPr>
            <w:pStyle w:val="TOC2"/>
            <w:tabs>
              <w:tab w:val="left" w:pos="1247"/>
            </w:tabs>
            <w:rPr>
              <w:rFonts w:asciiTheme="minorHAnsi" w:eastAsiaTheme="minorEastAsia" w:hAnsiTheme="minorHAnsi" w:cstheme="minorBidi"/>
              <w:b w:val="0"/>
              <w:noProof/>
              <w:sz w:val="22"/>
              <w:lang w:eastAsia="en-AU"/>
            </w:rPr>
          </w:pPr>
          <w:hyperlink w:anchor="_Toc490577132" w:history="1">
            <w:r w:rsidR="00702C40" w:rsidRPr="004418F5">
              <w:rPr>
                <w:rStyle w:val="Hyperlink"/>
                <w:noProof/>
              </w:rPr>
              <w:t>2.</w:t>
            </w:r>
            <w:r w:rsidR="00702C40">
              <w:rPr>
                <w:rFonts w:asciiTheme="minorHAnsi" w:eastAsiaTheme="minorEastAsia" w:hAnsiTheme="minorHAnsi" w:cstheme="minorBidi"/>
                <w:b w:val="0"/>
                <w:noProof/>
                <w:sz w:val="22"/>
                <w:lang w:eastAsia="en-AU"/>
              </w:rPr>
              <w:tab/>
            </w:r>
            <w:r w:rsidR="00702C40" w:rsidRPr="004418F5">
              <w:rPr>
                <w:rStyle w:val="Hyperlink"/>
                <w:noProof/>
              </w:rPr>
              <w:t>Clinical rationale</w:t>
            </w:r>
            <w:r w:rsidR="00702C40">
              <w:rPr>
                <w:noProof/>
                <w:webHidden/>
              </w:rPr>
              <w:tab/>
            </w:r>
            <w:r w:rsidR="00702C40">
              <w:rPr>
                <w:noProof/>
                <w:webHidden/>
              </w:rPr>
              <w:fldChar w:fldCharType="begin"/>
            </w:r>
            <w:r w:rsidR="00702C40">
              <w:rPr>
                <w:noProof/>
                <w:webHidden/>
              </w:rPr>
              <w:instrText xml:space="preserve"> PAGEREF _Toc490577132 \h </w:instrText>
            </w:r>
            <w:r w:rsidR="00702C40">
              <w:rPr>
                <w:noProof/>
                <w:webHidden/>
              </w:rPr>
            </w:r>
            <w:r w:rsidR="00702C40">
              <w:rPr>
                <w:noProof/>
                <w:webHidden/>
              </w:rPr>
              <w:fldChar w:fldCharType="separate"/>
            </w:r>
            <w:r w:rsidR="00145C75">
              <w:rPr>
                <w:noProof/>
                <w:webHidden/>
              </w:rPr>
              <w:t>8</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33" w:history="1">
            <w:r w:rsidR="00702C40" w:rsidRPr="004418F5">
              <w:rPr>
                <w:rStyle w:val="Hyperlink"/>
                <w:noProof/>
              </w:rPr>
              <w:t>2.1.</w:t>
            </w:r>
            <w:r w:rsidR="00702C40">
              <w:rPr>
                <w:rFonts w:asciiTheme="minorHAnsi" w:eastAsiaTheme="minorEastAsia" w:hAnsiTheme="minorHAnsi" w:cstheme="minorBidi"/>
                <w:noProof/>
                <w:lang w:eastAsia="en-AU"/>
              </w:rPr>
              <w:tab/>
            </w:r>
            <w:r w:rsidR="00702C40" w:rsidRPr="004418F5">
              <w:rPr>
                <w:rStyle w:val="Hyperlink"/>
                <w:noProof/>
              </w:rPr>
              <w:t>First line therapy</w:t>
            </w:r>
            <w:r w:rsidR="00702C40">
              <w:rPr>
                <w:noProof/>
                <w:webHidden/>
              </w:rPr>
              <w:tab/>
            </w:r>
            <w:r w:rsidR="00702C40">
              <w:rPr>
                <w:noProof/>
                <w:webHidden/>
              </w:rPr>
              <w:fldChar w:fldCharType="begin"/>
            </w:r>
            <w:r w:rsidR="00702C40">
              <w:rPr>
                <w:noProof/>
                <w:webHidden/>
              </w:rPr>
              <w:instrText xml:space="preserve"> PAGEREF _Toc490577133 \h </w:instrText>
            </w:r>
            <w:r w:rsidR="00702C40">
              <w:rPr>
                <w:noProof/>
                <w:webHidden/>
              </w:rPr>
            </w:r>
            <w:r w:rsidR="00702C40">
              <w:rPr>
                <w:noProof/>
                <w:webHidden/>
              </w:rPr>
              <w:fldChar w:fldCharType="separate"/>
            </w:r>
            <w:r w:rsidR="00145C75">
              <w:rPr>
                <w:noProof/>
                <w:webHidden/>
              </w:rPr>
              <w:t>9</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34" w:history="1">
            <w:r w:rsidR="00702C40" w:rsidRPr="004418F5">
              <w:rPr>
                <w:rStyle w:val="Hyperlink"/>
                <w:noProof/>
              </w:rPr>
              <w:t>2.2.</w:t>
            </w:r>
            <w:r w:rsidR="00702C40">
              <w:rPr>
                <w:rFonts w:asciiTheme="minorHAnsi" w:eastAsiaTheme="minorEastAsia" w:hAnsiTheme="minorHAnsi" w:cstheme="minorBidi"/>
                <w:noProof/>
                <w:lang w:eastAsia="en-AU"/>
              </w:rPr>
              <w:tab/>
            </w:r>
            <w:r w:rsidR="00702C40" w:rsidRPr="004418F5">
              <w:rPr>
                <w:rStyle w:val="Hyperlink"/>
                <w:noProof/>
              </w:rPr>
              <w:t>Second line therapy</w:t>
            </w:r>
            <w:r w:rsidR="00702C40">
              <w:rPr>
                <w:noProof/>
                <w:webHidden/>
              </w:rPr>
              <w:tab/>
            </w:r>
            <w:r w:rsidR="00702C40">
              <w:rPr>
                <w:noProof/>
                <w:webHidden/>
              </w:rPr>
              <w:fldChar w:fldCharType="begin"/>
            </w:r>
            <w:r w:rsidR="00702C40">
              <w:rPr>
                <w:noProof/>
                <w:webHidden/>
              </w:rPr>
              <w:instrText xml:space="preserve"> PAGEREF _Toc490577134 \h </w:instrText>
            </w:r>
            <w:r w:rsidR="00702C40">
              <w:rPr>
                <w:noProof/>
                <w:webHidden/>
              </w:rPr>
            </w:r>
            <w:r w:rsidR="00702C40">
              <w:rPr>
                <w:noProof/>
                <w:webHidden/>
              </w:rPr>
              <w:fldChar w:fldCharType="separate"/>
            </w:r>
            <w:r w:rsidR="00145C75">
              <w:rPr>
                <w:noProof/>
                <w:webHidden/>
              </w:rPr>
              <w:t>10</w:t>
            </w:r>
            <w:r w:rsidR="00702C40">
              <w:rPr>
                <w:noProof/>
                <w:webHidden/>
              </w:rPr>
              <w:fldChar w:fldCharType="end"/>
            </w:r>
          </w:hyperlink>
        </w:p>
        <w:p w:rsidR="00702C40" w:rsidRDefault="00584489">
          <w:pPr>
            <w:pStyle w:val="TOC2"/>
            <w:tabs>
              <w:tab w:val="left" w:pos="1247"/>
            </w:tabs>
            <w:rPr>
              <w:rFonts w:asciiTheme="minorHAnsi" w:eastAsiaTheme="minorEastAsia" w:hAnsiTheme="minorHAnsi" w:cstheme="minorBidi"/>
              <w:b w:val="0"/>
              <w:noProof/>
              <w:sz w:val="22"/>
              <w:lang w:eastAsia="en-AU"/>
            </w:rPr>
          </w:pPr>
          <w:hyperlink w:anchor="_Toc490577135" w:history="1">
            <w:r w:rsidR="00702C40" w:rsidRPr="004418F5">
              <w:rPr>
                <w:rStyle w:val="Hyperlink"/>
                <w:noProof/>
                <w:lang w:eastAsia="en-AU"/>
              </w:rPr>
              <w:t>3.</w:t>
            </w:r>
            <w:r w:rsidR="00702C40">
              <w:rPr>
                <w:rFonts w:asciiTheme="minorHAnsi" w:eastAsiaTheme="minorEastAsia" w:hAnsiTheme="minorHAnsi" w:cstheme="minorBidi"/>
                <w:b w:val="0"/>
                <w:noProof/>
                <w:sz w:val="22"/>
                <w:lang w:eastAsia="en-AU"/>
              </w:rPr>
              <w:tab/>
            </w:r>
            <w:r w:rsidR="00702C40" w:rsidRPr="004418F5">
              <w:rPr>
                <w:rStyle w:val="Hyperlink"/>
                <w:noProof/>
                <w:lang w:eastAsia="en-AU"/>
              </w:rPr>
              <w:t>Contents of the clinical dossier</w:t>
            </w:r>
            <w:r w:rsidR="00702C40">
              <w:rPr>
                <w:noProof/>
                <w:webHidden/>
              </w:rPr>
              <w:tab/>
            </w:r>
            <w:r w:rsidR="00702C40">
              <w:rPr>
                <w:noProof/>
                <w:webHidden/>
              </w:rPr>
              <w:fldChar w:fldCharType="begin"/>
            </w:r>
            <w:r w:rsidR="00702C40">
              <w:rPr>
                <w:noProof/>
                <w:webHidden/>
              </w:rPr>
              <w:instrText xml:space="preserve"> PAGEREF _Toc490577135 \h </w:instrText>
            </w:r>
            <w:r w:rsidR="00702C40">
              <w:rPr>
                <w:noProof/>
                <w:webHidden/>
              </w:rPr>
            </w:r>
            <w:r w:rsidR="00702C40">
              <w:rPr>
                <w:noProof/>
                <w:webHidden/>
              </w:rPr>
              <w:fldChar w:fldCharType="separate"/>
            </w:r>
            <w:r w:rsidR="00145C75">
              <w:rPr>
                <w:noProof/>
                <w:webHidden/>
              </w:rPr>
              <w:t>11</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36" w:history="1">
            <w:r w:rsidR="00702C40" w:rsidRPr="004418F5">
              <w:rPr>
                <w:rStyle w:val="Hyperlink"/>
                <w:noProof/>
              </w:rPr>
              <w:t>3.1.</w:t>
            </w:r>
            <w:r w:rsidR="00702C40">
              <w:rPr>
                <w:rFonts w:asciiTheme="minorHAnsi" w:eastAsiaTheme="minorEastAsia" w:hAnsiTheme="minorHAnsi" w:cstheme="minorBidi"/>
                <w:noProof/>
                <w:lang w:eastAsia="en-AU"/>
              </w:rPr>
              <w:tab/>
            </w:r>
            <w:r w:rsidR="00702C40" w:rsidRPr="004418F5">
              <w:rPr>
                <w:rStyle w:val="Hyperlink"/>
                <w:noProof/>
              </w:rPr>
              <w:t>Scope of the clinical dossier</w:t>
            </w:r>
            <w:r w:rsidR="00702C40">
              <w:rPr>
                <w:noProof/>
                <w:webHidden/>
              </w:rPr>
              <w:tab/>
            </w:r>
            <w:r w:rsidR="00702C40">
              <w:rPr>
                <w:noProof/>
                <w:webHidden/>
              </w:rPr>
              <w:fldChar w:fldCharType="begin"/>
            </w:r>
            <w:r w:rsidR="00702C40">
              <w:rPr>
                <w:noProof/>
                <w:webHidden/>
              </w:rPr>
              <w:instrText xml:space="preserve"> PAGEREF _Toc490577136 \h </w:instrText>
            </w:r>
            <w:r w:rsidR="00702C40">
              <w:rPr>
                <w:noProof/>
                <w:webHidden/>
              </w:rPr>
            </w:r>
            <w:r w:rsidR="00702C40">
              <w:rPr>
                <w:noProof/>
                <w:webHidden/>
              </w:rPr>
              <w:fldChar w:fldCharType="separate"/>
            </w:r>
            <w:r w:rsidR="00145C75">
              <w:rPr>
                <w:noProof/>
                <w:webHidden/>
              </w:rPr>
              <w:t>11</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37" w:history="1">
            <w:r w:rsidR="00702C40" w:rsidRPr="004418F5">
              <w:rPr>
                <w:rStyle w:val="Hyperlink"/>
                <w:noProof/>
              </w:rPr>
              <w:t>3.2.</w:t>
            </w:r>
            <w:r w:rsidR="00702C40">
              <w:rPr>
                <w:rFonts w:asciiTheme="minorHAnsi" w:eastAsiaTheme="minorEastAsia" w:hAnsiTheme="minorHAnsi" w:cstheme="minorBidi"/>
                <w:noProof/>
                <w:lang w:eastAsia="en-AU"/>
              </w:rPr>
              <w:tab/>
            </w:r>
            <w:r w:rsidR="00702C40" w:rsidRPr="004418F5">
              <w:rPr>
                <w:rStyle w:val="Hyperlink"/>
                <w:noProof/>
              </w:rPr>
              <w:t>Paediatric data</w:t>
            </w:r>
            <w:r w:rsidR="00702C40">
              <w:rPr>
                <w:noProof/>
                <w:webHidden/>
              </w:rPr>
              <w:tab/>
            </w:r>
            <w:r w:rsidR="00702C40">
              <w:rPr>
                <w:noProof/>
                <w:webHidden/>
              </w:rPr>
              <w:fldChar w:fldCharType="begin"/>
            </w:r>
            <w:r w:rsidR="00702C40">
              <w:rPr>
                <w:noProof/>
                <w:webHidden/>
              </w:rPr>
              <w:instrText xml:space="preserve"> PAGEREF _Toc490577137 \h </w:instrText>
            </w:r>
            <w:r w:rsidR="00702C40">
              <w:rPr>
                <w:noProof/>
                <w:webHidden/>
              </w:rPr>
            </w:r>
            <w:r w:rsidR="00702C40">
              <w:rPr>
                <w:noProof/>
                <w:webHidden/>
              </w:rPr>
              <w:fldChar w:fldCharType="separate"/>
            </w:r>
            <w:r w:rsidR="00145C75">
              <w:rPr>
                <w:noProof/>
                <w:webHidden/>
              </w:rPr>
              <w:t>11</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38" w:history="1">
            <w:r w:rsidR="00702C40" w:rsidRPr="004418F5">
              <w:rPr>
                <w:rStyle w:val="Hyperlink"/>
                <w:noProof/>
              </w:rPr>
              <w:t>3.3.</w:t>
            </w:r>
            <w:r w:rsidR="00702C40">
              <w:rPr>
                <w:rFonts w:asciiTheme="minorHAnsi" w:eastAsiaTheme="minorEastAsia" w:hAnsiTheme="minorHAnsi" w:cstheme="minorBidi"/>
                <w:noProof/>
                <w:lang w:eastAsia="en-AU"/>
              </w:rPr>
              <w:tab/>
            </w:r>
            <w:r w:rsidR="00702C40" w:rsidRPr="004418F5">
              <w:rPr>
                <w:rStyle w:val="Hyperlink"/>
                <w:noProof/>
              </w:rPr>
              <w:t>Good clinical practice</w:t>
            </w:r>
            <w:r w:rsidR="00702C40">
              <w:rPr>
                <w:noProof/>
                <w:webHidden/>
              </w:rPr>
              <w:tab/>
            </w:r>
            <w:r w:rsidR="00702C40">
              <w:rPr>
                <w:noProof/>
                <w:webHidden/>
              </w:rPr>
              <w:fldChar w:fldCharType="begin"/>
            </w:r>
            <w:r w:rsidR="00702C40">
              <w:rPr>
                <w:noProof/>
                <w:webHidden/>
              </w:rPr>
              <w:instrText xml:space="preserve"> PAGEREF _Toc490577138 \h </w:instrText>
            </w:r>
            <w:r w:rsidR="00702C40">
              <w:rPr>
                <w:noProof/>
                <w:webHidden/>
              </w:rPr>
            </w:r>
            <w:r w:rsidR="00702C40">
              <w:rPr>
                <w:noProof/>
                <w:webHidden/>
              </w:rPr>
              <w:fldChar w:fldCharType="separate"/>
            </w:r>
            <w:r w:rsidR="00145C75">
              <w:rPr>
                <w:noProof/>
                <w:webHidden/>
              </w:rPr>
              <w:t>11</w:t>
            </w:r>
            <w:r w:rsidR="00702C40">
              <w:rPr>
                <w:noProof/>
                <w:webHidden/>
              </w:rPr>
              <w:fldChar w:fldCharType="end"/>
            </w:r>
          </w:hyperlink>
        </w:p>
        <w:p w:rsidR="00702C40" w:rsidRDefault="00584489">
          <w:pPr>
            <w:pStyle w:val="TOC2"/>
            <w:tabs>
              <w:tab w:val="left" w:pos="1247"/>
            </w:tabs>
            <w:rPr>
              <w:rFonts w:asciiTheme="minorHAnsi" w:eastAsiaTheme="minorEastAsia" w:hAnsiTheme="minorHAnsi" w:cstheme="minorBidi"/>
              <w:b w:val="0"/>
              <w:noProof/>
              <w:sz w:val="22"/>
              <w:lang w:eastAsia="en-AU"/>
            </w:rPr>
          </w:pPr>
          <w:hyperlink w:anchor="_Toc490577139" w:history="1">
            <w:r w:rsidR="00702C40" w:rsidRPr="004418F5">
              <w:rPr>
                <w:rStyle w:val="Hyperlink"/>
                <w:noProof/>
              </w:rPr>
              <w:t>4.</w:t>
            </w:r>
            <w:r w:rsidR="00702C40">
              <w:rPr>
                <w:rFonts w:asciiTheme="minorHAnsi" w:eastAsiaTheme="minorEastAsia" w:hAnsiTheme="minorHAnsi" w:cstheme="minorBidi"/>
                <w:b w:val="0"/>
                <w:noProof/>
                <w:sz w:val="22"/>
                <w:lang w:eastAsia="en-AU"/>
              </w:rPr>
              <w:tab/>
            </w:r>
            <w:r w:rsidR="00702C40" w:rsidRPr="004418F5">
              <w:rPr>
                <w:rStyle w:val="Hyperlink"/>
                <w:noProof/>
              </w:rPr>
              <w:t>Pharmacokinetics</w:t>
            </w:r>
            <w:r w:rsidR="00702C40">
              <w:rPr>
                <w:noProof/>
                <w:webHidden/>
              </w:rPr>
              <w:tab/>
            </w:r>
            <w:r w:rsidR="00702C40">
              <w:rPr>
                <w:noProof/>
                <w:webHidden/>
              </w:rPr>
              <w:fldChar w:fldCharType="begin"/>
            </w:r>
            <w:r w:rsidR="00702C40">
              <w:rPr>
                <w:noProof/>
                <w:webHidden/>
              </w:rPr>
              <w:instrText xml:space="preserve"> PAGEREF _Toc490577139 \h </w:instrText>
            </w:r>
            <w:r w:rsidR="00702C40">
              <w:rPr>
                <w:noProof/>
                <w:webHidden/>
              </w:rPr>
            </w:r>
            <w:r w:rsidR="00702C40">
              <w:rPr>
                <w:noProof/>
                <w:webHidden/>
              </w:rPr>
              <w:fldChar w:fldCharType="separate"/>
            </w:r>
            <w:r w:rsidR="00145C75">
              <w:rPr>
                <w:noProof/>
                <w:webHidden/>
              </w:rPr>
              <w:t>11</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40" w:history="1">
            <w:r w:rsidR="00702C40" w:rsidRPr="004418F5">
              <w:rPr>
                <w:rStyle w:val="Hyperlink"/>
                <w:noProof/>
              </w:rPr>
              <w:t>4.1.</w:t>
            </w:r>
            <w:r w:rsidR="00702C40">
              <w:rPr>
                <w:rFonts w:asciiTheme="minorHAnsi" w:eastAsiaTheme="minorEastAsia" w:hAnsiTheme="minorHAnsi" w:cstheme="minorBidi"/>
                <w:noProof/>
                <w:lang w:eastAsia="en-AU"/>
              </w:rPr>
              <w:tab/>
            </w:r>
            <w:r w:rsidR="00702C40" w:rsidRPr="004418F5">
              <w:rPr>
                <w:rStyle w:val="Hyperlink"/>
                <w:noProof/>
              </w:rPr>
              <w:t>Studies providing pharmacokinetic data</w:t>
            </w:r>
            <w:r w:rsidR="00702C40">
              <w:rPr>
                <w:noProof/>
                <w:webHidden/>
              </w:rPr>
              <w:tab/>
            </w:r>
            <w:r w:rsidR="00702C40">
              <w:rPr>
                <w:noProof/>
                <w:webHidden/>
              </w:rPr>
              <w:fldChar w:fldCharType="begin"/>
            </w:r>
            <w:r w:rsidR="00702C40">
              <w:rPr>
                <w:noProof/>
                <w:webHidden/>
              </w:rPr>
              <w:instrText xml:space="preserve"> PAGEREF _Toc490577140 \h </w:instrText>
            </w:r>
            <w:r w:rsidR="00702C40">
              <w:rPr>
                <w:noProof/>
                <w:webHidden/>
              </w:rPr>
            </w:r>
            <w:r w:rsidR="00702C40">
              <w:rPr>
                <w:noProof/>
                <w:webHidden/>
              </w:rPr>
              <w:fldChar w:fldCharType="separate"/>
            </w:r>
            <w:r w:rsidR="00145C75">
              <w:rPr>
                <w:noProof/>
                <w:webHidden/>
              </w:rPr>
              <w:t>11</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41" w:history="1">
            <w:r w:rsidR="00702C40" w:rsidRPr="004418F5">
              <w:rPr>
                <w:rStyle w:val="Hyperlink"/>
                <w:noProof/>
              </w:rPr>
              <w:t>4.2.</w:t>
            </w:r>
            <w:r w:rsidR="00702C40">
              <w:rPr>
                <w:rFonts w:asciiTheme="minorHAnsi" w:eastAsiaTheme="minorEastAsia" w:hAnsiTheme="minorHAnsi" w:cstheme="minorBidi"/>
                <w:noProof/>
                <w:lang w:eastAsia="en-AU"/>
              </w:rPr>
              <w:tab/>
            </w:r>
            <w:r w:rsidR="00702C40" w:rsidRPr="004418F5">
              <w:rPr>
                <w:rStyle w:val="Hyperlink"/>
                <w:noProof/>
              </w:rPr>
              <w:t>Summary of pharmacokinetics</w:t>
            </w:r>
            <w:r w:rsidR="00702C40">
              <w:rPr>
                <w:noProof/>
                <w:webHidden/>
              </w:rPr>
              <w:tab/>
            </w:r>
            <w:r w:rsidR="00702C40">
              <w:rPr>
                <w:noProof/>
                <w:webHidden/>
              </w:rPr>
              <w:fldChar w:fldCharType="begin"/>
            </w:r>
            <w:r w:rsidR="00702C40">
              <w:rPr>
                <w:noProof/>
                <w:webHidden/>
              </w:rPr>
              <w:instrText xml:space="preserve"> PAGEREF _Toc490577141 \h </w:instrText>
            </w:r>
            <w:r w:rsidR="00702C40">
              <w:rPr>
                <w:noProof/>
                <w:webHidden/>
              </w:rPr>
            </w:r>
            <w:r w:rsidR="00702C40">
              <w:rPr>
                <w:noProof/>
                <w:webHidden/>
              </w:rPr>
              <w:fldChar w:fldCharType="separate"/>
            </w:r>
            <w:r w:rsidR="00145C75">
              <w:rPr>
                <w:noProof/>
                <w:webHidden/>
              </w:rPr>
              <w:t>12</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42" w:history="1">
            <w:r w:rsidR="00702C40" w:rsidRPr="004418F5">
              <w:rPr>
                <w:rStyle w:val="Hyperlink"/>
                <w:noProof/>
              </w:rPr>
              <w:t>4.3.</w:t>
            </w:r>
            <w:r w:rsidR="00702C40">
              <w:rPr>
                <w:rFonts w:asciiTheme="minorHAnsi" w:eastAsiaTheme="minorEastAsia" w:hAnsiTheme="minorHAnsi" w:cstheme="minorBidi"/>
                <w:noProof/>
                <w:lang w:eastAsia="en-AU"/>
              </w:rPr>
              <w:tab/>
            </w:r>
            <w:r w:rsidR="00702C40" w:rsidRPr="004418F5">
              <w:rPr>
                <w:rStyle w:val="Hyperlink"/>
                <w:noProof/>
              </w:rPr>
              <w:t>Evaluator’s overall conclusions on pharmacokinetics</w:t>
            </w:r>
            <w:r w:rsidR="00702C40">
              <w:rPr>
                <w:noProof/>
                <w:webHidden/>
              </w:rPr>
              <w:tab/>
            </w:r>
            <w:r w:rsidR="00702C40">
              <w:rPr>
                <w:noProof/>
                <w:webHidden/>
              </w:rPr>
              <w:fldChar w:fldCharType="begin"/>
            </w:r>
            <w:r w:rsidR="00702C40">
              <w:rPr>
                <w:noProof/>
                <w:webHidden/>
              </w:rPr>
              <w:instrText xml:space="preserve"> PAGEREF _Toc490577142 \h </w:instrText>
            </w:r>
            <w:r w:rsidR="00702C40">
              <w:rPr>
                <w:noProof/>
                <w:webHidden/>
              </w:rPr>
            </w:r>
            <w:r w:rsidR="00702C40">
              <w:rPr>
                <w:noProof/>
                <w:webHidden/>
              </w:rPr>
              <w:fldChar w:fldCharType="separate"/>
            </w:r>
            <w:r w:rsidR="00145C75">
              <w:rPr>
                <w:noProof/>
                <w:webHidden/>
              </w:rPr>
              <w:t>14</w:t>
            </w:r>
            <w:r w:rsidR="00702C40">
              <w:rPr>
                <w:noProof/>
                <w:webHidden/>
              </w:rPr>
              <w:fldChar w:fldCharType="end"/>
            </w:r>
          </w:hyperlink>
        </w:p>
        <w:p w:rsidR="00702C40" w:rsidRDefault="00584489">
          <w:pPr>
            <w:pStyle w:val="TOC2"/>
            <w:tabs>
              <w:tab w:val="left" w:pos="1247"/>
            </w:tabs>
            <w:rPr>
              <w:rFonts w:asciiTheme="minorHAnsi" w:eastAsiaTheme="minorEastAsia" w:hAnsiTheme="minorHAnsi" w:cstheme="minorBidi"/>
              <w:b w:val="0"/>
              <w:noProof/>
              <w:sz w:val="22"/>
              <w:lang w:eastAsia="en-AU"/>
            </w:rPr>
          </w:pPr>
          <w:hyperlink w:anchor="_Toc490577143" w:history="1">
            <w:r w:rsidR="00702C40" w:rsidRPr="004418F5">
              <w:rPr>
                <w:rStyle w:val="Hyperlink"/>
                <w:noProof/>
              </w:rPr>
              <w:t>5.</w:t>
            </w:r>
            <w:r w:rsidR="00702C40">
              <w:rPr>
                <w:rFonts w:asciiTheme="minorHAnsi" w:eastAsiaTheme="minorEastAsia" w:hAnsiTheme="minorHAnsi" w:cstheme="minorBidi"/>
                <w:b w:val="0"/>
                <w:noProof/>
                <w:sz w:val="22"/>
                <w:lang w:eastAsia="en-AU"/>
              </w:rPr>
              <w:tab/>
            </w:r>
            <w:r w:rsidR="00702C40" w:rsidRPr="004418F5">
              <w:rPr>
                <w:rStyle w:val="Hyperlink"/>
                <w:noProof/>
              </w:rPr>
              <w:t>Pharmacodynamics</w:t>
            </w:r>
            <w:r w:rsidR="00702C40">
              <w:rPr>
                <w:noProof/>
                <w:webHidden/>
              </w:rPr>
              <w:tab/>
            </w:r>
            <w:r w:rsidR="00702C40">
              <w:rPr>
                <w:noProof/>
                <w:webHidden/>
              </w:rPr>
              <w:fldChar w:fldCharType="begin"/>
            </w:r>
            <w:r w:rsidR="00702C40">
              <w:rPr>
                <w:noProof/>
                <w:webHidden/>
              </w:rPr>
              <w:instrText xml:space="preserve"> PAGEREF _Toc490577143 \h </w:instrText>
            </w:r>
            <w:r w:rsidR="00702C40">
              <w:rPr>
                <w:noProof/>
                <w:webHidden/>
              </w:rPr>
            </w:r>
            <w:r w:rsidR="00702C40">
              <w:rPr>
                <w:noProof/>
                <w:webHidden/>
              </w:rPr>
              <w:fldChar w:fldCharType="separate"/>
            </w:r>
            <w:r w:rsidR="00145C75">
              <w:rPr>
                <w:noProof/>
                <w:webHidden/>
              </w:rPr>
              <w:t>14</w:t>
            </w:r>
            <w:r w:rsidR="00702C40">
              <w:rPr>
                <w:noProof/>
                <w:webHidden/>
              </w:rPr>
              <w:fldChar w:fldCharType="end"/>
            </w:r>
          </w:hyperlink>
        </w:p>
        <w:p w:rsidR="00702C40" w:rsidRDefault="00584489">
          <w:pPr>
            <w:pStyle w:val="TOC2"/>
            <w:tabs>
              <w:tab w:val="left" w:pos="1247"/>
            </w:tabs>
            <w:rPr>
              <w:rFonts w:asciiTheme="minorHAnsi" w:eastAsiaTheme="minorEastAsia" w:hAnsiTheme="minorHAnsi" w:cstheme="minorBidi"/>
              <w:b w:val="0"/>
              <w:noProof/>
              <w:sz w:val="22"/>
              <w:lang w:eastAsia="en-AU"/>
            </w:rPr>
          </w:pPr>
          <w:hyperlink w:anchor="_Toc490577144" w:history="1">
            <w:r w:rsidR="00702C40" w:rsidRPr="004418F5">
              <w:rPr>
                <w:rStyle w:val="Hyperlink"/>
                <w:noProof/>
              </w:rPr>
              <w:t>6.</w:t>
            </w:r>
            <w:r w:rsidR="00702C40">
              <w:rPr>
                <w:rFonts w:asciiTheme="minorHAnsi" w:eastAsiaTheme="minorEastAsia" w:hAnsiTheme="minorHAnsi" w:cstheme="minorBidi"/>
                <w:b w:val="0"/>
                <w:noProof/>
                <w:sz w:val="22"/>
                <w:lang w:eastAsia="en-AU"/>
              </w:rPr>
              <w:tab/>
            </w:r>
            <w:r w:rsidR="00702C40" w:rsidRPr="004418F5">
              <w:rPr>
                <w:rStyle w:val="Hyperlink"/>
                <w:noProof/>
              </w:rPr>
              <w:t>Dosage selection for the pivotal studies</w:t>
            </w:r>
            <w:r w:rsidR="00702C40">
              <w:rPr>
                <w:noProof/>
                <w:webHidden/>
              </w:rPr>
              <w:tab/>
            </w:r>
            <w:r w:rsidR="00702C40">
              <w:rPr>
                <w:noProof/>
                <w:webHidden/>
              </w:rPr>
              <w:fldChar w:fldCharType="begin"/>
            </w:r>
            <w:r w:rsidR="00702C40">
              <w:rPr>
                <w:noProof/>
                <w:webHidden/>
              </w:rPr>
              <w:instrText xml:space="preserve"> PAGEREF _Toc490577144 \h </w:instrText>
            </w:r>
            <w:r w:rsidR="00702C40">
              <w:rPr>
                <w:noProof/>
                <w:webHidden/>
              </w:rPr>
            </w:r>
            <w:r w:rsidR="00702C40">
              <w:rPr>
                <w:noProof/>
                <w:webHidden/>
              </w:rPr>
              <w:fldChar w:fldCharType="separate"/>
            </w:r>
            <w:r w:rsidR="00145C75">
              <w:rPr>
                <w:noProof/>
                <w:webHidden/>
              </w:rPr>
              <w:t>14</w:t>
            </w:r>
            <w:r w:rsidR="00702C40">
              <w:rPr>
                <w:noProof/>
                <w:webHidden/>
              </w:rPr>
              <w:fldChar w:fldCharType="end"/>
            </w:r>
          </w:hyperlink>
        </w:p>
        <w:p w:rsidR="00702C40" w:rsidRDefault="00584489">
          <w:pPr>
            <w:pStyle w:val="TOC2"/>
            <w:tabs>
              <w:tab w:val="left" w:pos="1247"/>
            </w:tabs>
            <w:rPr>
              <w:rFonts w:asciiTheme="minorHAnsi" w:eastAsiaTheme="minorEastAsia" w:hAnsiTheme="minorHAnsi" w:cstheme="minorBidi"/>
              <w:b w:val="0"/>
              <w:noProof/>
              <w:sz w:val="22"/>
              <w:lang w:eastAsia="en-AU"/>
            </w:rPr>
          </w:pPr>
          <w:hyperlink w:anchor="_Toc490577145" w:history="1">
            <w:r w:rsidR="00702C40" w:rsidRPr="004418F5">
              <w:rPr>
                <w:rStyle w:val="Hyperlink"/>
                <w:noProof/>
              </w:rPr>
              <w:t>7.</w:t>
            </w:r>
            <w:r w:rsidR="00702C40">
              <w:rPr>
                <w:rFonts w:asciiTheme="minorHAnsi" w:eastAsiaTheme="minorEastAsia" w:hAnsiTheme="minorHAnsi" w:cstheme="minorBidi"/>
                <w:b w:val="0"/>
                <w:noProof/>
                <w:sz w:val="22"/>
                <w:lang w:eastAsia="en-AU"/>
              </w:rPr>
              <w:tab/>
            </w:r>
            <w:r w:rsidR="00702C40" w:rsidRPr="004418F5">
              <w:rPr>
                <w:rStyle w:val="Hyperlink"/>
                <w:noProof/>
              </w:rPr>
              <w:t>Clinical efficacy</w:t>
            </w:r>
            <w:r w:rsidR="00702C40">
              <w:rPr>
                <w:noProof/>
                <w:webHidden/>
              </w:rPr>
              <w:tab/>
            </w:r>
            <w:r w:rsidR="00702C40">
              <w:rPr>
                <w:noProof/>
                <w:webHidden/>
              </w:rPr>
              <w:fldChar w:fldCharType="begin"/>
            </w:r>
            <w:r w:rsidR="00702C40">
              <w:rPr>
                <w:noProof/>
                <w:webHidden/>
              </w:rPr>
              <w:instrText xml:space="preserve"> PAGEREF _Toc490577145 \h </w:instrText>
            </w:r>
            <w:r w:rsidR="00702C40">
              <w:rPr>
                <w:noProof/>
                <w:webHidden/>
              </w:rPr>
            </w:r>
            <w:r w:rsidR="00702C40">
              <w:rPr>
                <w:noProof/>
                <w:webHidden/>
              </w:rPr>
              <w:fldChar w:fldCharType="separate"/>
            </w:r>
            <w:r w:rsidR="00145C75">
              <w:rPr>
                <w:noProof/>
                <w:webHidden/>
              </w:rPr>
              <w:t>15</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46" w:history="1">
            <w:r w:rsidR="00702C40" w:rsidRPr="004418F5">
              <w:rPr>
                <w:rStyle w:val="Hyperlink"/>
                <w:noProof/>
              </w:rPr>
              <w:t>7.1.</w:t>
            </w:r>
            <w:r w:rsidR="00702C40">
              <w:rPr>
                <w:rFonts w:asciiTheme="minorHAnsi" w:eastAsiaTheme="minorEastAsia" w:hAnsiTheme="minorHAnsi" w:cstheme="minorBidi"/>
                <w:noProof/>
                <w:lang w:eastAsia="en-AU"/>
              </w:rPr>
              <w:tab/>
            </w:r>
            <w:r w:rsidR="00702C40" w:rsidRPr="004418F5">
              <w:rPr>
                <w:rStyle w:val="Hyperlink"/>
                <w:noProof/>
              </w:rPr>
              <w:t>Pivotal efficacy study: MM-398-07-03-1 (NAPOLI-1)</w:t>
            </w:r>
            <w:r w:rsidR="00702C40">
              <w:rPr>
                <w:noProof/>
                <w:webHidden/>
              </w:rPr>
              <w:tab/>
            </w:r>
            <w:r w:rsidR="00702C40">
              <w:rPr>
                <w:noProof/>
                <w:webHidden/>
              </w:rPr>
              <w:fldChar w:fldCharType="begin"/>
            </w:r>
            <w:r w:rsidR="00702C40">
              <w:rPr>
                <w:noProof/>
                <w:webHidden/>
              </w:rPr>
              <w:instrText xml:space="preserve"> PAGEREF _Toc490577146 \h </w:instrText>
            </w:r>
            <w:r w:rsidR="00702C40">
              <w:rPr>
                <w:noProof/>
                <w:webHidden/>
              </w:rPr>
            </w:r>
            <w:r w:rsidR="00702C40">
              <w:rPr>
                <w:noProof/>
                <w:webHidden/>
              </w:rPr>
              <w:fldChar w:fldCharType="separate"/>
            </w:r>
            <w:r w:rsidR="00145C75">
              <w:rPr>
                <w:noProof/>
                <w:webHidden/>
              </w:rPr>
              <w:t>15</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47" w:history="1">
            <w:r w:rsidR="00702C40" w:rsidRPr="004418F5">
              <w:rPr>
                <w:rStyle w:val="Hyperlink"/>
                <w:noProof/>
              </w:rPr>
              <w:t>7.2.</w:t>
            </w:r>
            <w:r w:rsidR="00702C40">
              <w:rPr>
                <w:rFonts w:asciiTheme="minorHAnsi" w:eastAsiaTheme="minorEastAsia" w:hAnsiTheme="minorHAnsi" w:cstheme="minorBidi"/>
                <w:noProof/>
                <w:lang w:eastAsia="en-AU"/>
              </w:rPr>
              <w:tab/>
            </w:r>
            <w:r w:rsidR="00702C40" w:rsidRPr="004418F5">
              <w:rPr>
                <w:rStyle w:val="Hyperlink"/>
                <w:noProof/>
              </w:rPr>
              <w:t>Other efficacy studies</w:t>
            </w:r>
            <w:r w:rsidR="00702C40">
              <w:rPr>
                <w:noProof/>
                <w:webHidden/>
              </w:rPr>
              <w:tab/>
            </w:r>
            <w:r w:rsidR="00702C40">
              <w:rPr>
                <w:noProof/>
                <w:webHidden/>
              </w:rPr>
              <w:fldChar w:fldCharType="begin"/>
            </w:r>
            <w:r w:rsidR="00702C40">
              <w:rPr>
                <w:noProof/>
                <w:webHidden/>
              </w:rPr>
              <w:instrText xml:space="preserve"> PAGEREF _Toc490577147 \h </w:instrText>
            </w:r>
            <w:r w:rsidR="00702C40">
              <w:rPr>
                <w:noProof/>
                <w:webHidden/>
              </w:rPr>
            </w:r>
            <w:r w:rsidR="00702C40">
              <w:rPr>
                <w:noProof/>
                <w:webHidden/>
              </w:rPr>
              <w:fldChar w:fldCharType="separate"/>
            </w:r>
            <w:r w:rsidR="00145C75">
              <w:rPr>
                <w:noProof/>
                <w:webHidden/>
              </w:rPr>
              <w:t>26</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48" w:history="1">
            <w:r w:rsidR="00702C40" w:rsidRPr="004418F5">
              <w:rPr>
                <w:rStyle w:val="Hyperlink"/>
                <w:noProof/>
              </w:rPr>
              <w:t>7.3.</w:t>
            </w:r>
            <w:r w:rsidR="00702C40">
              <w:rPr>
                <w:rFonts w:asciiTheme="minorHAnsi" w:eastAsiaTheme="minorEastAsia" w:hAnsiTheme="minorHAnsi" w:cstheme="minorBidi"/>
                <w:noProof/>
                <w:lang w:eastAsia="en-AU"/>
              </w:rPr>
              <w:tab/>
            </w:r>
            <w:r w:rsidR="00702C40" w:rsidRPr="004418F5">
              <w:rPr>
                <w:rStyle w:val="Hyperlink"/>
                <w:noProof/>
              </w:rPr>
              <w:t>Analyses performed across trials (pooled &amp; meta analyses)</w:t>
            </w:r>
            <w:r w:rsidR="00702C40">
              <w:rPr>
                <w:noProof/>
                <w:webHidden/>
              </w:rPr>
              <w:tab/>
            </w:r>
            <w:r w:rsidR="00702C40">
              <w:rPr>
                <w:noProof/>
                <w:webHidden/>
              </w:rPr>
              <w:fldChar w:fldCharType="begin"/>
            </w:r>
            <w:r w:rsidR="00702C40">
              <w:rPr>
                <w:noProof/>
                <w:webHidden/>
              </w:rPr>
              <w:instrText xml:space="preserve"> PAGEREF _Toc490577148 \h </w:instrText>
            </w:r>
            <w:r w:rsidR="00702C40">
              <w:rPr>
                <w:noProof/>
                <w:webHidden/>
              </w:rPr>
            </w:r>
            <w:r w:rsidR="00702C40">
              <w:rPr>
                <w:noProof/>
                <w:webHidden/>
              </w:rPr>
              <w:fldChar w:fldCharType="separate"/>
            </w:r>
            <w:r w:rsidR="00145C75">
              <w:rPr>
                <w:noProof/>
                <w:webHidden/>
              </w:rPr>
              <w:t>27</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49" w:history="1">
            <w:r w:rsidR="00702C40" w:rsidRPr="004418F5">
              <w:rPr>
                <w:rStyle w:val="Hyperlink"/>
                <w:noProof/>
              </w:rPr>
              <w:t>7.4.</w:t>
            </w:r>
            <w:r w:rsidR="00702C40">
              <w:rPr>
                <w:rFonts w:asciiTheme="minorHAnsi" w:eastAsiaTheme="minorEastAsia" w:hAnsiTheme="minorHAnsi" w:cstheme="minorBidi"/>
                <w:noProof/>
                <w:lang w:eastAsia="en-AU"/>
              </w:rPr>
              <w:tab/>
            </w:r>
            <w:r w:rsidR="00702C40" w:rsidRPr="004418F5">
              <w:rPr>
                <w:rStyle w:val="Hyperlink"/>
                <w:noProof/>
              </w:rPr>
              <w:t>Evaluator’s conclusions on clinical efficacy for pancreatic cancer</w:t>
            </w:r>
            <w:r w:rsidR="00702C40">
              <w:rPr>
                <w:noProof/>
                <w:webHidden/>
              </w:rPr>
              <w:tab/>
            </w:r>
            <w:r w:rsidR="00702C40">
              <w:rPr>
                <w:noProof/>
                <w:webHidden/>
              </w:rPr>
              <w:fldChar w:fldCharType="begin"/>
            </w:r>
            <w:r w:rsidR="00702C40">
              <w:rPr>
                <w:noProof/>
                <w:webHidden/>
              </w:rPr>
              <w:instrText xml:space="preserve"> PAGEREF _Toc490577149 \h </w:instrText>
            </w:r>
            <w:r w:rsidR="00702C40">
              <w:rPr>
                <w:noProof/>
                <w:webHidden/>
              </w:rPr>
            </w:r>
            <w:r w:rsidR="00702C40">
              <w:rPr>
                <w:noProof/>
                <w:webHidden/>
              </w:rPr>
              <w:fldChar w:fldCharType="separate"/>
            </w:r>
            <w:r w:rsidR="00145C75">
              <w:rPr>
                <w:noProof/>
                <w:webHidden/>
              </w:rPr>
              <w:t>27</w:t>
            </w:r>
            <w:r w:rsidR="00702C40">
              <w:rPr>
                <w:noProof/>
                <w:webHidden/>
              </w:rPr>
              <w:fldChar w:fldCharType="end"/>
            </w:r>
          </w:hyperlink>
        </w:p>
        <w:p w:rsidR="00702C40" w:rsidRDefault="00584489">
          <w:pPr>
            <w:pStyle w:val="TOC2"/>
            <w:tabs>
              <w:tab w:val="left" w:pos="1247"/>
            </w:tabs>
            <w:rPr>
              <w:rFonts w:asciiTheme="minorHAnsi" w:eastAsiaTheme="minorEastAsia" w:hAnsiTheme="minorHAnsi" w:cstheme="minorBidi"/>
              <w:b w:val="0"/>
              <w:noProof/>
              <w:sz w:val="22"/>
              <w:lang w:eastAsia="en-AU"/>
            </w:rPr>
          </w:pPr>
          <w:hyperlink w:anchor="_Toc490577150" w:history="1">
            <w:r w:rsidR="00702C40" w:rsidRPr="004418F5">
              <w:rPr>
                <w:rStyle w:val="Hyperlink"/>
                <w:noProof/>
              </w:rPr>
              <w:t>8.</w:t>
            </w:r>
            <w:r w:rsidR="00702C40">
              <w:rPr>
                <w:rFonts w:asciiTheme="minorHAnsi" w:eastAsiaTheme="minorEastAsia" w:hAnsiTheme="minorHAnsi" w:cstheme="minorBidi"/>
                <w:b w:val="0"/>
                <w:noProof/>
                <w:sz w:val="22"/>
                <w:lang w:eastAsia="en-AU"/>
              </w:rPr>
              <w:tab/>
            </w:r>
            <w:r w:rsidR="00702C40" w:rsidRPr="004418F5">
              <w:rPr>
                <w:rStyle w:val="Hyperlink"/>
                <w:noProof/>
              </w:rPr>
              <w:t>Clinical safety</w:t>
            </w:r>
            <w:r w:rsidR="00702C40">
              <w:rPr>
                <w:noProof/>
                <w:webHidden/>
              </w:rPr>
              <w:tab/>
            </w:r>
            <w:r w:rsidR="00702C40">
              <w:rPr>
                <w:noProof/>
                <w:webHidden/>
              </w:rPr>
              <w:fldChar w:fldCharType="begin"/>
            </w:r>
            <w:r w:rsidR="00702C40">
              <w:rPr>
                <w:noProof/>
                <w:webHidden/>
              </w:rPr>
              <w:instrText xml:space="preserve"> PAGEREF _Toc490577150 \h </w:instrText>
            </w:r>
            <w:r w:rsidR="00702C40">
              <w:rPr>
                <w:noProof/>
                <w:webHidden/>
              </w:rPr>
            </w:r>
            <w:r w:rsidR="00702C40">
              <w:rPr>
                <w:noProof/>
                <w:webHidden/>
              </w:rPr>
              <w:fldChar w:fldCharType="separate"/>
            </w:r>
            <w:r w:rsidR="00145C75">
              <w:rPr>
                <w:noProof/>
                <w:webHidden/>
              </w:rPr>
              <w:t>28</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51" w:history="1">
            <w:r w:rsidR="00702C40" w:rsidRPr="004418F5">
              <w:rPr>
                <w:rStyle w:val="Hyperlink"/>
                <w:noProof/>
              </w:rPr>
              <w:t>8.1.</w:t>
            </w:r>
            <w:r w:rsidR="00702C40">
              <w:rPr>
                <w:rFonts w:asciiTheme="minorHAnsi" w:eastAsiaTheme="minorEastAsia" w:hAnsiTheme="minorHAnsi" w:cstheme="minorBidi"/>
                <w:noProof/>
                <w:lang w:eastAsia="en-AU"/>
              </w:rPr>
              <w:tab/>
            </w:r>
            <w:r w:rsidR="00702C40" w:rsidRPr="004418F5">
              <w:rPr>
                <w:rStyle w:val="Hyperlink"/>
                <w:noProof/>
              </w:rPr>
              <w:t>Studies providing evaluable safety data</w:t>
            </w:r>
            <w:r w:rsidR="00702C40">
              <w:rPr>
                <w:noProof/>
                <w:webHidden/>
              </w:rPr>
              <w:tab/>
            </w:r>
            <w:r w:rsidR="00702C40">
              <w:rPr>
                <w:noProof/>
                <w:webHidden/>
              </w:rPr>
              <w:fldChar w:fldCharType="begin"/>
            </w:r>
            <w:r w:rsidR="00702C40">
              <w:rPr>
                <w:noProof/>
                <w:webHidden/>
              </w:rPr>
              <w:instrText xml:space="preserve"> PAGEREF _Toc490577151 \h </w:instrText>
            </w:r>
            <w:r w:rsidR="00702C40">
              <w:rPr>
                <w:noProof/>
                <w:webHidden/>
              </w:rPr>
            </w:r>
            <w:r w:rsidR="00702C40">
              <w:rPr>
                <w:noProof/>
                <w:webHidden/>
              </w:rPr>
              <w:fldChar w:fldCharType="separate"/>
            </w:r>
            <w:r w:rsidR="00145C75">
              <w:rPr>
                <w:noProof/>
                <w:webHidden/>
              </w:rPr>
              <w:t>28</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52" w:history="1">
            <w:r w:rsidR="00702C40" w:rsidRPr="004418F5">
              <w:rPr>
                <w:rStyle w:val="Hyperlink"/>
                <w:noProof/>
              </w:rPr>
              <w:t>8.2.</w:t>
            </w:r>
            <w:r w:rsidR="00702C40">
              <w:rPr>
                <w:rFonts w:asciiTheme="minorHAnsi" w:eastAsiaTheme="minorEastAsia" w:hAnsiTheme="minorHAnsi" w:cstheme="minorBidi"/>
                <w:noProof/>
                <w:lang w:eastAsia="en-AU"/>
              </w:rPr>
              <w:tab/>
            </w:r>
            <w:r w:rsidR="00702C40" w:rsidRPr="004418F5">
              <w:rPr>
                <w:rStyle w:val="Hyperlink"/>
                <w:noProof/>
              </w:rPr>
              <w:t>Patient exposure</w:t>
            </w:r>
            <w:r w:rsidR="00702C40">
              <w:rPr>
                <w:noProof/>
                <w:webHidden/>
              </w:rPr>
              <w:tab/>
            </w:r>
            <w:r w:rsidR="00702C40">
              <w:rPr>
                <w:noProof/>
                <w:webHidden/>
              </w:rPr>
              <w:fldChar w:fldCharType="begin"/>
            </w:r>
            <w:r w:rsidR="00702C40">
              <w:rPr>
                <w:noProof/>
                <w:webHidden/>
              </w:rPr>
              <w:instrText xml:space="preserve"> PAGEREF _Toc490577152 \h </w:instrText>
            </w:r>
            <w:r w:rsidR="00702C40">
              <w:rPr>
                <w:noProof/>
                <w:webHidden/>
              </w:rPr>
            </w:r>
            <w:r w:rsidR="00702C40">
              <w:rPr>
                <w:noProof/>
                <w:webHidden/>
              </w:rPr>
              <w:fldChar w:fldCharType="separate"/>
            </w:r>
            <w:r w:rsidR="00145C75">
              <w:rPr>
                <w:noProof/>
                <w:webHidden/>
              </w:rPr>
              <w:t>29</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53" w:history="1">
            <w:r w:rsidR="00702C40" w:rsidRPr="004418F5">
              <w:rPr>
                <w:rStyle w:val="Hyperlink"/>
                <w:noProof/>
              </w:rPr>
              <w:t>8.3.</w:t>
            </w:r>
            <w:r w:rsidR="00702C40">
              <w:rPr>
                <w:rFonts w:asciiTheme="minorHAnsi" w:eastAsiaTheme="minorEastAsia" w:hAnsiTheme="minorHAnsi" w:cstheme="minorBidi"/>
                <w:noProof/>
                <w:lang w:eastAsia="en-AU"/>
              </w:rPr>
              <w:tab/>
            </w:r>
            <w:r w:rsidR="00702C40" w:rsidRPr="004418F5">
              <w:rPr>
                <w:rStyle w:val="Hyperlink"/>
                <w:noProof/>
              </w:rPr>
              <w:t>Adverse events</w:t>
            </w:r>
            <w:r w:rsidR="00702C40">
              <w:rPr>
                <w:noProof/>
                <w:webHidden/>
              </w:rPr>
              <w:tab/>
            </w:r>
            <w:r w:rsidR="00702C40">
              <w:rPr>
                <w:noProof/>
                <w:webHidden/>
              </w:rPr>
              <w:fldChar w:fldCharType="begin"/>
            </w:r>
            <w:r w:rsidR="00702C40">
              <w:rPr>
                <w:noProof/>
                <w:webHidden/>
              </w:rPr>
              <w:instrText xml:space="preserve"> PAGEREF _Toc490577153 \h </w:instrText>
            </w:r>
            <w:r w:rsidR="00702C40">
              <w:rPr>
                <w:noProof/>
                <w:webHidden/>
              </w:rPr>
            </w:r>
            <w:r w:rsidR="00702C40">
              <w:rPr>
                <w:noProof/>
                <w:webHidden/>
              </w:rPr>
              <w:fldChar w:fldCharType="separate"/>
            </w:r>
            <w:r w:rsidR="00145C75">
              <w:rPr>
                <w:noProof/>
                <w:webHidden/>
              </w:rPr>
              <w:t>30</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54" w:history="1">
            <w:r w:rsidR="00702C40" w:rsidRPr="004418F5">
              <w:rPr>
                <w:rStyle w:val="Hyperlink"/>
                <w:noProof/>
              </w:rPr>
              <w:t>8.4.</w:t>
            </w:r>
            <w:r w:rsidR="00702C40">
              <w:rPr>
                <w:rFonts w:asciiTheme="minorHAnsi" w:eastAsiaTheme="minorEastAsia" w:hAnsiTheme="minorHAnsi" w:cstheme="minorBidi"/>
                <w:noProof/>
                <w:lang w:eastAsia="en-AU"/>
              </w:rPr>
              <w:tab/>
            </w:r>
            <w:r w:rsidR="00702C40" w:rsidRPr="004418F5">
              <w:rPr>
                <w:rStyle w:val="Hyperlink"/>
                <w:noProof/>
              </w:rPr>
              <w:t>Laboratory tests</w:t>
            </w:r>
            <w:r w:rsidR="00702C40">
              <w:rPr>
                <w:noProof/>
                <w:webHidden/>
              </w:rPr>
              <w:tab/>
            </w:r>
            <w:r w:rsidR="00702C40">
              <w:rPr>
                <w:noProof/>
                <w:webHidden/>
              </w:rPr>
              <w:fldChar w:fldCharType="begin"/>
            </w:r>
            <w:r w:rsidR="00702C40">
              <w:rPr>
                <w:noProof/>
                <w:webHidden/>
              </w:rPr>
              <w:instrText xml:space="preserve"> PAGEREF _Toc490577154 \h </w:instrText>
            </w:r>
            <w:r w:rsidR="00702C40">
              <w:rPr>
                <w:noProof/>
                <w:webHidden/>
              </w:rPr>
            </w:r>
            <w:r w:rsidR="00702C40">
              <w:rPr>
                <w:noProof/>
                <w:webHidden/>
              </w:rPr>
              <w:fldChar w:fldCharType="separate"/>
            </w:r>
            <w:r w:rsidR="00145C75">
              <w:rPr>
                <w:noProof/>
                <w:webHidden/>
              </w:rPr>
              <w:t>38</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55" w:history="1">
            <w:r w:rsidR="00702C40" w:rsidRPr="004418F5">
              <w:rPr>
                <w:rStyle w:val="Hyperlink"/>
                <w:noProof/>
              </w:rPr>
              <w:t>8.5.</w:t>
            </w:r>
            <w:r w:rsidR="00702C40">
              <w:rPr>
                <w:rFonts w:asciiTheme="minorHAnsi" w:eastAsiaTheme="minorEastAsia" w:hAnsiTheme="minorHAnsi" w:cstheme="minorBidi"/>
                <w:noProof/>
                <w:lang w:eastAsia="en-AU"/>
              </w:rPr>
              <w:tab/>
            </w:r>
            <w:r w:rsidR="00702C40" w:rsidRPr="004418F5">
              <w:rPr>
                <w:rStyle w:val="Hyperlink"/>
                <w:noProof/>
              </w:rPr>
              <w:t>Phase I studies</w:t>
            </w:r>
            <w:r w:rsidR="00702C40">
              <w:rPr>
                <w:noProof/>
                <w:webHidden/>
              </w:rPr>
              <w:tab/>
            </w:r>
            <w:r w:rsidR="00702C40">
              <w:rPr>
                <w:noProof/>
                <w:webHidden/>
              </w:rPr>
              <w:fldChar w:fldCharType="begin"/>
            </w:r>
            <w:r w:rsidR="00702C40">
              <w:rPr>
                <w:noProof/>
                <w:webHidden/>
              </w:rPr>
              <w:instrText xml:space="preserve"> PAGEREF _Toc490577155 \h </w:instrText>
            </w:r>
            <w:r w:rsidR="00702C40">
              <w:rPr>
                <w:noProof/>
                <w:webHidden/>
              </w:rPr>
            </w:r>
            <w:r w:rsidR="00702C40">
              <w:rPr>
                <w:noProof/>
                <w:webHidden/>
              </w:rPr>
              <w:fldChar w:fldCharType="separate"/>
            </w:r>
            <w:r w:rsidR="00145C75">
              <w:rPr>
                <w:noProof/>
                <w:webHidden/>
              </w:rPr>
              <w:t>40</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56" w:history="1">
            <w:r w:rsidR="00702C40" w:rsidRPr="004418F5">
              <w:rPr>
                <w:rStyle w:val="Hyperlink"/>
                <w:noProof/>
              </w:rPr>
              <w:t>8.6.</w:t>
            </w:r>
            <w:r w:rsidR="00702C40">
              <w:rPr>
                <w:rFonts w:asciiTheme="minorHAnsi" w:eastAsiaTheme="minorEastAsia" w:hAnsiTheme="minorHAnsi" w:cstheme="minorBidi"/>
                <w:noProof/>
                <w:lang w:eastAsia="en-AU"/>
              </w:rPr>
              <w:tab/>
            </w:r>
            <w:r w:rsidR="00702C40" w:rsidRPr="004418F5">
              <w:rPr>
                <w:rStyle w:val="Hyperlink"/>
                <w:noProof/>
              </w:rPr>
              <w:t>Post-marketing experience</w:t>
            </w:r>
            <w:r w:rsidR="00702C40">
              <w:rPr>
                <w:noProof/>
                <w:webHidden/>
              </w:rPr>
              <w:tab/>
            </w:r>
            <w:r w:rsidR="00702C40">
              <w:rPr>
                <w:noProof/>
                <w:webHidden/>
              </w:rPr>
              <w:fldChar w:fldCharType="begin"/>
            </w:r>
            <w:r w:rsidR="00702C40">
              <w:rPr>
                <w:noProof/>
                <w:webHidden/>
              </w:rPr>
              <w:instrText xml:space="preserve"> PAGEREF _Toc490577156 \h </w:instrText>
            </w:r>
            <w:r w:rsidR="00702C40">
              <w:rPr>
                <w:noProof/>
                <w:webHidden/>
              </w:rPr>
            </w:r>
            <w:r w:rsidR="00702C40">
              <w:rPr>
                <w:noProof/>
                <w:webHidden/>
              </w:rPr>
              <w:fldChar w:fldCharType="separate"/>
            </w:r>
            <w:r w:rsidR="00145C75">
              <w:rPr>
                <w:noProof/>
                <w:webHidden/>
              </w:rPr>
              <w:t>42</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57" w:history="1">
            <w:r w:rsidR="00702C40" w:rsidRPr="004418F5">
              <w:rPr>
                <w:rStyle w:val="Hyperlink"/>
                <w:noProof/>
              </w:rPr>
              <w:t>8.7.</w:t>
            </w:r>
            <w:r w:rsidR="00702C40">
              <w:rPr>
                <w:rFonts w:asciiTheme="minorHAnsi" w:eastAsiaTheme="minorEastAsia" w:hAnsiTheme="minorHAnsi" w:cstheme="minorBidi"/>
                <w:noProof/>
                <w:lang w:eastAsia="en-AU"/>
              </w:rPr>
              <w:tab/>
            </w:r>
            <w:r w:rsidR="00702C40" w:rsidRPr="004418F5">
              <w:rPr>
                <w:rStyle w:val="Hyperlink"/>
                <w:noProof/>
              </w:rPr>
              <w:t>Safety issues with the potential for major regulatory impact</w:t>
            </w:r>
            <w:r w:rsidR="00702C40">
              <w:rPr>
                <w:noProof/>
                <w:webHidden/>
              </w:rPr>
              <w:tab/>
            </w:r>
            <w:r w:rsidR="00702C40">
              <w:rPr>
                <w:noProof/>
                <w:webHidden/>
              </w:rPr>
              <w:fldChar w:fldCharType="begin"/>
            </w:r>
            <w:r w:rsidR="00702C40">
              <w:rPr>
                <w:noProof/>
                <w:webHidden/>
              </w:rPr>
              <w:instrText xml:space="preserve"> PAGEREF _Toc490577157 \h </w:instrText>
            </w:r>
            <w:r w:rsidR="00702C40">
              <w:rPr>
                <w:noProof/>
                <w:webHidden/>
              </w:rPr>
            </w:r>
            <w:r w:rsidR="00702C40">
              <w:rPr>
                <w:noProof/>
                <w:webHidden/>
              </w:rPr>
              <w:fldChar w:fldCharType="separate"/>
            </w:r>
            <w:r w:rsidR="00145C75">
              <w:rPr>
                <w:noProof/>
                <w:webHidden/>
              </w:rPr>
              <w:t>43</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58" w:history="1">
            <w:r w:rsidR="00702C40" w:rsidRPr="004418F5">
              <w:rPr>
                <w:rStyle w:val="Hyperlink"/>
                <w:noProof/>
              </w:rPr>
              <w:t>8.8.</w:t>
            </w:r>
            <w:r w:rsidR="00702C40">
              <w:rPr>
                <w:rFonts w:asciiTheme="minorHAnsi" w:eastAsiaTheme="minorEastAsia" w:hAnsiTheme="minorHAnsi" w:cstheme="minorBidi"/>
                <w:noProof/>
                <w:lang w:eastAsia="en-AU"/>
              </w:rPr>
              <w:tab/>
            </w:r>
            <w:r w:rsidR="00702C40" w:rsidRPr="004418F5">
              <w:rPr>
                <w:rStyle w:val="Hyperlink"/>
                <w:noProof/>
              </w:rPr>
              <w:t>Safety in special populations</w:t>
            </w:r>
            <w:r w:rsidR="00702C40">
              <w:rPr>
                <w:noProof/>
                <w:webHidden/>
              </w:rPr>
              <w:tab/>
            </w:r>
            <w:r w:rsidR="00702C40">
              <w:rPr>
                <w:noProof/>
                <w:webHidden/>
              </w:rPr>
              <w:fldChar w:fldCharType="begin"/>
            </w:r>
            <w:r w:rsidR="00702C40">
              <w:rPr>
                <w:noProof/>
                <w:webHidden/>
              </w:rPr>
              <w:instrText xml:space="preserve"> PAGEREF _Toc490577158 \h </w:instrText>
            </w:r>
            <w:r w:rsidR="00702C40">
              <w:rPr>
                <w:noProof/>
                <w:webHidden/>
              </w:rPr>
            </w:r>
            <w:r w:rsidR="00702C40">
              <w:rPr>
                <w:noProof/>
                <w:webHidden/>
              </w:rPr>
              <w:fldChar w:fldCharType="separate"/>
            </w:r>
            <w:r w:rsidR="00145C75">
              <w:rPr>
                <w:noProof/>
                <w:webHidden/>
              </w:rPr>
              <w:t>44</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59" w:history="1">
            <w:r w:rsidR="00702C40" w:rsidRPr="004418F5">
              <w:rPr>
                <w:rStyle w:val="Hyperlink"/>
                <w:noProof/>
              </w:rPr>
              <w:t>8.9.</w:t>
            </w:r>
            <w:r w:rsidR="00702C40">
              <w:rPr>
                <w:rFonts w:asciiTheme="minorHAnsi" w:eastAsiaTheme="minorEastAsia" w:hAnsiTheme="minorHAnsi" w:cstheme="minorBidi"/>
                <w:noProof/>
                <w:lang w:eastAsia="en-AU"/>
              </w:rPr>
              <w:tab/>
            </w:r>
            <w:r w:rsidR="00702C40" w:rsidRPr="004418F5">
              <w:rPr>
                <w:rStyle w:val="Hyperlink"/>
                <w:noProof/>
              </w:rPr>
              <w:t>Evaluator’s overall conclusions on clinical safety</w:t>
            </w:r>
            <w:r w:rsidR="00702C40">
              <w:rPr>
                <w:noProof/>
                <w:webHidden/>
              </w:rPr>
              <w:tab/>
            </w:r>
            <w:r w:rsidR="00702C40">
              <w:rPr>
                <w:noProof/>
                <w:webHidden/>
              </w:rPr>
              <w:fldChar w:fldCharType="begin"/>
            </w:r>
            <w:r w:rsidR="00702C40">
              <w:rPr>
                <w:noProof/>
                <w:webHidden/>
              </w:rPr>
              <w:instrText xml:space="preserve"> PAGEREF _Toc490577159 \h </w:instrText>
            </w:r>
            <w:r w:rsidR="00702C40">
              <w:rPr>
                <w:noProof/>
                <w:webHidden/>
              </w:rPr>
            </w:r>
            <w:r w:rsidR="00702C40">
              <w:rPr>
                <w:noProof/>
                <w:webHidden/>
              </w:rPr>
              <w:fldChar w:fldCharType="separate"/>
            </w:r>
            <w:r w:rsidR="00145C75">
              <w:rPr>
                <w:noProof/>
                <w:webHidden/>
              </w:rPr>
              <w:t>44</w:t>
            </w:r>
            <w:r w:rsidR="00702C40">
              <w:rPr>
                <w:noProof/>
                <w:webHidden/>
              </w:rPr>
              <w:fldChar w:fldCharType="end"/>
            </w:r>
          </w:hyperlink>
        </w:p>
        <w:p w:rsidR="00702C40" w:rsidRDefault="00584489">
          <w:pPr>
            <w:pStyle w:val="TOC2"/>
            <w:tabs>
              <w:tab w:val="left" w:pos="1247"/>
            </w:tabs>
            <w:rPr>
              <w:rFonts w:asciiTheme="minorHAnsi" w:eastAsiaTheme="minorEastAsia" w:hAnsiTheme="minorHAnsi" w:cstheme="minorBidi"/>
              <w:b w:val="0"/>
              <w:noProof/>
              <w:sz w:val="22"/>
              <w:lang w:eastAsia="en-AU"/>
            </w:rPr>
          </w:pPr>
          <w:hyperlink w:anchor="_Toc490577160" w:history="1">
            <w:r w:rsidR="00702C40" w:rsidRPr="004418F5">
              <w:rPr>
                <w:rStyle w:val="Hyperlink"/>
                <w:noProof/>
              </w:rPr>
              <w:t>9.</w:t>
            </w:r>
            <w:r w:rsidR="00702C40">
              <w:rPr>
                <w:rFonts w:asciiTheme="minorHAnsi" w:eastAsiaTheme="minorEastAsia" w:hAnsiTheme="minorHAnsi" w:cstheme="minorBidi"/>
                <w:b w:val="0"/>
                <w:noProof/>
                <w:sz w:val="22"/>
                <w:lang w:eastAsia="en-AU"/>
              </w:rPr>
              <w:tab/>
            </w:r>
            <w:r w:rsidR="00702C40" w:rsidRPr="004418F5">
              <w:rPr>
                <w:rStyle w:val="Hyperlink"/>
                <w:noProof/>
              </w:rPr>
              <w:t>First round benefit-risk assessment</w:t>
            </w:r>
            <w:r w:rsidR="00702C40">
              <w:rPr>
                <w:noProof/>
                <w:webHidden/>
              </w:rPr>
              <w:tab/>
            </w:r>
            <w:r w:rsidR="00702C40">
              <w:rPr>
                <w:noProof/>
                <w:webHidden/>
              </w:rPr>
              <w:fldChar w:fldCharType="begin"/>
            </w:r>
            <w:r w:rsidR="00702C40">
              <w:rPr>
                <w:noProof/>
                <w:webHidden/>
              </w:rPr>
              <w:instrText xml:space="preserve"> PAGEREF _Toc490577160 \h </w:instrText>
            </w:r>
            <w:r w:rsidR="00702C40">
              <w:rPr>
                <w:noProof/>
                <w:webHidden/>
              </w:rPr>
            </w:r>
            <w:r w:rsidR="00702C40">
              <w:rPr>
                <w:noProof/>
                <w:webHidden/>
              </w:rPr>
              <w:fldChar w:fldCharType="separate"/>
            </w:r>
            <w:r w:rsidR="00145C75">
              <w:rPr>
                <w:noProof/>
                <w:webHidden/>
              </w:rPr>
              <w:t>44</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61" w:history="1">
            <w:r w:rsidR="00702C40" w:rsidRPr="004418F5">
              <w:rPr>
                <w:rStyle w:val="Hyperlink"/>
                <w:noProof/>
              </w:rPr>
              <w:t>9.1.</w:t>
            </w:r>
            <w:r w:rsidR="00702C40">
              <w:rPr>
                <w:rFonts w:asciiTheme="minorHAnsi" w:eastAsiaTheme="minorEastAsia" w:hAnsiTheme="minorHAnsi" w:cstheme="minorBidi"/>
                <w:noProof/>
                <w:lang w:eastAsia="en-AU"/>
              </w:rPr>
              <w:tab/>
            </w:r>
            <w:r w:rsidR="00702C40" w:rsidRPr="004418F5">
              <w:rPr>
                <w:rStyle w:val="Hyperlink"/>
                <w:noProof/>
              </w:rPr>
              <w:t>First round assessment of benefits</w:t>
            </w:r>
            <w:r w:rsidR="00702C40">
              <w:rPr>
                <w:noProof/>
                <w:webHidden/>
              </w:rPr>
              <w:tab/>
            </w:r>
            <w:r w:rsidR="00702C40">
              <w:rPr>
                <w:noProof/>
                <w:webHidden/>
              </w:rPr>
              <w:fldChar w:fldCharType="begin"/>
            </w:r>
            <w:r w:rsidR="00702C40">
              <w:rPr>
                <w:noProof/>
                <w:webHidden/>
              </w:rPr>
              <w:instrText xml:space="preserve"> PAGEREF _Toc490577161 \h </w:instrText>
            </w:r>
            <w:r w:rsidR="00702C40">
              <w:rPr>
                <w:noProof/>
                <w:webHidden/>
              </w:rPr>
            </w:r>
            <w:r w:rsidR="00702C40">
              <w:rPr>
                <w:noProof/>
                <w:webHidden/>
              </w:rPr>
              <w:fldChar w:fldCharType="separate"/>
            </w:r>
            <w:r w:rsidR="00145C75">
              <w:rPr>
                <w:noProof/>
                <w:webHidden/>
              </w:rPr>
              <w:t>44</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62" w:history="1">
            <w:r w:rsidR="00702C40" w:rsidRPr="004418F5">
              <w:rPr>
                <w:rStyle w:val="Hyperlink"/>
                <w:noProof/>
              </w:rPr>
              <w:t>9.2.</w:t>
            </w:r>
            <w:r w:rsidR="00702C40">
              <w:rPr>
                <w:rFonts w:asciiTheme="minorHAnsi" w:eastAsiaTheme="minorEastAsia" w:hAnsiTheme="minorHAnsi" w:cstheme="minorBidi"/>
                <w:noProof/>
                <w:lang w:eastAsia="en-AU"/>
              </w:rPr>
              <w:tab/>
            </w:r>
            <w:r w:rsidR="00702C40" w:rsidRPr="004418F5">
              <w:rPr>
                <w:rStyle w:val="Hyperlink"/>
                <w:noProof/>
              </w:rPr>
              <w:t>First round assessment of risks</w:t>
            </w:r>
            <w:r w:rsidR="00702C40">
              <w:rPr>
                <w:noProof/>
                <w:webHidden/>
              </w:rPr>
              <w:tab/>
            </w:r>
            <w:r w:rsidR="00702C40">
              <w:rPr>
                <w:noProof/>
                <w:webHidden/>
              </w:rPr>
              <w:fldChar w:fldCharType="begin"/>
            </w:r>
            <w:r w:rsidR="00702C40">
              <w:rPr>
                <w:noProof/>
                <w:webHidden/>
              </w:rPr>
              <w:instrText xml:space="preserve"> PAGEREF _Toc490577162 \h </w:instrText>
            </w:r>
            <w:r w:rsidR="00702C40">
              <w:rPr>
                <w:noProof/>
                <w:webHidden/>
              </w:rPr>
            </w:r>
            <w:r w:rsidR="00702C40">
              <w:rPr>
                <w:noProof/>
                <w:webHidden/>
              </w:rPr>
              <w:fldChar w:fldCharType="separate"/>
            </w:r>
            <w:r w:rsidR="00145C75">
              <w:rPr>
                <w:noProof/>
                <w:webHidden/>
              </w:rPr>
              <w:t>45</w:t>
            </w:r>
            <w:r w:rsidR="00702C40">
              <w:rPr>
                <w:noProof/>
                <w:webHidden/>
              </w:rPr>
              <w:fldChar w:fldCharType="end"/>
            </w:r>
          </w:hyperlink>
        </w:p>
        <w:p w:rsidR="00702C40" w:rsidRDefault="00584489">
          <w:pPr>
            <w:pStyle w:val="TOC3"/>
            <w:tabs>
              <w:tab w:val="left" w:pos="1575"/>
            </w:tabs>
            <w:rPr>
              <w:rFonts w:asciiTheme="minorHAnsi" w:eastAsiaTheme="minorEastAsia" w:hAnsiTheme="minorHAnsi" w:cstheme="minorBidi"/>
              <w:noProof/>
              <w:lang w:eastAsia="en-AU"/>
            </w:rPr>
          </w:pPr>
          <w:hyperlink w:anchor="_Toc490577163" w:history="1">
            <w:r w:rsidR="00702C40" w:rsidRPr="004418F5">
              <w:rPr>
                <w:rStyle w:val="Hyperlink"/>
                <w:noProof/>
              </w:rPr>
              <w:t>9.3.</w:t>
            </w:r>
            <w:r w:rsidR="00702C40">
              <w:rPr>
                <w:rFonts w:asciiTheme="minorHAnsi" w:eastAsiaTheme="minorEastAsia" w:hAnsiTheme="minorHAnsi" w:cstheme="minorBidi"/>
                <w:noProof/>
                <w:lang w:eastAsia="en-AU"/>
              </w:rPr>
              <w:tab/>
            </w:r>
            <w:r w:rsidR="00702C40" w:rsidRPr="004418F5">
              <w:rPr>
                <w:rStyle w:val="Hyperlink"/>
                <w:noProof/>
              </w:rPr>
              <w:t>First round assessment of benefit-risk balance</w:t>
            </w:r>
            <w:r w:rsidR="00702C40">
              <w:rPr>
                <w:noProof/>
                <w:webHidden/>
              </w:rPr>
              <w:tab/>
            </w:r>
            <w:r w:rsidR="00702C40">
              <w:rPr>
                <w:noProof/>
                <w:webHidden/>
              </w:rPr>
              <w:fldChar w:fldCharType="begin"/>
            </w:r>
            <w:r w:rsidR="00702C40">
              <w:rPr>
                <w:noProof/>
                <w:webHidden/>
              </w:rPr>
              <w:instrText xml:space="preserve"> PAGEREF _Toc490577163 \h </w:instrText>
            </w:r>
            <w:r w:rsidR="00702C40">
              <w:rPr>
                <w:noProof/>
                <w:webHidden/>
              </w:rPr>
            </w:r>
            <w:r w:rsidR="00702C40">
              <w:rPr>
                <w:noProof/>
                <w:webHidden/>
              </w:rPr>
              <w:fldChar w:fldCharType="separate"/>
            </w:r>
            <w:r w:rsidR="00145C75">
              <w:rPr>
                <w:noProof/>
                <w:webHidden/>
              </w:rPr>
              <w:t>45</w:t>
            </w:r>
            <w:r w:rsidR="00702C40">
              <w:rPr>
                <w:noProof/>
                <w:webHidden/>
              </w:rPr>
              <w:fldChar w:fldCharType="end"/>
            </w:r>
          </w:hyperlink>
        </w:p>
        <w:p w:rsidR="00702C40" w:rsidRDefault="00584489">
          <w:pPr>
            <w:pStyle w:val="TOC2"/>
            <w:tabs>
              <w:tab w:val="left" w:pos="1247"/>
            </w:tabs>
            <w:rPr>
              <w:rFonts w:asciiTheme="minorHAnsi" w:eastAsiaTheme="minorEastAsia" w:hAnsiTheme="minorHAnsi" w:cstheme="minorBidi"/>
              <w:b w:val="0"/>
              <w:noProof/>
              <w:sz w:val="22"/>
              <w:lang w:eastAsia="en-AU"/>
            </w:rPr>
          </w:pPr>
          <w:hyperlink w:anchor="_Toc490577164" w:history="1">
            <w:r w:rsidR="00702C40" w:rsidRPr="004418F5">
              <w:rPr>
                <w:rStyle w:val="Hyperlink"/>
                <w:noProof/>
              </w:rPr>
              <w:t>10.</w:t>
            </w:r>
            <w:r w:rsidR="00702C40">
              <w:rPr>
                <w:rFonts w:asciiTheme="minorHAnsi" w:eastAsiaTheme="minorEastAsia" w:hAnsiTheme="minorHAnsi" w:cstheme="minorBidi"/>
                <w:b w:val="0"/>
                <w:noProof/>
                <w:sz w:val="22"/>
                <w:lang w:eastAsia="en-AU"/>
              </w:rPr>
              <w:tab/>
            </w:r>
            <w:r w:rsidR="00702C40" w:rsidRPr="004418F5">
              <w:rPr>
                <w:rStyle w:val="Hyperlink"/>
                <w:noProof/>
              </w:rPr>
              <w:t>First round recommendation regarding authorisation</w:t>
            </w:r>
            <w:r w:rsidR="00702C40">
              <w:rPr>
                <w:noProof/>
                <w:webHidden/>
              </w:rPr>
              <w:tab/>
            </w:r>
            <w:r w:rsidR="00702C40">
              <w:rPr>
                <w:noProof/>
                <w:webHidden/>
              </w:rPr>
              <w:fldChar w:fldCharType="begin"/>
            </w:r>
            <w:r w:rsidR="00702C40">
              <w:rPr>
                <w:noProof/>
                <w:webHidden/>
              </w:rPr>
              <w:instrText xml:space="preserve"> PAGEREF _Toc490577164 \h </w:instrText>
            </w:r>
            <w:r w:rsidR="00702C40">
              <w:rPr>
                <w:noProof/>
                <w:webHidden/>
              </w:rPr>
            </w:r>
            <w:r w:rsidR="00702C40">
              <w:rPr>
                <w:noProof/>
                <w:webHidden/>
              </w:rPr>
              <w:fldChar w:fldCharType="separate"/>
            </w:r>
            <w:r w:rsidR="00145C75">
              <w:rPr>
                <w:noProof/>
                <w:webHidden/>
              </w:rPr>
              <w:t>45</w:t>
            </w:r>
            <w:r w:rsidR="00702C40">
              <w:rPr>
                <w:noProof/>
                <w:webHidden/>
              </w:rPr>
              <w:fldChar w:fldCharType="end"/>
            </w:r>
          </w:hyperlink>
        </w:p>
        <w:p w:rsidR="00702C40" w:rsidRDefault="00584489">
          <w:pPr>
            <w:pStyle w:val="TOC2"/>
            <w:tabs>
              <w:tab w:val="left" w:pos="1247"/>
            </w:tabs>
            <w:rPr>
              <w:rFonts w:asciiTheme="minorHAnsi" w:eastAsiaTheme="minorEastAsia" w:hAnsiTheme="minorHAnsi" w:cstheme="minorBidi"/>
              <w:b w:val="0"/>
              <w:noProof/>
              <w:sz w:val="22"/>
              <w:lang w:eastAsia="en-AU"/>
            </w:rPr>
          </w:pPr>
          <w:hyperlink w:anchor="_Toc490577165" w:history="1">
            <w:r w:rsidR="00702C40" w:rsidRPr="004418F5">
              <w:rPr>
                <w:rStyle w:val="Hyperlink"/>
                <w:noProof/>
              </w:rPr>
              <w:t>11.</w:t>
            </w:r>
            <w:r w:rsidR="00702C40">
              <w:rPr>
                <w:rFonts w:asciiTheme="minorHAnsi" w:eastAsiaTheme="minorEastAsia" w:hAnsiTheme="minorHAnsi" w:cstheme="minorBidi"/>
                <w:b w:val="0"/>
                <w:noProof/>
                <w:sz w:val="22"/>
                <w:lang w:eastAsia="en-AU"/>
              </w:rPr>
              <w:tab/>
            </w:r>
            <w:r w:rsidR="00702C40" w:rsidRPr="004418F5">
              <w:rPr>
                <w:rStyle w:val="Hyperlink"/>
                <w:noProof/>
              </w:rPr>
              <w:t>Clinical questions</w:t>
            </w:r>
            <w:r w:rsidR="00702C40">
              <w:rPr>
                <w:noProof/>
                <w:webHidden/>
              </w:rPr>
              <w:tab/>
            </w:r>
            <w:r w:rsidR="00702C40">
              <w:rPr>
                <w:noProof/>
                <w:webHidden/>
              </w:rPr>
              <w:fldChar w:fldCharType="begin"/>
            </w:r>
            <w:r w:rsidR="00702C40">
              <w:rPr>
                <w:noProof/>
                <w:webHidden/>
              </w:rPr>
              <w:instrText xml:space="preserve"> PAGEREF _Toc490577165 \h </w:instrText>
            </w:r>
            <w:r w:rsidR="00702C40">
              <w:rPr>
                <w:noProof/>
                <w:webHidden/>
              </w:rPr>
            </w:r>
            <w:r w:rsidR="00702C40">
              <w:rPr>
                <w:noProof/>
                <w:webHidden/>
              </w:rPr>
              <w:fldChar w:fldCharType="separate"/>
            </w:r>
            <w:r w:rsidR="00145C75">
              <w:rPr>
                <w:noProof/>
                <w:webHidden/>
              </w:rPr>
              <w:t>45</w:t>
            </w:r>
            <w:r w:rsidR="00702C40">
              <w:rPr>
                <w:noProof/>
                <w:webHidden/>
              </w:rPr>
              <w:fldChar w:fldCharType="end"/>
            </w:r>
          </w:hyperlink>
        </w:p>
        <w:p w:rsidR="00702C40" w:rsidRDefault="00584489">
          <w:pPr>
            <w:pStyle w:val="TOC2"/>
            <w:tabs>
              <w:tab w:val="left" w:pos="1247"/>
            </w:tabs>
            <w:rPr>
              <w:rFonts w:asciiTheme="minorHAnsi" w:eastAsiaTheme="minorEastAsia" w:hAnsiTheme="minorHAnsi" w:cstheme="minorBidi"/>
              <w:b w:val="0"/>
              <w:noProof/>
              <w:sz w:val="22"/>
              <w:lang w:eastAsia="en-AU"/>
            </w:rPr>
          </w:pPr>
          <w:hyperlink w:anchor="_Toc490577166" w:history="1">
            <w:r w:rsidR="00702C40" w:rsidRPr="004418F5">
              <w:rPr>
                <w:rStyle w:val="Hyperlink"/>
                <w:noProof/>
              </w:rPr>
              <w:t>12.</w:t>
            </w:r>
            <w:r w:rsidR="00702C40">
              <w:rPr>
                <w:rFonts w:asciiTheme="minorHAnsi" w:eastAsiaTheme="minorEastAsia" w:hAnsiTheme="minorHAnsi" w:cstheme="minorBidi"/>
                <w:b w:val="0"/>
                <w:noProof/>
                <w:sz w:val="22"/>
                <w:lang w:eastAsia="en-AU"/>
              </w:rPr>
              <w:tab/>
            </w:r>
            <w:r w:rsidR="00702C40" w:rsidRPr="004418F5">
              <w:rPr>
                <w:rStyle w:val="Hyperlink"/>
                <w:noProof/>
              </w:rPr>
              <w:t>Second round evaluation of clinical data</w:t>
            </w:r>
            <w:r w:rsidR="00702C40">
              <w:rPr>
                <w:noProof/>
                <w:webHidden/>
              </w:rPr>
              <w:tab/>
            </w:r>
            <w:r w:rsidR="00702C40">
              <w:rPr>
                <w:noProof/>
                <w:webHidden/>
              </w:rPr>
              <w:fldChar w:fldCharType="begin"/>
            </w:r>
            <w:r w:rsidR="00702C40">
              <w:rPr>
                <w:noProof/>
                <w:webHidden/>
              </w:rPr>
              <w:instrText xml:space="preserve"> PAGEREF _Toc490577166 \h </w:instrText>
            </w:r>
            <w:r w:rsidR="00702C40">
              <w:rPr>
                <w:noProof/>
                <w:webHidden/>
              </w:rPr>
            </w:r>
            <w:r w:rsidR="00702C40">
              <w:rPr>
                <w:noProof/>
                <w:webHidden/>
              </w:rPr>
              <w:fldChar w:fldCharType="separate"/>
            </w:r>
            <w:r w:rsidR="00145C75">
              <w:rPr>
                <w:noProof/>
                <w:webHidden/>
              </w:rPr>
              <w:t>45</w:t>
            </w:r>
            <w:r w:rsidR="00702C40">
              <w:rPr>
                <w:noProof/>
                <w:webHidden/>
              </w:rPr>
              <w:fldChar w:fldCharType="end"/>
            </w:r>
          </w:hyperlink>
        </w:p>
        <w:p w:rsidR="00702C40" w:rsidRDefault="00584489">
          <w:pPr>
            <w:pStyle w:val="TOC2"/>
            <w:tabs>
              <w:tab w:val="left" w:pos="1247"/>
            </w:tabs>
            <w:rPr>
              <w:rFonts w:asciiTheme="minorHAnsi" w:eastAsiaTheme="minorEastAsia" w:hAnsiTheme="minorHAnsi" w:cstheme="minorBidi"/>
              <w:b w:val="0"/>
              <w:noProof/>
              <w:sz w:val="22"/>
              <w:lang w:eastAsia="en-AU"/>
            </w:rPr>
          </w:pPr>
          <w:hyperlink w:anchor="_Toc490577167" w:history="1">
            <w:r w:rsidR="00702C40" w:rsidRPr="004418F5">
              <w:rPr>
                <w:rStyle w:val="Hyperlink"/>
                <w:noProof/>
              </w:rPr>
              <w:t>13.</w:t>
            </w:r>
            <w:r w:rsidR="00702C40">
              <w:rPr>
                <w:rFonts w:asciiTheme="minorHAnsi" w:eastAsiaTheme="minorEastAsia" w:hAnsiTheme="minorHAnsi" w:cstheme="minorBidi"/>
                <w:b w:val="0"/>
                <w:noProof/>
                <w:sz w:val="22"/>
                <w:lang w:eastAsia="en-AU"/>
              </w:rPr>
              <w:tab/>
            </w:r>
            <w:r w:rsidR="00702C40" w:rsidRPr="004418F5">
              <w:rPr>
                <w:rStyle w:val="Hyperlink"/>
                <w:noProof/>
              </w:rPr>
              <w:t>Second round benefit-risk assessment</w:t>
            </w:r>
            <w:r w:rsidR="00702C40">
              <w:rPr>
                <w:noProof/>
                <w:webHidden/>
              </w:rPr>
              <w:tab/>
            </w:r>
            <w:r w:rsidR="00702C40">
              <w:rPr>
                <w:noProof/>
                <w:webHidden/>
              </w:rPr>
              <w:fldChar w:fldCharType="begin"/>
            </w:r>
            <w:r w:rsidR="00702C40">
              <w:rPr>
                <w:noProof/>
                <w:webHidden/>
              </w:rPr>
              <w:instrText xml:space="preserve"> PAGEREF _Toc490577167 \h </w:instrText>
            </w:r>
            <w:r w:rsidR="00702C40">
              <w:rPr>
                <w:noProof/>
                <w:webHidden/>
              </w:rPr>
            </w:r>
            <w:r w:rsidR="00702C40">
              <w:rPr>
                <w:noProof/>
                <w:webHidden/>
              </w:rPr>
              <w:fldChar w:fldCharType="separate"/>
            </w:r>
            <w:r w:rsidR="00145C75">
              <w:rPr>
                <w:noProof/>
                <w:webHidden/>
              </w:rPr>
              <w:t>45</w:t>
            </w:r>
            <w:r w:rsidR="00702C40">
              <w:rPr>
                <w:noProof/>
                <w:webHidden/>
              </w:rPr>
              <w:fldChar w:fldCharType="end"/>
            </w:r>
          </w:hyperlink>
        </w:p>
        <w:p w:rsidR="00702C40" w:rsidRDefault="00584489">
          <w:pPr>
            <w:pStyle w:val="TOC3"/>
            <w:tabs>
              <w:tab w:val="left" w:pos="1697"/>
            </w:tabs>
            <w:rPr>
              <w:rFonts w:asciiTheme="minorHAnsi" w:eastAsiaTheme="minorEastAsia" w:hAnsiTheme="minorHAnsi" w:cstheme="minorBidi"/>
              <w:noProof/>
              <w:lang w:eastAsia="en-AU"/>
            </w:rPr>
          </w:pPr>
          <w:hyperlink w:anchor="_Toc490577168" w:history="1">
            <w:r w:rsidR="00702C40" w:rsidRPr="004418F5">
              <w:rPr>
                <w:rStyle w:val="Hyperlink"/>
                <w:noProof/>
              </w:rPr>
              <w:t>13.1.</w:t>
            </w:r>
            <w:r w:rsidR="00702C40">
              <w:rPr>
                <w:rFonts w:asciiTheme="minorHAnsi" w:eastAsiaTheme="minorEastAsia" w:hAnsiTheme="minorHAnsi" w:cstheme="minorBidi"/>
                <w:noProof/>
                <w:lang w:eastAsia="en-AU"/>
              </w:rPr>
              <w:tab/>
            </w:r>
            <w:r w:rsidR="00702C40" w:rsidRPr="004418F5">
              <w:rPr>
                <w:rStyle w:val="Hyperlink"/>
                <w:noProof/>
              </w:rPr>
              <w:t>Second round assessment of benefits</w:t>
            </w:r>
            <w:r w:rsidR="00702C40">
              <w:rPr>
                <w:noProof/>
                <w:webHidden/>
              </w:rPr>
              <w:tab/>
            </w:r>
            <w:r w:rsidR="00702C40">
              <w:rPr>
                <w:noProof/>
                <w:webHidden/>
              </w:rPr>
              <w:fldChar w:fldCharType="begin"/>
            </w:r>
            <w:r w:rsidR="00702C40">
              <w:rPr>
                <w:noProof/>
                <w:webHidden/>
              </w:rPr>
              <w:instrText xml:space="preserve"> PAGEREF _Toc490577168 \h </w:instrText>
            </w:r>
            <w:r w:rsidR="00702C40">
              <w:rPr>
                <w:noProof/>
                <w:webHidden/>
              </w:rPr>
            </w:r>
            <w:r w:rsidR="00702C40">
              <w:rPr>
                <w:noProof/>
                <w:webHidden/>
              </w:rPr>
              <w:fldChar w:fldCharType="separate"/>
            </w:r>
            <w:r w:rsidR="00145C75">
              <w:rPr>
                <w:noProof/>
                <w:webHidden/>
              </w:rPr>
              <w:t>45</w:t>
            </w:r>
            <w:r w:rsidR="00702C40">
              <w:rPr>
                <w:noProof/>
                <w:webHidden/>
              </w:rPr>
              <w:fldChar w:fldCharType="end"/>
            </w:r>
          </w:hyperlink>
        </w:p>
        <w:p w:rsidR="00702C40" w:rsidRDefault="00584489">
          <w:pPr>
            <w:pStyle w:val="TOC3"/>
            <w:tabs>
              <w:tab w:val="left" w:pos="1697"/>
            </w:tabs>
            <w:rPr>
              <w:rFonts w:asciiTheme="minorHAnsi" w:eastAsiaTheme="minorEastAsia" w:hAnsiTheme="minorHAnsi" w:cstheme="minorBidi"/>
              <w:noProof/>
              <w:lang w:eastAsia="en-AU"/>
            </w:rPr>
          </w:pPr>
          <w:hyperlink w:anchor="_Toc490577169" w:history="1">
            <w:r w:rsidR="00702C40" w:rsidRPr="004418F5">
              <w:rPr>
                <w:rStyle w:val="Hyperlink"/>
                <w:noProof/>
              </w:rPr>
              <w:t>13.2.</w:t>
            </w:r>
            <w:r w:rsidR="00702C40">
              <w:rPr>
                <w:rFonts w:asciiTheme="minorHAnsi" w:eastAsiaTheme="minorEastAsia" w:hAnsiTheme="minorHAnsi" w:cstheme="minorBidi"/>
                <w:noProof/>
                <w:lang w:eastAsia="en-AU"/>
              </w:rPr>
              <w:tab/>
            </w:r>
            <w:r w:rsidR="00702C40" w:rsidRPr="004418F5">
              <w:rPr>
                <w:rStyle w:val="Hyperlink"/>
                <w:noProof/>
              </w:rPr>
              <w:t>Second round assessment of risks</w:t>
            </w:r>
            <w:r w:rsidR="00702C40">
              <w:rPr>
                <w:noProof/>
                <w:webHidden/>
              </w:rPr>
              <w:tab/>
            </w:r>
            <w:r w:rsidR="00702C40">
              <w:rPr>
                <w:noProof/>
                <w:webHidden/>
              </w:rPr>
              <w:fldChar w:fldCharType="begin"/>
            </w:r>
            <w:r w:rsidR="00702C40">
              <w:rPr>
                <w:noProof/>
                <w:webHidden/>
              </w:rPr>
              <w:instrText xml:space="preserve"> PAGEREF _Toc490577169 \h </w:instrText>
            </w:r>
            <w:r w:rsidR="00702C40">
              <w:rPr>
                <w:noProof/>
                <w:webHidden/>
              </w:rPr>
            </w:r>
            <w:r w:rsidR="00702C40">
              <w:rPr>
                <w:noProof/>
                <w:webHidden/>
              </w:rPr>
              <w:fldChar w:fldCharType="separate"/>
            </w:r>
            <w:r w:rsidR="00145C75">
              <w:rPr>
                <w:noProof/>
                <w:webHidden/>
              </w:rPr>
              <w:t>45</w:t>
            </w:r>
            <w:r w:rsidR="00702C40">
              <w:rPr>
                <w:noProof/>
                <w:webHidden/>
              </w:rPr>
              <w:fldChar w:fldCharType="end"/>
            </w:r>
          </w:hyperlink>
        </w:p>
        <w:p w:rsidR="00702C40" w:rsidRDefault="00584489">
          <w:pPr>
            <w:pStyle w:val="TOC3"/>
            <w:tabs>
              <w:tab w:val="left" w:pos="1697"/>
            </w:tabs>
            <w:rPr>
              <w:rFonts w:asciiTheme="minorHAnsi" w:eastAsiaTheme="minorEastAsia" w:hAnsiTheme="minorHAnsi" w:cstheme="minorBidi"/>
              <w:noProof/>
              <w:lang w:eastAsia="en-AU"/>
            </w:rPr>
          </w:pPr>
          <w:hyperlink w:anchor="_Toc490577170" w:history="1">
            <w:r w:rsidR="00702C40" w:rsidRPr="004418F5">
              <w:rPr>
                <w:rStyle w:val="Hyperlink"/>
                <w:noProof/>
              </w:rPr>
              <w:t>13.3.</w:t>
            </w:r>
            <w:r w:rsidR="00702C40">
              <w:rPr>
                <w:rFonts w:asciiTheme="minorHAnsi" w:eastAsiaTheme="minorEastAsia" w:hAnsiTheme="minorHAnsi" w:cstheme="minorBidi"/>
                <w:noProof/>
                <w:lang w:eastAsia="en-AU"/>
              </w:rPr>
              <w:tab/>
            </w:r>
            <w:r w:rsidR="00702C40" w:rsidRPr="004418F5">
              <w:rPr>
                <w:rStyle w:val="Hyperlink"/>
                <w:noProof/>
              </w:rPr>
              <w:t>Second round assessment of benefit-risk balance</w:t>
            </w:r>
            <w:r w:rsidR="00702C40">
              <w:rPr>
                <w:noProof/>
                <w:webHidden/>
              </w:rPr>
              <w:tab/>
            </w:r>
            <w:r w:rsidR="00702C40">
              <w:rPr>
                <w:noProof/>
                <w:webHidden/>
              </w:rPr>
              <w:fldChar w:fldCharType="begin"/>
            </w:r>
            <w:r w:rsidR="00702C40">
              <w:rPr>
                <w:noProof/>
                <w:webHidden/>
              </w:rPr>
              <w:instrText xml:space="preserve"> PAGEREF _Toc490577170 \h </w:instrText>
            </w:r>
            <w:r w:rsidR="00702C40">
              <w:rPr>
                <w:noProof/>
                <w:webHidden/>
              </w:rPr>
            </w:r>
            <w:r w:rsidR="00702C40">
              <w:rPr>
                <w:noProof/>
                <w:webHidden/>
              </w:rPr>
              <w:fldChar w:fldCharType="separate"/>
            </w:r>
            <w:r w:rsidR="00145C75">
              <w:rPr>
                <w:noProof/>
                <w:webHidden/>
              </w:rPr>
              <w:t>45</w:t>
            </w:r>
            <w:r w:rsidR="00702C40">
              <w:rPr>
                <w:noProof/>
                <w:webHidden/>
              </w:rPr>
              <w:fldChar w:fldCharType="end"/>
            </w:r>
          </w:hyperlink>
        </w:p>
        <w:p w:rsidR="00702C40" w:rsidRDefault="00584489">
          <w:pPr>
            <w:pStyle w:val="TOC2"/>
            <w:tabs>
              <w:tab w:val="left" w:pos="1247"/>
            </w:tabs>
            <w:rPr>
              <w:rFonts w:asciiTheme="minorHAnsi" w:eastAsiaTheme="minorEastAsia" w:hAnsiTheme="minorHAnsi" w:cstheme="minorBidi"/>
              <w:b w:val="0"/>
              <w:noProof/>
              <w:sz w:val="22"/>
              <w:lang w:eastAsia="en-AU"/>
            </w:rPr>
          </w:pPr>
          <w:hyperlink w:anchor="_Toc490577171" w:history="1">
            <w:r w:rsidR="00702C40" w:rsidRPr="004418F5">
              <w:rPr>
                <w:rStyle w:val="Hyperlink"/>
                <w:noProof/>
              </w:rPr>
              <w:t>14.</w:t>
            </w:r>
            <w:r w:rsidR="00702C40">
              <w:rPr>
                <w:rFonts w:asciiTheme="minorHAnsi" w:eastAsiaTheme="minorEastAsia" w:hAnsiTheme="minorHAnsi" w:cstheme="minorBidi"/>
                <w:b w:val="0"/>
                <w:noProof/>
                <w:sz w:val="22"/>
                <w:lang w:eastAsia="en-AU"/>
              </w:rPr>
              <w:tab/>
            </w:r>
            <w:r w:rsidR="00702C40" w:rsidRPr="004418F5">
              <w:rPr>
                <w:rStyle w:val="Hyperlink"/>
                <w:noProof/>
              </w:rPr>
              <w:t>Second round recommendation regarding authorisation</w:t>
            </w:r>
            <w:r w:rsidR="00702C40">
              <w:rPr>
                <w:noProof/>
                <w:webHidden/>
              </w:rPr>
              <w:tab/>
            </w:r>
            <w:r w:rsidR="00702C40">
              <w:rPr>
                <w:noProof/>
                <w:webHidden/>
              </w:rPr>
              <w:fldChar w:fldCharType="begin"/>
            </w:r>
            <w:r w:rsidR="00702C40">
              <w:rPr>
                <w:noProof/>
                <w:webHidden/>
              </w:rPr>
              <w:instrText xml:space="preserve"> PAGEREF _Toc490577171 \h </w:instrText>
            </w:r>
            <w:r w:rsidR="00702C40">
              <w:rPr>
                <w:noProof/>
                <w:webHidden/>
              </w:rPr>
            </w:r>
            <w:r w:rsidR="00702C40">
              <w:rPr>
                <w:noProof/>
                <w:webHidden/>
              </w:rPr>
              <w:fldChar w:fldCharType="separate"/>
            </w:r>
            <w:r w:rsidR="00145C75">
              <w:rPr>
                <w:noProof/>
                <w:webHidden/>
              </w:rPr>
              <w:t>46</w:t>
            </w:r>
            <w:r w:rsidR="00702C40">
              <w:rPr>
                <w:noProof/>
                <w:webHidden/>
              </w:rPr>
              <w:fldChar w:fldCharType="end"/>
            </w:r>
          </w:hyperlink>
        </w:p>
        <w:p w:rsidR="00702C40" w:rsidRDefault="00584489">
          <w:pPr>
            <w:pStyle w:val="TOC2"/>
            <w:tabs>
              <w:tab w:val="left" w:pos="1247"/>
            </w:tabs>
            <w:rPr>
              <w:rFonts w:asciiTheme="minorHAnsi" w:eastAsiaTheme="minorEastAsia" w:hAnsiTheme="minorHAnsi" w:cstheme="minorBidi"/>
              <w:b w:val="0"/>
              <w:noProof/>
              <w:sz w:val="22"/>
              <w:lang w:eastAsia="en-AU"/>
            </w:rPr>
          </w:pPr>
          <w:hyperlink w:anchor="_Toc490577172" w:history="1">
            <w:r w:rsidR="00702C40" w:rsidRPr="004418F5">
              <w:rPr>
                <w:rStyle w:val="Hyperlink"/>
                <w:noProof/>
              </w:rPr>
              <w:t>15.</w:t>
            </w:r>
            <w:r w:rsidR="00702C40">
              <w:rPr>
                <w:rFonts w:asciiTheme="minorHAnsi" w:eastAsiaTheme="minorEastAsia" w:hAnsiTheme="minorHAnsi" w:cstheme="minorBidi"/>
                <w:b w:val="0"/>
                <w:noProof/>
                <w:sz w:val="22"/>
                <w:lang w:eastAsia="en-AU"/>
              </w:rPr>
              <w:tab/>
            </w:r>
            <w:r w:rsidR="00702C40" w:rsidRPr="004418F5">
              <w:rPr>
                <w:rStyle w:val="Hyperlink"/>
                <w:noProof/>
              </w:rPr>
              <w:t>References</w:t>
            </w:r>
            <w:r w:rsidR="00702C40">
              <w:rPr>
                <w:noProof/>
                <w:webHidden/>
              </w:rPr>
              <w:tab/>
            </w:r>
            <w:r w:rsidR="00702C40">
              <w:rPr>
                <w:noProof/>
                <w:webHidden/>
              </w:rPr>
              <w:fldChar w:fldCharType="begin"/>
            </w:r>
            <w:r w:rsidR="00702C40">
              <w:rPr>
                <w:noProof/>
                <w:webHidden/>
              </w:rPr>
              <w:instrText xml:space="preserve"> PAGEREF _Toc490577172 \h </w:instrText>
            </w:r>
            <w:r w:rsidR="00702C40">
              <w:rPr>
                <w:noProof/>
                <w:webHidden/>
              </w:rPr>
            </w:r>
            <w:r w:rsidR="00702C40">
              <w:rPr>
                <w:noProof/>
                <w:webHidden/>
              </w:rPr>
              <w:fldChar w:fldCharType="separate"/>
            </w:r>
            <w:r w:rsidR="00145C75">
              <w:rPr>
                <w:noProof/>
                <w:webHidden/>
              </w:rPr>
              <w:t>46</w:t>
            </w:r>
            <w:r w:rsidR="00702C40">
              <w:rPr>
                <w:noProof/>
                <w:webHidden/>
              </w:rPr>
              <w:fldChar w:fldCharType="end"/>
            </w:r>
          </w:hyperlink>
        </w:p>
        <w:p w:rsidR="003A7F6C" w:rsidRPr="00B811C6" w:rsidRDefault="004F4AF5" w:rsidP="003A26A8">
          <w:pPr>
            <w:pStyle w:val="TOC2"/>
            <w:ind w:left="0"/>
          </w:pPr>
          <w:r>
            <w:fldChar w:fldCharType="end"/>
          </w:r>
        </w:p>
      </w:sdtContent>
    </w:sdt>
    <w:bookmarkStart w:id="4" w:name="_Toc314842482" w:displacedByCustomXml="prev"/>
    <w:p w:rsidR="00184C7D" w:rsidRPr="00BC6738" w:rsidRDefault="00586F98" w:rsidP="00BC6738">
      <w:pPr>
        <w:pStyle w:val="Heading2"/>
        <w:pageBreakBefore/>
        <w:numPr>
          <w:ilvl w:val="0"/>
          <w:numId w:val="0"/>
        </w:numPr>
      </w:pPr>
      <w:bookmarkStart w:id="5" w:name="_Toc351716269"/>
      <w:bookmarkStart w:id="6" w:name="_Toc351718881"/>
      <w:bookmarkStart w:id="7" w:name="_Toc355338616"/>
      <w:bookmarkStart w:id="8" w:name="_Toc490577126"/>
      <w:r>
        <w:lastRenderedPageBreak/>
        <w:t>List of abbreviations</w:t>
      </w:r>
      <w:bookmarkEnd w:id="5"/>
      <w:bookmarkEnd w:id="6"/>
      <w:bookmarkEnd w:id="7"/>
      <w:bookmarkEnd w:id="8"/>
    </w:p>
    <w:tbl>
      <w:tblPr>
        <w:tblStyle w:val="TableTGAblue"/>
        <w:tblW w:w="0" w:type="auto"/>
        <w:tblLayout w:type="fixed"/>
        <w:tblLook w:val="04A0" w:firstRow="1" w:lastRow="0" w:firstColumn="1" w:lastColumn="0" w:noHBand="0" w:noVBand="1"/>
      </w:tblPr>
      <w:tblGrid>
        <w:gridCol w:w="2093"/>
        <w:gridCol w:w="7455"/>
      </w:tblGrid>
      <w:tr w:rsidR="00184C7D" w:rsidRPr="00184C7D" w:rsidTr="00BC67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Abbreviations</w:t>
            </w:r>
          </w:p>
        </w:tc>
        <w:tc>
          <w:tcPr>
            <w:tcW w:w="7455" w:type="dxa"/>
          </w:tcPr>
          <w:p w:rsidR="00184C7D" w:rsidRPr="00184C7D" w:rsidRDefault="00184C7D" w:rsidP="00BC6738">
            <w:pPr>
              <w:cnfStyle w:val="100000000000" w:firstRow="1"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Meaning</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5-FU</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5-fluorouracil</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AE</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Adverse Event</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AEOSI</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Adverse event of special importance</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ALKP</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Alkaline Phosphatase</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ALT</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Alanine Transaminase</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ARTG</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Australian Register of Therapeutic Goods</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AST</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Aspartate Transaminase</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AUC</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Area under the curve</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CBR</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Clinical benefit response</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 xml:space="preserve">CI </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Confidence interval</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Cmax</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Maximum concentration</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CMI</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Consumer Medicines Information</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CL</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Clearance</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CPT-11</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Irinotecan</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CR</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Complete Response</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CT</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X-Ray Computed Tomography</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CTCAE</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Common terminology criteria for adverse events</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CV</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Coefficient of variation</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DILI</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Drug-induced liver injury</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DLT</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Dose limiting toxicity</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proofErr w:type="spellStart"/>
            <w:r w:rsidRPr="00184C7D">
              <w:rPr>
                <w:rFonts w:eastAsia="Times New Roman"/>
                <w:kern w:val="16"/>
                <w:szCs w:val="24"/>
              </w:rPr>
              <w:t>DoR</w:t>
            </w:r>
            <w:proofErr w:type="spellEnd"/>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Duration of Response</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ECG</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Electrocardiograph</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EMA</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European Medicines Agency</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ESMO</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European Society of Medical Oncology</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lastRenderedPageBreak/>
              <w:t>EORTC</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European Organisation for Research and Treatment of Cancer</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FDA</w:t>
            </w:r>
          </w:p>
        </w:tc>
        <w:tc>
          <w:tcPr>
            <w:tcW w:w="7455" w:type="dxa"/>
          </w:tcPr>
          <w:p w:rsidR="00184C7D" w:rsidRPr="00184C7D" w:rsidRDefault="00345DA7"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Pr>
                <w:rFonts w:eastAsia="Times New Roman"/>
                <w:kern w:val="16"/>
                <w:szCs w:val="24"/>
              </w:rPr>
              <w:t xml:space="preserve">US </w:t>
            </w:r>
            <w:r w:rsidR="00184C7D" w:rsidRPr="00184C7D">
              <w:rPr>
                <w:rFonts w:eastAsia="Times New Roman"/>
                <w:kern w:val="16"/>
                <w:szCs w:val="24"/>
              </w:rPr>
              <w:t>Food and Drug Administration</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GCP</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Good Clinical Practice</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GIT</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Gastrointestinal tract</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ICH</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International Conference on Harmonisation</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ITT</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Intention to Treat</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 xml:space="preserve">IV </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Intravenous</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KPS</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Karnofsky performance scale</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LDH</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Lactate Dehydrogenase</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LFTs</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Liver function tests</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LV</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proofErr w:type="spellStart"/>
            <w:r w:rsidRPr="00184C7D">
              <w:rPr>
                <w:rFonts w:eastAsia="Times New Roman"/>
                <w:kern w:val="16"/>
                <w:szCs w:val="24"/>
              </w:rPr>
              <w:t>Leucovorin</w:t>
            </w:r>
            <w:proofErr w:type="spellEnd"/>
            <w:r w:rsidRPr="00184C7D">
              <w:rPr>
                <w:rFonts w:eastAsia="Times New Roman"/>
                <w:kern w:val="16"/>
                <w:szCs w:val="24"/>
              </w:rPr>
              <w:t xml:space="preserve"> (</w:t>
            </w:r>
            <w:proofErr w:type="spellStart"/>
            <w:r w:rsidRPr="00184C7D">
              <w:rPr>
                <w:rFonts w:eastAsia="Times New Roman"/>
                <w:kern w:val="16"/>
                <w:szCs w:val="24"/>
              </w:rPr>
              <w:t>folinic</w:t>
            </w:r>
            <w:proofErr w:type="spellEnd"/>
            <w:r w:rsidRPr="00184C7D">
              <w:rPr>
                <w:rFonts w:eastAsia="Times New Roman"/>
                <w:kern w:val="16"/>
                <w:szCs w:val="24"/>
              </w:rPr>
              <w:t xml:space="preserve"> acid)</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MEDRA</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Medical dictionary for regulatory activities</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MRI</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Magnetic Resonance Imaging</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MTD</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Maximum Tolerated Dose</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NCI</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National Cancer Institute</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NCCN</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National Comprehensive Cancer Network</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ORR</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Objective response rate</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OS</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Overall Survival</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 xml:space="preserve">PD </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Pharmacodynamics</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PFS</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Progression free survival</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PI</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Product Information</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PK</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Pharmacokinetics</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PP</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Per Protocol</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PR</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Partial Response</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PRO</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Patient reported outcome</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proofErr w:type="spellStart"/>
            <w:r w:rsidRPr="00184C7D">
              <w:rPr>
                <w:rFonts w:eastAsia="Times New Roman"/>
                <w:kern w:val="16"/>
                <w:szCs w:val="24"/>
              </w:rPr>
              <w:lastRenderedPageBreak/>
              <w:t>QoL</w:t>
            </w:r>
            <w:proofErr w:type="spellEnd"/>
            <w:r w:rsidRPr="00184C7D">
              <w:rPr>
                <w:rFonts w:eastAsia="Times New Roman"/>
                <w:kern w:val="16"/>
                <w:szCs w:val="24"/>
              </w:rPr>
              <w:t xml:space="preserve"> </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Quality of Life</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RMP</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Risk management plan</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SAE</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Serious adverse event</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TTF</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Time to Treatment Failure</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TMR</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Tumour Marker Response</w:t>
            </w:r>
          </w:p>
        </w:tc>
      </w:tr>
      <w:tr w:rsidR="00184C7D" w:rsidRPr="00184C7D" w:rsidTr="00BC6738">
        <w:tc>
          <w:tcPr>
            <w:cnfStyle w:val="001000000000" w:firstRow="0" w:lastRow="0" w:firstColumn="1" w:lastColumn="0" w:oddVBand="0" w:evenVBand="0" w:oddHBand="0" w:evenHBand="0" w:firstRowFirstColumn="0" w:firstRowLastColumn="0" w:lastRowFirstColumn="0" w:lastRowLastColumn="0"/>
            <w:tcW w:w="2093" w:type="dxa"/>
          </w:tcPr>
          <w:p w:rsidR="00184C7D" w:rsidRPr="00184C7D" w:rsidRDefault="00184C7D" w:rsidP="00BC6738">
            <w:pPr>
              <w:rPr>
                <w:rFonts w:eastAsia="Times New Roman"/>
                <w:kern w:val="16"/>
                <w:szCs w:val="24"/>
              </w:rPr>
            </w:pPr>
            <w:r w:rsidRPr="00184C7D">
              <w:rPr>
                <w:rFonts w:eastAsia="Times New Roman"/>
                <w:kern w:val="16"/>
                <w:szCs w:val="24"/>
              </w:rPr>
              <w:t>UGT1A1</w:t>
            </w:r>
          </w:p>
        </w:tc>
        <w:tc>
          <w:tcPr>
            <w:tcW w:w="7455" w:type="dxa"/>
          </w:tcPr>
          <w:p w:rsidR="00184C7D" w:rsidRPr="00184C7D" w:rsidRDefault="00184C7D" w:rsidP="00BC6738">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184C7D">
              <w:rPr>
                <w:rFonts w:eastAsia="Times New Roman"/>
                <w:kern w:val="16"/>
                <w:szCs w:val="24"/>
              </w:rPr>
              <w:t>Uridine diphosphate-</w:t>
            </w:r>
            <w:proofErr w:type="spellStart"/>
            <w:r w:rsidRPr="00184C7D">
              <w:rPr>
                <w:rFonts w:eastAsia="Times New Roman"/>
                <w:kern w:val="16"/>
                <w:szCs w:val="24"/>
              </w:rPr>
              <w:t>glucuronyl</w:t>
            </w:r>
            <w:proofErr w:type="spellEnd"/>
            <w:r w:rsidRPr="00184C7D">
              <w:rPr>
                <w:rFonts w:eastAsia="Times New Roman"/>
                <w:kern w:val="16"/>
                <w:szCs w:val="24"/>
              </w:rPr>
              <w:t xml:space="preserve"> transferase 1A1</w:t>
            </w:r>
          </w:p>
        </w:tc>
      </w:tr>
    </w:tbl>
    <w:p w:rsidR="006E4779" w:rsidRPr="00184C7D" w:rsidRDefault="006E4779" w:rsidP="00184C7D">
      <w:pPr>
        <w:rPr>
          <w:lang w:eastAsia="ja-JP"/>
        </w:rPr>
      </w:pPr>
    </w:p>
    <w:p w:rsidR="0094614A" w:rsidRDefault="0094614A" w:rsidP="0043797D">
      <w:pPr>
        <w:pStyle w:val="Heading2"/>
        <w:pageBreakBefore/>
        <w:rPr>
          <w:lang w:eastAsia="en-AU"/>
        </w:rPr>
      </w:pPr>
      <w:bookmarkStart w:id="9" w:name="_Toc490577127"/>
      <w:bookmarkStart w:id="10" w:name="_Toc351718900"/>
      <w:bookmarkStart w:id="11" w:name="_Toc355338635"/>
      <w:r>
        <w:rPr>
          <w:lang w:eastAsia="en-AU"/>
        </w:rPr>
        <w:lastRenderedPageBreak/>
        <w:t>Introduction</w:t>
      </w:r>
      <w:bookmarkEnd w:id="9"/>
    </w:p>
    <w:p w:rsidR="00184C7D" w:rsidRPr="003C0DEE" w:rsidRDefault="00184C7D" w:rsidP="003C0DEE">
      <w:r w:rsidRPr="003C0DEE">
        <w:t>This is a full submission to register a new formulation of irinotecan (liposomal encapsulated) for a new indication.</w:t>
      </w:r>
    </w:p>
    <w:p w:rsidR="00184C7D" w:rsidRPr="00184C7D" w:rsidRDefault="00184C7D" w:rsidP="00184C7D">
      <w:pPr>
        <w:pStyle w:val="Heading3"/>
      </w:pPr>
      <w:bookmarkStart w:id="12" w:name="_Toc272414596"/>
      <w:bookmarkStart w:id="13" w:name="_Toc290846218"/>
      <w:bookmarkStart w:id="14" w:name="_Toc457233981"/>
      <w:bookmarkStart w:id="15" w:name="_Toc490577128"/>
      <w:r w:rsidRPr="00184C7D">
        <w:t>Drug class and therapeutic indication</w:t>
      </w:r>
      <w:bookmarkEnd w:id="12"/>
      <w:bookmarkEnd w:id="13"/>
      <w:bookmarkEnd w:id="14"/>
      <w:bookmarkEnd w:id="15"/>
    </w:p>
    <w:p w:rsidR="00184C7D" w:rsidRPr="00184C7D" w:rsidRDefault="00184C7D" w:rsidP="00184C7D">
      <w:pPr>
        <w:rPr>
          <w:color w:val="000000"/>
        </w:rPr>
      </w:pPr>
      <w:r w:rsidRPr="00184C7D">
        <w:rPr>
          <w:color w:val="000000"/>
        </w:rPr>
        <w:t xml:space="preserve">Irinotecan is a </w:t>
      </w:r>
      <w:proofErr w:type="spellStart"/>
      <w:r w:rsidRPr="00184C7D">
        <w:rPr>
          <w:color w:val="000000"/>
        </w:rPr>
        <w:t>campothecin</w:t>
      </w:r>
      <w:proofErr w:type="spellEnd"/>
      <w:r w:rsidRPr="00184C7D">
        <w:rPr>
          <w:color w:val="000000"/>
        </w:rPr>
        <w:t xml:space="preserve"> analogue with cytotoxic and antineoplastic properties. It acts through inhibition of topoisomerase I, an enzyme that reduces torsional stress in supercoiled DNA to allow DNA to become untangled and commence replication. In the proposed new formulation the drug is presented as a sucrosofate salt and encapsulated in liposomes.</w:t>
      </w:r>
    </w:p>
    <w:p w:rsidR="00184C7D" w:rsidRPr="00184C7D" w:rsidRDefault="00184C7D" w:rsidP="00184C7D">
      <w:pPr>
        <w:rPr>
          <w:color w:val="000000"/>
        </w:rPr>
      </w:pPr>
      <w:r w:rsidRPr="00184C7D">
        <w:rPr>
          <w:color w:val="000000"/>
        </w:rPr>
        <w:t>The proposed indication is:</w:t>
      </w:r>
    </w:p>
    <w:p w:rsidR="00184C7D" w:rsidRPr="00BC6738" w:rsidRDefault="00184C7D" w:rsidP="009B4488">
      <w:pPr>
        <w:ind w:left="720"/>
        <w:rPr>
          <w:i/>
          <w:color w:val="000000"/>
        </w:rPr>
      </w:pPr>
      <w:proofErr w:type="gramStart"/>
      <w:r w:rsidRPr="00184C7D">
        <w:rPr>
          <w:i/>
          <w:color w:val="000000"/>
        </w:rPr>
        <w:t xml:space="preserve">Treatment of metastatic adenocarcinoma of the pancreas, in combination with 5-fluorouracil and </w:t>
      </w:r>
      <w:proofErr w:type="spellStart"/>
      <w:r w:rsidRPr="00184C7D">
        <w:rPr>
          <w:i/>
          <w:color w:val="000000"/>
        </w:rPr>
        <w:t>leucovorin</w:t>
      </w:r>
      <w:proofErr w:type="spellEnd"/>
      <w:r w:rsidRPr="00184C7D">
        <w:rPr>
          <w:i/>
          <w:color w:val="000000"/>
        </w:rPr>
        <w:t xml:space="preserve"> in patients who have been previ</w:t>
      </w:r>
      <w:r w:rsidR="009B4488">
        <w:rPr>
          <w:i/>
          <w:color w:val="000000"/>
        </w:rPr>
        <w:t>ously treated with gemcitabine.</w:t>
      </w:r>
      <w:proofErr w:type="gramEnd"/>
    </w:p>
    <w:p w:rsidR="00184C7D" w:rsidRPr="00184C7D" w:rsidRDefault="00184C7D" w:rsidP="00184C7D">
      <w:pPr>
        <w:pStyle w:val="Heading3"/>
      </w:pPr>
      <w:bookmarkStart w:id="16" w:name="_Toc272414597"/>
      <w:bookmarkStart w:id="17" w:name="_Toc290846219"/>
      <w:bookmarkStart w:id="18" w:name="_Toc457233982"/>
      <w:bookmarkStart w:id="19" w:name="_Toc490577129"/>
      <w:r w:rsidRPr="00184C7D">
        <w:t>Dosage forms and strengths</w:t>
      </w:r>
      <w:bookmarkEnd w:id="16"/>
      <w:bookmarkEnd w:id="17"/>
      <w:bookmarkEnd w:id="18"/>
      <w:bookmarkEnd w:id="19"/>
    </w:p>
    <w:p w:rsidR="00184C7D" w:rsidRPr="00184C7D" w:rsidRDefault="00184C7D" w:rsidP="00184C7D">
      <w:pPr>
        <w:rPr>
          <w:color w:val="000000"/>
        </w:rPr>
      </w:pPr>
      <w:r w:rsidRPr="00184C7D">
        <w:rPr>
          <w:color w:val="000000"/>
        </w:rPr>
        <w:t>The submission proposes registration of one dosage form, a 10mL vial containing the equivalent of 50 mg of irinotecan hydrochloride, as a dispersion of liposomes.</w:t>
      </w:r>
    </w:p>
    <w:p w:rsidR="00184C7D" w:rsidRPr="00184C7D" w:rsidRDefault="00184C7D" w:rsidP="00184C7D">
      <w:pPr>
        <w:pStyle w:val="Heading3"/>
      </w:pPr>
      <w:bookmarkStart w:id="20" w:name="_Toc272414598"/>
      <w:bookmarkStart w:id="21" w:name="_Toc290846220"/>
      <w:bookmarkStart w:id="22" w:name="_Toc457233983"/>
      <w:bookmarkStart w:id="23" w:name="_Toc490577130"/>
      <w:r w:rsidRPr="00184C7D">
        <w:t>Dosage and administration</w:t>
      </w:r>
      <w:bookmarkEnd w:id="20"/>
      <w:bookmarkEnd w:id="21"/>
      <w:bookmarkEnd w:id="22"/>
      <w:bookmarkEnd w:id="23"/>
    </w:p>
    <w:p w:rsidR="00184C7D" w:rsidRPr="00184C7D" w:rsidRDefault="00184C7D" w:rsidP="00184C7D">
      <w:pPr>
        <w:rPr>
          <w:color w:val="000000"/>
        </w:rPr>
      </w:pPr>
      <w:r w:rsidRPr="00184C7D">
        <w:rPr>
          <w:color w:val="000000"/>
        </w:rPr>
        <w:t xml:space="preserve">The sponsor is proposing that Onivyde be used in combination with </w:t>
      </w:r>
      <w:proofErr w:type="spellStart"/>
      <w:r w:rsidRPr="00184C7D">
        <w:rPr>
          <w:color w:val="000000"/>
        </w:rPr>
        <w:t>leucovorin</w:t>
      </w:r>
      <w:proofErr w:type="spellEnd"/>
      <w:r w:rsidRPr="00184C7D">
        <w:rPr>
          <w:color w:val="000000"/>
        </w:rPr>
        <w:t xml:space="preserve"> and 5-fluorouracil. The three drugs are to be administered in sequence as follows:</w:t>
      </w:r>
    </w:p>
    <w:p w:rsidR="00184C7D" w:rsidRPr="00184C7D" w:rsidRDefault="003C0DEE" w:rsidP="00933D2E">
      <w:pPr>
        <w:pStyle w:val="ListBullet"/>
      </w:pPr>
      <w:r>
        <w:t xml:space="preserve">Onivyde </w:t>
      </w:r>
      <w:r w:rsidR="00184C7D" w:rsidRPr="00184C7D">
        <w:t>80 mg/m</w:t>
      </w:r>
      <w:r w:rsidR="00184C7D" w:rsidRPr="00184C7D">
        <w:rPr>
          <w:vertAlign w:val="superscript"/>
        </w:rPr>
        <w:t>2</w:t>
      </w:r>
      <w:r>
        <w:t xml:space="preserve"> IV </w:t>
      </w:r>
      <w:r w:rsidR="00184C7D" w:rsidRPr="00184C7D">
        <w:t>over 90 minutes;</w:t>
      </w:r>
    </w:p>
    <w:p w:rsidR="00184C7D" w:rsidRPr="00184C7D" w:rsidRDefault="003C0DEE" w:rsidP="00933D2E">
      <w:pPr>
        <w:pStyle w:val="ListBullet"/>
      </w:pPr>
      <w:proofErr w:type="spellStart"/>
      <w:r>
        <w:t>Leucovorin</w:t>
      </w:r>
      <w:proofErr w:type="spellEnd"/>
      <w:r>
        <w:t xml:space="preserve"> </w:t>
      </w:r>
      <w:r w:rsidR="00184C7D" w:rsidRPr="00184C7D">
        <w:t>400 mg/m</w:t>
      </w:r>
      <w:r w:rsidR="00184C7D" w:rsidRPr="00184C7D">
        <w:rPr>
          <w:vertAlign w:val="superscript"/>
        </w:rPr>
        <w:t>2</w:t>
      </w:r>
      <w:r>
        <w:t xml:space="preserve"> IV </w:t>
      </w:r>
      <w:r w:rsidR="00184C7D" w:rsidRPr="00184C7D">
        <w:t>over 30 minutes;</w:t>
      </w:r>
    </w:p>
    <w:p w:rsidR="00184C7D" w:rsidRPr="00184C7D" w:rsidRDefault="003C0DEE" w:rsidP="00933D2E">
      <w:pPr>
        <w:pStyle w:val="ListBullet"/>
      </w:pPr>
      <w:r>
        <w:t xml:space="preserve">5-fluorouracil </w:t>
      </w:r>
      <w:r w:rsidR="00184C7D" w:rsidRPr="00184C7D">
        <w:t>2400 mg/m</w:t>
      </w:r>
      <w:r w:rsidR="00184C7D" w:rsidRPr="00184C7D">
        <w:rPr>
          <w:vertAlign w:val="superscript"/>
        </w:rPr>
        <w:t>2</w:t>
      </w:r>
      <w:r>
        <w:t xml:space="preserve"> IV </w:t>
      </w:r>
      <w:r w:rsidR="00184C7D" w:rsidRPr="00184C7D">
        <w:t>over 46 hours.</w:t>
      </w:r>
    </w:p>
    <w:p w:rsidR="00184C7D" w:rsidRPr="00184C7D" w:rsidRDefault="00184C7D" w:rsidP="00184C7D">
      <w:pPr>
        <w:rPr>
          <w:color w:val="000000"/>
        </w:rPr>
      </w:pPr>
      <w:r w:rsidRPr="00184C7D">
        <w:rPr>
          <w:color w:val="000000"/>
        </w:rPr>
        <w:t xml:space="preserve">This regimen is to be repeated every 2 weeks. Prior to infusion, each dose of Onivyde is to be diluted in 5% glucose or normal saline to a final volume of 500 </w:t>
      </w:r>
      <w:proofErr w:type="spellStart"/>
      <w:r w:rsidRPr="00184C7D">
        <w:rPr>
          <w:color w:val="000000"/>
        </w:rPr>
        <w:t>mL.</w:t>
      </w:r>
      <w:proofErr w:type="spellEnd"/>
    </w:p>
    <w:p w:rsidR="00184C7D" w:rsidRPr="00184C7D" w:rsidRDefault="00184C7D" w:rsidP="00184C7D">
      <w:pPr>
        <w:rPr>
          <w:color w:val="000000"/>
        </w:rPr>
      </w:pPr>
      <w:r w:rsidRPr="00184C7D">
        <w:rPr>
          <w:color w:val="000000"/>
        </w:rPr>
        <w:t>Dosage reductions and delays are recommended in the event of serious toxicities.</w:t>
      </w:r>
    </w:p>
    <w:p w:rsidR="00184C7D" w:rsidRPr="00184C7D" w:rsidRDefault="00184C7D" w:rsidP="00184C7D">
      <w:pPr>
        <w:rPr>
          <w:color w:val="000000"/>
        </w:rPr>
      </w:pPr>
      <w:r w:rsidRPr="00184C7D">
        <w:rPr>
          <w:color w:val="000000"/>
        </w:rPr>
        <w:t>A reduced starting dose of Onivyde of 60 mg/m</w:t>
      </w:r>
      <w:r w:rsidRPr="00184C7D">
        <w:rPr>
          <w:color w:val="000000"/>
          <w:vertAlign w:val="superscript"/>
        </w:rPr>
        <w:t>2</w:t>
      </w:r>
      <w:r w:rsidRPr="00184C7D">
        <w:rPr>
          <w:color w:val="000000"/>
        </w:rPr>
        <w:t xml:space="preserve"> IV is recommended for subjects known to be homozygous for </w:t>
      </w:r>
      <w:r w:rsidRPr="00823048">
        <w:rPr>
          <w:i/>
          <w:color w:val="000000"/>
        </w:rPr>
        <w:t>UGT1A1*28</w:t>
      </w:r>
      <w:r w:rsidRPr="00184C7D">
        <w:rPr>
          <w:color w:val="000000"/>
        </w:rPr>
        <w:t xml:space="preserve">. The active metabolite of irinotecan, SN-38, is </w:t>
      </w:r>
      <w:proofErr w:type="spellStart"/>
      <w:r w:rsidRPr="00184C7D">
        <w:rPr>
          <w:color w:val="000000"/>
        </w:rPr>
        <w:t>glucuronidated</w:t>
      </w:r>
      <w:proofErr w:type="spellEnd"/>
      <w:r w:rsidRPr="00184C7D">
        <w:rPr>
          <w:color w:val="000000"/>
        </w:rPr>
        <w:t xml:space="preserve"> by UGT1A1. The variant </w:t>
      </w:r>
      <w:r w:rsidRPr="00823048">
        <w:rPr>
          <w:i/>
          <w:color w:val="000000"/>
        </w:rPr>
        <w:t>UGT1A1*28</w:t>
      </w:r>
      <w:r w:rsidRPr="00184C7D">
        <w:rPr>
          <w:color w:val="000000"/>
        </w:rPr>
        <w:t xml:space="preserve"> is associated with a decrease in this </w:t>
      </w:r>
      <w:proofErr w:type="spellStart"/>
      <w:r w:rsidRPr="00184C7D">
        <w:rPr>
          <w:color w:val="000000"/>
        </w:rPr>
        <w:t>glucuronidation</w:t>
      </w:r>
      <w:proofErr w:type="spellEnd"/>
      <w:r w:rsidRPr="00184C7D">
        <w:rPr>
          <w:color w:val="000000"/>
        </w:rPr>
        <w:t xml:space="preserve"> and an increased risk of toxicity (</w:t>
      </w:r>
      <w:proofErr w:type="spellStart"/>
      <w:r w:rsidRPr="00184C7D">
        <w:rPr>
          <w:color w:val="000000"/>
        </w:rPr>
        <w:t>neutropaenia</w:t>
      </w:r>
      <w:proofErr w:type="spellEnd"/>
      <w:r w:rsidRPr="00184C7D">
        <w:rPr>
          <w:color w:val="000000"/>
        </w:rPr>
        <w:t xml:space="preserve"> and diarrhoea).</w:t>
      </w:r>
    </w:p>
    <w:p w:rsidR="00184C7D" w:rsidRPr="00184C7D" w:rsidRDefault="00184C7D" w:rsidP="00184C7D">
      <w:pPr>
        <w:pStyle w:val="Heading3"/>
      </w:pPr>
      <w:bookmarkStart w:id="24" w:name="_Toc272414599"/>
      <w:bookmarkStart w:id="25" w:name="_Toc290846221"/>
      <w:bookmarkStart w:id="26" w:name="_Toc457233984"/>
      <w:bookmarkStart w:id="27" w:name="_Toc490577131"/>
      <w:r w:rsidRPr="00184C7D">
        <w:t xml:space="preserve">Other proposed changes to the </w:t>
      </w:r>
      <w:bookmarkEnd w:id="24"/>
      <w:r w:rsidRPr="00184C7D">
        <w:t>PI</w:t>
      </w:r>
      <w:bookmarkEnd w:id="25"/>
      <w:bookmarkEnd w:id="26"/>
      <w:bookmarkEnd w:id="27"/>
    </w:p>
    <w:p w:rsidR="00DB4914" w:rsidRPr="00BC6738" w:rsidRDefault="00184C7D" w:rsidP="00DB4914">
      <w:pPr>
        <w:rPr>
          <w:color w:val="000000"/>
        </w:rPr>
      </w:pPr>
      <w:r w:rsidRPr="00184C7D">
        <w:rPr>
          <w:color w:val="000000"/>
        </w:rPr>
        <w:t>Not applicable.</w:t>
      </w:r>
    </w:p>
    <w:p w:rsidR="00295C34" w:rsidRDefault="00586F98" w:rsidP="00295C34">
      <w:pPr>
        <w:pStyle w:val="Heading2"/>
      </w:pPr>
      <w:bookmarkStart w:id="28" w:name="_Toc490577132"/>
      <w:r w:rsidRPr="0094614A">
        <w:t>Clinical rationale</w:t>
      </w:r>
      <w:bookmarkEnd w:id="28"/>
    </w:p>
    <w:p w:rsidR="005C0C40" w:rsidRDefault="005C0C40" w:rsidP="005C0C40">
      <w:r>
        <w:t>Adenocarcinoma of the pancreas is a malignant tumour arising from epithelium lining the pancreatic ducts.</w:t>
      </w:r>
      <w:r>
        <w:rPr>
          <w:rStyle w:val="FootnoteReference"/>
        </w:rPr>
        <w:footnoteReference w:id="1"/>
      </w:r>
      <w:r>
        <w:t xml:space="preserve"> According to Cancer Australia, it was projected that 3030 new cases of </w:t>
      </w:r>
      <w:r>
        <w:lastRenderedPageBreak/>
        <w:t>pancreatic cancer would be diagnosed in Australia in 2015, with 2710 deaths.</w:t>
      </w:r>
      <w:r>
        <w:rPr>
          <w:rStyle w:val="FootnoteReference"/>
        </w:rPr>
        <w:footnoteReference w:id="2"/>
      </w:r>
      <w:r>
        <w:t xml:space="preserve"> Incidence increases with increasing age, peaking during the seventh and eighth decades of life and is approximately equal in the sexes.</w:t>
      </w:r>
      <w:r>
        <w:rPr>
          <w:rStyle w:val="FootnoteReference"/>
        </w:rPr>
        <w:footnoteReference w:id="3"/>
      </w:r>
    </w:p>
    <w:p w:rsidR="005C0C40" w:rsidRDefault="005C0C40" w:rsidP="005C0C40">
      <w:r>
        <w:t>Early stage disease is usually clinically silent. With more advanced disease typical symptoms and signs include abdominal pain, nausea, asthenia, anorexia, weight loss, hyperglycaemia and obstructive jaundice. Less common manifestations include pancreatitis, venous thrombosis, gastric outlet obstruction, gastrointestinal bleeding, panniculitis and depression.</w:t>
      </w:r>
      <w:r>
        <w:rPr>
          <w:rStyle w:val="FootnoteReference"/>
        </w:rPr>
        <w:footnoteReference w:id="4"/>
      </w:r>
    </w:p>
    <w:p w:rsidR="005C0C40" w:rsidRDefault="005C0C40" w:rsidP="005C0C40">
      <w:r>
        <w:t>Progression of the disease is associated with local invasion of tissues surrounding the pancreas, spread to regional lymph nodes and distant metastases (usually to the liver, peritoneum and lung). The current staging system for pancreatic adenocarcinoma is summarised. Patients who present with early stage disease can be treated surgically. However, most patients present with late stage disease. The prognosis for patients diagnosed with pancreatic cancer is poor with a 5 year survival rate of only 5%.</w:t>
      </w:r>
      <w:r>
        <w:rPr>
          <w:rStyle w:val="FootnoteReference"/>
        </w:rPr>
        <w:footnoteReference w:id="5"/>
      </w:r>
      <w:r>
        <w:t xml:space="preserve"> For subjects with metastatic disease typical median overall survival is the range of 6-11 months. </w:t>
      </w:r>
      <w:r w:rsidRPr="001E5C26">
        <w:t>Adverse prognostic factors in pancreatic cancer include lymph node metastases, high tumour grade, large tumour size, elevated levels of the serum biomarker CA 19-9 and positive resection margins following surgery</w:t>
      </w:r>
      <w:r>
        <w:t>.</w:t>
      </w:r>
      <w:r>
        <w:rPr>
          <w:rStyle w:val="FootnoteReference"/>
        </w:rPr>
        <w:footnoteReference w:id="6"/>
      </w:r>
    </w:p>
    <w:p w:rsidR="005C0C40" w:rsidRDefault="005C0C40" w:rsidP="005C0C40">
      <w:r>
        <w:t>The mainstay of treatment for metastatic disease is chemotherapy. Available chemotherapy regimens include the following.</w:t>
      </w:r>
    </w:p>
    <w:p w:rsidR="005C0C40" w:rsidRPr="00B575BE" w:rsidRDefault="005C0C40" w:rsidP="005C0C40">
      <w:pPr>
        <w:pStyle w:val="Heading3"/>
      </w:pPr>
      <w:bookmarkStart w:id="29" w:name="_Toc490577133"/>
      <w:r w:rsidRPr="00B575BE">
        <w:t>First</w:t>
      </w:r>
      <w:r>
        <w:t xml:space="preserve"> </w:t>
      </w:r>
      <w:r w:rsidRPr="00B575BE">
        <w:t>line therapy</w:t>
      </w:r>
      <w:bookmarkEnd w:id="29"/>
    </w:p>
    <w:p w:rsidR="005C0C40" w:rsidRDefault="005C0C40" w:rsidP="005C0C40">
      <w:pPr>
        <w:pStyle w:val="ListBullet"/>
        <w:numPr>
          <w:ilvl w:val="0"/>
          <w:numId w:val="3"/>
        </w:numPr>
      </w:pPr>
      <w:r>
        <w:t xml:space="preserve">The </w:t>
      </w:r>
      <w:r w:rsidR="0038087A">
        <w:t>FOLFIRONOX</w:t>
      </w:r>
      <w:r>
        <w:t xml:space="preserve"> regimen. This regimen combines </w:t>
      </w:r>
      <w:proofErr w:type="spellStart"/>
      <w:r>
        <w:t>oxaliplatin</w:t>
      </w:r>
      <w:proofErr w:type="spellEnd"/>
      <w:r>
        <w:t>, irinotecan and 5-fluorouracil/</w:t>
      </w:r>
      <w:proofErr w:type="spellStart"/>
      <w:r>
        <w:t>leucovorin</w:t>
      </w:r>
      <w:proofErr w:type="spellEnd"/>
      <w:r>
        <w:t>. In a randomised controlled trial,</w:t>
      </w:r>
      <w:r>
        <w:rPr>
          <w:rStyle w:val="FootnoteReference"/>
        </w:rPr>
        <w:footnoteReference w:id="7"/>
      </w:r>
      <w:r>
        <w:t xml:space="preserve"> this regimen was shown to produce a significant overall survival benefit when compared to the then standard therapy of gemcitabine monotherapy (median overall survival 11.1 versus 6.8 months). In Australia, neither </w:t>
      </w:r>
      <w:proofErr w:type="spellStart"/>
      <w:r>
        <w:t>oxaliplatin</w:t>
      </w:r>
      <w:proofErr w:type="spellEnd"/>
      <w:r>
        <w:t xml:space="preserve"> nor irinotecan is registered for the treatment of pancreatic cancer.</w:t>
      </w:r>
    </w:p>
    <w:p w:rsidR="005C0C40" w:rsidRDefault="005C0C40" w:rsidP="005C0C40">
      <w:pPr>
        <w:pStyle w:val="ListBullet"/>
        <w:numPr>
          <w:ilvl w:val="0"/>
          <w:numId w:val="3"/>
        </w:numPr>
      </w:pPr>
      <w:r>
        <w:t>Nanoparticle albumin-bound paclitaxel (Nab-paclitaxel) combined with gemcitabine. In a randomised controlled trial,</w:t>
      </w:r>
      <w:r>
        <w:rPr>
          <w:rStyle w:val="FootnoteReference"/>
        </w:rPr>
        <w:footnoteReference w:id="8"/>
      </w:r>
      <w:r>
        <w:t xml:space="preserve"> this combination was also shown to produce a significant overall survival benefit when compared to gemcitabine monotherapy (median overall survival 8.5 versus 6.7 months). The combination is registered for the first-line treatment of pancreatic cancer in Australia.</w:t>
      </w:r>
    </w:p>
    <w:p w:rsidR="005C0C40" w:rsidRDefault="005C0C40" w:rsidP="005C0C40">
      <w:pPr>
        <w:pStyle w:val="ListBullet"/>
        <w:numPr>
          <w:ilvl w:val="0"/>
          <w:numId w:val="3"/>
        </w:numPr>
      </w:pPr>
      <w:proofErr w:type="spellStart"/>
      <w:r>
        <w:t>Erlotinib</w:t>
      </w:r>
      <w:proofErr w:type="spellEnd"/>
      <w:r>
        <w:t xml:space="preserve"> combined with gemcitabine. In another randomised controlled trial,</w:t>
      </w:r>
      <w:r>
        <w:rPr>
          <w:rStyle w:val="FootnoteReference"/>
        </w:rPr>
        <w:footnoteReference w:id="9"/>
      </w:r>
      <w:r>
        <w:t xml:space="preserve"> this combination demonstrated a significant survival advantage compared to gemcitabine monotherapy</w:t>
      </w:r>
      <w:r w:rsidRPr="00335D10">
        <w:t xml:space="preserve"> </w:t>
      </w:r>
      <w:r>
        <w:t>(median overall survival 6.2 versus 5.9 months). This combination is also registered in Australia.</w:t>
      </w:r>
    </w:p>
    <w:p w:rsidR="005C0C40" w:rsidRDefault="005C0C40" w:rsidP="005C0C40">
      <w:pPr>
        <w:pStyle w:val="ListBullet"/>
        <w:numPr>
          <w:ilvl w:val="0"/>
          <w:numId w:val="3"/>
        </w:numPr>
      </w:pPr>
      <w:r>
        <w:lastRenderedPageBreak/>
        <w:t>Gemcitabine monotherapy. In a randomised controlled trial published in 1997,</w:t>
      </w:r>
      <w:r>
        <w:rPr>
          <w:rStyle w:val="FootnoteReference"/>
        </w:rPr>
        <w:footnoteReference w:id="10"/>
      </w:r>
      <w:r>
        <w:t xml:space="preserve"> this regimen was shown to produce a significant overall survival benefit when compared to the then standard therapy of 5-fluorouracil monotherapy (median overall survival 5.7 versus 4.4 months). Gemcitabine monotherapy is approved for the treatment of pancreatic cancer in Australia.</w:t>
      </w:r>
    </w:p>
    <w:p w:rsidR="005C0C40" w:rsidRDefault="005C0C40" w:rsidP="005C0C40">
      <w:r>
        <w:t>There are two recently published clinical practice guidelines on the management of pancreatic cancer. These were produced by the NCCN</w:t>
      </w:r>
      <w:r>
        <w:rPr>
          <w:rStyle w:val="FootnoteReference"/>
        </w:rPr>
        <w:footnoteReference w:id="11"/>
      </w:r>
      <w:r>
        <w:t xml:space="preserve"> and the ESMO.</w:t>
      </w:r>
      <w:r>
        <w:rPr>
          <w:rStyle w:val="FootnoteReference"/>
        </w:rPr>
        <w:footnoteReference w:id="12"/>
      </w:r>
      <w:r>
        <w:t xml:space="preserve"> Both guidelines recommend </w:t>
      </w:r>
      <w:r w:rsidR="009553BE">
        <w:t>FOLFIRONOX</w:t>
      </w:r>
      <w:r>
        <w:t xml:space="preserve"> or Nab-paclitaxel/gemcitabine as the preferred regimens for first line treatment of patients with good performance status. Gemcitabine monotherapy is recommended for subjects with poor performance status.</w:t>
      </w:r>
    </w:p>
    <w:p w:rsidR="005C0C40" w:rsidRPr="008D0A3A" w:rsidRDefault="005C0C40" w:rsidP="005C0C40">
      <w:pPr>
        <w:pStyle w:val="Heading3"/>
      </w:pPr>
      <w:bookmarkStart w:id="30" w:name="_Toc490577134"/>
      <w:r w:rsidRPr="008D0A3A">
        <w:t>Second</w:t>
      </w:r>
      <w:r>
        <w:t xml:space="preserve"> </w:t>
      </w:r>
      <w:r w:rsidRPr="008D0A3A">
        <w:t>line therapy</w:t>
      </w:r>
      <w:bookmarkEnd w:id="30"/>
    </w:p>
    <w:p w:rsidR="005C0C40" w:rsidRDefault="005C0C40" w:rsidP="005C0C40">
      <w:r>
        <w:t>There is currently no standard of care for second-line treatment. A randomised controlled trial (CONKO-003) published in 2014</w:t>
      </w:r>
      <w:r>
        <w:rPr>
          <w:rStyle w:val="FootnoteReference"/>
        </w:rPr>
        <w:footnoteReference w:id="13"/>
      </w:r>
      <w:r>
        <w:t xml:space="preserve"> compared the combination of </w:t>
      </w:r>
      <w:proofErr w:type="spellStart"/>
      <w:r>
        <w:t>oxaliplatin</w:t>
      </w:r>
      <w:proofErr w:type="spellEnd"/>
      <w:r>
        <w:t xml:space="preserve"> and 5-fluorouracil/</w:t>
      </w:r>
      <w:proofErr w:type="spellStart"/>
      <w:r>
        <w:t>leucovorin</w:t>
      </w:r>
      <w:proofErr w:type="spellEnd"/>
      <w:r>
        <w:t xml:space="preserve"> (OFF regimen) with 5-FU/LV alone in subjects who had disease progression after gemcitabine monotherapy. The OFF regimen was associated with a significant improvement in overall survival (median overall survival 5.9 versus 3.3 months). However, another trial, the PANCREOX study,</w:t>
      </w:r>
      <w:r>
        <w:rPr>
          <w:rStyle w:val="FootnoteReference"/>
        </w:rPr>
        <w:footnoteReference w:id="14"/>
      </w:r>
      <w:r>
        <w:t xml:space="preserve"> compared a simi</w:t>
      </w:r>
      <w:r w:rsidR="00E97D7C">
        <w:t xml:space="preserve">lar regimen of </w:t>
      </w:r>
      <w:proofErr w:type="spellStart"/>
      <w:r w:rsidR="00E97D7C">
        <w:t>oxaliplatin</w:t>
      </w:r>
      <w:proofErr w:type="spellEnd"/>
      <w:r w:rsidR="00E97D7C">
        <w:t xml:space="preserve"> and </w:t>
      </w:r>
      <w:r>
        <w:t xml:space="preserve">5-FU/LV (the mFOLFOX6 regimen) with 5-FU/LV alone and found a detrimental effect on overall survival (median overall survival 6.1 versus 9.9 months). </w:t>
      </w:r>
    </w:p>
    <w:p w:rsidR="005C0C40" w:rsidRPr="003336EB" w:rsidRDefault="005C0C40" w:rsidP="005C0C40">
      <w:r>
        <w:t xml:space="preserve">The NCCN guideline recommends the use of </w:t>
      </w:r>
      <w:proofErr w:type="spellStart"/>
      <w:r>
        <w:t>fluoropyrimidine</w:t>
      </w:r>
      <w:proofErr w:type="spellEnd"/>
      <w:r>
        <w:t xml:space="preserve"> based chemotherapy for subjects who have received prior gemcitabine based chemotherapy, and gemcitabine based chemotherapy</w:t>
      </w:r>
      <w:r w:rsidRPr="009E319A">
        <w:t xml:space="preserve"> </w:t>
      </w:r>
      <w:r>
        <w:t>for subjects who have received prior</w:t>
      </w:r>
      <w:r w:rsidRPr="009E319A">
        <w:t xml:space="preserve"> </w:t>
      </w:r>
      <w:proofErr w:type="spellStart"/>
      <w:r w:rsidR="00E97D7C">
        <w:t>fluoropyrimidine</w:t>
      </w:r>
      <w:proofErr w:type="spellEnd"/>
      <w:r w:rsidR="00E97D7C">
        <w:t>-</w:t>
      </w:r>
      <w:r>
        <w:t xml:space="preserve">based treatment. The ESMO guidelines do not make any specific recommendations for second line therapy but suggest that Onivyde may become the best option in the future. Neither of these guidelines </w:t>
      </w:r>
      <w:r w:rsidRPr="003336EB">
        <w:t xml:space="preserve">specifically </w:t>
      </w:r>
      <w:r>
        <w:t xml:space="preserve">recommends the OFF regimen for second </w:t>
      </w:r>
      <w:r w:rsidRPr="003336EB">
        <w:t>line therapy. In Australia, the “</w:t>
      </w:r>
      <w:proofErr w:type="spellStart"/>
      <w:r w:rsidRPr="003336EB">
        <w:t>eviQ</w:t>
      </w:r>
      <w:proofErr w:type="spellEnd"/>
      <w:r w:rsidRPr="003336EB">
        <w:t>” site of the Cancer Institute of NSW provides a protocol for the OFF regimen for subjects who have failed gemcitabine</w:t>
      </w:r>
      <w:r>
        <w:t>.</w:t>
      </w:r>
      <w:r>
        <w:rPr>
          <w:rStyle w:val="FootnoteReference"/>
        </w:rPr>
        <w:footnoteReference w:id="15"/>
      </w:r>
      <w:r>
        <w:t xml:space="preserve"> </w:t>
      </w:r>
      <w:r w:rsidRPr="003336EB">
        <w:t>However, it is not clear whether the results of the PANCREOX trial have been considered.</w:t>
      </w:r>
    </w:p>
    <w:p w:rsidR="005C0C40" w:rsidRPr="002A7208" w:rsidRDefault="005C0C40" w:rsidP="005C0C40">
      <w:r w:rsidRPr="002A7208">
        <w:t>In Australia, 5-</w:t>
      </w:r>
      <w:r>
        <w:t>FU</w:t>
      </w:r>
      <w:r w:rsidRPr="002A7208">
        <w:t xml:space="preserve"> and </w:t>
      </w:r>
      <w:proofErr w:type="spellStart"/>
      <w:r w:rsidRPr="002A7208">
        <w:t>mitomycin</w:t>
      </w:r>
      <w:proofErr w:type="spellEnd"/>
      <w:r w:rsidRPr="002A7208">
        <w:t xml:space="preserve"> are grandfathered drugs that have a broad indication for pancreatic cancer tha</w:t>
      </w:r>
      <w:r>
        <w:t xml:space="preserve">t would not exclude use in the second </w:t>
      </w:r>
      <w:r w:rsidRPr="002A7208">
        <w:t>line setting.</w:t>
      </w:r>
    </w:p>
    <w:p w:rsidR="005C0C40" w:rsidRDefault="005C0C40" w:rsidP="005C0C40">
      <w:r>
        <w:t>The rationale for the development of Onivyde was therefore to address an unmet clinical need for second line (or later) therapy in subjects who have already failed gemcitabine based chemotherapy.</w:t>
      </w:r>
    </w:p>
    <w:p w:rsidR="005C0C40" w:rsidRDefault="005C0C40" w:rsidP="005C0C40">
      <w:pPr>
        <w:rPr>
          <w:lang w:val="en-US"/>
        </w:rPr>
      </w:pPr>
      <w:r>
        <w:rPr>
          <w:lang w:val="en-US"/>
        </w:rPr>
        <w:t xml:space="preserve">According to the sponsor, the </w:t>
      </w:r>
      <w:r w:rsidRPr="005C65B3">
        <w:rPr>
          <w:lang w:val="en-US"/>
        </w:rPr>
        <w:t>liposomal formulation of irinotecan was designed to combine the following</w:t>
      </w:r>
      <w:r>
        <w:rPr>
          <w:lang w:val="en-US"/>
        </w:rPr>
        <w:t xml:space="preserve"> </w:t>
      </w:r>
      <w:r w:rsidRPr="005C65B3">
        <w:rPr>
          <w:lang w:val="en-US"/>
        </w:rPr>
        <w:t>characteristics</w:t>
      </w:r>
      <w:r>
        <w:rPr>
          <w:lang w:val="en-US"/>
        </w:rPr>
        <w:t>:</w:t>
      </w:r>
      <w:r w:rsidRPr="005C65B3">
        <w:rPr>
          <w:lang w:val="en-US"/>
        </w:rPr>
        <w:t xml:space="preserve"> </w:t>
      </w:r>
    </w:p>
    <w:p w:rsidR="005C0C40" w:rsidRDefault="005C0C40" w:rsidP="005C0C40">
      <w:pPr>
        <w:pStyle w:val="ListBullet"/>
        <w:numPr>
          <w:ilvl w:val="0"/>
          <w:numId w:val="3"/>
        </w:numPr>
      </w:pPr>
      <w:r>
        <w:lastRenderedPageBreak/>
        <w:t>P</w:t>
      </w:r>
      <w:r w:rsidRPr="005C65B3">
        <w:t>rolong circulation in plasma and in tumo</w:t>
      </w:r>
      <w:r>
        <w:t>u</w:t>
      </w:r>
      <w:r w:rsidRPr="005C65B3">
        <w:t xml:space="preserve">r through </w:t>
      </w:r>
      <w:r>
        <w:t xml:space="preserve">the </w:t>
      </w:r>
      <w:r w:rsidRPr="005C65B3">
        <w:t xml:space="preserve">protection </w:t>
      </w:r>
      <w:r>
        <w:t>provided by</w:t>
      </w:r>
      <w:r w:rsidRPr="005C65B3">
        <w:t xml:space="preserve"> the </w:t>
      </w:r>
      <w:r>
        <w:t>liposomal encapsulation;</w:t>
      </w:r>
    </w:p>
    <w:p w:rsidR="005C0C40" w:rsidRPr="005C65B3" w:rsidRDefault="005C0C40" w:rsidP="005C0C40">
      <w:pPr>
        <w:pStyle w:val="ListBullet"/>
        <w:numPr>
          <w:ilvl w:val="0"/>
          <w:numId w:val="3"/>
        </w:numPr>
      </w:pPr>
      <w:r>
        <w:t>I</w:t>
      </w:r>
      <w:r w:rsidRPr="005C65B3">
        <w:t>ncrease delivery in tumo</w:t>
      </w:r>
      <w:r>
        <w:t>u</w:t>
      </w:r>
      <w:r w:rsidRPr="005C65B3">
        <w:t>rs to take advantage of the</w:t>
      </w:r>
      <w:r>
        <w:t xml:space="preserve"> </w:t>
      </w:r>
      <w:r w:rsidRPr="005C65B3">
        <w:rPr>
          <w:lang w:val="en-US"/>
        </w:rPr>
        <w:t>com</w:t>
      </w:r>
      <w:r>
        <w:rPr>
          <w:lang w:val="en-US"/>
        </w:rPr>
        <w:t xml:space="preserve">promised vasculature of </w:t>
      </w:r>
      <w:proofErr w:type="spellStart"/>
      <w:r>
        <w:rPr>
          <w:lang w:val="en-US"/>
        </w:rPr>
        <w:t>tumours</w:t>
      </w:r>
      <w:proofErr w:type="spellEnd"/>
      <w:r>
        <w:rPr>
          <w:lang w:val="en-US"/>
        </w:rPr>
        <w:t xml:space="preserve">; and  </w:t>
      </w:r>
    </w:p>
    <w:p w:rsidR="005C0C40" w:rsidRDefault="005C0C40" w:rsidP="005C0C40">
      <w:pPr>
        <w:pStyle w:val="ListBullet"/>
        <w:numPr>
          <w:ilvl w:val="0"/>
          <w:numId w:val="3"/>
        </w:numPr>
      </w:pPr>
      <w:r>
        <w:rPr>
          <w:lang w:val="en-US"/>
        </w:rPr>
        <w:t>I</w:t>
      </w:r>
      <w:r w:rsidRPr="005C65B3">
        <w:rPr>
          <w:lang w:val="en-US"/>
        </w:rPr>
        <w:t>ncrease conversion of irinotecan to SN-38</w:t>
      </w:r>
      <w:r>
        <w:rPr>
          <w:lang w:val="en-US"/>
        </w:rPr>
        <w:t xml:space="preserve"> </w:t>
      </w:r>
      <w:r w:rsidRPr="005C65B3">
        <w:rPr>
          <w:lang w:val="en-US"/>
        </w:rPr>
        <w:t xml:space="preserve">in </w:t>
      </w:r>
      <w:proofErr w:type="spellStart"/>
      <w:r w:rsidRPr="005C65B3">
        <w:rPr>
          <w:lang w:val="en-US"/>
        </w:rPr>
        <w:t>tumo</w:t>
      </w:r>
      <w:r>
        <w:rPr>
          <w:lang w:val="en-US"/>
        </w:rPr>
        <w:t>u</w:t>
      </w:r>
      <w:r w:rsidRPr="005C65B3">
        <w:rPr>
          <w:lang w:val="en-US"/>
        </w:rPr>
        <w:t>rs</w:t>
      </w:r>
      <w:proofErr w:type="spellEnd"/>
      <w:r w:rsidRPr="005C65B3">
        <w:rPr>
          <w:lang w:val="en-US"/>
        </w:rPr>
        <w:t>.</w:t>
      </w:r>
    </w:p>
    <w:p w:rsidR="005C0C40" w:rsidRPr="002A7208" w:rsidRDefault="005C0C40" w:rsidP="005C0C40">
      <w:r w:rsidRPr="002A7208">
        <w:t>Liposomal encapsulation of cytotoxic agents is not a novel approach. Liposomal doxorubicin has been marketed in Australia for many years.</w:t>
      </w:r>
    </w:p>
    <w:p w:rsidR="00586F98" w:rsidRDefault="00586F98" w:rsidP="00586F98">
      <w:pPr>
        <w:pStyle w:val="Heading2"/>
        <w:rPr>
          <w:lang w:eastAsia="en-AU"/>
        </w:rPr>
      </w:pPr>
      <w:bookmarkStart w:id="31" w:name="_Toc490577135"/>
      <w:r>
        <w:rPr>
          <w:lang w:eastAsia="en-AU"/>
        </w:rPr>
        <w:t>Contents of the clinical dossier</w:t>
      </w:r>
      <w:bookmarkEnd w:id="10"/>
      <w:bookmarkEnd w:id="11"/>
      <w:bookmarkEnd w:id="31"/>
    </w:p>
    <w:p w:rsidR="00586F98" w:rsidRDefault="00586F98" w:rsidP="00184C7D">
      <w:pPr>
        <w:pStyle w:val="Heading3"/>
      </w:pPr>
      <w:bookmarkStart w:id="32" w:name="_Toc490577136"/>
      <w:r>
        <w:t>Scope of the clinical dossier</w:t>
      </w:r>
      <w:bookmarkEnd w:id="32"/>
    </w:p>
    <w:p w:rsidR="00184C7D" w:rsidRPr="00184C7D" w:rsidRDefault="00184C7D" w:rsidP="00184C7D">
      <w:pPr>
        <w:rPr>
          <w:color w:val="000000"/>
        </w:rPr>
      </w:pPr>
      <w:r w:rsidRPr="00184C7D">
        <w:rPr>
          <w:color w:val="000000"/>
        </w:rPr>
        <w:t>The submission contained the following clinical information:</w:t>
      </w:r>
    </w:p>
    <w:p w:rsidR="00184C7D" w:rsidRPr="00184C7D" w:rsidRDefault="00184C7D" w:rsidP="00184C7D">
      <w:pPr>
        <w:pStyle w:val="ListBullet"/>
      </w:pPr>
      <w:r w:rsidRPr="00184C7D">
        <w:t xml:space="preserve">4 phase 1 dose-escalation studies designed to examine maximum tolerated dose, dose-limiting toxicity and pharmacokinetics (PEP0201, PEP0202, PEP0203 and PIST-CRC); </w:t>
      </w:r>
    </w:p>
    <w:p w:rsidR="00184C7D" w:rsidRPr="00184C7D" w:rsidRDefault="00184C7D" w:rsidP="00184C7D">
      <w:pPr>
        <w:pStyle w:val="ListBullet"/>
      </w:pPr>
      <w:r w:rsidRPr="00184C7D">
        <w:t xml:space="preserve">1 other phase 1 study which generated pharmacokinetic data (MM-398-01-01-02); </w:t>
      </w:r>
    </w:p>
    <w:p w:rsidR="00184C7D" w:rsidRPr="00184C7D" w:rsidRDefault="00184C7D" w:rsidP="00184C7D">
      <w:pPr>
        <w:pStyle w:val="ListBullet"/>
      </w:pPr>
      <w:r w:rsidRPr="00184C7D">
        <w:t>1 population PK and exposure-response analysis;</w:t>
      </w:r>
    </w:p>
    <w:p w:rsidR="00184C7D" w:rsidRPr="00184C7D" w:rsidRDefault="00184C7D" w:rsidP="00184C7D">
      <w:pPr>
        <w:pStyle w:val="ListBullet"/>
      </w:pPr>
      <w:r w:rsidRPr="00184C7D">
        <w:t>1 pivotal efficacy/safety study (MM-398-07-03-01);</w:t>
      </w:r>
    </w:p>
    <w:p w:rsidR="00184C7D" w:rsidRPr="00184C7D" w:rsidRDefault="00184C7D" w:rsidP="00184C7D">
      <w:pPr>
        <w:pStyle w:val="ListBullet"/>
      </w:pPr>
      <w:r w:rsidRPr="00184C7D">
        <w:t>2 supportive phase 2 studies using Onivyde as monotherapy (PEP0206 and PEP0208);</w:t>
      </w:r>
    </w:p>
    <w:p w:rsidR="00184C7D" w:rsidRPr="00184C7D" w:rsidRDefault="00184C7D" w:rsidP="00184C7D">
      <w:pPr>
        <w:pStyle w:val="ListBullet"/>
      </w:pPr>
      <w:r w:rsidRPr="00184C7D">
        <w:t>Literature references.</w:t>
      </w:r>
    </w:p>
    <w:p w:rsidR="00586F98" w:rsidRDefault="00586F98" w:rsidP="00184C7D">
      <w:pPr>
        <w:pStyle w:val="Heading3"/>
      </w:pPr>
      <w:bookmarkStart w:id="33" w:name="_Toc490577137"/>
      <w:r>
        <w:t>Paediatric data</w:t>
      </w:r>
      <w:bookmarkEnd w:id="33"/>
    </w:p>
    <w:p w:rsidR="0085068D" w:rsidRPr="00184C7D" w:rsidRDefault="00184C7D" w:rsidP="0085068D">
      <w:pPr>
        <w:rPr>
          <w:lang w:eastAsia="ja-JP"/>
        </w:rPr>
      </w:pPr>
      <w:r w:rsidRPr="00184C7D">
        <w:rPr>
          <w:color w:val="000000"/>
        </w:rPr>
        <w:t>The submission did not include paediatric data. As metastatic pancreatic cancer is a disease of adults the absence of paediatric data is acceptable.</w:t>
      </w:r>
    </w:p>
    <w:p w:rsidR="00586F98" w:rsidRDefault="00586F98" w:rsidP="00184C7D">
      <w:pPr>
        <w:pStyle w:val="Heading3"/>
      </w:pPr>
      <w:bookmarkStart w:id="34" w:name="_Toc490577138"/>
      <w:r>
        <w:t>Good clinical practice</w:t>
      </w:r>
      <w:bookmarkEnd w:id="34"/>
    </w:p>
    <w:p w:rsidR="0085068D" w:rsidRPr="00BC6738" w:rsidRDefault="00184C7D" w:rsidP="0085068D">
      <w:pPr>
        <w:rPr>
          <w:color w:val="000000"/>
        </w:rPr>
      </w:pPr>
      <w:r w:rsidRPr="00184C7D">
        <w:rPr>
          <w:color w:val="000000"/>
        </w:rPr>
        <w:t>The reports for the clinical studies in the submission included assurances that they were conducted in accordance with the ethical principles of Good Clinical Practice (GCP) as required by the major regulatory authorities, and in accordance wit</w:t>
      </w:r>
      <w:r w:rsidR="00BC6738">
        <w:rPr>
          <w:color w:val="000000"/>
        </w:rPr>
        <w:t xml:space="preserve">h the Declaration of Helsinki. </w:t>
      </w:r>
    </w:p>
    <w:p w:rsidR="00166DA5" w:rsidRDefault="00586F98" w:rsidP="00F562B2">
      <w:pPr>
        <w:pStyle w:val="Heading2"/>
      </w:pPr>
      <w:bookmarkStart w:id="35" w:name="_Toc355338639"/>
      <w:bookmarkStart w:id="36" w:name="_Toc490577139"/>
      <w:r>
        <w:t>Pharmacokinetics</w:t>
      </w:r>
      <w:bookmarkEnd w:id="35"/>
      <w:bookmarkEnd w:id="36"/>
      <w:r w:rsidR="00166DA5">
        <w:t xml:space="preserve"> </w:t>
      </w:r>
    </w:p>
    <w:p w:rsidR="00184C7D" w:rsidRPr="00184C7D" w:rsidRDefault="00184C7D" w:rsidP="00184C7D">
      <w:pPr>
        <w:pStyle w:val="Heading3"/>
      </w:pPr>
      <w:bookmarkStart w:id="37" w:name="_Ref271017296"/>
      <w:bookmarkStart w:id="38" w:name="_Ref271018924"/>
      <w:bookmarkStart w:id="39" w:name="_Ref271018934"/>
      <w:bookmarkStart w:id="40" w:name="_Toc272414614"/>
      <w:bookmarkStart w:id="41" w:name="_Toc290846238"/>
      <w:bookmarkStart w:id="42" w:name="_Toc457234001"/>
      <w:bookmarkStart w:id="43" w:name="_Toc490577140"/>
      <w:r w:rsidRPr="00184C7D">
        <w:t>Studies</w:t>
      </w:r>
      <w:bookmarkEnd w:id="37"/>
      <w:bookmarkEnd w:id="38"/>
      <w:bookmarkEnd w:id="39"/>
      <w:r w:rsidRPr="00184C7D">
        <w:t xml:space="preserve"> providing pharmacokinetic data</w:t>
      </w:r>
      <w:bookmarkEnd w:id="40"/>
      <w:bookmarkEnd w:id="41"/>
      <w:bookmarkEnd w:id="42"/>
      <w:bookmarkEnd w:id="43"/>
    </w:p>
    <w:p w:rsidR="00184C7D" w:rsidRPr="00184C7D" w:rsidRDefault="00950827" w:rsidP="00184C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Pr>
          <w:rFonts w:eastAsia="Times New Roman"/>
          <w:kern w:val="16"/>
          <w:szCs w:val="24"/>
          <w:lang w:eastAsia="en-AU"/>
        </w:rPr>
        <w:t xml:space="preserve">Table 1 </w:t>
      </w:r>
      <w:r w:rsidR="00184C7D" w:rsidRPr="00184C7D">
        <w:rPr>
          <w:rFonts w:eastAsia="Times New Roman"/>
          <w:kern w:val="16"/>
          <w:szCs w:val="24"/>
          <w:lang w:eastAsia="en-AU"/>
        </w:rPr>
        <w:t>shows the studies relating to each pharmacokinetic topic and the location of each study summary.</w:t>
      </w:r>
    </w:p>
    <w:p w:rsidR="00184C7D" w:rsidRPr="00184C7D" w:rsidRDefault="00184C7D" w:rsidP="00184C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p>
    <w:p w:rsidR="00184C7D" w:rsidRPr="00184C7D" w:rsidRDefault="00184C7D" w:rsidP="00184C7D">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outlineLvl w:val="6"/>
        <w:rPr>
          <w:rFonts w:eastAsia="Times New Roman"/>
          <w:b/>
          <w:bCs/>
          <w:kern w:val="16"/>
          <w:szCs w:val="24"/>
          <w:lang w:eastAsia="en-AU"/>
        </w:rPr>
      </w:pPr>
      <w:bookmarkStart w:id="44" w:name="_Ref272426277"/>
      <w:bookmarkStart w:id="45" w:name="_Toc457234122"/>
      <w:r w:rsidRPr="00184C7D">
        <w:rPr>
          <w:rFonts w:eastAsia="Times New Roman"/>
          <w:b/>
          <w:bCs/>
          <w:kern w:val="16"/>
          <w:szCs w:val="24"/>
          <w:lang w:eastAsia="en-AU"/>
        </w:rPr>
        <w:lastRenderedPageBreak/>
        <w:t>Table</w:t>
      </w:r>
      <w:bookmarkEnd w:id="44"/>
      <w:r w:rsidR="005A146A">
        <w:rPr>
          <w:rFonts w:eastAsia="Times New Roman"/>
          <w:b/>
          <w:bCs/>
          <w:kern w:val="16"/>
          <w:szCs w:val="24"/>
          <w:lang w:eastAsia="en-AU"/>
        </w:rPr>
        <w:t xml:space="preserve"> 1: </w:t>
      </w:r>
      <w:r w:rsidRPr="00184C7D">
        <w:rPr>
          <w:rFonts w:eastAsia="Times New Roman"/>
          <w:b/>
          <w:bCs/>
          <w:kern w:val="16"/>
          <w:szCs w:val="24"/>
          <w:lang w:eastAsia="en-AU"/>
        </w:rPr>
        <w:t>Submitted pharmacokinetic studies.</w:t>
      </w:r>
      <w:bookmarkEnd w:id="45"/>
    </w:p>
    <w:tbl>
      <w:tblPr>
        <w:tblStyle w:val="TableTGAblue"/>
        <w:tblW w:w="8613" w:type="dxa"/>
        <w:tblLayout w:type="fixed"/>
        <w:tblLook w:val="04A0" w:firstRow="1" w:lastRow="0" w:firstColumn="1" w:lastColumn="0" w:noHBand="0" w:noVBand="1"/>
      </w:tblPr>
      <w:tblGrid>
        <w:gridCol w:w="1668"/>
        <w:gridCol w:w="2835"/>
        <w:gridCol w:w="2976"/>
        <w:gridCol w:w="1134"/>
      </w:tblGrid>
      <w:tr w:rsidR="003C0DEE" w:rsidRPr="003F4A57" w:rsidTr="003C0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 w:val="18"/>
                <w:szCs w:val="18"/>
              </w:rPr>
            </w:pPr>
            <w:r w:rsidRPr="003F4A57">
              <w:rPr>
                <w:rFonts w:eastAsia="Times New Roman"/>
                <w:kern w:val="16"/>
                <w:sz w:val="18"/>
                <w:szCs w:val="18"/>
              </w:rPr>
              <w:t>PK topic</w:t>
            </w:r>
          </w:p>
        </w:tc>
        <w:tc>
          <w:tcPr>
            <w:tcW w:w="2835"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kern w:val="16"/>
                <w:sz w:val="18"/>
                <w:szCs w:val="18"/>
              </w:rPr>
            </w:pPr>
            <w:r w:rsidRPr="003F4A57">
              <w:rPr>
                <w:rFonts w:eastAsia="Times New Roman"/>
                <w:kern w:val="16"/>
                <w:sz w:val="18"/>
                <w:szCs w:val="18"/>
              </w:rPr>
              <w:t>Subtopic</w:t>
            </w:r>
          </w:p>
        </w:tc>
        <w:tc>
          <w:tcPr>
            <w:tcW w:w="2976"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kern w:val="16"/>
                <w:sz w:val="18"/>
                <w:szCs w:val="18"/>
              </w:rPr>
            </w:pPr>
            <w:r w:rsidRPr="003F4A57">
              <w:rPr>
                <w:rFonts w:eastAsia="Times New Roman"/>
                <w:kern w:val="16"/>
                <w:sz w:val="18"/>
                <w:szCs w:val="18"/>
              </w:rPr>
              <w:t>Study ID</w:t>
            </w:r>
          </w:p>
        </w:tc>
        <w:tc>
          <w:tcPr>
            <w:tcW w:w="1134"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kern w:val="16"/>
                <w:sz w:val="18"/>
                <w:szCs w:val="18"/>
              </w:rPr>
            </w:pPr>
            <w:r w:rsidRPr="003F4A57">
              <w:rPr>
                <w:rFonts w:eastAsia="Times New Roman"/>
                <w:kern w:val="16"/>
                <w:sz w:val="18"/>
                <w:szCs w:val="18"/>
              </w:rPr>
              <w:t>*</w:t>
            </w:r>
          </w:p>
        </w:tc>
      </w:tr>
      <w:tr w:rsidR="003C0DEE" w:rsidRPr="003F4A57" w:rsidTr="003C0DEE">
        <w:tc>
          <w:tcPr>
            <w:cnfStyle w:val="001000000000" w:firstRow="0" w:lastRow="0" w:firstColumn="1" w:lastColumn="0" w:oddVBand="0" w:evenVBand="0" w:oddHBand="0" w:evenHBand="0" w:firstRowFirstColumn="0" w:firstRowLastColumn="0" w:lastRowFirstColumn="0" w:lastRowLastColumn="0"/>
            <w:tcW w:w="1668" w:type="dxa"/>
            <w:vMerge w:val="restart"/>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b/>
                <w:kern w:val="16"/>
                <w:sz w:val="18"/>
                <w:szCs w:val="18"/>
              </w:rPr>
            </w:pPr>
            <w:r w:rsidRPr="003F4A57">
              <w:rPr>
                <w:rFonts w:eastAsia="Times New Roman"/>
                <w:b/>
                <w:kern w:val="16"/>
                <w:sz w:val="18"/>
                <w:szCs w:val="18"/>
              </w:rPr>
              <w:t>PK in oncology subjects</w:t>
            </w:r>
          </w:p>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b/>
                <w:kern w:val="16"/>
                <w:sz w:val="18"/>
                <w:szCs w:val="18"/>
              </w:rPr>
            </w:pPr>
          </w:p>
        </w:tc>
        <w:tc>
          <w:tcPr>
            <w:tcW w:w="2835"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 w:val="18"/>
                <w:szCs w:val="18"/>
              </w:rPr>
            </w:pPr>
            <w:r w:rsidRPr="003F4A57">
              <w:rPr>
                <w:rFonts w:eastAsia="Times New Roman"/>
                <w:kern w:val="16"/>
                <w:sz w:val="18"/>
                <w:szCs w:val="18"/>
              </w:rPr>
              <w:t>General PK</w:t>
            </w:r>
            <w:r w:rsidRPr="003F4A57">
              <w:rPr>
                <w:rFonts w:eastAsia="Times New Roman"/>
                <w:kern w:val="16"/>
                <w:sz w:val="18"/>
                <w:szCs w:val="18"/>
              </w:rPr>
              <w:tab/>
              <w:t>- Single dose</w:t>
            </w:r>
          </w:p>
        </w:tc>
        <w:tc>
          <w:tcPr>
            <w:tcW w:w="2976"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 w:val="18"/>
                <w:szCs w:val="18"/>
              </w:rPr>
            </w:pPr>
            <w:r w:rsidRPr="003F4A57">
              <w:rPr>
                <w:rFonts w:eastAsia="Times New Roman"/>
                <w:kern w:val="16"/>
                <w:sz w:val="18"/>
                <w:szCs w:val="18"/>
              </w:rPr>
              <w:t>PEP0201</w:t>
            </w:r>
          </w:p>
        </w:tc>
        <w:tc>
          <w:tcPr>
            <w:tcW w:w="1134"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 w:val="18"/>
                <w:szCs w:val="18"/>
              </w:rPr>
            </w:pPr>
            <w:r w:rsidRPr="003F4A57">
              <w:rPr>
                <w:rFonts w:eastAsia="Times New Roman"/>
                <w:kern w:val="16"/>
                <w:sz w:val="18"/>
                <w:szCs w:val="18"/>
              </w:rPr>
              <w:t>*</w:t>
            </w:r>
          </w:p>
        </w:tc>
      </w:tr>
      <w:tr w:rsidR="003C0DEE" w:rsidRPr="003F4A57" w:rsidTr="003C0DEE">
        <w:tc>
          <w:tcPr>
            <w:cnfStyle w:val="001000000000" w:firstRow="0" w:lastRow="0" w:firstColumn="1" w:lastColumn="0" w:oddVBand="0" w:evenVBand="0" w:oddHBand="0" w:evenHBand="0" w:firstRowFirstColumn="0" w:firstRowLastColumn="0" w:lastRowFirstColumn="0" w:lastRowLastColumn="0"/>
            <w:tcW w:w="1668" w:type="dxa"/>
            <w:vMerge/>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 w:val="18"/>
                <w:szCs w:val="18"/>
              </w:rPr>
            </w:pPr>
          </w:p>
        </w:tc>
        <w:tc>
          <w:tcPr>
            <w:tcW w:w="2835"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 w:val="18"/>
                <w:szCs w:val="18"/>
              </w:rPr>
            </w:pPr>
          </w:p>
        </w:tc>
        <w:tc>
          <w:tcPr>
            <w:tcW w:w="2976"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 w:val="18"/>
                <w:szCs w:val="18"/>
              </w:rPr>
            </w:pPr>
            <w:r w:rsidRPr="003F4A57">
              <w:rPr>
                <w:rFonts w:eastAsia="Times New Roman"/>
                <w:kern w:val="16"/>
                <w:sz w:val="18"/>
                <w:szCs w:val="18"/>
              </w:rPr>
              <w:t>PIST-CRC-01</w:t>
            </w:r>
          </w:p>
        </w:tc>
        <w:tc>
          <w:tcPr>
            <w:tcW w:w="1134"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 w:val="18"/>
                <w:szCs w:val="18"/>
              </w:rPr>
            </w:pPr>
            <w:r w:rsidRPr="003F4A57">
              <w:rPr>
                <w:rFonts w:eastAsia="Times New Roman"/>
                <w:kern w:val="16"/>
                <w:sz w:val="18"/>
                <w:szCs w:val="18"/>
              </w:rPr>
              <w:t>*</w:t>
            </w:r>
          </w:p>
        </w:tc>
      </w:tr>
      <w:tr w:rsidR="003C0DEE" w:rsidRPr="003F4A57" w:rsidTr="003C0DEE">
        <w:tc>
          <w:tcPr>
            <w:cnfStyle w:val="001000000000" w:firstRow="0" w:lastRow="0" w:firstColumn="1" w:lastColumn="0" w:oddVBand="0" w:evenVBand="0" w:oddHBand="0" w:evenHBand="0" w:firstRowFirstColumn="0" w:firstRowLastColumn="0" w:lastRowFirstColumn="0" w:lastRowLastColumn="0"/>
            <w:tcW w:w="1668" w:type="dxa"/>
            <w:vMerge/>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 w:val="18"/>
                <w:szCs w:val="18"/>
              </w:rPr>
            </w:pPr>
          </w:p>
        </w:tc>
        <w:tc>
          <w:tcPr>
            <w:tcW w:w="2835"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 w:val="18"/>
                <w:szCs w:val="18"/>
              </w:rPr>
            </w:pPr>
          </w:p>
        </w:tc>
        <w:tc>
          <w:tcPr>
            <w:tcW w:w="2976"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 w:val="18"/>
                <w:szCs w:val="18"/>
              </w:rPr>
            </w:pPr>
            <w:r w:rsidRPr="003F4A57">
              <w:rPr>
                <w:rFonts w:eastAsia="Times New Roman"/>
                <w:kern w:val="16"/>
                <w:sz w:val="18"/>
                <w:szCs w:val="18"/>
              </w:rPr>
              <w:t>PEP0203</w:t>
            </w:r>
          </w:p>
        </w:tc>
        <w:tc>
          <w:tcPr>
            <w:tcW w:w="1134"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 w:val="18"/>
                <w:szCs w:val="18"/>
              </w:rPr>
            </w:pPr>
            <w:r w:rsidRPr="003F4A57">
              <w:rPr>
                <w:rFonts w:eastAsia="Times New Roman"/>
                <w:kern w:val="16"/>
                <w:sz w:val="18"/>
                <w:szCs w:val="18"/>
              </w:rPr>
              <w:t>*</w:t>
            </w:r>
          </w:p>
        </w:tc>
      </w:tr>
      <w:tr w:rsidR="003C0DEE" w:rsidRPr="003F4A57" w:rsidTr="003C0DEE">
        <w:tc>
          <w:tcPr>
            <w:cnfStyle w:val="001000000000" w:firstRow="0" w:lastRow="0" w:firstColumn="1" w:lastColumn="0" w:oddVBand="0" w:evenVBand="0" w:oddHBand="0" w:evenHBand="0" w:firstRowFirstColumn="0" w:firstRowLastColumn="0" w:lastRowFirstColumn="0" w:lastRowLastColumn="0"/>
            <w:tcW w:w="1668" w:type="dxa"/>
            <w:vMerge/>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 w:val="18"/>
                <w:szCs w:val="18"/>
              </w:rPr>
            </w:pPr>
          </w:p>
        </w:tc>
        <w:tc>
          <w:tcPr>
            <w:tcW w:w="2835"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 w:val="18"/>
                <w:szCs w:val="18"/>
              </w:rPr>
            </w:pPr>
            <w:r w:rsidRPr="003F4A57">
              <w:rPr>
                <w:rFonts w:eastAsia="Times New Roman"/>
                <w:kern w:val="16"/>
                <w:sz w:val="18"/>
                <w:szCs w:val="18"/>
              </w:rPr>
              <w:tab/>
            </w:r>
            <w:r w:rsidRPr="003F4A57">
              <w:rPr>
                <w:rFonts w:eastAsia="Times New Roman"/>
                <w:kern w:val="16"/>
                <w:sz w:val="18"/>
                <w:szCs w:val="18"/>
              </w:rPr>
              <w:tab/>
            </w:r>
            <w:r w:rsidRPr="003F4A57">
              <w:rPr>
                <w:rFonts w:eastAsia="Times New Roman"/>
                <w:kern w:val="16"/>
                <w:sz w:val="18"/>
                <w:szCs w:val="18"/>
              </w:rPr>
              <w:tab/>
            </w:r>
            <w:r w:rsidRPr="003F4A57">
              <w:rPr>
                <w:rFonts w:eastAsia="Times New Roman"/>
                <w:kern w:val="16"/>
                <w:sz w:val="18"/>
                <w:szCs w:val="18"/>
              </w:rPr>
              <w:tab/>
            </w:r>
          </w:p>
        </w:tc>
        <w:tc>
          <w:tcPr>
            <w:tcW w:w="2976"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 w:val="18"/>
                <w:szCs w:val="18"/>
              </w:rPr>
            </w:pPr>
            <w:r w:rsidRPr="003F4A57">
              <w:rPr>
                <w:rFonts w:eastAsia="Times New Roman"/>
                <w:kern w:val="16"/>
                <w:sz w:val="18"/>
                <w:szCs w:val="18"/>
              </w:rPr>
              <w:t>MM-398-01-01-02</w:t>
            </w:r>
          </w:p>
        </w:tc>
        <w:tc>
          <w:tcPr>
            <w:tcW w:w="1134"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 w:val="18"/>
                <w:szCs w:val="18"/>
              </w:rPr>
            </w:pPr>
            <w:r w:rsidRPr="003F4A57">
              <w:rPr>
                <w:rFonts w:eastAsia="Times New Roman"/>
                <w:kern w:val="16"/>
                <w:sz w:val="18"/>
                <w:szCs w:val="18"/>
              </w:rPr>
              <w:t>*</w:t>
            </w:r>
          </w:p>
        </w:tc>
      </w:tr>
      <w:tr w:rsidR="003C0DEE" w:rsidRPr="003F4A57" w:rsidTr="003C0DEE">
        <w:tc>
          <w:tcPr>
            <w:cnfStyle w:val="001000000000" w:firstRow="0" w:lastRow="0" w:firstColumn="1" w:lastColumn="0" w:oddVBand="0" w:evenVBand="0" w:oddHBand="0" w:evenHBand="0" w:firstRowFirstColumn="0" w:firstRowLastColumn="0" w:lastRowFirstColumn="0" w:lastRowLastColumn="0"/>
            <w:tcW w:w="1668" w:type="dxa"/>
            <w:vMerge/>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 w:val="18"/>
                <w:szCs w:val="18"/>
              </w:rPr>
            </w:pPr>
          </w:p>
        </w:tc>
        <w:tc>
          <w:tcPr>
            <w:tcW w:w="2835"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 w:val="18"/>
                <w:szCs w:val="18"/>
              </w:rPr>
            </w:pPr>
          </w:p>
        </w:tc>
        <w:tc>
          <w:tcPr>
            <w:tcW w:w="2976"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 w:val="18"/>
                <w:szCs w:val="18"/>
              </w:rPr>
            </w:pPr>
            <w:r w:rsidRPr="003F4A57">
              <w:rPr>
                <w:rFonts w:eastAsia="Times New Roman"/>
                <w:kern w:val="16"/>
                <w:sz w:val="18"/>
                <w:szCs w:val="18"/>
              </w:rPr>
              <w:t>PEP0206</w:t>
            </w:r>
          </w:p>
        </w:tc>
        <w:tc>
          <w:tcPr>
            <w:tcW w:w="1134"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 w:val="18"/>
                <w:szCs w:val="18"/>
              </w:rPr>
            </w:pPr>
          </w:p>
        </w:tc>
      </w:tr>
      <w:tr w:rsidR="003C0DEE" w:rsidRPr="003F4A57" w:rsidTr="003C0DEE">
        <w:tc>
          <w:tcPr>
            <w:cnfStyle w:val="001000000000" w:firstRow="0" w:lastRow="0" w:firstColumn="1" w:lastColumn="0" w:oddVBand="0" w:evenVBand="0" w:oddHBand="0" w:evenHBand="0" w:firstRowFirstColumn="0" w:firstRowLastColumn="0" w:lastRowFirstColumn="0" w:lastRowLastColumn="0"/>
            <w:tcW w:w="1668" w:type="dxa"/>
            <w:vMerge/>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 w:val="18"/>
                <w:szCs w:val="18"/>
              </w:rPr>
            </w:pPr>
          </w:p>
        </w:tc>
        <w:tc>
          <w:tcPr>
            <w:tcW w:w="2835"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 w:val="18"/>
                <w:szCs w:val="18"/>
              </w:rPr>
            </w:pPr>
          </w:p>
        </w:tc>
        <w:tc>
          <w:tcPr>
            <w:tcW w:w="2976"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 w:val="18"/>
                <w:szCs w:val="18"/>
              </w:rPr>
            </w:pPr>
            <w:r w:rsidRPr="003F4A57">
              <w:rPr>
                <w:rFonts w:eastAsia="Times New Roman"/>
                <w:kern w:val="16"/>
                <w:sz w:val="18"/>
                <w:szCs w:val="18"/>
              </w:rPr>
              <w:t>MM-398-07-03-01 (NAPOLI-1)</w:t>
            </w:r>
          </w:p>
        </w:tc>
        <w:tc>
          <w:tcPr>
            <w:tcW w:w="1134"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 w:val="18"/>
                <w:szCs w:val="18"/>
              </w:rPr>
            </w:pPr>
          </w:p>
        </w:tc>
      </w:tr>
      <w:tr w:rsidR="003C0DEE" w:rsidRPr="003F4A57" w:rsidTr="003C0DEE">
        <w:tc>
          <w:tcPr>
            <w:cnfStyle w:val="001000000000" w:firstRow="0" w:lastRow="0" w:firstColumn="1" w:lastColumn="0" w:oddVBand="0" w:evenVBand="0" w:oddHBand="0" w:evenHBand="0" w:firstRowFirstColumn="0" w:firstRowLastColumn="0" w:lastRowFirstColumn="0" w:lastRowLastColumn="0"/>
            <w:tcW w:w="1668"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b/>
                <w:kern w:val="16"/>
                <w:sz w:val="18"/>
                <w:szCs w:val="18"/>
              </w:rPr>
            </w:pPr>
            <w:r w:rsidRPr="003F4A57">
              <w:rPr>
                <w:rFonts w:eastAsia="Times New Roman"/>
                <w:b/>
                <w:kern w:val="16"/>
                <w:sz w:val="18"/>
                <w:szCs w:val="18"/>
              </w:rPr>
              <w:t>Population PK analyses</w:t>
            </w:r>
          </w:p>
        </w:tc>
        <w:tc>
          <w:tcPr>
            <w:tcW w:w="2835"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 w:val="18"/>
                <w:szCs w:val="18"/>
              </w:rPr>
            </w:pPr>
            <w:r w:rsidRPr="003F4A57">
              <w:rPr>
                <w:rFonts w:eastAsia="Times New Roman"/>
                <w:kern w:val="16"/>
                <w:sz w:val="18"/>
                <w:szCs w:val="18"/>
              </w:rPr>
              <w:t>Oncology subjects</w:t>
            </w:r>
          </w:p>
        </w:tc>
        <w:tc>
          <w:tcPr>
            <w:tcW w:w="2976"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 w:val="18"/>
                <w:szCs w:val="18"/>
              </w:rPr>
            </w:pPr>
            <w:r w:rsidRPr="003F4A57">
              <w:rPr>
                <w:rFonts w:eastAsia="Times New Roman"/>
                <w:kern w:val="16"/>
                <w:sz w:val="18"/>
                <w:szCs w:val="18"/>
              </w:rPr>
              <w:t xml:space="preserve"> - </w:t>
            </w:r>
          </w:p>
        </w:tc>
        <w:tc>
          <w:tcPr>
            <w:tcW w:w="1134" w:type="dxa"/>
          </w:tcPr>
          <w:p w:rsidR="003C0DEE" w:rsidRPr="003F4A57" w:rsidRDefault="003C0DEE" w:rsidP="00184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 w:val="18"/>
                <w:szCs w:val="18"/>
              </w:rPr>
            </w:pPr>
            <w:r w:rsidRPr="003F4A57">
              <w:rPr>
                <w:rFonts w:eastAsia="Times New Roman"/>
                <w:kern w:val="16"/>
                <w:sz w:val="18"/>
                <w:szCs w:val="18"/>
              </w:rPr>
              <w:t>*</w:t>
            </w:r>
          </w:p>
        </w:tc>
      </w:tr>
    </w:tbl>
    <w:p w:rsidR="00184C7D" w:rsidRPr="00184C7D" w:rsidRDefault="00184C7D" w:rsidP="00BC673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18"/>
          <w:lang w:eastAsia="en-AU"/>
        </w:rPr>
      </w:pPr>
      <w:r w:rsidRPr="00184C7D">
        <w:rPr>
          <w:rFonts w:eastAsia="Times New Roman"/>
          <w:kern w:val="16"/>
          <w:szCs w:val="18"/>
          <w:lang w:eastAsia="en-AU"/>
        </w:rPr>
        <w:t>* Indicates a primary aim of the study.</w:t>
      </w:r>
    </w:p>
    <w:p w:rsidR="00184C7D" w:rsidRPr="00184C7D" w:rsidRDefault="00184C7D" w:rsidP="00BC673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184C7D">
        <w:rPr>
          <w:rFonts w:eastAsia="Times New Roman"/>
          <w:kern w:val="16"/>
          <w:szCs w:val="24"/>
          <w:lang w:eastAsia="en-AU"/>
        </w:rPr>
        <w:t>None of the pharmacokinetic studies had deficiencies that excluded their results from consideration.</w:t>
      </w:r>
    </w:p>
    <w:p w:rsidR="00184C7D" w:rsidRPr="00184C7D" w:rsidRDefault="00184C7D" w:rsidP="00BC6738">
      <w:pPr>
        <w:pStyle w:val="Heading3"/>
      </w:pPr>
      <w:bookmarkStart w:id="46" w:name="_Ref269118175"/>
      <w:bookmarkStart w:id="47" w:name="_Toc272414616"/>
      <w:bookmarkStart w:id="48" w:name="_Toc290846239"/>
      <w:bookmarkStart w:id="49" w:name="_Toc457234002"/>
      <w:bookmarkStart w:id="50" w:name="_Toc490577141"/>
      <w:r w:rsidRPr="00184C7D">
        <w:t>Summary of pharmacokinetics</w:t>
      </w:r>
      <w:bookmarkEnd w:id="46"/>
      <w:bookmarkEnd w:id="47"/>
      <w:bookmarkEnd w:id="48"/>
      <w:bookmarkEnd w:id="49"/>
      <w:bookmarkEnd w:id="50"/>
    </w:p>
    <w:p w:rsidR="00184C7D" w:rsidRPr="00184C7D" w:rsidRDefault="00184C7D" w:rsidP="00184C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184C7D">
        <w:rPr>
          <w:rFonts w:eastAsia="Times New Roman"/>
          <w:kern w:val="16"/>
          <w:szCs w:val="24"/>
          <w:lang w:eastAsia="en-AU"/>
        </w:rPr>
        <w:t>The information in the following summary is derived from conventional pharmacokinetic studies unless otherwise stated.</w:t>
      </w:r>
    </w:p>
    <w:p w:rsidR="00184C7D" w:rsidRPr="00184C7D" w:rsidRDefault="00184C7D" w:rsidP="00BC6738">
      <w:pPr>
        <w:pStyle w:val="Heading4"/>
      </w:pPr>
      <w:bookmarkStart w:id="51" w:name="_Ref271189106"/>
      <w:bookmarkStart w:id="52" w:name="_Ref271189143"/>
      <w:bookmarkStart w:id="53" w:name="_Toc272414618"/>
      <w:bookmarkStart w:id="54" w:name="_Toc290846241"/>
      <w:bookmarkStart w:id="55" w:name="_Toc457234003"/>
      <w:bookmarkStart w:id="56" w:name="_Toc483819657"/>
      <w:r w:rsidRPr="00184C7D">
        <w:t>Pharmacokinetics in oncology subjects</w:t>
      </w:r>
      <w:bookmarkEnd w:id="51"/>
      <w:bookmarkEnd w:id="52"/>
      <w:bookmarkEnd w:id="53"/>
      <w:bookmarkEnd w:id="54"/>
      <w:bookmarkEnd w:id="55"/>
      <w:bookmarkEnd w:id="56"/>
    </w:p>
    <w:p w:rsidR="00184C7D" w:rsidRPr="00184C7D" w:rsidRDefault="00184C7D" w:rsidP="00184C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184C7D">
        <w:rPr>
          <w:rFonts w:eastAsia="Times New Roman"/>
          <w:kern w:val="16"/>
          <w:szCs w:val="24"/>
          <w:lang w:eastAsia="en-AU"/>
        </w:rPr>
        <w:t xml:space="preserve">Irinotecan is converted to its active metabolite SN-38 primarily by </w:t>
      </w:r>
      <w:proofErr w:type="spellStart"/>
      <w:r w:rsidRPr="00184C7D">
        <w:rPr>
          <w:rFonts w:eastAsia="Times New Roman"/>
          <w:kern w:val="16"/>
          <w:szCs w:val="24"/>
          <w:lang w:eastAsia="en-AU"/>
        </w:rPr>
        <w:t>esterases</w:t>
      </w:r>
      <w:proofErr w:type="spellEnd"/>
      <w:r w:rsidRPr="00184C7D">
        <w:rPr>
          <w:rFonts w:eastAsia="Times New Roman"/>
          <w:kern w:val="16"/>
          <w:szCs w:val="24"/>
          <w:lang w:eastAsia="en-AU"/>
        </w:rPr>
        <w:t xml:space="preserve"> in the liver.  SN-38 is approximately 1</w:t>
      </w:r>
      <w:r w:rsidR="00E97D7C">
        <w:rPr>
          <w:rFonts w:eastAsia="Times New Roman"/>
          <w:kern w:val="16"/>
          <w:szCs w:val="24"/>
          <w:lang w:eastAsia="en-AU"/>
        </w:rPr>
        <w:t>,</w:t>
      </w:r>
      <w:r w:rsidRPr="00184C7D">
        <w:rPr>
          <w:rFonts w:eastAsia="Times New Roman"/>
          <w:kern w:val="16"/>
          <w:szCs w:val="24"/>
          <w:lang w:eastAsia="en-AU"/>
        </w:rPr>
        <w:t>000 times more potent than irinotecan. SN-38 is converted to its inactive metabolite SN-38 glucuronide (SN-38G) by uridine diphosphate-</w:t>
      </w:r>
      <w:proofErr w:type="spellStart"/>
      <w:r w:rsidRPr="00184C7D">
        <w:rPr>
          <w:rFonts w:eastAsia="Times New Roman"/>
          <w:kern w:val="16"/>
          <w:szCs w:val="24"/>
          <w:lang w:eastAsia="en-AU"/>
        </w:rPr>
        <w:t>gluc</w:t>
      </w:r>
      <w:r w:rsidR="00950827">
        <w:rPr>
          <w:rFonts w:eastAsia="Times New Roman"/>
          <w:kern w:val="16"/>
          <w:szCs w:val="24"/>
          <w:lang w:eastAsia="en-AU"/>
        </w:rPr>
        <w:t>uronyl</w:t>
      </w:r>
      <w:proofErr w:type="spellEnd"/>
      <w:r w:rsidR="00950827">
        <w:rPr>
          <w:rFonts w:eastAsia="Times New Roman"/>
          <w:kern w:val="16"/>
          <w:szCs w:val="24"/>
          <w:lang w:eastAsia="en-AU"/>
        </w:rPr>
        <w:t xml:space="preserve"> transferase 1A1 (UGT1A1)</w:t>
      </w:r>
      <w:r w:rsidRPr="00184C7D">
        <w:rPr>
          <w:rFonts w:eastAsia="Times New Roman"/>
          <w:kern w:val="16"/>
          <w:szCs w:val="24"/>
          <w:lang w:eastAsia="en-AU"/>
        </w:rPr>
        <w:t>. In the submitted PK studies, the parameters generally measured were total irinotecan (total of encapsulated and non-encapsulated), SN-38 and SN-38G. All the PK data were obtained after single doses of Onivyde.</w:t>
      </w:r>
    </w:p>
    <w:p w:rsidR="00184C7D" w:rsidRPr="00184C7D" w:rsidRDefault="00184C7D" w:rsidP="00BC6738">
      <w:pPr>
        <w:pStyle w:val="Heading4"/>
      </w:pPr>
      <w:bookmarkStart w:id="57" w:name="_Toc272414619"/>
      <w:bookmarkStart w:id="58" w:name="_Toc290846242"/>
      <w:bookmarkStart w:id="59" w:name="_Toc457234004"/>
      <w:r w:rsidRPr="00184C7D">
        <w:t>Absorption</w:t>
      </w:r>
      <w:bookmarkEnd w:id="57"/>
      <w:bookmarkEnd w:id="58"/>
      <w:bookmarkEnd w:id="59"/>
    </w:p>
    <w:p w:rsidR="00184C7D" w:rsidRPr="00184C7D" w:rsidRDefault="00184C7D" w:rsidP="00BC673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184C7D">
        <w:rPr>
          <w:rFonts w:eastAsia="Times New Roman"/>
          <w:kern w:val="16"/>
          <w:szCs w:val="24"/>
          <w:lang w:eastAsia="en-AU"/>
        </w:rPr>
        <w:t>Onivyde is administered intravenously and therefore has 100% absorption and bioavail</w:t>
      </w:r>
      <w:r w:rsidR="000A76D1">
        <w:rPr>
          <w:rFonts w:eastAsia="Times New Roman"/>
          <w:kern w:val="16"/>
          <w:szCs w:val="24"/>
          <w:lang w:eastAsia="en-AU"/>
        </w:rPr>
        <w:t xml:space="preserve">ability. In one study (PEP0201), </w:t>
      </w:r>
      <w:r w:rsidRPr="00184C7D">
        <w:rPr>
          <w:rFonts w:eastAsia="Times New Roman"/>
          <w:kern w:val="16"/>
          <w:szCs w:val="24"/>
          <w:lang w:eastAsia="en-AU"/>
        </w:rPr>
        <w:t>plasma levels of both total irinotecan and encapsulated irinotecan were measured. The results indicated that most of the irinotecan in plasma remained in the encapsulated form.</w:t>
      </w:r>
    </w:p>
    <w:p w:rsidR="00184C7D" w:rsidRPr="00184C7D" w:rsidRDefault="00184C7D" w:rsidP="00BC673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184C7D">
        <w:rPr>
          <w:rFonts w:eastAsia="Times New Roman"/>
          <w:kern w:val="16"/>
          <w:szCs w:val="24"/>
          <w:lang w:eastAsia="en-AU"/>
        </w:rPr>
        <w:t>Compared to conventional irinotecan solution, administration of Onivyde resulted in significantly greater dose-normalised C</w:t>
      </w:r>
      <w:r w:rsidRPr="00184C7D">
        <w:rPr>
          <w:rFonts w:eastAsia="Times New Roman"/>
          <w:kern w:val="16"/>
          <w:szCs w:val="24"/>
          <w:vertAlign w:val="subscript"/>
          <w:lang w:eastAsia="en-AU"/>
        </w:rPr>
        <w:t>max</w:t>
      </w:r>
      <w:r w:rsidRPr="00184C7D">
        <w:rPr>
          <w:rFonts w:eastAsia="Times New Roman"/>
          <w:kern w:val="16"/>
          <w:szCs w:val="24"/>
          <w:lang w:eastAsia="en-AU"/>
        </w:rPr>
        <w:t xml:space="preserve"> and AUC values for total irinotecan, and significantly greater dose-normalised AUC values for SN-38. However, dose-normalised C</w:t>
      </w:r>
      <w:r w:rsidRPr="00184C7D">
        <w:rPr>
          <w:rFonts w:eastAsia="Times New Roman"/>
          <w:kern w:val="16"/>
          <w:szCs w:val="24"/>
          <w:vertAlign w:val="subscript"/>
          <w:lang w:eastAsia="en-AU"/>
        </w:rPr>
        <w:t>max</w:t>
      </w:r>
      <w:r w:rsidRPr="00184C7D">
        <w:rPr>
          <w:rFonts w:eastAsia="Times New Roman"/>
          <w:kern w:val="16"/>
          <w:szCs w:val="24"/>
          <w:lang w:eastAsia="en-AU"/>
        </w:rPr>
        <w:t xml:space="preserve"> values for SN</w:t>
      </w:r>
      <w:r w:rsidR="001132CB">
        <w:rPr>
          <w:rFonts w:eastAsia="Times New Roman"/>
          <w:kern w:val="16"/>
          <w:szCs w:val="24"/>
          <w:lang w:eastAsia="en-AU"/>
        </w:rPr>
        <w:t>-38 were significantly reduced</w:t>
      </w:r>
      <w:r w:rsidRPr="00184C7D">
        <w:rPr>
          <w:rFonts w:eastAsia="Times New Roman"/>
          <w:kern w:val="16"/>
          <w:szCs w:val="24"/>
          <w:lang w:eastAsia="en-AU"/>
        </w:rPr>
        <w:t>.</w:t>
      </w:r>
    </w:p>
    <w:p w:rsidR="00184C7D" w:rsidRPr="00184C7D" w:rsidRDefault="00184C7D" w:rsidP="00BC6738">
      <w:pPr>
        <w:pStyle w:val="Heading5"/>
        <w:rPr>
          <w:lang w:eastAsia="en-AU"/>
        </w:rPr>
      </w:pPr>
      <w:r w:rsidRPr="00184C7D">
        <w:rPr>
          <w:lang w:eastAsia="en-AU"/>
        </w:rPr>
        <w:t>Dose proportionality</w:t>
      </w:r>
    </w:p>
    <w:p w:rsidR="00184C7D" w:rsidRPr="00184C7D" w:rsidRDefault="00184C7D" w:rsidP="00BC6738">
      <w:pPr>
        <w:rPr>
          <w:lang w:eastAsia="en-AU"/>
        </w:rPr>
      </w:pPr>
      <w:r w:rsidRPr="00184C7D">
        <w:rPr>
          <w:lang w:eastAsia="en-AU"/>
        </w:rPr>
        <w:t>I</w:t>
      </w:r>
      <w:r w:rsidR="006303C1">
        <w:rPr>
          <w:lang w:eastAsia="en-AU"/>
        </w:rPr>
        <w:t>n a pooled analysis of PK data</w:t>
      </w:r>
      <w:r w:rsidR="001132CB">
        <w:rPr>
          <w:lang w:eastAsia="en-AU"/>
        </w:rPr>
        <w:t xml:space="preserve">, </w:t>
      </w:r>
      <w:r w:rsidRPr="00184C7D">
        <w:rPr>
          <w:lang w:eastAsia="en-AU"/>
        </w:rPr>
        <w:t>AUC and C</w:t>
      </w:r>
      <w:r w:rsidRPr="00184C7D">
        <w:rPr>
          <w:vertAlign w:val="subscript"/>
          <w:lang w:eastAsia="en-AU"/>
        </w:rPr>
        <w:t>max</w:t>
      </w:r>
      <w:r w:rsidRPr="00184C7D">
        <w:rPr>
          <w:lang w:eastAsia="en-AU"/>
        </w:rPr>
        <w:t xml:space="preserve"> for total irinotecan were proportional to Onivyde dose over the 60-180 mg/m</w:t>
      </w:r>
      <w:r w:rsidRPr="00184C7D">
        <w:rPr>
          <w:vertAlign w:val="superscript"/>
          <w:lang w:eastAsia="en-AU"/>
        </w:rPr>
        <w:t>2</w:t>
      </w:r>
      <w:r w:rsidRPr="00184C7D">
        <w:rPr>
          <w:lang w:eastAsia="en-AU"/>
        </w:rPr>
        <w:t xml:space="preserve"> dose range. C</w:t>
      </w:r>
      <w:r w:rsidRPr="00184C7D">
        <w:rPr>
          <w:vertAlign w:val="subscript"/>
          <w:lang w:eastAsia="en-AU"/>
        </w:rPr>
        <w:t>max</w:t>
      </w:r>
      <w:r w:rsidRPr="00184C7D">
        <w:rPr>
          <w:lang w:eastAsia="en-AU"/>
        </w:rPr>
        <w:t xml:space="preserve"> values for the active metabolite SN-38 were also dose-proportional. However</w:t>
      </w:r>
      <w:r w:rsidR="006303C1">
        <w:rPr>
          <w:lang w:eastAsia="en-AU"/>
        </w:rPr>
        <w:t>,</w:t>
      </w:r>
      <w:r w:rsidRPr="00184C7D">
        <w:rPr>
          <w:lang w:eastAsia="en-AU"/>
        </w:rPr>
        <w:t xml:space="preserve"> it could not be demonstrated that AUC values for SN-38 increase proportionally with increased Onivyde dose.</w:t>
      </w:r>
    </w:p>
    <w:p w:rsidR="00184C7D" w:rsidRPr="00184C7D" w:rsidRDefault="00184C7D" w:rsidP="00BC6738">
      <w:pPr>
        <w:pStyle w:val="Heading4"/>
      </w:pPr>
      <w:bookmarkStart w:id="60" w:name="_Toc241374288"/>
      <w:bookmarkStart w:id="61" w:name="_Toc272414621"/>
      <w:bookmarkStart w:id="62" w:name="_Toc290846244"/>
      <w:bookmarkStart w:id="63" w:name="_Toc457234005"/>
      <w:r w:rsidRPr="00184C7D">
        <w:t>Distribution</w:t>
      </w:r>
      <w:bookmarkEnd w:id="60"/>
      <w:bookmarkEnd w:id="61"/>
      <w:bookmarkEnd w:id="62"/>
      <w:bookmarkEnd w:id="63"/>
    </w:p>
    <w:p w:rsidR="00184C7D" w:rsidRPr="00184C7D" w:rsidRDefault="00184C7D" w:rsidP="00BC6738">
      <w:pPr>
        <w:pStyle w:val="Heading5"/>
        <w:rPr>
          <w:lang w:eastAsia="en-AU"/>
        </w:rPr>
      </w:pPr>
      <w:r w:rsidRPr="00184C7D">
        <w:rPr>
          <w:lang w:eastAsia="en-AU"/>
        </w:rPr>
        <w:t>Volume of distribution</w:t>
      </w:r>
    </w:p>
    <w:p w:rsidR="00184C7D" w:rsidRPr="00184C7D" w:rsidRDefault="00184C7D" w:rsidP="00BC6738">
      <w:pPr>
        <w:rPr>
          <w:lang w:eastAsia="en-AU"/>
        </w:rPr>
      </w:pPr>
      <w:r w:rsidRPr="00184C7D">
        <w:rPr>
          <w:lang w:eastAsia="en-AU"/>
        </w:rPr>
        <w:t>After Onivyde administration, the volume of distribution for total irinotecan was small (typically 2-3 L/m</w:t>
      </w:r>
      <w:r w:rsidRPr="00184C7D">
        <w:rPr>
          <w:vertAlign w:val="superscript"/>
          <w:lang w:eastAsia="en-AU"/>
        </w:rPr>
        <w:t>2</w:t>
      </w:r>
      <w:r w:rsidRPr="00184C7D">
        <w:rPr>
          <w:lang w:eastAsia="en-AU"/>
        </w:rPr>
        <w:t>). In contrast, after conventional irinotecan hydrochloride solution, volume of distribut</w:t>
      </w:r>
      <w:r w:rsidR="000D4008">
        <w:rPr>
          <w:lang w:eastAsia="en-AU"/>
        </w:rPr>
        <w:t>ion was estimated to be 98.5 L</w:t>
      </w:r>
      <w:r w:rsidRPr="00184C7D">
        <w:rPr>
          <w:lang w:eastAsia="en-AU"/>
        </w:rPr>
        <w:t xml:space="preserve">. These data indicate that liposome-encapsulated irinotecan is retained in the vascular space and not widely distributed. </w:t>
      </w:r>
    </w:p>
    <w:p w:rsidR="00184C7D" w:rsidRPr="00184C7D" w:rsidRDefault="00184C7D" w:rsidP="00BC6738">
      <w:pPr>
        <w:pStyle w:val="Heading5"/>
        <w:rPr>
          <w:lang w:eastAsia="en-AU"/>
        </w:rPr>
      </w:pPr>
      <w:r w:rsidRPr="00184C7D">
        <w:rPr>
          <w:lang w:eastAsia="en-AU"/>
        </w:rPr>
        <w:lastRenderedPageBreak/>
        <w:t>Plasma protein binding</w:t>
      </w:r>
    </w:p>
    <w:p w:rsidR="00184C7D" w:rsidRPr="00184C7D" w:rsidRDefault="00184C7D" w:rsidP="00BC6738">
      <w:pPr>
        <w:rPr>
          <w:lang w:eastAsia="en-AU"/>
        </w:rPr>
      </w:pPr>
      <w:r w:rsidRPr="00184C7D">
        <w:rPr>
          <w:lang w:eastAsia="en-AU"/>
        </w:rPr>
        <w:t xml:space="preserve">An in vitro study was reported as demonstrating that the level of liposome binding to plasma proteins is low (&lt;0.44%). </w:t>
      </w:r>
    </w:p>
    <w:p w:rsidR="00184C7D" w:rsidRPr="00184C7D" w:rsidRDefault="00184C7D" w:rsidP="00BC6738">
      <w:pPr>
        <w:pStyle w:val="Heading5"/>
        <w:rPr>
          <w:lang w:eastAsia="en-AU"/>
        </w:rPr>
      </w:pPr>
      <w:r w:rsidRPr="00184C7D">
        <w:rPr>
          <w:lang w:eastAsia="en-AU"/>
        </w:rPr>
        <w:t>Tissue distribution</w:t>
      </w:r>
    </w:p>
    <w:p w:rsidR="00184C7D" w:rsidRPr="00184C7D" w:rsidRDefault="00184C7D" w:rsidP="00BC6738">
      <w:pPr>
        <w:rPr>
          <w:lang w:eastAsia="en-AU"/>
        </w:rPr>
      </w:pPr>
      <w:r w:rsidRPr="00184C7D">
        <w:rPr>
          <w:lang w:eastAsia="en-AU"/>
        </w:rPr>
        <w:t>Following Onivyde administration, concentrations of the active metabolite SN-38 were higher in tumour tissue th</w:t>
      </w:r>
      <w:r w:rsidR="009B0426">
        <w:rPr>
          <w:lang w:eastAsia="en-AU"/>
        </w:rPr>
        <w:t>an in plasma</w:t>
      </w:r>
      <w:r w:rsidRPr="00184C7D">
        <w:rPr>
          <w:lang w:eastAsia="en-AU"/>
        </w:rPr>
        <w:t xml:space="preserve">. </w:t>
      </w:r>
    </w:p>
    <w:p w:rsidR="00184C7D" w:rsidRPr="008E6F12" w:rsidRDefault="008E6F12" w:rsidP="008E6F12">
      <w:pPr>
        <w:ind w:left="720"/>
        <w:rPr>
          <w:i/>
        </w:rPr>
      </w:pPr>
      <w:r w:rsidRPr="008E6F12">
        <w:rPr>
          <w:i/>
        </w:rPr>
        <w:t xml:space="preserve">Comment: </w:t>
      </w:r>
      <w:r w:rsidR="00184C7D" w:rsidRPr="008E6F12">
        <w:rPr>
          <w:i/>
        </w:rPr>
        <w:t>There were no clinical data to establish that tumour concentrations of SN-38 were higher after Onivyde administration than after administration of conventional irinotecan hydrochloride.</w:t>
      </w:r>
    </w:p>
    <w:p w:rsidR="00184C7D" w:rsidRPr="00184C7D" w:rsidRDefault="00184C7D" w:rsidP="00BC6738">
      <w:pPr>
        <w:pStyle w:val="Heading4"/>
      </w:pPr>
      <w:bookmarkStart w:id="64" w:name="_Toc272414622"/>
      <w:bookmarkStart w:id="65" w:name="_Toc290846245"/>
      <w:bookmarkStart w:id="66" w:name="_Toc457234006"/>
      <w:r w:rsidRPr="00184C7D">
        <w:t>Metabolism</w:t>
      </w:r>
      <w:bookmarkEnd w:id="64"/>
      <w:bookmarkEnd w:id="65"/>
      <w:bookmarkEnd w:id="66"/>
    </w:p>
    <w:p w:rsidR="00184C7D" w:rsidRPr="00184C7D" w:rsidRDefault="00C2102B" w:rsidP="00BC6738">
      <w:pPr>
        <w:rPr>
          <w:lang w:eastAsia="en-AU"/>
        </w:rPr>
      </w:pPr>
      <w:r>
        <w:rPr>
          <w:lang w:eastAsia="en-AU"/>
        </w:rPr>
        <w:t>T</w:t>
      </w:r>
      <w:r w:rsidR="00184C7D" w:rsidRPr="00184C7D">
        <w:rPr>
          <w:lang w:eastAsia="en-AU"/>
        </w:rPr>
        <w:t>he submission did not contain any studies that examined the metabolism of irinotecan after administration of Onivyde. After release from the liposomes the irinotecan contained in Onivyde would be expected to be metabolised to SN-38 and then SN-38 glucuronide.</w:t>
      </w:r>
    </w:p>
    <w:p w:rsidR="00184C7D" w:rsidRPr="00184C7D" w:rsidRDefault="00184C7D" w:rsidP="00BC6738">
      <w:pPr>
        <w:pStyle w:val="Heading5"/>
        <w:rPr>
          <w:lang w:eastAsia="en-AU"/>
        </w:rPr>
      </w:pPr>
      <w:r w:rsidRPr="00184C7D">
        <w:rPr>
          <w:lang w:eastAsia="en-AU"/>
        </w:rPr>
        <w:t>Total clearance</w:t>
      </w:r>
    </w:p>
    <w:p w:rsidR="00184C7D" w:rsidRPr="00184C7D" w:rsidRDefault="00184C7D" w:rsidP="00BC6738">
      <w:pPr>
        <w:rPr>
          <w:lang w:eastAsia="en-AU"/>
        </w:rPr>
      </w:pPr>
      <w:r w:rsidRPr="00184C7D">
        <w:rPr>
          <w:lang w:eastAsia="en-AU"/>
        </w:rPr>
        <w:t xml:space="preserve">Values for total clearance of total irinotecan following administration of Onivyde were typically in the range of 59 – 200 </w:t>
      </w:r>
      <w:proofErr w:type="spellStart"/>
      <w:r w:rsidRPr="00184C7D">
        <w:rPr>
          <w:lang w:eastAsia="en-AU"/>
        </w:rPr>
        <w:t>mLs</w:t>
      </w:r>
      <w:proofErr w:type="spellEnd"/>
      <w:r w:rsidRPr="00184C7D">
        <w:rPr>
          <w:lang w:eastAsia="en-AU"/>
        </w:rPr>
        <w:t>/hr/m</w:t>
      </w:r>
      <w:r w:rsidRPr="00184C7D">
        <w:rPr>
          <w:vertAlign w:val="superscript"/>
          <w:lang w:eastAsia="en-AU"/>
        </w:rPr>
        <w:t>2</w:t>
      </w:r>
      <w:r w:rsidRPr="00184C7D">
        <w:rPr>
          <w:lang w:eastAsia="en-AU"/>
        </w:rPr>
        <w:t xml:space="preserve">. In contrast, after conventional irinotecan hydrochloride solution, mean clearance was estimated to be </w:t>
      </w:r>
      <w:proofErr w:type="gramStart"/>
      <w:r w:rsidRPr="00184C7D">
        <w:rPr>
          <w:lang w:eastAsia="en-AU"/>
        </w:rPr>
        <w:t xml:space="preserve">12,886 </w:t>
      </w:r>
      <w:proofErr w:type="spellStart"/>
      <w:r w:rsidRPr="00184C7D">
        <w:rPr>
          <w:lang w:eastAsia="en-AU"/>
        </w:rPr>
        <w:t>mLs</w:t>
      </w:r>
      <w:proofErr w:type="spellEnd"/>
      <w:r w:rsidRPr="00184C7D">
        <w:rPr>
          <w:lang w:eastAsia="en-AU"/>
        </w:rPr>
        <w:t>/hr/m</w:t>
      </w:r>
      <w:r w:rsidRPr="00184C7D">
        <w:rPr>
          <w:vertAlign w:val="superscript"/>
          <w:lang w:eastAsia="en-AU"/>
        </w:rPr>
        <w:t>2</w:t>
      </w:r>
      <w:proofErr w:type="gramEnd"/>
      <w:r w:rsidRPr="00184C7D">
        <w:rPr>
          <w:lang w:eastAsia="en-AU"/>
        </w:rPr>
        <w:t>.</w:t>
      </w:r>
    </w:p>
    <w:p w:rsidR="00184C7D" w:rsidRPr="00184C7D" w:rsidRDefault="00184C7D" w:rsidP="00BC6738">
      <w:pPr>
        <w:pStyle w:val="Heading5"/>
        <w:rPr>
          <w:lang w:eastAsia="en-AU"/>
        </w:rPr>
      </w:pPr>
      <w:r w:rsidRPr="00184C7D">
        <w:rPr>
          <w:lang w:eastAsia="en-AU"/>
        </w:rPr>
        <w:t xml:space="preserve">Half-life </w:t>
      </w:r>
    </w:p>
    <w:p w:rsidR="00184C7D" w:rsidRPr="00184C7D" w:rsidRDefault="00184C7D" w:rsidP="00BC6738">
      <w:pPr>
        <w:rPr>
          <w:lang w:eastAsia="en-AU"/>
        </w:rPr>
      </w:pPr>
      <w:r w:rsidRPr="00184C7D">
        <w:rPr>
          <w:lang w:eastAsia="en-AU"/>
        </w:rPr>
        <w:t>After administration of Onivyde, the half-life of total irinotecan in plasma was typically in the r</w:t>
      </w:r>
      <w:r w:rsidR="009269FE">
        <w:rPr>
          <w:lang w:eastAsia="en-AU"/>
        </w:rPr>
        <w:t>ange of 15 – 24 hours</w:t>
      </w:r>
      <w:r w:rsidRPr="00184C7D">
        <w:rPr>
          <w:lang w:eastAsia="en-AU"/>
        </w:rPr>
        <w:t>. In comparison, after administration of conventional irinotecan the half-li</w:t>
      </w:r>
      <w:r w:rsidR="009269FE">
        <w:rPr>
          <w:lang w:eastAsia="en-AU"/>
        </w:rPr>
        <w:t>fe of irinotecan was 7.7 hours</w:t>
      </w:r>
      <w:r w:rsidRPr="00184C7D">
        <w:rPr>
          <w:lang w:eastAsia="en-AU"/>
        </w:rPr>
        <w:t>.</w:t>
      </w:r>
    </w:p>
    <w:p w:rsidR="00184C7D" w:rsidRPr="00184C7D" w:rsidRDefault="00184C7D" w:rsidP="00BC6738">
      <w:pPr>
        <w:pStyle w:val="Heading5"/>
        <w:rPr>
          <w:lang w:eastAsia="en-AU"/>
        </w:rPr>
      </w:pPr>
      <w:r w:rsidRPr="00184C7D">
        <w:rPr>
          <w:lang w:eastAsia="en-AU"/>
        </w:rPr>
        <w:t>Consequences of genetic polymorphism</w:t>
      </w:r>
    </w:p>
    <w:p w:rsidR="00184C7D" w:rsidRPr="00184C7D" w:rsidRDefault="00184C7D" w:rsidP="00184C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4"/>
          <w:lang w:eastAsia="en-AU"/>
        </w:rPr>
      </w:pPr>
      <w:r w:rsidRPr="00184C7D">
        <w:rPr>
          <w:rFonts w:eastAsia="Times New Roman"/>
          <w:kern w:val="16"/>
          <w:szCs w:val="24"/>
          <w:lang w:eastAsia="en-AU"/>
        </w:rPr>
        <w:t xml:space="preserve">SN-38 is converted to its inactive metabolite SN-38 glucuronide (SN-38G) by UGT1A1. With conventional irinotecan hydrochloride solution it is known that subjects who are homozygous for the </w:t>
      </w:r>
      <w:r w:rsidRPr="00E97D7C">
        <w:rPr>
          <w:rFonts w:eastAsia="Times New Roman"/>
          <w:i/>
          <w:kern w:val="16"/>
          <w:szCs w:val="24"/>
          <w:lang w:eastAsia="en-AU"/>
        </w:rPr>
        <w:t>UGT1A1*</w:t>
      </w:r>
      <w:proofErr w:type="gramStart"/>
      <w:r w:rsidRPr="00E97D7C">
        <w:rPr>
          <w:rFonts w:eastAsia="Times New Roman"/>
          <w:i/>
          <w:kern w:val="16"/>
          <w:szCs w:val="24"/>
          <w:lang w:eastAsia="en-AU"/>
        </w:rPr>
        <w:t>28</w:t>
      </w:r>
      <w:r w:rsidRPr="00184C7D">
        <w:rPr>
          <w:rFonts w:eastAsia="Times New Roman"/>
          <w:kern w:val="16"/>
          <w:szCs w:val="24"/>
          <w:lang w:eastAsia="en-AU"/>
        </w:rPr>
        <w:t xml:space="preserve"> allele</w:t>
      </w:r>
      <w:proofErr w:type="gramEnd"/>
      <w:r w:rsidRPr="00184C7D">
        <w:rPr>
          <w:rFonts w:eastAsia="Times New Roman"/>
          <w:kern w:val="16"/>
          <w:szCs w:val="24"/>
          <w:lang w:eastAsia="en-AU"/>
        </w:rPr>
        <w:t xml:space="preserve"> have a decreased capacity for this conversion, and may therefore experience increased toxicity due to SN-38 (</w:t>
      </w:r>
      <w:proofErr w:type="spellStart"/>
      <w:r w:rsidRPr="00184C7D">
        <w:rPr>
          <w:rFonts w:eastAsia="Times New Roman"/>
          <w:kern w:val="16"/>
          <w:szCs w:val="24"/>
          <w:lang w:eastAsia="en-AU"/>
        </w:rPr>
        <w:t>neutropaenia</w:t>
      </w:r>
      <w:proofErr w:type="spellEnd"/>
      <w:r w:rsidRPr="00184C7D">
        <w:rPr>
          <w:rFonts w:eastAsia="Times New Roman"/>
          <w:kern w:val="16"/>
          <w:szCs w:val="24"/>
          <w:lang w:eastAsia="en-AU"/>
        </w:rPr>
        <w:t xml:space="preserve"> and diarrhoea). A similar effect would be expected with Onivyde. Howeve</w:t>
      </w:r>
      <w:r w:rsidR="00F72108">
        <w:rPr>
          <w:rFonts w:eastAsia="Times New Roman"/>
          <w:kern w:val="16"/>
          <w:szCs w:val="24"/>
          <w:lang w:eastAsia="en-AU"/>
        </w:rPr>
        <w:t>r, in a population PK analysis</w:t>
      </w:r>
      <w:r w:rsidRPr="00184C7D">
        <w:rPr>
          <w:rFonts w:eastAsia="Times New Roman"/>
          <w:kern w:val="16"/>
          <w:szCs w:val="24"/>
          <w:lang w:eastAsia="en-AU"/>
        </w:rPr>
        <w:t xml:space="preserve">, there was no association demonstrated between </w:t>
      </w:r>
      <w:r w:rsidRPr="00E97D7C">
        <w:rPr>
          <w:rFonts w:eastAsia="Times New Roman"/>
          <w:i/>
          <w:kern w:val="16"/>
          <w:szCs w:val="24"/>
          <w:lang w:eastAsia="en-AU"/>
        </w:rPr>
        <w:t>UGT1A1*28</w:t>
      </w:r>
      <w:r w:rsidRPr="00184C7D">
        <w:rPr>
          <w:rFonts w:eastAsia="Times New Roman"/>
          <w:kern w:val="16"/>
          <w:szCs w:val="24"/>
          <w:lang w:eastAsia="en-AU"/>
        </w:rPr>
        <w:t xml:space="preserve"> homozygosity and plasma SN-38 concentrations. </w:t>
      </w:r>
    </w:p>
    <w:p w:rsidR="00184C7D" w:rsidRPr="00184C7D" w:rsidRDefault="00184C7D" w:rsidP="00BC6738">
      <w:pPr>
        <w:pStyle w:val="Heading5"/>
        <w:rPr>
          <w:lang w:eastAsia="en-AU"/>
        </w:rPr>
      </w:pPr>
      <w:bookmarkStart w:id="67" w:name="_Toc241374289"/>
      <w:bookmarkStart w:id="68" w:name="_Toc272414623"/>
      <w:bookmarkStart w:id="69" w:name="_Toc290846246"/>
      <w:bookmarkStart w:id="70" w:name="_Toc457234007"/>
      <w:r w:rsidRPr="00184C7D">
        <w:rPr>
          <w:lang w:eastAsia="en-AU"/>
        </w:rPr>
        <w:t>E</w:t>
      </w:r>
      <w:bookmarkEnd w:id="67"/>
      <w:r w:rsidRPr="00184C7D">
        <w:rPr>
          <w:lang w:eastAsia="en-AU"/>
        </w:rPr>
        <w:t>xcretion</w:t>
      </w:r>
      <w:bookmarkEnd w:id="68"/>
      <w:bookmarkEnd w:id="69"/>
      <w:bookmarkEnd w:id="70"/>
    </w:p>
    <w:p w:rsidR="00184C7D" w:rsidRPr="00184C7D" w:rsidRDefault="00184C7D" w:rsidP="00BC673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184C7D">
        <w:rPr>
          <w:rFonts w:eastAsia="Times New Roman"/>
          <w:kern w:val="16"/>
          <w:szCs w:val="24"/>
          <w:lang w:eastAsia="en-AU"/>
        </w:rPr>
        <w:t>There were no clinical studies in the submission that examined the excretion of irinotecan or its metabolites after administration of Onivyde. After administration of conventional irinotecan</w:t>
      </w:r>
      <w:r w:rsidR="00F72108">
        <w:rPr>
          <w:rFonts w:eastAsia="Times New Roman"/>
          <w:kern w:val="16"/>
          <w:szCs w:val="24"/>
          <w:lang w:eastAsia="en-AU"/>
        </w:rPr>
        <w:t>,</w:t>
      </w:r>
      <w:r w:rsidRPr="00184C7D">
        <w:rPr>
          <w:rFonts w:eastAsia="Times New Roman"/>
          <w:kern w:val="16"/>
          <w:szCs w:val="24"/>
          <w:lang w:eastAsia="en-AU"/>
        </w:rPr>
        <w:t xml:space="preserve"> the drug and its metabolites are p</w:t>
      </w:r>
      <w:r w:rsidR="00775098">
        <w:rPr>
          <w:rFonts w:eastAsia="Times New Roman"/>
          <w:kern w:val="16"/>
          <w:szCs w:val="24"/>
          <w:lang w:eastAsia="en-AU"/>
        </w:rPr>
        <w:t>rimarily excreted in the faeces.</w:t>
      </w:r>
      <w:r w:rsidR="00775098">
        <w:rPr>
          <w:rStyle w:val="FootnoteReference"/>
          <w:rFonts w:eastAsia="Times New Roman"/>
          <w:kern w:val="16"/>
          <w:szCs w:val="24"/>
          <w:lang w:eastAsia="en-AU"/>
        </w:rPr>
        <w:footnoteReference w:id="16"/>
      </w:r>
    </w:p>
    <w:p w:rsidR="00184C7D" w:rsidRPr="00184C7D" w:rsidRDefault="00184C7D" w:rsidP="00BC6738">
      <w:pPr>
        <w:pStyle w:val="Heading5"/>
        <w:rPr>
          <w:lang w:eastAsia="en-AU"/>
        </w:rPr>
      </w:pPr>
      <w:bookmarkStart w:id="71" w:name="_Toc241374291"/>
      <w:bookmarkStart w:id="72" w:name="_Toc272414624"/>
      <w:bookmarkStart w:id="73" w:name="_Toc290846247"/>
      <w:bookmarkStart w:id="74" w:name="_Toc457234008"/>
      <w:r w:rsidRPr="00184C7D">
        <w:rPr>
          <w:lang w:eastAsia="en-AU"/>
        </w:rPr>
        <w:t>Intra- and inter-individual variability</w:t>
      </w:r>
      <w:bookmarkEnd w:id="71"/>
      <w:r w:rsidRPr="00184C7D">
        <w:rPr>
          <w:lang w:eastAsia="en-AU"/>
        </w:rPr>
        <w:t xml:space="preserve"> of pharmacokinetics</w:t>
      </w:r>
      <w:bookmarkEnd w:id="72"/>
      <w:bookmarkEnd w:id="73"/>
      <w:bookmarkEnd w:id="74"/>
    </w:p>
    <w:p w:rsidR="00184C7D" w:rsidRPr="00184C7D" w:rsidRDefault="00184C7D" w:rsidP="00BC6738">
      <w:pPr>
        <w:rPr>
          <w:lang w:eastAsia="en-AU"/>
        </w:rPr>
      </w:pPr>
      <w:r w:rsidRPr="00184C7D">
        <w:rPr>
          <w:lang w:eastAsia="en-AU"/>
        </w:rPr>
        <w:t>The Summary of Clinical Pharmacology did not include a discussion of PK variability. Where reported, the coefficient of variation for PK parameters was typically in the range of 50-150%, suggesting moderate to high inter-individual variability. All PK data in the submission were after a single dose and therefore intra-patient variability was not assessed.</w:t>
      </w:r>
      <w:bookmarkStart w:id="75" w:name="_Toc241374293"/>
    </w:p>
    <w:p w:rsidR="00184C7D" w:rsidRPr="00184C7D" w:rsidRDefault="00184C7D" w:rsidP="00BC6738">
      <w:pPr>
        <w:pStyle w:val="Heading4"/>
      </w:pPr>
      <w:bookmarkStart w:id="76" w:name="_Toc272414626"/>
      <w:bookmarkStart w:id="77" w:name="_Toc290846249"/>
      <w:bookmarkStart w:id="78" w:name="_Toc457234009"/>
      <w:bookmarkStart w:id="79" w:name="_Toc483819658"/>
      <w:r w:rsidRPr="00184C7D">
        <w:t>Pharmacokinetics in other special populations</w:t>
      </w:r>
      <w:bookmarkEnd w:id="75"/>
      <w:bookmarkEnd w:id="76"/>
      <w:bookmarkEnd w:id="77"/>
      <w:bookmarkEnd w:id="78"/>
      <w:bookmarkEnd w:id="79"/>
    </w:p>
    <w:p w:rsidR="00184C7D" w:rsidRPr="00184C7D" w:rsidRDefault="00184C7D" w:rsidP="00BC6738">
      <w:pPr>
        <w:pStyle w:val="Heading5"/>
        <w:rPr>
          <w:lang w:eastAsia="en-AU"/>
        </w:rPr>
      </w:pPr>
      <w:bookmarkStart w:id="80" w:name="_Toc272414627"/>
      <w:bookmarkStart w:id="81" w:name="_Toc290846250"/>
      <w:bookmarkStart w:id="82" w:name="_Toc457234010"/>
      <w:r w:rsidRPr="00184C7D">
        <w:rPr>
          <w:lang w:eastAsia="en-AU"/>
        </w:rPr>
        <w:t>Pharmacokinetics in subjects with impaired hepatic function</w:t>
      </w:r>
      <w:bookmarkEnd w:id="80"/>
      <w:bookmarkEnd w:id="81"/>
      <w:bookmarkEnd w:id="82"/>
    </w:p>
    <w:p w:rsidR="00184C7D" w:rsidRPr="00184C7D" w:rsidRDefault="00184C7D" w:rsidP="00BC6738">
      <w:pPr>
        <w:rPr>
          <w:bCs/>
          <w:lang w:eastAsia="en-AU"/>
        </w:rPr>
      </w:pPr>
      <w:r w:rsidRPr="00184C7D">
        <w:rPr>
          <w:lang w:eastAsia="en-AU"/>
        </w:rPr>
        <w:t xml:space="preserve">There were no dedicated studies on the PK of Onivyde in subjects with hepatic impairment. </w:t>
      </w:r>
      <w:r w:rsidR="00775098">
        <w:rPr>
          <w:bCs/>
          <w:lang w:eastAsia="en-AU"/>
        </w:rPr>
        <w:t>In the population PK analysis</w:t>
      </w:r>
      <w:r w:rsidRPr="00184C7D">
        <w:rPr>
          <w:bCs/>
          <w:lang w:eastAsia="en-AU"/>
        </w:rPr>
        <w:t xml:space="preserve">, </w:t>
      </w:r>
      <w:r w:rsidRPr="00184C7D">
        <w:rPr>
          <w:lang w:eastAsia="en-AU"/>
        </w:rPr>
        <w:t xml:space="preserve">higher baseline bilirubin was associated with higher SN-38 </w:t>
      </w:r>
      <w:r w:rsidRPr="00184C7D">
        <w:rPr>
          <w:lang w:eastAsia="en-AU"/>
        </w:rPr>
        <w:lastRenderedPageBreak/>
        <w:t xml:space="preserve">concentrations. However other markers of hepatic function (AST, ALT, presence or absence of liver metastases) were not associated with altered pharmacokinetics. </w:t>
      </w:r>
    </w:p>
    <w:p w:rsidR="00184C7D" w:rsidRPr="00184C7D" w:rsidRDefault="00184C7D" w:rsidP="00BC6738">
      <w:pPr>
        <w:pStyle w:val="Heading5"/>
        <w:rPr>
          <w:lang w:eastAsia="en-AU"/>
        </w:rPr>
      </w:pPr>
      <w:bookmarkStart w:id="83" w:name="_Toc272414628"/>
      <w:bookmarkStart w:id="84" w:name="_Toc290846251"/>
      <w:bookmarkStart w:id="85" w:name="_Toc457234011"/>
      <w:r w:rsidRPr="00184C7D">
        <w:rPr>
          <w:lang w:eastAsia="en-AU"/>
        </w:rPr>
        <w:t>Pharmacokinetics in subjects with impaired renal function</w:t>
      </w:r>
      <w:bookmarkEnd w:id="83"/>
      <w:bookmarkEnd w:id="84"/>
      <w:bookmarkEnd w:id="85"/>
    </w:p>
    <w:p w:rsidR="00184C7D" w:rsidRPr="00184C7D" w:rsidRDefault="00184C7D" w:rsidP="00BC6738">
      <w:pPr>
        <w:rPr>
          <w:lang w:eastAsia="en-AU"/>
        </w:rPr>
      </w:pPr>
      <w:r w:rsidRPr="00184C7D">
        <w:rPr>
          <w:lang w:eastAsia="en-AU"/>
        </w:rPr>
        <w:t>There were no dedicated studies on the PK of Onivyde in subjects with hepatic impairment.</w:t>
      </w:r>
      <w:r w:rsidR="0083524C">
        <w:rPr>
          <w:lang w:eastAsia="en-AU"/>
        </w:rPr>
        <w:t xml:space="preserve"> In the population PK analysis</w:t>
      </w:r>
      <w:r w:rsidRPr="00184C7D">
        <w:rPr>
          <w:lang w:eastAsia="en-AU"/>
        </w:rPr>
        <w:t>, impaired creatinine clearance at baseline was not associated with altered pharmacokinetics.</w:t>
      </w:r>
    </w:p>
    <w:p w:rsidR="00184C7D" w:rsidRPr="00184C7D" w:rsidRDefault="00184C7D" w:rsidP="00BC6738">
      <w:pPr>
        <w:pStyle w:val="Heading5"/>
        <w:rPr>
          <w:lang w:eastAsia="en-AU"/>
        </w:rPr>
      </w:pPr>
      <w:bookmarkStart w:id="86" w:name="_Toc272414629"/>
      <w:bookmarkStart w:id="87" w:name="_Toc290846252"/>
      <w:bookmarkStart w:id="88" w:name="_Toc457234012"/>
      <w:r w:rsidRPr="00184C7D">
        <w:rPr>
          <w:lang w:eastAsia="en-AU"/>
        </w:rPr>
        <w:t>Pharmacokinetics according to age</w:t>
      </w:r>
      <w:bookmarkEnd w:id="86"/>
      <w:bookmarkEnd w:id="87"/>
      <w:bookmarkEnd w:id="88"/>
    </w:p>
    <w:p w:rsidR="00184C7D" w:rsidRPr="00184C7D" w:rsidRDefault="00184C7D" w:rsidP="00BC6738">
      <w:pPr>
        <w:rPr>
          <w:lang w:eastAsia="en-AU"/>
        </w:rPr>
      </w:pPr>
      <w:r w:rsidRPr="00184C7D">
        <w:rPr>
          <w:lang w:eastAsia="en-AU"/>
        </w:rPr>
        <w:t>In the population PK analysis, increased age was not associated with al</w:t>
      </w:r>
      <w:r w:rsidR="00BC6738">
        <w:rPr>
          <w:lang w:eastAsia="en-AU"/>
        </w:rPr>
        <w:t>tered PK of irinotecan or SN-38.</w:t>
      </w:r>
    </w:p>
    <w:p w:rsidR="00184C7D" w:rsidRPr="00184C7D" w:rsidRDefault="00184C7D" w:rsidP="00BC6738">
      <w:pPr>
        <w:pStyle w:val="Heading4"/>
      </w:pPr>
      <w:bookmarkStart w:id="89" w:name="_Toc241374294"/>
      <w:bookmarkStart w:id="90" w:name="_Toc272414632"/>
      <w:bookmarkStart w:id="91" w:name="_Toc290846255"/>
      <w:bookmarkStart w:id="92" w:name="_Toc457234013"/>
      <w:bookmarkStart w:id="93" w:name="_Toc483819659"/>
      <w:r w:rsidRPr="00184C7D">
        <w:t>Pharmacokinetic interactions</w:t>
      </w:r>
      <w:bookmarkEnd w:id="89"/>
      <w:bookmarkEnd w:id="90"/>
      <w:bookmarkEnd w:id="91"/>
      <w:bookmarkEnd w:id="92"/>
      <w:bookmarkEnd w:id="93"/>
    </w:p>
    <w:p w:rsidR="00184C7D" w:rsidRPr="00184C7D" w:rsidRDefault="00184C7D" w:rsidP="00BC6738">
      <w:pPr>
        <w:rPr>
          <w:lang w:eastAsia="en-AU"/>
        </w:rPr>
      </w:pPr>
      <w:r w:rsidRPr="00184C7D">
        <w:rPr>
          <w:lang w:eastAsia="en-AU"/>
        </w:rPr>
        <w:t>In the population PK analysis, co-administration of Onivyde with 5-FU was not associated with any significant alteration in the PK parameters for irinotecan or SN-38.</w:t>
      </w:r>
    </w:p>
    <w:p w:rsidR="00184C7D" w:rsidRPr="00184C7D" w:rsidRDefault="00184C7D" w:rsidP="00BC6738">
      <w:pPr>
        <w:rPr>
          <w:lang w:eastAsia="en-AU"/>
        </w:rPr>
      </w:pPr>
      <w:r w:rsidRPr="00184C7D">
        <w:rPr>
          <w:lang w:eastAsia="en-AU"/>
        </w:rPr>
        <w:t>In the pivotal study, sparse PK sampling did not suggest any effec</w:t>
      </w:r>
      <w:r w:rsidR="0083524C">
        <w:rPr>
          <w:lang w:eastAsia="en-AU"/>
        </w:rPr>
        <w:t>t of Onivyde on the PK of 5-FU</w:t>
      </w:r>
      <w:r w:rsidRPr="00184C7D">
        <w:rPr>
          <w:lang w:eastAsia="en-AU"/>
        </w:rPr>
        <w:t>.</w:t>
      </w:r>
    </w:p>
    <w:p w:rsidR="00184C7D" w:rsidRPr="00184C7D" w:rsidRDefault="00184C7D" w:rsidP="00BC6738">
      <w:pPr>
        <w:pStyle w:val="Heading3"/>
      </w:pPr>
      <w:bookmarkStart w:id="94" w:name="_Toc241374296"/>
      <w:bookmarkStart w:id="95" w:name="_Ref269982040"/>
      <w:bookmarkStart w:id="96" w:name="_Ref271018704"/>
      <w:bookmarkStart w:id="97" w:name="_Ref271018755"/>
      <w:bookmarkStart w:id="98" w:name="_Toc272414635"/>
      <w:bookmarkStart w:id="99" w:name="_Toc290846258"/>
      <w:bookmarkStart w:id="100" w:name="_Toc457234014"/>
      <w:bookmarkStart w:id="101" w:name="_Toc490577142"/>
      <w:r w:rsidRPr="00184C7D">
        <w:t>Evaluator’s overall conclusions on pharmacokinetics</w:t>
      </w:r>
      <w:bookmarkEnd w:id="94"/>
      <w:bookmarkEnd w:id="95"/>
      <w:bookmarkEnd w:id="96"/>
      <w:bookmarkEnd w:id="97"/>
      <w:bookmarkEnd w:id="98"/>
      <w:bookmarkEnd w:id="99"/>
      <w:bookmarkEnd w:id="100"/>
      <w:bookmarkEnd w:id="101"/>
    </w:p>
    <w:p w:rsidR="00184C7D" w:rsidRPr="00184C7D" w:rsidRDefault="00184C7D" w:rsidP="00BC6738">
      <w:pPr>
        <w:rPr>
          <w:lang w:eastAsia="en-AU"/>
        </w:rPr>
      </w:pPr>
      <w:r w:rsidRPr="00184C7D">
        <w:rPr>
          <w:lang w:eastAsia="en-AU"/>
        </w:rPr>
        <w:t>Overall the submitted studies are considered adequate for defining the pharmacokinetics of irinotecan and SN-38 after administration of Onivyde.</w:t>
      </w:r>
    </w:p>
    <w:p w:rsidR="00184C7D" w:rsidRPr="00184C7D" w:rsidRDefault="00184C7D" w:rsidP="00BC6738">
      <w:pPr>
        <w:rPr>
          <w:lang w:eastAsia="en-AU"/>
        </w:rPr>
      </w:pPr>
      <w:r w:rsidRPr="00184C7D">
        <w:rPr>
          <w:lang w:eastAsia="en-AU"/>
        </w:rPr>
        <w:t>Compared with conventional irinotecan, Onivyde administration results in a prolonged irinotecan half-life with reduced clearance and volume of distribution. AUC and C</w:t>
      </w:r>
      <w:r w:rsidRPr="00184C7D">
        <w:rPr>
          <w:vertAlign w:val="subscript"/>
          <w:lang w:eastAsia="en-AU"/>
        </w:rPr>
        <w:t>max</w:t>
      </w:r>
      <w:r w:rsidRPr="00184C7D">
        <w:rPr>
          <w:lang w:eastAsia="en-AU"/>
        </w:rPr>
        <w:t xml:space="preserve"> values for irinotecan are increased. AUC values for the active metabolite SN-38 are also increased but C</w:t>
      </w:r>
      <w:r w:rsidRPr="00184C7D">
        <w:rPr>
          <w:vertAlign w:val="subscript"/>
          <w:lang w:eastAsia="en-AU"/>
        </w:rPr>
        <w:t>max</w:t>
      </w:r>
      <w:r w:rsidRPr="00184C7D">
        <w:rPr>
          <w:lang w:eastAsia="en-AU"/>
        </w:rPr>
        <w:t xml:space="preserve"> values are decreased. The clinical data do not provide any evidence that concentrations of irinotecan or SN-38 are increased in tumour tissue compared to conventional irinotecan.</w:t>
      </w:r>
    </w:p>
    <w:p w:rsidR="0085068D" w:rsidRPr="00BC6738" w:rsidRDefault="00184C7D" w:rsidP="00BC6738">
      <w:pPr>
        <w:rPr>
          <w:lang w:eastAsia="en-AU"/>
        </w:rPr>
      </w:pPr>
      <w:r w:rsidRPr="00184C7D">
        <w:rPr>
          <w:lang w:eastAsia="en-AU"/>
        </w:rPr>
        <w:t>Although the PK comparisons with conventional irinotecan are of interest, they are of limited clinical relevance, as conventional irinotecan is not used as a single agent in the treatment of pancreatic cancer.</w:t>
      </w:r>
    </w:p>
    <w:p w:rsidR="00586F98" w:rsidRDefault="00586F98" w:rsidP="00586F98">
      <w:pPr>
        <w:pStyle w:val="Heading2"/>
      </w:pPr>
      <w:bookmarkStart w:id="102" w:name="_Toc490577143"/>
      <w:r>
        <w:t>Pharmacodynamics</w:t>
      </w:r>
      <w:bookmarkEnd w:id="102"/>
    </w:p>
    <w:p w:rsidR="00184C7D" w:rsidRPr="00184C7D" w:rsidRDefault="00184C7D" w:rsidP="00184C7D">
      <w:pPr>
        <w:rPr>
          <w:rFonts w:eastAsia="Times New Roman"/>
          <w:kern w:val="16"/>
          <w:szCs w:val="24"/>
          <w:lang w:eastAsia="en-AU"/>
        </w:rPr>
      </w:pPr>
      <w:r w:rsidRPr="00184C7D">
        <w:rPr>
          <w:rFonts w:eastAsia="Times New Roman"/>
          <w:kern w:val="16"/>
          <w:szCs w:val="24"/>
          <w:lang w:eastAsia="en-AU"/>
        </w:rPr>
        <w:t>There were no clinical pharmacodynamic studies in the submission.</w:t>
      </w:r>
    </w:p>
    <w:p w:rsidR="00586F98" w:rsidRDefault="00C22678" w:rsidP="00586F98">
      <w:pPr>
        <w:pStyle w:val="Heading2"/>
      </w:pPr>
      <w:bookmarkStart w:id="103" w:name="_Toc490577144"/>
      <w:r>
        <w:t>Dosage selection for the pivotal studies</w:t>
      </w:r>
      <w:bookmarkEnd w:id="103"/>
    </w:p>
    <w:p w:rsidR="00184C7D" w:rsidRPr="00184C7D" w:rsidRDefault="00184C7D" w:rsidP="00184C7D">
      <w:pPr>
        <w:autoSpaceDE w:val="0"/>
        <w:autoSpaceDN w:val="0"/>
        <w:adjustRightInd w:val="0"/>
        <w:rPr>
          <w:rFonts w:eastAsia="Times New Roman"/>
          <w:kern w:val="16"/>
          <w:szCs w:val="24"/>
          <w:lang w:eastAsia="en-AU"/>
        </w:rPr>
      </w:pPr>
      <w:r w:rsidRPr="00184C7D">
        <w:rPr>
          <w:rFonts w:eastAsia="Times New Roman"/>
          <w:kern w:val="16"/>
          <w:szCs w:val="24"/>
          <w:lang w:eastAsia="en-AU"/>
        </w:rPr>
        <w:t>In the pivotal study two dosage regimens of Onivyde were tested:</w:t>
      </w:r>
    </w:p>
    <w:p w:rsidR="00184C7D" w:rsidRPr="00184C7D" w:rsidRDefault="00184C7D" w:rsidP="00CB57AC">
      <w:pPr>
        <w:pStyle w:val="ListBullet"/>
        <w:rPr>
          <w:lang w:val="en-US"/>
        </w:rPr>
      </w:pPr>
      <w:r w:rsidRPr="00184C7D">
        <w:t>Monotherapy using a dose of 120 mg/m</w:t>
      </w:r>
      <w:r w:rsidRPr="00184C7D">
        <w:rPr>
          <w:vertAlign w:val="superscript"/>
        </w:rPr>
        <w:t>2</w:t>
      </w:r>
      <w:r w:rsidRPr="00184C7D">
        <w:t xml:space="preserve"> every 21 days; and</w:t>
      </w:r>
    </w:p>
    <w:p w:rsidR="00184C7D" w:rsidRPr="00BC6738" w:rsidRDefault="00184C7D" w:rsidP="00CB57AC">
      <w:pPr>
        <w:pStyle w:val="ListBullet"/>
        <w:rPr>
          <w:lang w:val="en-US"/>
        </w:rPr>
      </w:pPr>
      <w:r w:rsidRPr="00184C7D">
        <w:t>Combination with 5FU/LV using 80 mg/m</w:t>
      </w:r>
      <w:r w:rsidRPr="00184C7D">
        <w:rPr>
          <w:vertAlign w:val="superscript"/>
        </w:rPr>
        <w:t>2</w:t>
      </w:r>
      <w:r w:rsidRPr="00184C7D">
        <w:t xml:space="preserve"> every 14 days.</w:t>
      </w:r>
    </w:p>
    <w:p w:rsidR="00184C7D" w:rsidRPr="00184C7D" w:rsidRDefault="00184C7D" w:rsidP="00BC673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proofErr w:type="gramStart"/>
      <w:r w:rsidRPr="00184C7D">
        <w:rPr>
          <w:rFonts w:eastAsia="Times New Roman"/>
          <w:kern w:val="16"/>
          <w:szCs w:val="24"/>
          <w:lang w:eastAsia="en-AU"/>
        </w:rPr>
        <w:t>120 mg/m</w:t>
      </w:r>
      <w:r w:rsidRPr="00184C7D">
        <w:rPr>
          <w:rFonts w:eastAsia="Times New Roman"/>
          <w:kern w:val="16"/>
          <w:szCs w:val="24"/>
          <w:vertAlign w:val="superscript"/>
          <w:lang w:eastAsia="en-AU"/>
        </w:rPr>
        <w:t>2</w:t>
      </w:r>
      <w:r w:rsidRPr="00184C7D">
        <w:rPr>
          <w:rFonts w:eastAsia="Times New Roman"/>
          <w:kern w:val="16"/>
          <w:szCs w:val="24"/>
          <w:lang w:eastAsia="en-AU"/>
        </w:rPr>
        <w:t xml:space="preserve"> every 21 days</w:t>
      </w:r>
      <w:proofErr w:type="gramEnd"/>
      <w:r w:rsidRPr="00184C7D">
        <w:rPr>
          <w:rFonts w:eastAsia="Times New Roman"/>
          <w:kern w:val="16"/>
          <w:szCs w:val="24"/>
          <w:lang w:eastAsia="en-AU"/>
        </w:rPr>
        <w:t xml:space="preserve"> was determined to be the maximum tolerated dose (MTD) fo</w:t>
      </w:r>
      <w:r w:rsidR="00B75355">
        <w:rPr>
          <w:rFonts w:eastAsia="Times New Roman"/>
          <w:kern w:val="16"/>
          <w:szCs w:val="24"/>
          <w:lang w:eastAsia="en-AU"/>
        </w:rPr>
        <w:t>r monotherapy in study PEP0201</w:t>
      </w:r>
      <w:r w:rsidRPr="00184C7D">
        <w:rPr>
          <w:rFonts w:eastAsia="Times New Roman"/>
          <w:kern w:val="16"/>
          <w:szCs w:val="24"/>
          <w:lang w:eastAsia="en-AU"/>
        </w:rPr>
        <w:t>. This dose had also been used in a phase 2 study (PEP0208) in subjects with pancreatic cancer.</w:t>
      </w:r>
    </w:p>
    <w:p w:rsidR="000142FD" w:rsidRPr="00BC6738" w:rsidRDefault="00184C7D" w:rsidP="00BC673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184C7D">
        <w:rPr>
          <w:rFonts w:eastAsia="Times New Roman"/>
          <w:kern w:val="16"/>
          <w:szCs w:val="24"/>
          <w:lang w:eastAsia="en-AU"/>
        </w:rPr>
        <w:t>The dose of 80 mg/m</w:t>
      </w:r>
      <w:r w:rsidRPr="00184C7D">
        <w:rPr>
          <w:rFonts w:eastAsia="Times New Roman"/>
          <w:kern w:val="16"/>
          <w:szCs w:val="24"/>
          <w:vertAlign w:val="superscript"/>
          <w:lang w:eastAsia="en-AU"/>
        </w:rPr>
        <w:t>2</w:t>
      </w:r>
      <w:r w:rsidRPr="00184C7D">
        <w:rPr>
          <w:rFonts w:eastAsia="Times New Roman"/>
          <w:kern w:val="16"/>
          <w:szCs w:val="24"/>
          <w:lang w:eastAsia="en-AU"/>
        </w:rPr>
        <w:t xml:space="preserve"> every 14 days in combination with 5FU/LV was based on the findings of an investigator-initiated phase 2 study in subjects with colorectal cancer (the PEPCOL study). The safety data from this study apparently indicated that the toxicity of this combination was similar to that of Onivyde monotherapy.</w:t>
      </w:r>
    </w:p>
    <w:p w:rsidR="00C22678" w:rsidRDefault="00C22678" w:rsidP="00C22678">
      <w:pPr>
        <w:pStyle w:val="Heading2"/>
      </w:pPr>
      <w:bookmarkStart w:id="104" w:name="_Toc490577145"/>
      <w:r>
        <w:lastRenderedPageBreak/>
        <w:t>Clinical efficacy</w:t>
      </w:r>
      <w:bookmarkEnd w:id="104"/>
    </w:p>
    <w:p w:rsidR="00184C7D" w:rsidRDefault="00184C7D" w:rsidP="00184C7D">
      <w:pPr>
        <w:pStyle w:val="Heading3"/>
      </w:pPr>
      <w:bookmarkStart w:id="105" w:name="_Ref271037274"/>
      <w:bookmarkStart w:id="106" w:name="_Toc272414652"/>
      <w:bookmarkStart w:id="107" w:name="_Toc290846274"/>
      <w:bookmarkStart w:id="108" w:name="_Ref315617795"/>
      <w:bookmarkStart w:id="109" w:name="_Toc457234018"/>
      <w:bookmarkStart w:id="110" w:name="_Toc490577146"/>
      <w:r>
        <w:t>Pivotal efficacy stud</w:t>
      </w:r>
      <w:bookmarkEnd w:id="105"/>
      <w:bookmarkEnd w:id="106"/>
      <w:bookmarkEnd w:id="107"/>
      <w:r>
        <w:t>y</w:t>
      </w:r>
      <w:bookmarkEnd w:id="108"/>
      <w:r>
        <w:t>: MM-398-07-03-1 (NAPOLI-1)</w:t>
      </w:r>
      <w:bookmarkEnd w:id="109"/>
      <w:bookmarkEnd w:id="110"/>
    </w:p>
    <w:p w:rsidR="00184C7D" w:rsidRPr="003C0A48" w:rsidRDefault="00184C7D" w:rsidP="00184C7D">
      <w:pPr>
        <w:pStyle w:val="Heading4"/>
      </w:pPr>
      <w:bookmarkStart w:id="111" w:name="_Ref315527033"/>
      <w:bookmarkStart w:id="112" w:name="_Ref315527231"/>
      <w:bookmarkStart w:id="113" w:name="_Toc457234019"/>
      <w:r w:rsidRPr="003C0A48">
        <w:t>Study design, objectives, locations and dates</w:t>
      </w:r>
      <w:bookmarkEnd w:id="111"/>
      <w:bookmarkEnd w:id="112"/>
      <w:bookmarkEnd w:id="113"/>
    </w:p>
    <w:p w:rsidR="00184C7D" w:rsidRPr="00184C7D" w:rsidRDefault="00184C7D" w:rsidP="00BC6738">
      <w:r w:rsidRPr="00184C7D">
        <w:t>The study was a randomised open-label, phase 3 trial with three parallel groups.</w:t>
      </w:r>
    </w:p>
    <w:p w:rsidR="00184C7D" w:rsidRPr="00184C7D" w:rsidRDefault="00184C7D" w:rsidP="00BC6738">
      <w:r w:rsidRPr="00184C7D">
        <w:t xml:space="preserve">The </w:t>
      </w:r>
      <w:r w:rsidRPr="00BC6738">
        <w:t>primary objective</w:t>
      </w:r>
      <w:r w:rsidRPr="00184C7D">
        <w:t xml:space="preserve"> of the study was to compare overall survival following treatment with Onivyde, with or without 5-FU and </w:t>
      </w:r>
      <w:proofErr w:type="spellStart"/>
      <w:r w:rsidRPr="00184C7D">
        <w:t>leucovorin</w:t>
      </w:r>
      <w:proofErr w:type="spellEnd"/>
      <w:r w:rsidRPr="00184C7D">
        <w:t xml:space="preserve"> (5-FU/LV), versus 5-FU/LV, in patients with metastatic pancreatic cancer that had progressed on gemcitabine based therapy.</w:t>
      </w:r>
    </w:p>
    <w:p w:rsidR="00184C7D" w:rsidRPr="00184C7D" w:rsidRDefault="00184C7D" w:rsidP="00BC6738">
      <w:r w:rsidRPr="00BC6738">
        <w:t>Secondary objectives</w:t>
      </w:r>
      <w:r w:rsidRPr="00184C7D">
        <w:t xml:space="preserve"> were to:</w:t>
      </w:r>
    </w:p>
    <w:p w:rsidR="00184C7D" w:rsidRPr="00184C7D" w:rsidRDefault="00184C7D" w:rsidP="00BC6738">
      <w:pPr>
        <w:pStyle w:val="Style1"/>
        <w:rPr>
          <w:lang w:val="en-US"/>
        </w:rPr>
      </w:pPr>
      <w:r w:rsidRPr="00184C7D">
        <w:rPr>
          <w:lang w:val="en-US"/>
        </w:rPr>
        <w:t xml:space="preserve">Compare the following between the experimental and control arms: </w:t>
      </w:r>
      <w:r w:rsidRPr="00184C7D">
        <w:t xml:space="preserve">Progression-free survival (PFS); Time to treatment failure (TTF); Objective Response Rate (ORR); Tumour marker response of CA 19-9; Clinical Benefit Response (CBR) rate; and Patient-reported outcomes (PROs) using the European Organization for Research and Treatment of Cancer (EORTC) quality-of-life core questionnaire (EORTC-QLQC30). </w:t>
      </w:r>
    </w:p>
    <w:p w:rsidR="00184C7D" w:rsidRPr="00184C7D" w:rsidRDefault="00184C7D" w:rsidP="00BC6738">
      <w:pPr>
        <w:pStyle w:val="Style1"/>
        <w:rPr>
          <w:lang w:val="en-US"/>
        </w:rPr>
      </w:pPr>
      <w:r w:rsidRPr="00184C7D">
        <w:t>Compare the safety and adverse event (AE) profile between the treatment arms;</w:t>
      </w:r>
    </w:p>
    <w:p w:rsidR="00184C7D" w:rsidRPr="00184C7D" w:rsidRDefault="00184C7D" w:rsidP="00BC6738">
      <w:pPr>
        <w:pStyle w:val="Style1"/>
        <w:rPr>
          <w:lang w:val="en-US"/>
        </w:rPr>
      </w:pPr>
      <w:r w:rsidRPr="00184C7D">
        <w:t xml:space="preserve">Determine the pharmacokinetic properties of Onivyde, as a single agent and in combination with 5-FU and </w:t>
      </w:r>
      <w:proofErr w:type="spellStart"/>
      <w:r w:rsidRPr="00184C7D">
        <w:t>leucovorin</w:t>
      </w:r>
      <w:proofErr w:type="spellEnd"/>
      <w:r w:rsidRPr="00184C7D">
        <w:t>, in this population.</w:t>
      </w:r>
    </w:p>
    <w:p w:rsidR="00597C15" w:rsidRDefault="00597C15" w:rsidP="00597C15">
      <w:pPr>
        <w:autoSpaceDE w:val="0"/>
        <w:autoSpaceDN w:val="0"/>
        <w:adjustRightInd w:val="0"/>
      </w:pPr>
      <w:r>
        <w:t>The study was conducted at 76 sites in 15 countries (Argentina, Australia, Brazil, Canada, Czech Republic, France, Germany, Hungary, Italy, South Africa, South Korea, Spain, Taiwan, UK and US).</w:t>
      </w:r>
    </w:p>
    <w:p w:rsidR="00597C15" w:rsidRDefault="00597C15" w:rsidP="00597C15">
      <w:pPr>
        <w:autoSpaceDE w:val="0"/>
        <w:autoSpaceDN w:val="0"/>
        <w:adjustRightInd w:val="0"/>
      </w:pPr>
      <w:r>
        <w:t>The trial commenced in January 2012. The date of data cut-off for inclusion in the study report was 14 February 2014. The study report itself was dated 13 March 2015. The study has been published.</w:t>
      </w:r>
      <w:r>
        <w:rPr>
          <w:rStyle w:val="FootnoteReference"/>
        </w:rPr>
        <w:footnoteReference w:id="17"/>
      </w:r>
    </w:p>
    <w:p w:rsidR="00184C7D" w:rsidRPr="004B259C" w:rsidRDefault="00184C7D" w:rsidP="00184C7D">
      <w:pPr>
        <w:pStyle w:val="Heading4"/>
      </w:pPr>
      <w:bookmarkStart w:id="114" w:name="_Ref315527415"/>
      <w:bookmarkStart w:id="115" w:name="_Toc457234020"/>
      <w:r w:rsidRPr="004B259C">
        <w:t>Inclusion and exclusion criteria</w:t>
      </w:r>
      <w:bookmarkEnd w:id="114"/>
      <w:bookmarkEnd w:id="115"/>
    </w:p>
    <w:p w:rsidR="00184C7D" w:rsidRDefault="00184C7D" w:rsidP="00184C7D">
      <w:r w:rsidRPr="00184C7D">
        <w:t xml:space="preserve">Inclusion </w:t>
      </w:r>
      <w:r w:rsidR="000528EA">
        <w:t>and ex</w:t>
      </w:r>
      <w:r w:rsidR="00FB6063">
        <w:t>c</w:t>
      </w:r>
      <w:r w:rsidR="000528EA">
        <w:t xml:space="preserve">lusion </w:t>
      </w:r>
      <w:r w:rsidRPr="00184C7D">
        <w:t xml:space="preserve">criteria for the study are listed </w:t>
      </w:r>
      <w:r w:rsidR="00974D04">
        <w:t>below.</w:t>
      </w:r>
    </w:p>
    <w:p w:rsidR="00974D04" w:rsidRDefault="00211797" w:rsidP="00211797">
      <w:pPr>
        <w:pStyle w:val="Heading5"/>
      </w:pPr>
      <w:r>
        <w:t>Inclusion criteria</w:t>
      </w:r>
    </w:p>
    <w:p w:rsidR="00CA6FA2" w:rsidRDefault="006154B3" w:rsidP="006154B3">
      <w:pPr>
        <w:pStyle w:val="ListBullet"/>
      </w:pPr>
      <w:r>
        <w:t xml:space="preserve">Histologically or cytologically confirmed </w:t>
      </w:r>
      <w:r w:rsidR="00DD12FB">
        <w:t>adenocarcinoma of exocrine pancreas</w:t>
      </w:r>
    </w:p>
    <w:p w:rsidR="00DD12FB" w:rsidRDefault="00CE10F4" w:rsidP="006154B3">
      <w:pPr>
        <w:pStyle w:val="ListBullet"/>
      </w:pPr>
      <w:r>
        <w:t xml:space="preserve">Documented metastatic disease; disease status was permitted to be measurable or non-measurable as defined by RECIST </w:t>
      </w:r>
      <w:r w:rsidR="00985033">
        <w:t>v 1.1 guidelines</w:t>
      </w:r>
    </w:p>
    <w:p w:rsidR="00985033" w:rsidRDefault="004D57B0" w:rsidP="006154B3">
      <w:pPr>
        <w:pStyle w:val="ListBullet"/>
      </w:pPr>
      <w:r>
        <w:t xml:space="preserve">Documented disease progression after prior gemcitabine or </w:t>
      </w:r>
      <w:r w:rsidR="004E6227">
        <w:t>gemcitabine</w:t>
      </w:r>
      <w:r w:rsidR="0097284F">
        <w:t xml:space="preserve"> containing therapy, in locally advanced or metastatic setting. Examples of permitted therapies </w:t>
      </w:r>
      <w:r w:rsidR="000964D3">
        <w:t>included, but were not limited to:</w:t>
      </w:r>
    </w:p>
    <w:p w:rsidR="000964D3" w:rsidRDefault="000964D3" w:rsidP="000964D3">
      <w:pPr>
        <w:pStyle w:val="ListBullet2"/>
      </w:pPr>
      <w:r>
        <w:t>Single agent gemcitabine</w:t>
      </w:r>
    </w:p>
    <w:p w:rsidR="000964D3" w:rsidRDefault="005C64E1" w:rsidP="000964D3">
      <w:pPr>
        <w:pStyle w:val="ListBullet2"/>
      </w:pPr>
      <w:r>
        <w:t xml:space="preserve">Any one </w:t>
      </w:r>
      <w:r w:rsidR="006A2097">
        <w:t>gemcitabine based regimen, with or without maintenance gemcitabine</w:t>
      </w:r>
    </w:p>
    <w:p w:rsidR="006A2097" w:rsidRDefault="006A2097" w:rsidP="000964D3">
      <w:pPr>
        <w:pStyle w:val="ListBullet2"/>
      </w:pPr>
      <w:r>
        <w:t xml:space="preserve">Single agent gemcitabine to which a platinum agent, a </w:t>
      </w:r>
      <w:proofErr w:type="spellStart"/>
      <w:r>
        <w:t>fluoropyrimidine</w:t>
      </w:r>
      <w:proofErr w:type="spellEnd"/>
      <w:r>
        <w:t xml:space="preserve">, or </w:t>
      </w:r>
      <w:proofErr w:type="spellStart"/>
      <w:r w:rsidR="002608C6">
        <w:t>erlotinib</w:t>
      </w:r>
      <w:proofErr w:type="spellEnd"/>
      <w:r w:rsidR="002608C6">
        <w:t xml:space="preserve"> was subsequently added</w:t>
      </w:r>
    </w:p>
    <w:p w:rsidR="00DC19C1" w:rsidRDefault="00DC19C1" w:rsidP="000E6838">
      <w:pPr>
        <w:pStyle w:val="ListBullet2"/>
      </w:pPr>
      <w:r>
        <w:t>Gemcitabine administered in the adjuvant setting, if disease recurrence occurred within 6 months of completing the adjuvant therapy</w:t>
      </w:r>
    </w:p>
    <w:p w:rsidR="000964D3" w:rsidRDefault="000E6838" w:rsidP="006154B3">
      <w:pPr>
        <w:pStyle w:val="ListBullet"/>
      </w:pPr>
      <w:r>
        <w:lastRenderedPageBreak/>
        <w:t xml:space="preserve">Karnofsky </w:t>
      </w:r>
      <w:r w:rsidR="0059284C">
        <w:t>Performance</w:t>
      </w:r>
      <w:r>
        <w:t xml:space="preserve"> Status </w:t>
      </w:r>
      <w:r w:rsidR="0059284C">
        <w:t xml:space="preserve">(KPS) </w:t>
      </w:r>
      <w:r w:rsidR="00033C52">
        <w:t>≥ 70</w:t>
      </w:r>
    </w:p>
    <w:p w:rsidR="00033C52" w:rsidRDefault="0098763C" w:rsidP="006154B3">
      <w:pPr>
        <w:pStyle w:val="ListBullet"/>
      </w:pPr>
      <w:r>
        <w:t>Adequate bone marrow reserves as evidence</w:t>
      </w:r>
      <w:r w:rsidR="00CD2BC9">
        <w:t>d</w:t>
      </w:r>
      <w:r>
        <w:t xml:space="preserve"> by</w:t>
      </w:r>
    </w:p>
    <w:p w:rsidR="00B5078B" w:rsidRDefault="0085702F" w:rsidP="00B5078B">
      <w:pPr>
        <w:pStyle w:val="ListBullet2"/>
      </w:pPr>
      <w:r>
        <w:t>ANC &gt; 1,500 cells/µL without the use of hematopoietic growth factors; and</w:t>
      </w:r>
    </w:p>
    <w:p w:rsidR="0085702F" w:rsidRDefault="0085702F" w:rsidP="00B5078B">
      <w:pPr>
        <w:pStyle w:val="ListBullet2"/>
      </w:pPr>
      <w:r>
        <w:t>Platelet count &gt; 100,000 cells/µL; and</w:t>
      </w:r>
    </w:p>
    <w:p w:rsidR="0085702F" w:rsidRDefault="00D24F95" w:rsidP="00B5078B">
      <w:pPr>
        <w:pStyle w:val="ListBullet2"/>
      </w:pPr>
      <w:r>
        <w:t>H</w:t>
      </w:r>
      <w:r w:rsidR="00CF30E5">
        <w:t>a</w:t>
      </w:r>
      <w:r>
        <w:t>emoglobin &gt; 9 g/</w:t>
      </w:r>
      <w:proofErr w:type="spellStart"/>
      <w:r>
        <w:t>dL</w:t>
      </w:r>
      <w:proofErr w:type="spellEnd"/>
      <w:r>
        <w:t xml:space="preserve"> (blood transfusions were permitted for patients with haemoglobin levels below 9 g /</w:t>
      </w:r>
      <w:proofErr w:type="spellStart"/>
      <w:r>
        <w:t>dL</w:t>
      </w:r>
      <w:proofErr w:type="spellEnd"/>
      <w:r>
        <w:t>)</w:t>
      </w:r>
    </w:p>
    <w:p w:rsidR="0098763C" w:rsidRDefault="008127D7" w:rsidP="009A25F9">
      <w:pPr>
        <w:pStyle w:val="ListBullet"/>
      </w:pPr>
      <w:r>
        <w:t>Adequate hepatic function as evidenced by</w:t>
      </w:r>
    </w:p>
    <w:p w:rsidR="008127D7" w:rsidRDefault="00F03F60" w:rsidP="00CD2BC9">
      <w:pPr>
        <w:pStyle w:val="ListBullet2"/>
      </w:pPr>
      <w:r>
        <w:t>Serum total bilirubin within normal range for the institution (biliary drainage was allowed for biliary obstruction)</w:t>
      </w:r>
    </w:p>
    <w:p w:rsidR="00F03F60" w:rsidRDefault="00F03F60" w:rsidP="00CD2BC9">
      <w:pPr>
        <w:pStyle w:val="ListBullet2"/>
      </w:pPr>
      <w:r>
        <w:t xml:space="preserve">Albumin levels </w:t>
      </w:r>
      <w:r w:rsidR="00A13E3E">
        <w:t>≥ 3.0 g/</w:t>
      </w:r>
      <w:proofErr w:type="spellStart"/>
      <w:r w:rsidR="00A13E3E">
        <w:t>dL</w:t>
      </w:r>
      <w:proofErr w:type="spellEnd"/>
    </w:p>
    <w:p w:rsidR="00A13E3E" w:rsidRDefault="00A13E3E" w:rsidP="00CD2BC9">
      <w:pPr>
        <w:pStyle w:val="ListBullet2"/>
      </w:pPr>
      <w:r>
        <w:t xml:space="preserve">Aspartate aminotransferase (AST) and alanine aminotransferase (ALT) </w:t>
      </w:r>
      <w:r w:rsidR="00843981">
        <w:t>≤ 2.5 x ULN (</w:t>
      </w:r>
      <w:r w:rsidR="00486E28">
        <w:t>≤ 5 x ULN was acceptable if liver metastases were present)</w:t>
      </w:r>
    </w:p>
    <w:p w:rsidR="00486E28" w:rsidRDefault="00F40A1E" w:rsidP="0088727F">
      <w:pPr>
        <w:pStyle w:val="ListBullet"/>
      </w:pPr>
      <w:r>
        <w:t xml:space="preserve">Adequate renal function as evidenced by a serum creatinine </w:t>
      </w:r>
      <w:r w:rsidR="00DA4016">
        <w:t>≤ 1.5 x ULN</w:t>
      </w:r>
    </w:p>
    <w:p w:rsidR="00DA4016" w:rsidRDefault="000F4BAE" w:rsidP="0088727F">
      <w:pPr>
        <w:pStyle w:val="ListBullet"/>
      </w:pPr>
      <w:r>
        <w:t>Normal ECG or ECG without any clinically significant findings</w:t>
      </w:r>
    </w:p>
    <w:p w:rsidR="000F4BAE" w:rsidRDefault="000F4BAE" w:rsidP="0088727F">
      <w:pPr>
        <w:pStyle w:val="ListBullet"/>
      </w:pPr>
      <w:r>
        <w:t>Recovered from the effects of any prior surgery, radiotherapy or other anti-neoplastic therapy</w:t>
      </w:r>
    </w:p>
    <w:p w:rsidR="000F4BAE" w:rsidRDefault="000F4BAE" w:rsidP="0088727F">
      <w:pPr>
        <w:pStyle w:val="ListBullet"/>
      </w:pPr>
      <w:r>
        <w:t>At least 18 years of age</w:t>
      </w:r>
    </w:p>
    <w:p w:rsidR="000F4BAE" w:rsidRDefault="000F4BAE" w:rsidP="0088727F">
      <w:pPr>
        <w:pStyle w:val="ListBullet"/>
      </w:pPr>
      <w:r>
        <w:t>Able to understand and sign an informed consent (or have a legal representative who is able to do so)</w:t>
      </w:r>
    </w:p>
    <w:p w:rsidR="00CA6FA2" w:rsidRDefault="00211797" w:rsidP="00211797">
      <w:pPr>
        <w:pStyle w:val="Heading5"/>
      </w:pPr>
      <w:r>
        <w:t>Exclusion criteria</w:t>
      </w:r>
    </w:p>
    <w:p w:rsidR="00CA6FA2" w:rsidRDefault="00D64E7B" w:rsidP="001F2B84">
      <w:pPr>
        <w:pStyle w:val="ListBullet"/>
      </w:pPr>
      <w:r>
        <w:t xml:space="preserve">Active CNS metastases (indicated by clinical symptoms, cerebral </w:t>
      </w:r>
      <w:proofErr w:type="spellStart"/>
      <w:r>
        <w:t>edema</w:t>
      </w:r>
      <w:proofErr w:type="spellEnd"/>
      <w:r>
        <w:t>, steroid requirement, or progressive disease); patient should have been off steroids for at least 28 days prior to starting study therapy</w:t>
      </w:r>
    </w:p>
    <w:p w:rsidR="00D64E7B" w:rsidRDefault="00E461C2" w:rsidP="001F2B84">
      <w:pPr>
        <w:pStyle w:val="ListBullet"/>
      </w:pPr>
      <w:r>
        <w:t>Clinically significant gastrointestinal disorder including hepatic disorders, bleeding, inflammation, occlusion, or diarrhoea &gt; Grade 1</w:t>
      </w:r>
    </w:p>
    <w:p w:rsidR="00E461C2" w:rsidRDefault="007D61A0" w:rsidP="001F2B84">
      <w:pPr>
        <w:pStyle w:val="ListBullet"/>
      </w:pPr>
      <w:r>
        <w:t>History of any second malignancy in the last 5 years; subjects with prior history of in situ cancer or basal or squamous cell skin cancer were eligible. Subjects with other malignancies were eligible if they had been continuously disease free for at least 5 years.</w:t>
      </w:r>
    </w:p>
    <w:p w:rsidR="007D61A0" w:rsidRDefault="007D61A0" w:rsidP="001F2B84">
      <w:pPr>
        <w:pStyle w:val="ListBullet"/>
      </w:pPr>
      <w:r>
        <w:t xml:space="preserve">Severe </w:t>
      </w:r>
      <w:r w:rsidR="008C0EE3">
        <w:t>arterial thromboembolic events (myocardial infarction, unstable angina pectoris, stroke) less than 6 months before inclusion</w:t>
      </w:r>
    </w:p>
    <w:p w:rsidR="008C0EE3" w:rsidRDefault="00F62307" w:rsidP="001F2B84">
      <w:pPr>
        <w:pStyle w:val="ListBullet"/>
      </w:pPr>
      <w:r>
        <w:t>NYHA Class III or IV congestive heart failure, ventricular arrhythmias or uncontrolled blood pressure</w:t>
      </w:r>
    </w:p>
    <w:p w:rsidR="00F62307" w:rsidRDefault="00440F1F" w:rsidP="001F2B84">
      <w:pPr>
        <w:pStyle w:val="ListBullet"/>
      </w:pPr>
      <w:r>
        <w:t>Active infection or an unexplained fever &gt; 38.5</w:t>
      </w:r>
      <w:r w:rsidR="00F17DA3">
        <w:t>°</w:t>
      </w:r>
      <w:r>
        <w:t xml:space="preserve">C during </w:t>
      </w:r>
      <w:r w:rsidR="00F17DA3">
        <w:t>Screening visits or on the first scheduled day of dosing (at the discretion of the investigator, patients with tumour fever were permitted to be enrolled), which in the investigator’s opinion might have compromised the patient’s participation in the trial or affected the study outcome</w:t>
      </w:r>
    </w:p>
    <w:p w:rsidR="00F17DA3" w:rsidRDefault="00595B0C" w:rsidP="001F2B84">
      <w:pPr>
        <w:pStyle w:val="ListBullet"/>
      </w:pPr>
      <w:r>
        <w:t xml:space="preserve">Known hypersensitivity to any of the components of MM-398, other liposomal products, </w:t>
      </w:r>
      <w:proofErr w:type="spellStart"/>
      <w:r>
        <w:t>fluoropyrimidines</w:t>
      </w:r>
      <w:proofErr w:type="spellEnd"/>
      <w:r>
        <w:t xml:space="preserve">, or </w:t>
      </w:r>
      <w:proofErr w:type="spellStart"/>
      <w:r>
        <w:t>leucovorin</w:t>
      </w:r>
      <w:proofErr w:type="spellEnd"/>
    </w:p>
    <w:p w:rsidR="00595B0C" w:rsidRDefault="00595B0C" w:rsidP="001F2B84">
      <w:pPr>
        <w:pStyle w:val="ListBullet"/>
      </w:pPr>
      <w:r>
        <w:t>Investigational therapy administered within 4 weeks, or within a time interval less than at least 5 half-lives of the investigational agent, whichever was longer, prior to the first scheduled day of dosing in this study</w:t>
      </w:r>
    </w:p>
    <w:p w:rsidR="00595B0C" w:rsidRDefault="00595B0C" w:rsidP="001F2B84">
      <w:pPr>
        <w:pStyle w:val="ListBullet"/>
      </w:pPr>
      <w:r>
        <w:lastRenderedPageBreak/>
        <w:t xml:space="preserve">Any other medical or social condition deemed by the Investigator to be likely to interfere with a patient’s ability to sign informed consent, cooperate and participate in the study, or interfere </w:t>
      </w:r>
      <w:r w:rsidR="000E2E29">
        <w:t>with the interpretation of the results</w:t>
      </w:r>
    </w:p>
    <w:p w:rsidR="000E2E29" w:rsidRDefault="000E2E29" w:rsidP="001F2B84">
      <w:pPr>
        <w:pStyle w:val="ListBullet"/>
      </w:pPr>
      <w:r>
        <w:t xml:space="preserve">Pregnant or breast feeding; females of child-bearing potential were required to test negative for pregnancy at the time of enrolment based on a urine </w:t>
      </w:r>
      <w:r w:rsidR="001D048F">
        <w:t>or serum pregnancy test. Both male and female patients of reproductive potential were required to agree to use a reliable method of birth control</w:t>
      </w:r>
      <w:r w:rsidR="00172AB6">
        <w:t>, during the study and for 3 months following the last dose of study drug.</w:t>
      </w:r>
    </w:p>
    <w:p w:rsidR="003D0582" w:rsidRDefault="00184C7D" w:rsidP="003D0582">
      <w:pPr>
        <w:ind w:left="720"/>
        <w:rPr>
          <w:i/>
        </w:rPr>
      </w:pPr>
      <w:r w:rsidRPr="00B75355">
        <w:rPr>
          <w:i/>
        </w:rPr>
        <w:t>Comment:</w:t>
      </w:r>
      <w:r w:rsidR="00B75355" w:rsidRPr="00B75355">
        <w:rPr>
          <w:i/>
        </w:rPr>
        <w:t xml:space="preserve"> </w:t>
      </w:r>
      <w:r w:rsidRPr="00B75355">
        <w:rPr>
          <w:i/>
        </w:rPr>
        <w:t xml:space="preserve">Enrolment in the study was limited to subjects with good performance status (Karnofsky score </w:t>
      </w:r>
      <w:r w:rsidR="003D0582">
        <w:rPr>
          <w:i/>
        </w:rPr>
        <w:t xml:space="preserve">[Table 2] </w:t>
      </w:r>
      <w:r w:rsidRPr="00B75355">
        <w:rPr>
          <w:i/>
        </w:rPr>
        <w:t>≥ 70</w:t>
      </w:r>
      <w:r w:rsidR="00736956">
        <w:rPr>
          <w:i/>
        </w:rPr>
        <w:t>)</w:t>
      </w:r>
      <w:r w:rsidRPr="00B75355">
        <w:rPr>
          <w:i/>
        </w:rPr>
        <w:t>. In practice, many patients with progressive disease after first-line chemotherapy are too si</w:t>
      </w:r>
      <w:r w:rsidR="0013553A">
        <w:rPr>
          <w:i/>
        </w:rPr>
        <w:t>ck to receive further treatment</w:t>
      </w:r>
      <w:r w:rsidR="00736956">
        <w:rPr>
          <w:i/>
        </w:rPr>
        <w:t>.</w:t>
      </w:r>
      <w:r w:rsidR="004B75F0">
        <w:rPr>
          <w:rStyle w:val="FootnoteReference"/>
          <w:i/>
        </w:rPr>
        <w:footnoteReference w:id="18"/>
      </w:r>
    </w:p>
    <w:p w:rsidR="003D0582" w:rsidRPr="00184C7D" w:rsidRDefault="003D0582" w:rsidP="003D0582">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outlineLvl w:val="6"/>
        <w:rPr>
          <w:rFonts w:eastAsia="Times New Roman"/>
          <w:b/>
          <w:bCs/>
          <w:kern w:val="16"/>
          <w:szCs w:val="24"/>
          <w:lang w:eastAsia="en-AU"/>
        </w:rPr>
      </w:pPr>
      <w:proofErr w:type="gramStart"/>
      <w:r w:rsidRPr="00184C7D">
        <w:rPr>
          <w:rFonts w:eastAsia="Times New Roman"/>
          <w:b/>
          <w:bCs/>
          <w:kern w:val="16"/>
          <w:szCs w:val="24"/>
          <w:lang w:eastAsia="en-AU"/>
        </w:rPr>
        <w:t>Table</w:t>
      </w:r>
      <w:r>
        <w:rPr>
          <w:rFonts w:eastAsia="Times New Roman"/>
          <w:b/>
          <w:bCs/>
          <w:kern w:val="16"/>
          <w:szCs w:val="24"/>
          <w:lang w:eastAsia="en-AU"/>
        </w:rPr>
        <w:t xml:space="preserve"> 2: </w:t>
      </w:r>
      <w:r w:rsidR="003E77FB" w:rsidRPr="003E77FB">
        <w:rPr>
          <w:rFonts w:eastAsia="Times New Roman"/>
          <w:b/>
          <w:bCs/>
          <w:kern w:val="16"/>
          <w:szCs w:val="24"/>
          <w:lang w:eastAsia="en-AU"/>
        </w:rPr>
        <w:t>Study MM-398-07-03-01 – Karnofsky performance status</w:t>
      </w:r>
      <w:r w:rsidRPr="00184C7D">
        <w:rPr>
          <w:rFonts w:eastAsia="Times New Roman"/>
          <w:b/>
          <w:bCs/>
          <w:kern w:val="16"/>
          <w:szCs w:val="24"/>
          <w:lang w:eastAsia="en-AU"/>
        </w:rPr>
        <w:t>.</w:t>
      </w:r>
      <w:proofErr w:type="gramEnd"/>
    </w:p>
    <w:p w:rsidR="003D0582" w:rsidRPr="00B75355" w:rsidRDefault="003E77FB" w:rsidP="003D0582">
      <w:pPr>
        <w:rPr>
          <w:i/>
        </w:rPr>
      </w:pPr>
      <w:r>
        <w:rPr>
          <w:noProof/>
          <w:lang w:eastAsia="en-AU"/>
        </w:rPr>
        <w:drawing>
          <wp:inline distT="0" distB="0" distL="0" distR="0" wp14:anchorId="6C9C6C1F" wp14:editId="62060CD8">
            <wp:extent cx="5088103" cy="3020789"/>
            <wp:effectExtent l="0" t="0" r="0" b="8255"/>
            <wp:docPr id="1" name="Picture 1" descr="Table 2: Study MM-398-07-03-01 – Karnofsky performanc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86575" cy="3019882"/>
                    </a:xfrm>
                    <a:prstGeom prst="rect">
                      <a:avLst/>
                    </a:prstGeom>
                  </pic:spPr>
                </pic:pic>
              </a:graphicData>
            </a:graphic>
          </wp:inline>
        </w:drawing>
      </w:r>
    </w:p>
    <w:p w:rsidR="00184C7D" w:rsidRPr="004B259C" w:rsidRDefault="00184C7D" w:rsidP="00184C7D">
      <w:pPr>
        <w:pStyle w:val="Heading4"/>
      </w:pPr>
      <w:bookmarkStart w:id="116" w:name="_Ref315528364"/>
      <w:bookmarkStart w:id="117" w:name="_Toc457234021"/>
      <w:r w:rsidRPr="004B259C">
        <w:t>Study treatments</w:t>
      </w:r>
      <w:bookmarkEnd w:id="116"/>
      <w:bookmarkEnd w:id="117"/>
    </w:p>
    <w:p w:rsidR="00B44550" w:rsidRDefault="00184C7D" w:rsidP="00184C7D">
      <w:pPr>
        <w:autoSpaceDE w:val="0"/>
        <w:autoSpaceDN w:val="0"/>
        <w:adjustRightInd w:val="0"/>
      </w:pPr>
      <w:r w:rsidRPr="00184C7D">
        <w:t xml:space="preserve">The trial was originally designed as a 2-arm study with subjects randomised 1:1 to receive either Onivyde monotherapy or 5FU/LV. After commencement of the study, a third arm (Onivyde in combination with 5FU/LV) was added with subsequent subjects randomised 1:1:1 to the three treatments. A total of 63 subjects had been randomised prior to the introduction of the third study arm. </w:t>
      </w:r>
    </w:p>
    <w:p w:rsidR="00184C7D" w:rsidRDefault="00184C7D" w:rsidP="00184C7D">
      <w:pPr>
        <w:autoSpaceDE w:val="0"/>
        <w:autoSpaceDN w:val="0"/>
        <w:adjustRightInd w:val="0"/>
      </w:pPr>
      <w:r w:rsidRPr="00184C7D">
        <w:t>The three study treatments were:</w:t>
      </w:r>
    </w:p>
    <w:p w:rsidR="00CB57AC" w:rsidRPr="00E37184" w:rsidRDefault="00CB57AC" w:rsidP="00CB57AC">
      <w:pPr>
        <w:pStyle w:val="ListParagraph"/>
        <w:numPr>
          <w:ilvl w:val="0"/>
          <w:numId w:val="20"/>
        </w:numPr>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left" w:pos="2127"/>
          <w:tab w:val="left" w:pos="3544"/>
          <w:tab w:val="left" w:pos="5529"/>
        </w:tabs>
        <w:spacing w:after="120"/>
        <w:ind w:left="1134" w:hanging="1134"/>
        <w:contextualSpacing w:val="0"/>
        <w:rPr>
          <w:rFonts w:asciiTheme="minorHAnsi" w:hAnsiTheme="minorHAnsi"/>
          <w:sz w:val="20"/>
          <w:lang w:val="en-US"/>
        </w:rPr>
      </w:pPr>
      <w:r w:rsidRPr="00E37184">
        <w:rPr>
          <w:rFonts w:asciiTheme="minorHAnsi" w:hAnsiTheme="minorHAnsi"/>
          <w:sz w:val="20"/>
        </w:rPr>
        <w:t xml:space="preserve">Arm A: </w:t>
      </w:r>
      <w:r w:rsidRPr="00E37184">
        <w:rPr>
          <w:rFonts w:asciiTheme="minorHAnsi" w:hAnsiTheme="minorHAnsi"/>
          <w:sz w:val="20"/>
        </w:rPr>
        <w:tab/>
        <w:t>Onivyde</w:t>
      </w:r>
      <w:r w:rsidRPr="00E37184">
        <w:rPr>
          <w:rFonts w:asciiTheme="minorHAnsi" w:hAnsiTheme="minorHAnsi"/>
          <w:sz w:val="20"/>
        </w:rPr>
        <w:tab/>
        <w:t>120 mg/m</w:t>
      </w:r>
      <w:r w:rsidRPr="00E37184">
        <w:rPr>
          <w:rFonts w:asciiTheme="minorHAnsi" w:hAnsiTheme="minorHAnsi"/>
          <w:sz w:val="20"/>
          <w:vertAlign w:val="superscript"/>
        </w:rPr>
        <w:t>2</w:t>
      </w:r>
      <w:r w:rsidRPr="00E37184">
        <w:rPr>
          <w:rFonts w:asciiTheme="minorHAnsi" w:hAnsiTheme="minorHAnsi"/>
          <w:sz w:val="20"/>
        </w:rPr>
        <w:tab/>
        <w:t>IV over 90 minutes</w:t>
      </w:r>
      <w:r w:rsidRPr="00E37184">
        <w:rPr>
          <w:rFonts w:asciiTheme="minorHAnsi" w:hAnsiTheme="minorHAnsi"/>
          <w:sz w:val="20"/>
        </w:rPr>
        <w:tab/>
        <w:t>Day 1 of a 21 day cycle;</w:t>
      </w:r>
    </w:p>
    <w:p w:rsidR="00CB57AC" w:rsidRPr="00E37184" w:rsidRDefault="00CB57AC" w:rsidP="00CB57AC">
      <w:pPr>
        <w:pStyle w:val="ListParagraph"/>
        <w:numPr>
          <w:ilvl w:val="0"/>
          <w:numId w:val="20"/>
        </w:numPr>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left" w:pos="2127"/>
          <w:tab w:val="left" w:pos="3544"/>
          <w:tab w:val="left" w:pos="5529"/>
        </w:tabs>
        <w:spacing w:after="120"/>
        <w:ind w:left="1134" w:hanging="1134"/>
        <w:contextualSpacing w:val="0"/>
        <w:rPr>
          <w:rFonts w:asciiTheme="minorHAnsi" w:hAnsiTheme="minorHAnsi"/>
          <w:sz w:val="20"/>
          <w:lang w:val="en-US"/>
        </w:rPr>
      </w:pPr>
      <w:r w:rsidRPr="00E37184">
        <w:rPr>
          <w:rFonts w:asciiTheme="minorHAnsi" w:hAnsiTheme="minorHAnsi"/>
          <w:sz w:val="20"/>
        </w:rPr>
        <w:t>Arm B</w:t>
      </w:r>
      <w:r w:rsidRPr="00E37184">
        <w:rPr>
          <w:rFonts w:asciiTheme="minorHAnsi" w:hAnsiTheme="minorHAnsi"/>
          <w:sz w:val="20"/>
          <w:lang w:val="en-US"/>
        </w:rPr>
        <w:t>:</w:t>
      </w:r>
      <w:r w:rsidRPr="00E37184">
        <w:rPr>
          <w:rFonts w:asciiTheme="minorHAnsi" w:hAnsiTheme="minorHAnsi"/>
          <w:sz w:val="20"/>
          <w:lang w:val="en-US"/>
        </w:rPr>
        <w:tab/>
        <w:t xml:space="preserve">5-FU </w:t>
      </w:r>
      <w:r w:rsidRPr="00E37184">
        <w:rPr>
          <w:rFonts w:asciiTheme="minorHAnsi" w:hAnsiTheme="minorHAnsi"/>
          <w:sz w:val="20"/>
          <w:lang w:val="en-US"/>
        </w:rPr>
        <w:tab/>
      </w:r>
      <w:r w:rsidRPr="00E37184">
        <w:rPr>
          <w:rFonts w:asciiTheme="minorHAnsi" w:hAnsiTheme="minorHAnsi"/>
          <w:sz w:val="20"/>
        </w:rPr>
        <w:t>2000 mg/m</w:t>
      </w:r>
      <w:r w:rsidRPr="00E37184">
        <w:rPr>
          <w:rFonts w:asciiTheme="minorHAnsi" w:hAnsiTheme="minorHAnsi"/>
          <w:sz w:val="20"/>
          <w:vertAlign w:val="superscript"/>
        </w:rPr>
        <w:t>2</w:t>
      </w:r>
      <w:r w:rsidRPr="00E37184">
        <w:rPr>
          <w:rFonts w:asciiTheme="minorHAnsi" w:hAnsiTheme="minorHAnsi"/>
          <w:sz w:val="20"/>
        </w:rPr>
        <w:tab/>
        <w:t>IV over 24 hours</w:t>
      </w:r>
      <w:r w:rsidRPr="00E37184">
        <w:rPr>
          <w:rFonts w:asciiTheme="minorHAnsi" w:hAnsiTheme="minorHAnsi"/>
          <w:sz w:val="20"/>
        </w:rPr>
        <w:tab/>
        <w:t>Days 1, 8, 15, 22 of a 42 day cycle;</w:t>
      </w:r>
    </w:p>
    <w:p w:rsidR="00CB57AC" w:rsidRPr="00E37184" w:rsidRDefault="00CB57AC" w:rsidP="00CB57AC">
      <w:pPr>
        <w:pStyle w:val="ListParagraph"/>
        <w:tabs>
          <w:tab w:val="left" w:pos="2127"/>
          <w:tab w:val="left" w:pos="3544"/>
          <w:tab w:val="left" w:pos="5529"/>
        </w:tabs>
        <w:spacing w:after="120"/>
        <w:ind w:left="1134"/>
        <w:contextualSpacing w:val="0"/>
        <w:rPr>
          <w:rFonts w:asciiTheme="minorHAnsi" w:hAnsiTheme="minorHAnsi"/>
          <w:sz w:val="20"/>
          <w:lang w:val="en-US"/>
        </w:rPr>
      </w:pPr>
      <w:r w:rsidRPr="00E37184">
        <w:rPr>
          <w:rFonts w:asciiTheme="minorHAnsi" w:hAnsiTheme="minorHAnsi"/>
          <w:sz w:val="20"/>
        </w:rPr>
        <w:t>LV</w:t>
      </w:r>
      <w:r w:rsidRPr="00E37184">
        <w:rPr>
          <w:rFonts w:asciiTheme="minorHAnsi" w:hAnsiTheme="minorHAnsi"/>
          <w:sz w:val="20"/>
        </w:rPr>
        <w:tab/>
        <w:t>200 mg/m</w:t>
      </w:r>
      <w:r w:rsidRPr="00E37184">
        <w:rPr>
          <w:rFonts w:asciiTheme="minorHAnsi" w:hAnsiTheme="minorHAnsi"/>
          <w:sz w:val="20"/>
          <w:vertAlign w:val="superscript"/>
        </w:rPr>
        <w:t>2</w:t>
      </w:r>
      <w:r w:rsidRPr="00E37184">
        <w:rPr>
          <w:rFonts w:asciiTheme="minorHAnsi" w:hAnsiTheme="minorHAnsi"/>
          <w:sz w:val="20"/>
        </w:rPr>
        <w:tab/>
        <w:t>IV over 30 minutes</w:t>
      </w:r>
      <w:r w:rsidRPr="00E37184">
        <w:rPr>
          <w:rFonts w:asciiTheme="minorHAnsi" w:hAnsiTheme="minorHAnsi"/>
          <w:sz w:val="20"/>
        </w:rPr>
        <w:tab/>
        <w:t>Days 1, 8, 15, 22 of a 42</w:t>
      </w:r>
      <w:r>
        <w:rPr>
          <w:rFonts w:asciiTheme="minorHAnsi" w:hAnsiTheme="minorHAnsi"/>
          <w:sz w:val="20"/>
        </w:rPr>
        <w:t xml:space="preserve"> </w:t>
      </w:r>
      <w:r w:rsidRPr="00E37184">
        <w:rPr>
          <w:rFonts w:asciiTheme="minorHAnsi" w:hAnsiTheme="minorHAnsi"/>
          <w:sz w:val="20"/>
        </w:rPr>
        <w:t>day cycle;</w:t>
      </w:r>
    </w:p>
    <w:p w:rsidR="00CB57AC" w:rsidRPr="00E37184" w:rsidRDefault="00CB57AC" w:rsidP="00CB57AC">
      <w:pPr>
        <w:pStyle w:val="ListParagraph"/>
        <w:numPr>
          <w:ilvl w:val="0"/>
          <w:numId w:val="20"/>
        </w:numPr>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left" w:pos="2127"/>
          <w:tab w:val="left" w:pos="3544"/>
          <w:tab w:val="left" w:pos="5529"/>
        </w:tabs>
        <w:spacing w:after="120"/>
        <w:ind w:left="1134" w:hanging="1134"/>
        <w:contextualSpacing w:val="0"/>
        <w:rPr>
          <w:rFonts w:asciiTheme="minorHAnsi" w:hAnsiTheme="minorHAnsi"/>
          <w:sz w:val="20"/>
          <w:lang w:val="en-US"/>
        </w:rPr>
      </w:pPr>
      <w:r w:rsidRPr="00E37184">
        <w:rPr>
          <w:rFonts w:asciiTheme="minorHAnsi" w:hAnsiTheme="minorHAnsi"/>
          <w:sz w:val="20"/>
        </w:rPr>
        <w:t>Arm C</w:t>
      </w:r>
      <w:r w:rsidRPr="00E37184">
        <w:rPr>
          <w:rFonts w:asciiTheme="minorHAnsi" w:hAnsiTheme="minorHAnsi"/>
          <w:sz w:val="20"/>
          <w:lang w:val="en-US"/>
        </w:rPr>
        <w:t>:</w:t>
      </w:r>
      <w:r w:rsidRPr="00E37184">
        <w:rPr>
          <w:rFonts w:asciiTheme="minorHAnsi" w:hAnsiTheme="minorHAnsi"/>
          <w:sz w:val="20"/>
          <w:lang w:val="en-US"/>
        </w:rPr>
        <w:tab/>
      </w:r>
      <w:r w:rsidRPr="00E37184">
        <w:rPr>
          <w:rFonts w:asciiTheme="minorHAnsi" w:hAnsiTheme="minorHAnsi"/>
          <w:sz w:val="20"/>
        </w:rPr>
        <w:t>Onivyde</w:t>
      </w:r>
      <w:r w:rsidRPr="00E37184">
        <w:rPr>
          <w:rFonts w:asciiTheme="minorHAnsi" w:hAnsiTheme="minorHAnsi"/>
          <w:sz w:val="20"/>
        </w:rPr>
        <w:tab/>
        <w:t>80 mg/m</w:t>
      </w:r>
      <w:r w:rsidRPr="00E37184">
        <w:rPr>
          <w:rFonts w:asciiTheme="minorHAnsi" w:hAnsiTheme="minorHAnsi"/>
          <w:sz w:val="20"/>
          <w:vertAlign w:val="superscript"/>
        </w:rPr>
        <w:t>2</w:t>
      </w:r>
      <w:r w:rsidRPr="00E37184">
        <w:rPr>
          <w:rFonts w:asciiTheme="minorHAnsi" w:hAnsiTheme="minorHAnsi"/>
          <w:sz w:val="20"/>
        </w:rPr>
        <w:tab/>
        <w:t>IV over 90 minutes</w:t>
      </w:r>
      <w:r w:rsidRPr="00E37184">
        <w:rPr>
          <w:rFonts w:asciiTheme="minorHAnsi" w:hAnsiTheme="minorHAnsi"/>
          <w:sz w:val="20"/>
        </w:rPr>
        <w:tab/>
        <w:t>Day 1 of a 14</w:t>
      </w:r>
      <w:r>
        <w:rPr>
          <w:rFonts w:asciiTheme="minorHAnsi" w:hAnsiTheme="minorHAnsi"/>
          <w:sz w:val="20"/>
        </w:rPr>
        <w:t xml:space="preserve"> </w:t>
      </w:r>
      <w:r w:rsidRPr="00E37184">
        <w:rPr>
          <w:rFonts w:asciiTheme="minorHAnsi" w:hAnsiTheme="minorHAnsi"/>
          <w:sz w:val="20"/>
        </w:rPr>
        <w:t>day cycle;</w:t>
      </w:r>
    </w:p>
    <w:p w:rsidR="00CB57AC" w:rsidRPr="00E37184" w:rsidRDefault="00CB57AC" w:rsidP="00CB57AC">
      <w:pPr>
        <w:pStyle w:val="ListParagraph"/>
        <w:tabs>
          <w:tab w:val="left" w:pos="2127"/>
          <w:tab w:val="left" w:pos="3544"/>
          <w:tab w:val="left" w:pos="5529"/>
        </w:tabs>
        <w:spacing w:after="120"/>
        <w:ind w:left="1134"/>
        <w:contextualSpacing w:val="0"/>
        <w:rPr>
          <w:rFonts w:asciiTheme="minorHAnsi" w:hAnsiTheme="minorHAnsi"/>
          <w:sz w:val="20"/>
          <w:lang w:val="en-US"/>
        </w:rPr>
      </w:pPr>
      <w:r w:rsidRPr="00E37184">
        <w:rPr>
          <w:rFonts w:asciiTheme="minorHAnsi" w:hAnsiTheme="minorHAnsi"/>
          <w:sz w:val="20"/>
          <w:lang w:val="en-US"/>
        </w:rPr>
        <w:t xml:space="preserve">5-FU </w:t>
      </w:r>
      <w:r w:rsidRPr="00E37184">
        <w:rPr>
          <w:rFonts w:asciiTheme="minorHAnsi" w:hAnsiTheme="minorHAnsi"/>
          <w:sz w:val="20"/>
          <w:lang w:val="en-US"/>
        </w:rPr>
        <w:tab/>
      </w:r>
      <w:r w:rsidRPr="00E37184">
        <w:rPr>
          <w:rFonts w:asciiTheme="minorHAnsi" w:hAnsiTheme="minorHAnsi"/>
          <w:sz w:val="20"/>
        </w:rPr>
        <w:t>2400 mg/m</w:t>
      </w:r>
      <w:r w:rsidRPr="00E37184">
        <w:rPr>
          <w:rFonts w:asciiTheme="minorHAnsi" w:hAnsiTheme="minorHAnsi"/>
          <w:sz w:val="20"/>
          <w:vertAlign w:val="superscript"/>
        </w:rPr>
        <w:t>2</w:t>
      </w:r>
      <w:r w:rsidRPr="00E37184">
        <w:rPr>
          <w:rFonts w:asciiTheme="minorHAnsi" w:hAnsiTheme="minorHAnsi"/>
          <w:sz w:val="20"/>
        </w:rPr>
        <w:tab/>
        <w:t>IV over 46 hours</w:t>
      </w:r>
      <w:r w:rsidRPr="00E37184">
        <w:rPr>
          <w:rFonts w:asciiTheme="minorHAnsi" w:hAnsiTheme="minorHAnsi"/>
          <w:sz w:val="20"/>
        </w:rPr>
        <w:tab/>
        <w:t>Day 1 of a 14</w:t>
      </w:r>
      <w:r>
        <w:rPr>
          <w:rFonts w:asciiTheme="minorHAnsi" w:hAnsiTheme="minorHAnsi"/>
          <w:sz w:val="20"/>
        </w:rPr>
        <w:t xml:space="preserve"> </w:t>
      </w:r>
      <w:r w:rsidRPr="00E37184">
        <w:rPr>
          <w:rFonts w:asciiTheme="minorHAnsi" w:hAnsiTheme="minorHAnsi"/>
          <w:sz w:val="20"/>
        </w:rPr>
        <w:t>day cycle;</w:t>
      </w:r>
    </w:p>
    <w:p w:rsidR="00CB57AC" w:rsidRPr="00E37184" w:rsidRDefault="00CB57AC" w:rsidP="00CB57AC">
      <w:pPr>
        <w:pStyle w:val="ListParagraph"/>
        <w:tabs>
          <w:tab w:val="left" w:pos="2127"/>
          <w:tab w:val="left" w:pos="3544"/>
          <w:tab w:val="left" w:pos="5529"/>
        </w:tabs>
        <w:spacing w:after="120"/>
        <w:ind w:left="1134"/>
        <w:contextualSpacing w:val="0"/>
        <w:rPr>
          <w:rFonts w:asciiTheme="minorHAnsi" w:hAnsiTheme="minorHAnsi"/>
          <w:sz w:val="20"/>
          <w:lang w:val="en-US"/>
        </w:rPr>
      </w:pPr>
      <w:r w:rsidRPr="00E37184">
        <w:rPr>
          <w:rFonts w:asciiTheme="minorHAnsi" w:hAnsiTheme="minorHAnsi"/>
          <w:sz w:val="20"/>
        </w:rPr>
        <w:t>LV</w:t>
      </w:r>
      <w:r w:rsidRPr="00E37184">
        <w:rPr>
          <w:rFonts w:asciiTheme="minorHAnsi" w:hAnsiTheme="minorHAnsi"/>
          <w:sz w:val="20"/>
        </w:rPr>
        <w:tab/>
        <w:t>400 mg/m</w:t>
      </w:r>
      <w:r w:rsidRPr="00E37184">
        <w:rPr>
          <w:rFonts w:asciiTheme="minorHAnsi" w:hAnsiTheme="minorHAnsi"/>
          <w:sz w:val="20"/>
          <w:vertAlign w:val="superscript"/>
        </w:rPr>
        <w:t>2</w:t>
      </w:r>
      <w:r w:rsidRPr="00E37184">
        <w:rPr>
          <w:rFonts w:asciiTheme="minorHAnsi" w:hAnsiTheme="minorHAnsi"/>
          <w:sz w:val="20"/>
        </w:rPr>
        <w:tab/>
        <w:t>IV over 30 minutes</w:t>
      </w:r>
      <w:r w:rsidRPr="00E37184">
        <w:rPr>
          <w:rFonts w:asciiTheme="minorHAnsi" w:hAnsiTheme="minorHAnsi"/>
          <w:sz w:val="20"/>
        </w:rPr>
        <w:tab/>
        <w:t>Day 1 of a 14</w:t>
      </w:r>
      <w:r>
        <w:rPr>
          <w:rFonts w:asciiTheme="minorHAnsi" w:hAnsiTheme="minorHAnsi"/>
          <w:sz w:val="20"/>
        </w:rPr>
        <w:t xml:space="preserve"> </w:t>
      </w:r>
      <w:r w:rsidRPr="00E37184">
        <w:rPr>
          <w:rFonts w:asciiTheme="minorHAnsi" w:hAnsiTheme="minorHAnsi"/>
          <w:sz w:val="20"/>
        </w:rPr>
        <w:t>day cycle.</w:t>
      </w:r>
    </w:p>
    <w:p w:rsidR="00184C7D" w:rsidRPr="00184C7D" w:rsidRDefault="00184C7D" w:rsidP="00184C7D">
      <w:pPr>
        <w:autoSpaceDE w:val="0"/>
        <w:autoSpaceDN w:val="0"/>
        <w:adjustRightInd w:val="0"/>
      </w:pPr>
      <w:r w:rsidRPr="00184C7D">
        <w:lastRenderedPageBreak/>
        <w:t xml:space="preserve">Subjects who were homozygous for </w:t>
      </w:r>
      <w:r w:rsidRPr="00823048">
        <w:rPr>
          <w:i/>
        </w:rPr>
        <w:t>UGT1A1*28</w:t>
      </w:r>
      <w:r w:rsidRPr="00184C7D">
        <w:t xml:space="preserve"> received reduced initial doses of Onivyde. In arm A the initial dose was reduced to 80 mg/m</w:t>
      </w:r>
      <w:r w:rsidRPr="00184C7D">
        <w:rPr>
          <w:vertAlign w:val="superscript"/>
        </w:rPr>
        <w:t>2</w:t>
      </w:r>
      <w:r w:rsidRPr="00184C7D">
        <w:t xml:space="preserve"> and in Arm C it was reduced to 60 mg/m</w:t>
      </w:r>
      <w:r w:rsidRPr="00184C7D">
        <w:rPr>
          <w:vertAlign w:val="superscript"/>
        </w:rPr>
        <w:t>2</w:t>
      </w:r>
      <w:r w:rsidRPr="00184C7D">
        <w:t xml:space="preserve">. If the subject did not experience any drug-related toxicity the dose could be increased in subsequent cycles. In Arm C, Onivyde was administered prior to 5-FU/LV. In Arms B and C </w:t>
      </w:r>
      <w:proofErr w:type="spellStart"/>
      <w:r w:rsidRPr="00184C7D">
        <w:t>leucovorin</w:t>
      </w:r>
      <w:proofErr w:type="spellEnd"/>
      <w:r w:rsidRPr="00184C7D">
        <w:t xml:space="preserve"> was administered immediately before 5-FU. Prior to administration of Onivyde the dose was diluted in 5% dextrose to a final vo</w:t>
      </w:r>
      <w:r w:rsidR="00B44550">
        <w:t xml:space="preserve">lume of 500 </w:t>
      </w:r>
      <w:proofErr w:type="spellStart"/>
      <w:r w:rsidR="00B44550">
        <w:t>mLs</w:t>
      </w:r>
      <w:proofErr w:type="spellEnd"/>
      <w:r w:rsidR="00B44550">
        <w:t xml:space="preserve">. </w:t>
      </w:r>
    </w:p>
    <w:p w:rsidR="00184C7D" w:rsidRPr="00184C7D" w:rsidRDefault="00184C7D" w:rsidP="00184C7D">
      <w:pPr>
        <w:autoSpaceDE w:val="0"/>
        <w:autoSpaceDN w:val="0"/>
        <w:adjustRightInd w:val="0"/>
      </w:pPr>
      <w:r w:rsidRPr="00184C7D">
        <w:t xml:space="preserve">Dose delays and dose reductions were specified for both Onivyde and 5-FU in the event of toxicities. All subjects were pre-medicated with anti-emetic agents according to local institutional practice for irinotecan and 5-FU administration. Use of G-CSF was permitted for the treatment of </w:t>
      </w:r>
      <w:proofErr w:type="spellStart"/>
      <w:r w:rsidRPr="00184C7D">
        <w:t>neutropaenia</w:t>
      </w:r>
      <w:proofErr w:type="spellEnd"/>
      <w:r w:rsidRPr="00184C7D">
        <w:t>. Treatment with other anti-neoplastic therapy, curative radiotherapy or other investi</w:t>
      </w:r>
      <w:r w:rsidR="00B44550">
        <w:t>gational agents was prohibited.</w:t>
      </w:r>
    </w:p>
    <w:p w:rsidR="00184C7D" w:rsidRPr="00184C7D" w:rsidRDefault="00184C7D" w:rsidP="00B44550">
      <w:pPr>
        <w:autoSpaceDE w:val="0"/>
        <w:autoSpaceDN w:val="0"/>
        <w:adjustRightInd w:val="0"/>
      </w:pPr>
      <w:r w:rsidRPr="00184C7D">
        <w:t>Treatment was continued until disease progression, symptomatic deterioration, development of intolerable toxicity or a request from the patient (or the patient’s physici</w:t>
      </w:r>
      <w:r w:rsidR="00B44550">
        <w:t>an) to withdraw from the study.</w:t>
      </w:r>
    </w:p>
    <w:p w:rsidR="00184C7D" w:rsidRPr="00CB57AC" w:rsidRDefault="00184C7D" w:rsidP="00CB57AC">
      <w:pPr>
        <w:ind w:left="720"/>
        <w:rPr>
          <w:i/>
        </w:rPr>
      </w:pPr>
      <w:r w:rsidRPr="00CB57AC">
        <w:rPr>
          <w:i/>
        </w:rPr>
        <w:t>Comment:</w:t>
      </w:r>
      <w:r w:rsidR="00CB57AC" w:rsidRPr="00CB57AC">
        <w:rPr>
          <w:i/>
        </w:rPr>
        <w:t xml:space="preserve"> </w:t>
      </w:r>
      <w:r w:rsidRPr="00CB57AC">
        <w:rPr>
          <w:i/>
        </w:rPr>
        <w:t xml:space="preserve">The sponsor is not seeking approval for the use of Onivyde as monotherapy. Hence the comparison of interest from this study is Onivyde vs. 5FU/LV. There is currently no standard therapy for the second-line treatment of metastatic pancreatic cancer after failure of gemcitabine-based therapy. However, the choice of </w:t>
      </w:r>
      <w:proofErr w:type="spellStart"/>
      <w:r w:rsidRPr="00CB57AC">
        <w:rPr>
          <w:i/>
        </w:rPr>
        <w:t>infusional</w:t>
      </w:r>
      <w:proofErr w:type="spellEnd"/>
      <w:r w:rsidRPr="00CB57AC">
        <w:rPr>
          <w:i/>
        </w:rPr>
        <w:t xml:space="preserve"> 5-FU/LV as the comparator in this study is considered appropriate for the following reasons:</w:t>
      </w:r>
    </w:p>
    <w:p w:rsidR="00184C7D" w:rsidRDefault="00184C7D" w:rsidP="00CB57AC">
      <w:pPr>
        <w:pStyle w:val="ListBullet"/>
      </w:pPr>
      <w:r>
        <w:t>A</w:t>
      </w:r>
      <w:r w:rsidR="0043592A">
        <w:t>ccording to the NCCN guidelines,</w:t>
      </w:r>
      <w:r w:rsidR="0043592A">
        <w:rPr>
          <w:rStyle w:val="FootnoteReference"/>
        </w:rPr>
        <w:footnoteReference w:id="19"/>
      </w:r>
      <w:r w:rsidR="0043592A">
        <w:t xml:space="preserve"> </w:t>
      </w:r>
      <w:proofErr w:type="spellStart"/>
      <w:r>
        <w:t>fluoropyrimidine</w:t>
      </w:r>
      <w:proofErr w:type="spellEnd"/>
      <w:r>
        <w:t>-based regimens are appropriate in this situation;</w:t>
      </w:r>
    </w:p>
    <w:p w:rsidR="00184C7D" w:rsidRDefault="00184C7D" w:rsidP="00CB57AC">
      <w:pPr>
        <w:pStyle w:val="ListBullet"/>
      </w:pPr>
      <w:r>
        <w:t>5-FU/LV has been used as the comparator arm in other recent phase 3 studies of 2</w:t>
      </w:r>
      <w:r w:rsidRPr="00F67588">
        <w:rPr>
          <w:vertAlign w:val="superscript"/>
        </w:rPr>
        <w:t>nd</w:t>
      </w:r>
      <w:r>
        <w:t xml:space="preserve"> line ch</w:t>
      </w:r>
      <w:r w:rsidR="007F53E0">
        <w:t>emotherapy in pancreatic cancer</w:t>
      </w:r>
      <w:r>
        <w:t>;</w:t>
      </w:r>
      <w:r w:rsidR="003E1173">
        <w:rPr>
          <w:rStyle w:val="FootnoteReference"/>
        </w:rPr>
        <w:footnoteReference w:id="20"/>
      </w:r>
    </w:p>
    <w:p w:rsidR="00184C7D" w:rsidRDefault="00184C7D" w:rsidP="00CB57AC">
      <w:pPr>
        <w:pStyle w:val="ListBullet"/>
      </w:pPr>
      <w:r>
        <w:t xml:space="preserve">As discussed, trials of more intensive </w:t>
      </w:r>
      <w:proofErr w:type="spellStart"/>
      <w:r>
        <w:t>fluoropyrimidine</w:t>
      </w:r>
      <w:proofErr w:type="spellEnd"/>
      <w:r>
        <w:t xml:space="preserve">-based regimens (e.g. 5FU with </w:t>
      </w:r>
      <w:proofErr w:type="spellStart"/>
      <w:r>
        <w:t>oxaliplatin</w:t>
      </w:r>
      <w:proofErr w:type="spellEnd"/>
      <w:r>
        <w:t>) have given conflicting results;</w:t>
      </w:r>
    </w:p>
    <w:p w:rsidR="00184C7D" w:rsidRPr="00184C7D" w:rsidRDefault="00184C7D" w:rsidP="00CB57AC">
      <w:pPr>
        <w:pStyle w:val="ListBullet"/>
      </w:pPr>
      <w:r>
        <w:t>In Australia, 5-FU has a broad grandfathered indication for the treatment of pancreatic cancer that does not excl</w:t>
      </w:r>
      <w:r w:rsidR="00B44550">
        <w:t>ude use as a second-line agent.</w:t>
      </w:r>
    </w:p>
    <w:p w:rsidR="00184C7D" w:rsidRDefault="00184C7D" w:rsidP="00CB57AC">
      <w:pPr>
        <w:pStyle w:val="ListBullet"/>
      </w:pPr>
      <w:r>
        <w:t>The 5-FU/LV schedules used in Arms B and C were different. The dose intensity of 5-FU was higher in Arm B (over a six week period a subject in Arm B would receive 8000 mg/m</w:t>
      </w:r>
      <w:r w:rsidRPr="00823048">
        <w:rPr>
          <w:vertAlign w:val="superscript"/>
        </w:rPr>
        <w:t>2</w:t>
      </w:r>
      <w:r>
        <w:t xml:space="preserve"> of 5-FU whereas a subject in Arm C would receive 7,200</w:t>
      </w:r>
      <w:r w:rsidRPr="009E4A53">
        <w:t xml:space="preserve"> </w:t>
      </w:r>
      <w:r>
        <w:t>mg/m</w:t>
      </w:r>
      <w:r w:rsidRPr="008052BA">
        <w:rPr>
          <w:vertAlign w:val="superscript"/>
        </w:rPr>
        <w:t>2</w:t>
      </w:r>
      <w:r w:rsidR="00B44550">
        <w:t>).</w:t>
      </w:r>
    </w:p>
    <w:p w:rsidR="00184C7D" w:rsidRPr="00971DC2" w:rsidRDefault="00184C7D" w:rsidP="00CB57AC">
      <w:pPr>
        <w:pStyle w:val="ListBullet"/>
      </w:pPr>
      <w:r>
        <w:t>It is noted that the dose of Onivyde approved in the USA (based on this study) is 70/mg/m</w:t>
      </w:r>
      <w:r w:rsidRPr="007B4B81">
        <w:rPr>
          <w:vertAlign w:val="superscript"/>
        </w:rPr>
        <w:t>2</w:t>
      </w:r>
      <w:r>
        <w:t xml:space="preserve"> rather than 80/mg/m</w:t>
      </w:r>
      <w:r w:rsidRPr="007B4B81">
        <w:rPr>
          <w:vertAlign w:val="superscript"/>
        </w:rPr>
        <w:t>2</w:t>
      </w:r>
      <w:r>
        <w:t xml:space="preserve">. This appears to be due to the irinotecan content in Onivyde being </w:t>
      </w:r>
      <w:r w:rsidR="00B44550">
        <w:t>b</w:t>
      </w:r>
      <w:r>
        <w:t xml:space="preserve">ased on free irinotecan base rather than irinotecan hydrochloride trihydrate as is proposed in the draft Australian PI. </w:t>
      </w:r>
    </w:p>
    <w:p w:rsidR="00184C7D" w:rsidRPr="004B259C" w:rsidRDefault="00184C7D" w:rsidP="00184C7D">
      <w:pPr>
        <w:pStyle w:val="Heading4"/>
      </w:pPr>
      <w:bookmarkStart w:id="118" w:name="_Toc457234022"/>
      <w:r w:rsidRPr="004B259C">
        <w:t>Efficacy variables and outcomes</w:t>
      </w:r>
      <w:bookmarkEnd w:id="118"/>
    </w:p>
    <w:p w:rsidR="00184C7D" w:rsidRPr="00184C7D" w:rsidRDefault="00184C7D" w:rsidP="00184C7D">
      <w:r w:rsidRPr="00184C7D">
        <w:t>The main efficacy variables were:</w:t>
      </w:r>
    </w:p>
    <w:p w:rsidR="00184C7D" w:rsidRPr="00184C7D" w:rsidRDefault="00184C7D" w:rsidP="00597B38">
      <w:pPr>
        <w:pStyle w:val="ListBullet"/>
      </w:pPr>
      <w:r w:rsidRPr="00184C7D">
        <w:t>Survival</w:t>
      </w:r>
    </w:p>
    <w:p w:rsidR="00184C7D" w:rsidRPr="00184C7D" w:rsidRDefault="00184C7D" w:rsidP="00597B38">
      <w:pPr>
        <w:pStyle w:val="ListBullet"/>
      </w:pPr>
      <w:r w:rsidRPr="00184C7D">
        <w:t xml:space="preserve">Delay in disease progression; </w:t>
      </w:r>
    </w:p>
    <w:p w:rsidR="00184C7D" w:rsidRPr="00184C7D" w:rsidRDefault="00184C7D" w:rsidP="00597B38">
      <w:pPr>
        <w:pStyle w:val="ListBullet"/>
      </w:pPr>
      <w:r w:rsidRPr="00184C7D">
        <w:t>Reduction in tumour size;</w:t>
      </w:r>
    </w:p>
    <w:p w:rsidR="00184C7D" w:rsidRPr="00184C7D" w:rsidRDefault="00184C7D" w:rsidP="00597B38">
      <w:pPr>
        <w:pStyle w:val="ListBullet"/>
      </w:pPr>
      <w:r w:rsidRPr="00184C7D">
        <w:lastRenderedPageBreak/>
        <w:t xml:space="preserve">Improvement in symptoms; </w:t>
      </w:r>
    </w:p>
    <w:p w:rsidR="00184C7D" w:rsidRPr="00184C7D" w:rsidRDefault="00184C7D" w:rsidP="00597B38">
      <w:pPr>
        <w:pStyle w:val="ListBullet"/>
      </w:pPr>
      <w:r w:rsidRPr="00184C7D">
        <w:t>Quality of life.</w:t>
      </w:r>
    </w:p>
    <w:p w:rsidR="00184C7D" w:rsidRPr="00184C7D" w:rsidRDefault="00184C7D" w:rsidP="00184C7D">
      <w:r w:rsidRPr="00184C7D">
        <w:t xml:space="preserve">The </w:t>
      </w:r>
      <w:r w:rsidRPr="00B44550">
        <w:t>primary efficacy outcome</w:t>
      </w:r>
      <w:r w:rsidRPr="00184C7D">
        <w:t xml:space="preserve"> was overall survival (OS) defined as the time from the date of randomisation to date of death or the date last known alive.</w:t>
      </w:r>
    </w:p>
    <w:p w:rsidR="00184C7D" w:rsidRPr="00184C7D" w:rsidRDefault="00184C7D" w:rsidP="00184C7D">
      <w:r w:rsidRPr="00B44550">
        <w:t>Secondary efficacy outcomes</w:t>
      </w:r>
      <w:r w:rsidRPr="00184C7D">
        <w:t xml:space="preserve"> were:</w:t>
      </w:r>
    </w:p>
    <w:p w:rsidR="00184C7D" w:rsidRPr="00597B38" w:rsidRDefault="00184C7D" w:rsidP="00597B38">
      <w:pPr>
        <w:pStyle w:val="ListBullet"/>
      </w:pPr>
      <w:r w:rsidRPr="00597B38">
        <w:t xml:space="preserve">Progression-free survival (PFS), defined as the time from the date of randomisation to date of death or disease progression, whichever occurred earlier. Disease progression was defined according to the Response Evaluation Criteria </w:t>
      </w:r>
      <w:proofErr w:type="gramStart"/>
      <w:r w:rsidRPr="00597B38">
        <w:t>In</w:t>
      </w:r>
      <w:proofErr w:type="gramEnd"/>
      <w:r w:rsidRPr="00597B38">
        <w:t xml:space="preserve"> Sol</w:t>
      </w:r>
      <w:r w:rsidR="00597B38">
        <w:t>id Tumours (RECIST) version 1.1</w:t>
      </w:r>
      <w:r w:rsidRPr="00597B38">
        <w:t>. Progression was assessed by the investigators;</w:t>
      </w:r>
    </w:p>
    <w:p w:rsidR="00184C7D" w:rsidRPr="00597B38" w:rsidRDefault="00184C7D" w:rsidP="00597B38">
      <w:pPr>
        <w:pStyle w:val="ListBullet"/>
      </w:pPr>
      <w:r w:rsidRPr="00597B38">
        <w:t>Time to treatment failure (TTF), defined as the time from the date of randomisation to date of death, disease progression or study discontinuation due to toxicity;</w:t>
      </w:r>
    </w:p>
    <w:p w:rsidR="00184C7D" w:rsidRPr="00597B38" w:rsidRDefault="00184C7D" w:rsidP="00597B38">
      <w:pPr>
        <w:pStyle w:val="ListBullet"/>
      </w:pPr>
      <w:r w:rsidRPr="00597B38">
        <w:t>Objective Response Rate (ORR), determined using RECIST v1.1 criteria and assessed by the investigators;</w:t>
      </w:r>
    </w:p>
    <w:p w:rsidR="00184C7D" w:rsidRPr="00597B38" w:rsidRDefault="00184C7D" w:rsidP="00597B38">
      <w:pPr>
        <w:pStyle w:val="ListBullet"/>
      </w:pPr>
      <w:r w:rsidRPr="00597B38">
        <w:t>Clinical Benefit Response (CBR) rate. This was a complex composite endpoint based on assessment of pain</w:t>
      </w:r>
      <w:r w:rsidR="00AF4531">
        <w:t>, performance status and weight.</w:t>
      </w:r>
    </w:p>
    <w:p w:rsidR="00184C7D" w:rsidRPr="00597B38" w:rsidRDefault="00184C7D" w:rsidP="00597B38">
      <w:pPr>
        <w:pStyle w:val="ListBullet"/>
      </w:pPr>
      <w:r w:rsidRPr="00597B38">
        <w:t>Tumour Marker Response (TMR) rate, defined as the proportion of those subjects with elevated serum levels of the tumour marker CA19-9 at baseline, who achieved a 50% reduction from baseline.</w:t>
      </w:r>
    </w:p>
    <w:p w:rsidR="00184C7D" w:rsidRPr="00597B38" w:rsidRDefault="00184C7D" w:rsidP="00597B38">
      <w:pPr>
        <w:pStyle w:val="ListBullet"/>
      </w:pPr>
      <w:r w:rsidRPr="00597B38">
        <w:t>Quality of life as assessed by the EORTC QLQ-C30 questionnaire. This is a validated cancer-specific 30-item questionnaire. It incorporates five functional scales (physical, role, cognitive, emotional and social) covered by 16 questions, three symptom scales (fatigue, pain and nausea/vomiting) covered by 6 questions, six single-question items (constipation, diarrhoea, sleep, dyspnoea, appetite and financial difficulties) and two questions addressing global health status. All scales and single-item measures range in score from 0 to 100. A high score on a functional scale represents a high level of functioning. A high score on global quality of life represents a high quality of life. A high score on the symptom scale or item represents a high level of symptomatic problems. A minimal clinically important difference is considered to be 5-10 points on the 100-point scale.</w:t>
      </w:r>
    </w:p>
    <w:p w:rsidR="00184C7D" w:rsidRPr="00184C7D" w:rsidRDefault="00184C7D" w:rsidP="00184C7D">
      <w:pPr>
        <w:autoSpaceDE w:val="0"/>
        <w:autoSpaceDN w:val="0"/>
        <w:adjustRightInd w:val="0"/>
      </w:pPr>
      <w:r w:rsidRPr="00184C7D">
        <w:t>Tumour assessment (by CT or MRI) was performed at screening and every six weeks after randomisation. For subjects who discontinued treatment for reasons other than disease progression, scans were to be continued at six-weekly intervals until disease progression or commencement of other anti-cancer therapy. Data to assess CBR were collected at weekly intervals. Serum CA19-9 levels were assessed at screening and at every 6 weeks during treatment. The EORTC QLQ-C30 was administered at screening and at 6-weekly intervals thereafter. Patients who discontinued the study were followed up at monthly intervals for survival.</w:t>
      </w:r>
    </w:p>
    <w:p w:rsidR="00184C7D" w:rsidRPr="00597B38" w:rsidRDefault="00597B38" w:rsidP="00597B38">
      <w:pPr>
        <w:ind w:left="720"/>
        <w:rPr>
          <w:i/>
        </w:rPr>
      </w:pPr>
      <w:r w:rsidRPr="00597B38">
        <w:rPr>
          <w:i/>
        </w:rPr>
        <w:t xml:space="preserve">Comment: </w:t>
      </w:r>
      <w:r w:rsidR="00184C7D" w:rsidRPr="00597B38">
        <w:rPr>
          <w:i/>
        </w:rPr>
        <w:t>The choice of overall survival as the primary endpoint is appropriate. With the exception of CBR rate and TMR rate, the secondary endpoints are all standard for oncology studies. Disease progression and tumour response were assessed by the investigators, who were not blinded to treatment allocation. Therefore, interpretation of PFS and ORR may</w:t>
      </w:r>
      <w:r w:rsidR="00B44550" w:rsidRPr="00597B38">
        <w:rPr>
          <w:i/>
        </w:rPr>
        <w:t xml:space="preserve"> have been susceptible to bias.</w:t>
      </w:r>
    </w:p>
    <w:p w:rsidR="00184C7D" w:rsidRPr="004B259C" w:rsidRDefault="00184C7D" w:rsidP="00184C7D">
      <w:pPr>
        <w:pStyle w:val="Heading4"/>
      </w:pPr>
      <w:bookmarkStart w:id="119" w:name="_Toc457234023"/>
      <w:r w:rsidRPr="004B259C">
        <w:t>Randomisation and blinding methods</w:t>
      </w:r>
      <w:bookmarkEnd w:id="119"/>
    </w:p>
    <w:p w:rsidR="00184C7D" w:rsidRPr="00184C7D" w:rsidRDefault="00184C7D" w:rsidP="00184C7D">
      <w:r w:rsidRPr="00184C7D">
        <w:t>Subjects were randomised 1:1:1 to the three study arms via an interactive web response system (IWRS). Randomisation was stratified based on the following prognostic factors:</w:t>
      </w:r>
    </w:p>
    <w:p w:rsidR="00184C7D" w:rsidRPr="00184C7D" w:rsidRDefault="00184C7D" w:rsidP="00184C7D">
      <w:pPr>
        <w:pStyle w:val="ListBullet"/>
      </w:pPr>
      <w:r w:rsidRPr="00184C7D">
        <w:t>Baseline albumin levels (≥ 4.0 g/</w:t>
      </w:r>
      <w:proofErr w:type="spellStart"/>
      <w:r w:rsidRPr="00184C7D">
        <w:t>dL</w:t>
      </w:r>
      <w:proofErr w:type="spellEnd"/>
      <w:r w:rsidRPr="00184C7D">
        <w:t xml:space="preserve"> vs. &lt; 4.0g/</w:t>
      </w:r>
      <w:proofErr w:type="spellStart"/>
      <w:r w:rsidRPr="00184C7D">
        <w:t>dL</w:t>
      </w:r>
      <w:proofErr w:type="spellEnd"/>
      <w:r w:rsidRPr="00184C7D">
        <w:t>);</w:t>
      </w:r>
    </w:p>
    <w:p w:rsidR="00184C7D" w:rsidRPr="00184C7D" w:rsidRDefault="00184C7D" w:rsidP="00184C7D">
      <w:pPr>
        <w:pStyle w:val="ListBullet"/>
      </w:pPr>
      <w:r w:rsidRPr="00184C7D">
        <w:t>KPS (70 and 80 vs. ≥ 90);</w:t>
      </w:r>
    </w:p>
    <w:p w:rsidR="00184C7D" w:rsidRPr="00184C7D" w:rsidRDefault="00184C7D" w:rsidP="00184C7D">
      <w:pPr>
        <w:pStyle w:val="ListBullet"/>
      </w:pPr>
      <w:r w:rsidRPr="00184C7D">
        <w:lastRenderedPageBreak/>
        <w:t>Ethnicity (Caucasian</w:t>
      </w:r>
      <w:r w:rsidR="00B44550">
        <w:t xml:space="preserve"> vs. East Asian vs. All Others)</w:t>
      </w:r>
    </w:p>
    <w:p w:rsidR="00184C7D" w:rsidRPr="00184C7D" w:rsidRDefault="00184C7D" w:rsidP="00184C7D">
      <w:r w:rsidRPr="00184C7D">
        <w:t>There was</w:t>
      </w:r>
      <w:r w:rsidR="00B44550">
        <w:t xml:space="preserve"> no blinding used in the study.</w:t>
      </w:r>
    </w:p>
    <w:p w:rsidR="00184C7D" w:rsidRDefault="00184C7D" w:rsidP="00184C7D">
      <w:pPr>
        <w:pStyle w:val="Heading4"/>
      </w:pPr>
      <w:bookmarkStart w:id="120" w:name="_Toc457234024"/>
      <w:r>
        <w:t>Analysis populations</w:t>
      </w:r>
      <w:bookmarkEnd w:id="120"/>
    </w:p>
    <w:p w:rsidR="00184C7D" w:rsidRPr="00184C7D" w:rsidRDefault="00184C7D" w:rsidP="00184C7D">
      <w:pPr>
        <w:autoSpaceDE w:val="0"/>
        <w:autoSpaceDN w:val="0"/>
        <w:adjustRightInd w:val="0"/>
        <w:jc w:val="both"/>
      </w:pPr>
      <w:r w:rsidRPr="00184C7D">
        <w:t>The following analysis populations were defined:</w:t>
      </w:r>
    </w:p>
    <w:p w:rsidR="00184C7D" w:rsidRPr="00184C7D" w:rsidRDefault="00184C7D" w:rsidP="00E60D18">
      <w:pPr>
        <w:pStyle w:val="Style1"/>
      </w:pPr>
      <w:r w:rsidRPr="00184C7D">
        <w:t xml:space="preserve">The </w:t>
      </w:r>
      <w:r w:rsidRPr="00B44550">
        <w:t>Intent-to-Treat (ITT) population</w:t>
      </w:r>
      <w:r w:rsidRPr="00184C7D">
        <w:t xml:space="preserve"> included all randomized patients. This population was the primary population for all efficacy parameters. </w:t>
      </w:r>
    </w:p>
    <w:p w:rsidR="00184C7D" w:rsidRPr="00184C7D" w:rsidRDefault="00184C7D" w:rsidP="00E60D18">
      <w:pPr>
        <w:pStyle w:val="Style1"/>
      </w:pPr>
      <w:r w:rsidRPr="00184C7D">
        <w:t xml:space="preserve">The </w:t>
      </w:r>
      <w:r w:rsidRPr="00B44550">
        <w:t>Safety population</w:t>
      </w:r>
      <w:r w:rsidRPr="00184C7D">
        <w:t xml:space="preserve"> was a subset of the ITT population that received at least one dose of study medication. All safety analyses were performed on this population. All analyses using this population were based on the treatment actually received.</w:t>
      </w:r>
    </w:p>
    <w:p w:rsidR="00184C7D" w:rsidRPr="00184C7D" w:rsidRDefault="00184C7D" w:rsidP="00E60D18">
      <w:pPr>
        <w:pStyle w:val="Style1"/>
      </w:pPr>
      <w:r w:rsidRPr="00184C7D">
        <w:t xml:space="preserve">The </w:t>
      </w:r>
      <w:r w:rsidRPr="00B44550">
        <w:t>Per-Protocol (PP) population</w:t>
      </w:r>
      <w:r w:rsidRPr="00184C7D">
        <w:t>: This was a subset of the ITT population. It included patients who received treatment for at least 6 weeks, did not violate any inclusion/exclusion criteria and did not significantly deviate from the protocol through receipt of any prohibited therapies, not receiving treatment as randomized or significant deviations in study drug administration.</w:t>
      </w:r>
    </w:p>
    <w:p w:rsidR="00184C7D" w:rsidRPr="00184C7D" w:rsidRDefault="00184C7D" w:rsidP="00E60D18">
      <w:pPr>
        <w:pStyle w:val="Style1"/>
      </w:pPr>
      <w:r w:rsidRPr="00184C7D">
        <w:t xml:space="preserve">The </w:t>
      </w:r>
      <w:r w:rsidRPr="00B44550">
        <w:t>Evaluable Patient (EP) population</w:t>
      </w:r>
      <w:r w:rsidRPr="00184C7D">
        <w:t xml:space="preserve"> for tumour response consisted of all randomized and treated patients, who met all inclusion/exclusion criteria, had measurable disease at baseline and were evaluable for response (i.e. patients with at least one tumour evaluation while on treatment and those with early [≤ 12 weeks] disease progression, including symptomatic deterioration and death).</w:t>
      </w:r>
    </w:p>
    <w:p w:rsidR="00184C7D" w:rsidRPr="00184C7D" w:rsidRDefault="00184C7D" w:rsidP="00E60D18">
      <w:pPr>
        <w:pStyle w:val="Style1"/>
      </w:pPr>
      <w:r w:rsidRPr="00B44550">
        <w:t>Tumour marker response-evaluable (TMRE) population</w:t>
      </w:r>
      <w:r w:rsidRPr="00184C7D">
        <w:t xml:space="preserve">: Patients who had elevated CA 19-9 level (&gt; 30 U/mL) at baseline were defined as eligible for evaluation of tumour marker response. </w:t>
      </w:r>
    </w:p>
    <w:p w:rsidR="00184C7D" w:rsidRPr="00184C7D" w:rsidRDefault="00184C7D" w:rsidP="00E60D18">
      <w:pPr>
        <w:pStyle w:val="Style1"/>
      </w:pPr>
      <w:r w:rsidRPr="00B44550">
        <w:t>CBR-evaluable (CBRE) population</w:t>
      </w:r>
      <w:r w:rsidRPr="00184C7D">
        <w:t>: Patients who met at least one of the following criteria were defined as eligible for evaluation of CBR:</w:t>
      </w:r>
    </w:p>
    <w:p w:rsidR="00184C7D" w:rsidRPr="00184C7D" w:rsidRDefault="00184C7D" w:rsidP="00AF4531">
      <w:pPr>
        <w:pStyle w:val="ListBullet2"/>
      </w:pPr>
      <w:r w:rsidRPr="00184C7D">
        <w:t>Baseline pain intensity ≥ 20 (out of 100);</w:t>
      </w:r>
    </w:p>
    <w:p w:rsidR="00184C7D" w:rsidRPr="00184C7D" w:rsidRDefault="00184C7D" w:rsidP="00AF4531">
      <w:pPr>
        <w:pStyle w:val="ListBullet2"/>
      </w:pPr>
      <w:r w:rsidRPr="00184C7D">
        <w:t>Baseline morphine consumption ≥ 10 mg/day PO morphine equivalents;</w:t>
      </w:r>
    </w:p>
    <w:p w:rsidR="00184C7D" w:rsidRPr="00184C7D" w:rsidRDefault="00184C7D" w:rsidP="00AF4531">
      <w:pPr>
        <w:pStyle w:val="ListBullet2"/>
      </w:pPr>
      <w:r w:rsidRPr="00184C7D">
        <w:t>Baseline KPS of 70 to 90 points.</w:t>
      </w:r>
    </w:p>
    <w:p w:rsidR="00184C7D" w:rsidRPr="00184C7D" w:rsidRDefault="00184C7D" w:rsidP="00E60D18">
      <w:pPr>
        <w:pStyle w:val="Style1"/>
      </w:pPr>
      <w:r w:rsidRPr="00E60D18">
        <w:t>PRO population</w:t>
      </w:r>
      <w:r w:rsidRPr="00184C7D">
        <w:t>: All ITT patients that provided baseline and at least one subsequent assessment on EORTC-QLQ-C30 instrument.</w:t>
      </w:r>
    </w:p>
    <w:p w:rsidR="00184C7D" w:rsidRPr="00184C7D" w:rsidDel="0081373E" w:rsidRDefault="00184C7D" w:rsidP="00E60D18">
      <w:pPr>
        <w:pStyle w:val="Style1"/>
      </w:pPr>
      <w:r w:rsidRPr="00E60D18">
        <w:t>PK population</w:t>
      </w:r>
      <w:r w:rsidRPr="00184C7D">
        <w:t xml:space="preserve">: All treated patients with at least </w:t>
      </w:r>
      <w:r w:rsidR="00E60D18">
        <w:t>one PK assessment on treatment.</w:t>
      </w:r>
    </w:p>
    <w:p w:rsidR="00184C7D" w:rsidRPr="004B259C" w:rsidDel="0081373E" w:rsidRDefault="00184C7D" w:rsidP="00E2729C">
      <w:pPr>
        <w:pStyle w:val="Heading4"/>
      </w:pPr>
      <w:bookmarkStart w:id="121" w:name="_Toc457234025"/>
      <w:r w:rsidRPr="004B259C" w:rsidDel="0081373E">
        <w:t>Sample size</w:t>
      </w:r>
      <w:bookmarkEnd w:id="121"/>
    </w:p>
    <w:p w:rsidR="00184C7D" w:rsidRPr="00184C7D" w:rsidRDefault="00184C7D" w:rsidP="00184C7D">
      <w:pPr>
        <w:autoSpaceDE w:val="0"/>
        <w:autoSpaceDN w:val="0"/>
        <w:adjustRightInd w:val="0"/>
      </w:pPr>
      <w:r w:rsidRPr="00184C7D">
        <w:t>Based on previous studies it was assumed that median overall survival would be 4.5 months for Arm A, and 3.0 months for Arm B. For Arm C, a median survival of 6.0 months was selected. These corresponded to hazard ratios (HR) of 0.67 and 0.5 in favour of Arm A and Arm C relative to Arm B, respectively. The sample size and power calculations also assumed that approximately 65 patients were randomised under the initial protocol (2 study arms) and that the remaining patients would be randomised under the revised protocol (3 study arms).</w:t>
      </w:r>
    </w:p>
    <w:p w:rsidR="00184C7D" w:rsidRPr="00184C7D" w:rsidRDefault="00184C7D" w:rsidP="00E60D18">
      <w:r w:rsidRPr="00184C7D">
        <w:t xml:space="preserve">Two comparisons were intended – Arm A vs. Arm B and Arm C vs. Arm B – using two pairwise un-stratified log rank tests. A Bonferroni-Holm testing procedure was to be used to control the overall error rate at the two-sided 0.05 level. It was calculated that a total of 305 deaths would provide at least 85% power to detect the hypothesised advantage of Arm A over Arm B, and at least 99% power to detect the hypothesised advantage of Arm </w:t>
      </w:r>
      <w:proofErr w:type="spellStart"/>
      <w:r w:rsidRPr="00184C7D">
        <w:t>C over</w:t>
      </w:r>
      <w:proofErr w:type="spellEnd"/>
      <w:r w:rsidRPr="00184C7D">
        <w:t xml:space="preserve"> Arm B. In order to accrue a total of 305 deaths it was calculated that a total 405 subjec</w:t>
      </w:r>
      <w:r w:rsidR="00B44550">
        <w:t>ts would need to be randomised.</w:t>
      </w:r>
    </w:p>
    <w:p w:rsidR="00184C7D" w:rsidRPr="004B259C" w:rsidRDefault="00184C7D" w:rsidP="00184C7D">
      <w:pPr>
        <w:pStyle w:val="Heading4"/>
      </w:pPr>
      <w:bookmarkStart w:id="122" w:name="_Toc457234026"/>
      <w:r w:rsidRPr="004B259C">
        <w:lastRenderedPageBreak/>
        <w:t>Statistical methods</w:t>
      </w:r>
      <w:bookmarkEnd w:id="122"/>
    </w:p>
    <w:p w:rsidR="00184C7D" w:rsidRPr="00184C7D" w:rsidRDefault="00184C7D" w:rsidP="00B44550">
      <w:r w:rsidRPr="00184C7D">
        <w:t xml:space="preserve">For the primary endpoint of overall survival (OS), Kaplan-Meier analyses were performed on each treatment group to obtain nonparametric estimates of the survival function and the median survival time. Corresponding 95% confidence intervals were computed using the log-log method. </w:t>
      </w:r>
      <w:proofErr w:type="spellStart"/>
      <w:r w:rsidRPr="00184C7D">
        <w:t>Unstratified</w:t>
      </w:r>
      <w:proofErr w:type="spellEnd"/>
      <w:r w:rsidRPr="00184C7D">
        <w:t xml:space="preserve"> Cox proportional hazards </w:t>
      </w:r>
      <w:proofErr w:type="gramStart"/>
      <w:r w:rsidRPr="00184C7D">
        <w:t>regression were</w:t>
      </w:r>
      <w:proofErr w:type="gramEnd"/>
      <w:r w:rsidRPr="00184C7D">
        <w:t xml:space="preserve"> used to estimate hazard ratios and their corresponding 95% confidence intervals. Pairwise comparisons were performed using the </w:t>
      </w:r>
      <w:proofErr w:type="spellStart"/>
      <w:r w:rsidRPr="00184C7D">
        <w:t>unstratified</w:t>
      </w:r>
      <w:proofErr w:type="spellEnd"/>
      <w:r w:rsidRPr="00184C7D">
        <w:t xml:space="preserve"> log rank test. The final analysis of OS was planned to occur after 305 deaths. No interim analyses were planned. Multiple sensitivity analyses of OS were undertaken using alternative statistical methods. Similar methods were </w:t>
      </w:r>
      <w:r w:rsidR="00B44550">
        <w:t>used for analysing PFS and TTF.</w:t>
      </w:r>
    </w:p>
    <w:p w:rsidR="00184C7D" w:rsidRPr="00184C7D" w:rsidRDefault="00184C7D" w:rsidP="00184C7D">
      <w:pPr>
        <w:autoSpaceDE w:val="0"/>
        <w:autoSpaceDN w:val="0"/>
        <w:adjustRightInd w:val="0"/>
      </w:pPr>
      <w:r w:rsidRPr="00184C7D">
        <w:t>Response rates (ORR, CBR and TMR) were compared between treatment a</w:t>
      </w:r>
      <w:r w:rsidR="00B44550">
        <w:t>rms using Fisher’s exact tests.</w:t>
      </w:r>
    </w:p>
    <w:p w:rsidR="00184C7D" w:rsidRPr="00184C7D" w:rsidRDefault="00184C7D" w:rsidP="00184C7D">
      <w:pPr>
        <w:autoSpaceDE w:val="0"/>
        <w:autoSpaceDN w:val="0"/>
        <w:adjustRightInd w:val="0"/>
      </w:pPr>
      <w:r w:rsidRPr="00184C7D">
        <w:t xml:space="preserve">A sequential testing procedure was carried out to control the overall false positive rate at 0.05, for the primary and secondary endpoints. The order of the sequence was: OS, PFS, and ORR. A pairwise treatment comparison for a secondary endpoint was only carried out if the prior pairwise comparisons in </w:t>
      </w:r>
      <w:r w:rsidR="00B44550">
        <w:t>the hierarchy were significant.</w:t>
      </w:r>
    </w:p>
    <w:p w:rsidR="00184C7D" w:rsidRPr="004B259C" w:rsidRDefault="00184C7D" w:rsidP="00184C7D">
      <w:pPr>
        <w:pStyle w:val="Heading4"/>
      </w:pPr>
      <w:bookmarkStart w:id="123" w:name="_Toc457234027"/>
      <w:r w:rsidRPr="004B259C">
        <w:t>Participant flow</w:t>
      </w:r>
      <w:bookmarkEnd w:id="123"/>
    </w:p>
    <w:p w:rsidR="00184C7D" w:rsidRPr="00184C7D" w:rsidRDefault="00184C7D" w:rsidP="00184C7D">
      <w:r w:rsidRPr="00184C7D">
        <w:t>A total of 577 subjects were screened for enrolment in the study. Of these a total of 417 were randomised. The most common causes for screening failure were inadequate hepatic function (n=64), KPS &lt; 70 (n=29) and other conditions deemed likely to interfere w</w:t>
      </w:r>
      <w:r w:rsidR="00B44550">
        <w:t>ith study participation (n=22).</w:t>
      </w:r>
    </w:p>
    <w:p w:rsidR="00184C7D" w:rsidRDefault="00184C7D" w:rsidP="00184C7D">
      <w:pPr>
        <w:pStyle w:val="Heading4"/>
      </w:pPr>
      <w:bookmarkStart w:id="124" w:name="_Toc457234028"/>
      <w:r>
        <w:t>Major protocol violations/deviations</w:t>
      </w:r>
      <w:bookmarkEnd w:id="124"/>
    </w:p>
    <w:p w:rsidR="00184C7D" w:rsidRPr="00184C7D" w:rsidRDefault="00184C7D" w:rsidP="00184C7D">
      <w:pPr>
        <w:autoSpaceDE w:val="0"/>
        <w:autoSpaceDN w:val="0"/>
        <w:adjustRightInd w:val="0"/>
      </w:pPr>
      <w:r w:rsidRPr="00184C7D">
        <w:t xml:space="preserve">Deviations were more common in Arm C (Onivyde + 5-FU/LV) than in the other two arms. This was largely due to an increased incidence of ‘investigational product (IP)’ violations. The majority of these were instances of subjects receiving a reduced dose of </w:t>
      </w:r>
      <w:proofErr w:type="spellStart"/>
      <w:r w:rsidRPr="00184C7D">
        <w:t>leucovorin</w:t>
      </w:r>
      <w:proofErr w:type="spellEnd"/>
      <w:r w:rsidRPr="00184C7D">
        <w:t xml:space="preserve"> (200 mg/m</w:t>
      </w:r>
      <w:r w:rsidRPr="00184C7D">
        <w:rPr>
          <w:vertAlign w:val="superscript"/>
        </w:rPr>
        <w:t>2</w:t>
      </w:r>
      <w:r w:rsidRPr="00184C7D">
        <w:t xml:space="preserve"> instead of 400 mg/m</w:t>
      </w:r>
      <w:r w:rsidRPr="00184C7D">
        <w:rPr>
          <w:vertAlign w:val="superscript"/>
        </w:rPr>
        <w:t>2</w:t>
      </w:r>
      <w:r w:rsidR="00B44550">
        <w:t>).</w:t>
      </w:r>
    </w:p>
    <w:p w:rsidR="00184C7D" w:rsidRPr="00597B38" w:rsidRDefault="00184C7D" w:rsidP="00597B38">
      <w:pPr>
        <w:ind w:left="720"/>
        <w:rPr>
          <w:i/>
        </w:rPr>
      </w:pPr>
      <w:r w:rsidRPr="00597B38">
        <w:rPr>
          <w:i/>
        </w:rPr>
        <w:t>Comment:</w:t>
      </w:r>
      <w:r w:rsidR="00597B38" w:rsidRPr="00597B38">
        <w:rPr>
          <w:i/>
        </w:rPr>
        <w:t xml:space="preserve"> </w:t>
      </w:r>
      <w:r w:rsidRPr="00597B38">
        <w:rPr>
          <w:i/>
        </w:rPr>
        <w:t>The protocol violations are unlikely to affect the val</w:t>
      </w:r>
      <w:r w:rsidR="00E60D18" w:rsidRPr="00597B38">
        <w:rPr>
          <w:i/>
        </w:rPr>
        <w:t>idity of the study conclusions.</w:t>
      </w:r>
    </w:p>
    <w:p w:rsidR="00184C7D" w:rsidRPr="004B259C" w:rsidRDefault="00184C7D" w:rsidP="00184C7D">
      <w:pPr>
        <w:pStyle w:val="Heading4"/>
      </w:pPr>
      <w:bookmarkStart w:id="125" w:name="_Toc457234029"/>
      <w:r w:rsidRPr="004B259C">
        <w:t>Baseline data</w:t>
      </w:r>
      <w:bookmarkEnd w:id="125"/>
    </w:p>
    <w:p w:rsidR="00184C7D" w:rsidRPr="00184C7D" w:rsidRDefault="00184C7D" w:rsidP="00184C7D">
      <w:pPr>
        <w:autoSpaceDE w:val="0"/>
        <w:autoSpaceDN w:val="0"/>
        <w:adjustRightInd w:val="0"/>
      </w:pPr>
      <w:r w:rsidRPr="00184C7D">
        <w:t>Median age of subjects was 63.0 years. Males comprised 57% of the population and most subjects w</w:t>
      </w:r>
      <w:r w:rsidR="00E60D18">
        <w:t>ere white (61%) or Asian (33%).</w:t>
      </w:r>
    </w:p>
    <w:p w:rsidR="00184C7D" w:rsidRPr="00184C7D" w:rsidRDefault="00184C7D" w:rsidP="00184C7D">
      <w:pPr>
        <w:autoSpaceDE w:val="0"/>
        <w:autoSpaceDN w:val="0"/>
        <w:adjustRightInd w:val="0"/>
      </w:pPr>
      <w:r w:rsidRPr="00184C7D">
        <w:t>The majority of patients had received at least two prior lines of treatment for the</w:t>
      </w:r>
      <w:r w:rsidR="00E60D18">
        <w:t>ir advanced/metastatic disease.</w:t>
      </w:r>
    </w:p>
    <w:p w:rsidR="00184C7D" w:rsidRPr="00184C7D" w:rsidRDefault="00184C7D" w:rsidP="00184C7D">
      <w:pPr>
        <w:autoSpaceDE w:val="0"/>
        <w:autoSpaceDN w:val="0"/>
        <w:adjustRightInd w:val="0"/>
      </w:pPr>
      <w:r w:rsidRPr="00184C7D">
        <w:t xml:space="preserve">All subjects had received prior gemcitabine either as a single agent or in combination. Prior 5-FU-based treatment had been used in 43.9% of subjects and prior irinotecan-based treatment in 11.0%. Prior radiotherapy and surgical treatment is summarised in </w:t>
      </w:r>
      <w:r w:rsidRPr="00184C7D">
        <w:fldChar w:fldCharType="begin"/>
      </w:r>
      <w:r w:rsidRPr="00184C7D">
        <w:instrText xml:space="preserve"> REF _Ref317955498 \h </w:instrText>
      </w:r>
      <w:r w:rsidRPr="00184C7D">
        <w:fldChar w:fldCharType="separate"/>
      </w:r>
      <w:r w:rsidRPr="00184C7D">
        <w:t xml:space="preserve">Table </w:t>
      </w:r>
      <w:r w:rsidRPr="00184C7D">
        <w:rPr>
          <w:noProof/>
        </w:rPr>
        <w:t>20</w:t>
      </w:r>
      <w:r w:rsidRPr="00184C7D">
        <w:fldChar w:fldCharType="end"/>
      </w:r>
      <w:r w:rsidR="00E60D18">
        <w:t>.</w:t>
      </w:r>
    </w:p>
    <w:p w:rsidR="00184C7D" w:rsidRPr="00597B38" w:rsidRDefault="00184C7D" w:rsidP="00597B38">
      <w:pPr>
        <w:ind w:left="720"/>
        <w:rPr>
          <w:i/>
        </w:rPr>
      </w:pPr>
      <w:r w:rsidRPr="00597B38">
        <w:rPr>
          <w:i/>
        </w:rPr>
        <w:t>Comment:</w:t>
      </w:r>
      <w:r w:rsidR="00597B38" w:rsidRPr="00597B38">
        <w:rPr>
          <w:i/>
        </w:rPr>
        <w:t xml:space="preserve"> </w:t>
      </w:r>
      <w:r w:rsidRPr="00597B38">
        <w:rPr>
          <w:i/>
        </w:rPr>
        <w:t>Arm B (5-FU/LV) and Arm C (Onivyde + 5-FU/LV) were generally well balanced with respect to baseline characteristics.</w:t>
      </w:r>
    </w:p>
    <w:p w:rsidR="00184C7D" w:rsidRPr="004B259C" w:rsidRDefault="00184C7D" w:rsidP="00184C7D">
      <w:pPr>
        <w:pStyle w:val="Heading4"/>
      </w:pPr>
      <w:bookmarkStart w:id="126" w:name="_Toc457234030"/>
      <w:r w:rsidRPr="004B259C">
        <w:t>Results for the primary efficacy outcome</w:t>
      </w:r>
      <w:bookmarkEnd w:id="126"/>
    </w:p>
    <w:p w:rsidR="00184C7D" w:rsidRDefault="00184C7D" w:rsidP="00184C7D">
      <w:r w:rsidRPr="00184C7D">
        <w:t>Results for overall survival are su</w:t>
      </w:r>
      <w:r w:rsidR="006F6067">
        <w:t xml:space="preserve">mmarised in Table 3 and in Figure 1 </w:t>
      </w:r>
      <w:r w:rsidRPr="00184C7D">
        <w:t>(for the comparison of Arm C vs. Arm B). Treatment with the Onivyde + 5-FU/LV combination was associated with a statistically significant improvement in overall survival when compared to treatment with 5-FU/LV alone (hazard ratio = 0.67 [95% CI: 0.49 – 0.92]; p = 0.0122). Median survival was increased from 4.2 months to 6.1 months. The probability of being alive at 6 months was increased from 38% to 53% At 9 months it was increased from 24% to 35%. Treatment with Onivyde monotherapy did not result in improved</w:t>
      </w:r>
      <w:r w:rsidR="00F85BFE">
        <w:t xml:space="preserve"> survival compared to 5-FU/LV.</w:t>
      </w:r>
    </w:p>
    <w:p w:rsidR="00F85BFE" w:rsidRDefault="00F85BFE" w:rsidP="00752E5D">
      <w:pPr>
        <w:pStyle w:val="Tabletitle"/>
      </w:pPr>
      <w:r>
        <w:lastRenderedPageBreak/>
        <w:t>Table 3:</w:t>
      </w:r>
      <w:r w:rsidR="00752E5D" w:rsidRPr="00752E5D">
        <w:t xml:space="preserve"> Study MM-398-07-03-01 – Overall survival</w:t>
      </w:r>
      <w:r w:rsidR="00752E5D">
        <w:t>.</w:t>
      </w:r>
    </w:p>
    <w:p w:rsidR="00F85BFE" w:rsidRDefault="00C825C0" w:rsidP="00184C7D">
      <w:r>
        <w:rPr>
          <w:noProof/>
          <w:lang w:eastAsia="en-AU"/>
        </w:rPr>
        <w:drawing>
          <wp:inline distT="0" distB="0" distL="0" distR="0" wp14:anchorId="0132AA2B" wp14:editId="76C0FC45">
            <wp:extent cx="5205909" cy="1556212"/>
            <wp:effectExtent l="0" t="0" r="0" b="6350"/>
            <wp:docPr id="2" name="Picture 2" descr="Table 3: Study MM-398-07-03-01 – 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11470" cy="1557874"/>
                    </a:xfrm>
                    <a:prstGeom prst="rect">
                      <a:avLst/>
                    </a:prstGeom>
                  </pic:spPr>
                </pic:pic>
              </a:graphicData>
            </a:graphic>
          </wp:inline>
        </w:drawing>
      </w:r>
    </w:p>
    <w:p w:rsidR="00F85BFE" w:rsidRDefault="00F85BFE" w:rsidP="00752E5D">
      <w:pPr>
        <w:pStyle w:val="FigureTitle"/>
      </w:pPr>
      <w:r>
        <w:t>Figure 1:</w:t>
      </w:r>
      <w:r w:rsidR="00F508EA" w:rsidRPr="00F508EA">
        <w:t xml:space="preserve"> Study MM-398-07-03-01 – Overall survival</w:t>
      </w:r>
      <w:r w:rsidR="00F508EA">
        <w:t>.</w:t>
      </w:r>
    </w:p>
    <w:p w:rsidR="00F85BFE" w:rsidRPr="00184C7D" w:rsidRDefault="00721FD7" w:rsidP="00184C7D">
      <w:r>
        <w:rPr>
          <w:noProof/>
          <w:lang w:eastAsia="en-AU"/>
        </w:rPr>
        <w:drawing>
          <wp:inline distT="0" distB="0" distL="0" distR="0" wp14:anchorId="39952CA2" wp14:editId="0A19F66F">
            <wp:extent cx="5205909" cy="2782047"/>
            <wp:effectExtent l="0" t="0" r="0" b="0"/>
            <wp:docPr id="3" name="Picture 3" descr="Figure 1: Study MM-398-07-03-01 – 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06296" cy="2782254"/>
                    </a:xfrm>
                    <a:prstGeom prst="rect">
                      <a:avLst/>
                    </a:prstGeom>
                  </pic:spPr>
                </pic:pic>
              </a:graphicData>
            </a:graphic>
          </wp:inline>
        </w:drawing>
      </w:r>
    </w:p>
    <w:p w:rsidR="00184C7D" w:rsidRPr="00184C7D" w:rsidRDefault="00184C7D" w:rsidP="00184C7D">
      <w:r w:rsidRPr="00184C7D">
        <w:t>A number of sensitivity analyses were conducted and these are summarised in</w:t>
      </w:r>
      <w:r w:rsidR="00E245D0">
        <w:t xml:space="preserve"> Table 4</w:t>
      </w:r>
      <w:r w:rsidRPr="00184C7D">
        <w:t>. These additional analyses were consistent with the findings of the primary analysis. A number of predefined subgroup analyses were also conducted. These are summarised in</w:t>
      </w:r>
      <w:r w:rsidR="006D6919">
        <w:t xml:space="preserve"> Figure 2</w:t>
      </w:r>
      <w:r w:rsidR="00E60D18">
        <w:t>.</w:t>
      </w:r>
    </w:p>
    <w:p w:rsidR="00184C7D" w:rsidRDefault="00597B38" w:rsidP="00597B38">
      <w:pPr>
        <w:ind w:left="720"/>
        <w:rPr>
          <w:i/>
        </w:rPr>
      </w:pPr>
      <w:r w:rsidRPr="00597B38">
        <w:rPr>
          <w:i/>
        </w:rPr>
        <w:t xml:space="preserve">Comment: </w:t>
      </w:r>
      <w:r w:rsidR="00184C7D" w:rsidRPr="00597B38">
        <w:rPr>
          <w:i/>
        </w:rPr>
        <w:t>The survival benefit obtained with Onivyde was generally consistent across subgroups in that hazard ratios were generally less than 1.0. It is noteworthy that a survival benefit was observed regardless of the number of prior lines of chemotherapy administered. It was also observed in subjects who had previously received 5-FU. Although the number of patients was small, the subgroup previously treated with irinotecan did not appear to</w:t>
      </w:r>
      <w:r w:rsidR="00E60D18" w:rsidRPr="00597B38">
        <w:rPr>
          <w:i/>
        </w:rPr>
        <w:t xml:space="preserve"> experience a survival benefit.</w:t>
      </w:r>
    </w:p>
    <w:p w:rsidR="00FA692D" w:rsidRDefault="00FA692D" w:rsidP="00FA692D">
      <w:pPr>
        <w:pStyle w:val="Tabletitle"/>
      </w:pPr>
      <w:r>
        <w:lastRenderedPageBreak/>
        <w:t>Table 4:</w:t>
      </w:r>
      <w:r w:rsidRPr="00752E5D">
        <w:t xml:space="preserve"> </w:t>
      </w:r>
      <w:r w:rsidRPr="00FA692D">
        <w:t>Study MM-398-07-03-01 – Overall survival (sensitivity analyses)</w:t>
      </w:r>
      <w:r>
        <w:t>.</w:t>
      </w:r>
    </w:p>
    <w:p w:rsidR="00FA692D" w:rsidRDefault="00FA692D" w:rsidP="00FA692D">
      <w:r>
        <w:rPr>
          <w:noProof/>
          <w:lang w:eastAsia="en-AU"/>
        </w:rPr>
        <w:drawing>
          <wp:inline distT="0" distB="0" distL="0" distR="0" wp14:anchorId="35F0DD51" wp14:editId="74673BD9">
            <wp:extent cx="5200299" cy="2818496"/>
            <wp:effectExtent l="0" t="0" r="635" b="1270"/>
            <wp:docPr id="5" name="Picture 5" descr="Table 4: Study MM-398-07-03-01 – Overall survival (sensitivity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05751" cy="2821451"/>
                    </a:xfrm>
                    <a:prstGeom prst="rect">
                      <a:avLst/>
                    </a:prstGeom>
                  </pic:spPr>
                </pic:pic>
              </a:graphicData>
            </a:graphic>
          </wp:inline>
        </w:drawing>
      </w:r>
    </w:p>
    <w:p w:rsidR="00FA692D" w:rsidRPr="00FA692D" w:rsidRDefault="00FA692D" w:rsidP="00FA692D">
      <w:pPr>
        <w:pStyle w:val="FigureTitle"/>
      </w:pPr>
      <w:r>
        <w:t>Figure 2:</w:t>
      </w:r>
      <w:r w:rsidRPr="00F508EA">
        <w:t xml:space="preserve"> Study MM-398-07-03-01 – Overall survival</w:t>
      </w:r>
      <w:r>
        <w:t>.</w:t>
      </w:r>
    </w:p>
    <w:p w:rsidR="00FA692D" w:rsidRPr="00597B38" w:rsidRDefault="00FA692D" w:rsidP="00FA692D">
      <w:pPr>
        <w:rPr>
          <w:i/>
        </w:rPr>
      </w:pPr>
      <w:r>
        <w:rPr>
          <w:noProof/>
          <w:lang w:eastAsia="en-AU"/>
        </w:rPr>
        <w:drawing>
          <wp:inline distT="0" distB="0" distL="0" distR="0" wp14:anchorId="05C89ACD" wp14:editId="4645D4D9">
            <wp:extent cx="4538341" cy="5191455"/>
            <wp:effectExtent l="0" t="0" r="0" b="0"/>
            <wp:docPr id="6" name="Picture 6" descr="Figure 2: Study MM-398-07-03-01 – 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37406" cy="5190386"/>
                    </a:xfrm>
                    <a:prstGeom prst="rect">
                      <a:avLst/>
                    </a:prstGeom>
                  </pic:spPr>
                </pic:pic>
              </a:graphicData>
            </a:graphic>
          </wp:inline>
        </w:drawing>
      </w:r>
    </w:p>
    <w:p w:rsidR="00184C7D" w:rsidRPr="004B259C" w:rsidRDefault="00184C7D" w:rsidP="00184C7D">
      <w:pPr>
        <w:pStyle w:val="Heading4"/>
      </w:pPr>
      <w:bookmarkStart w:id="127" w:name="_Toc457234031"/>
      <w:r w:rsidRPr="004B259C">
        <w:lastRenderedPageBreak/>
        <w:t>Results for other efficacy outcomes</w:t>
      </w:r>
      <w:bookmarkEnd w:id="127"/>
    </w:p>
    <w:p w:rsidR="00184C7D" w:rsidRPr="00E60D18" w:rsidRDefault="00184C7D" w:rsidP="00E60D18">
      <w:pPr>
        <w:pStyle w:val="Heading5"/>
      </w:pPr>
      <w:r w:rsidRPr="00E60D18">
        <w:t>Progression-free survival (PFS)</w:t>
      </w:r>
    </w:p>
    <w:p w:rsidR="00184C7D" w:rsidRDefault="00184C7D" w:rsidP="00184C7D">
      <w:r w:rsidRPr="00184C7D">
        <w:t>Results for PFS are summarised in</w:t>
      </w:r>
      <w:r w:rsidR="00514F29">
        <w:t xml:space="preserve"> Table 5 </w:t>
      </w:r>
      <w:r w:rsidR="00E03394">
        <w:t xml:space="preserve">and in Figure 3 </w:t>
      </w:r>
      <w:r w:rsidRPr="00184C7D">
        <w:t>(for the comparison of Arm C vs. Arm B). Treatment with the Onivyde + 5-FU/LV combination was associated with a statistically significant improvement in PFS when compared to treatment with 5-FU/LV alone (hazard ratio = 0.56 [95% CI: 0.41 – 0.75]; p = 0.0001). Median PFS was increased from 1.5 months to 3.1 months. The probability of being alive and progression-free at 12 weeks was increased from 26% to 57%. Treatment with Onivyde monotherapy did not result in improved</w:t>
      </w:r>
      <w:r w:rsidR="00602CC5">
        <w:t xml:space="preserve"> PFS compared to 5-FU/LV.</w:t>
      </w:r>
    </w:p>
    <w:p w:rsidR="00602CC5" w:rsidRDefault="00602CC5" w:rsidP="008D63EC">
      <w:pPr>
        <w:pStyle w:val="Tabletitle"/>
      </w:pPr>
      <w:proofErr w:type="gramStart"/>
      <w:r>
        <w:t>Table 5:</w:t>
      </w:r>
      <w:r w:rsidR="008D63EC" w:rsidRPr="008D63EC">
        <w:t xml:space="preserve"> Study MM-398-07-03-01 – Progression-free survival</w:t>
      </w:r>
      <w:r w:rsidR="008D63EC">
        <w:t>.</w:t>
      </w:r>
      <w:proofErr w:type="gramEnd"/>
    </w:p>
    <w:p w:rsidR="00602CC5" w:rsidRDefault="00191417" w:rsidP="00184C7D">
      <w:r>
        <w:rPr>
          <w:noProof/>
          <w:lang w:eastAsia="en-AU"/>
        </w:rPr>
        <w:drawing>
          <wp:inline distT="0" distB="0" distL="0" distR="0" wp14:anchorId="284225FC" wp14:editId="5E697FF7">
            <wp:extent cx="5183470" cy="1954324"/>
            <wp:effectExtent l="0" t="0" r="0" b="8255"/>
            <wp:docPr id="8" name="Picture 8" descr="Table 5: Study MM-398-07-03-01 – Progression-free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86283" cy="1955385"/>
                    </a:xfrm>
                    <a:prstGeom prst="rect">
                      <a:avLst/>
                    </a:prstGeom>
                  </pic:spPr>
                </pic:pic>
              </a:graphicData>
            </a:graphic>
          </wp:inline>
        </w:drawing>
      </w:r>
    </w:p>
    <w:p w:rsidR="00602CC5" w:rsidRDefault="00602CC5" w:rsidP="008D63EC">
      <w:pPr>
        <w:pStyle w:val="FigureTitle"/>
      </w:pPr>
      <w:r>
        <w:t>Figure 3:</w:t>
      </w:r>
      <w:r w:rsidR="008D63EC" w:rsidRPr="008D63EC">
        <w:t xml:space="preserve"> Study MM-398-07-03-01 – Progression-free survival</w:t>
      </w:r>
      <w:r w:rsidR="008D63EC">
        <w:t>.</w:t>
      </w:r>
    </w:p>
    <w:p w:rsidR="00602CC5" w:rsidRPr="00184C7D" w:rsidRDefault="00191417" w:rsidP="00184C7D">
      <w:r>
        <w:rPr>
          <w:noProof/>
          <w:lang w:eastAsia="en-AU"/>
        </w:rPr>
        <w:drawing>
          <wp:inline distT="0" distB="0" distL="0" distR="0" wp14:anchorId="66B7AB67" wp14:editId="08C715E0">
            <wp:extent cx="5099323" cy="2739252"/>
            <wp:effectExtent l="0" t="0" r="6350" b="4445"/>
            <wp:docPr id="7" name="Picture 7" descr="Figure 3: Study MM-398-07-03-01 – Progression-free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97791" cy="2738429"/>
                    </a:xfrm>
                    <a:prstGeom prst="rect">
                      <a:avLst/>
                    </a:prstGeom>
                  </pic:spPr>
                </pic:pic>
              </a:graphicData>
            </a:graphic>
          </wp:inline>
        </w:drawing>
      </w:r>
    </w:p>
    <w:p w:rsidR="00184C7D" w:rsidRPr="00184C7D" w:rsidRDefault="00184C7D" w:rsidP="00184C7D">
      <w:r w:rsidRPr="00184C7D">
        <w:t>Several sensitivity analyses confirmed the findings of the primary PFS analysis. Subgroup anal</w:t>
      </w:r>
      <w:r w:rsidR="00E60D18">
        <w:t>yses of PFS were not performed.</w:t>
      </w:r>
    </w:p>
    <w:p w:rsidR="00184C7D" w:rsidRPr="00E60D18" w:rsidRDefault="00184C7D" w:rsidP="00E60D18">
      <w:pPr>
        <w:pStyle w:val="Heading5"/>
      </w:pPr>
      <w:r w:rsidRPr="00E60D18">
        <w:t>Time to Treatment Failure (TTF)</w:t>
      </w:r>
    </w:p>
    <w:p w:rsidR="00184C7D" w:rsidRDefault="00184C7D" w:rsidP="00184C7D">
      <w:r w:rsidRPr="00184C7D">
        <w:t xml:space="preserve">Results for TTF are summarised in </w:t>
      </w:r>
      <w:r w:rsidR="005E02ED">
        <w:t xml:space="preserve">Table 6. </w:t>
      </w:r>
      <w:r w:rsidRPr="00184C7D">
        <w:t>Treatment with the Onivyde + 5-FU/LV combination was associated with a statistically significant improvement in TTF when compared to treatment with 5-FU/LV alone (hazard ratio = 0.60 [95% CI: 0.45 – 0.78]; p = 0.0002). Median TTF was increased from 1.4 months to 2.3 months. Treatment with Onivyde monotherapy did not result in improved TTF compared to 5-FU/LV. Sensitivity analyses using the PP and EP populations confirmed the findin</w:t>
      </w:r>
      <w:r w:rsidR="00E60D18">
        <w:t>gs of the primary TTF analysis.</w:t>
      </w:r>
    </w:p>
    <w:p w:rsidR="008C4012" w:rsidRDefault="008C4012" w:rsidP="008C4012">
      <w:pPr>
        <w:pStyle w:val="Tabletitle"/>
      </w:pPr>
      <w:proofErr w:type="gramStart"/>
      <w:r>
        <w:lastRenderedPageBreak/>
        <w:t>Table 6:</w:t>
      </w:r>
      <w:r w:rsidRPr="008D63EC">
        <w:t xml:space="preserve"> </w:t>
      </w:r>
      <w:r w:rsidRPr="008C4012">
        <w:t>Study MM-398-07-03-01 – Time to treatment failure</w:t>
      </w:r>
      <w:r>
        <w:t>.</w:t>
      </w:r>
      <w:proofErr w:type="gramEnd"/>
    </w:p>
    <w:p w:rsidR="008C4012" w:rsidRPr="00184C7D" w:rsidRDefault="008C4012" w:rsidP="00184C7D">
      <w:r>
        <w:rPr>
          <w:noProof/>
          <w:lang w:eastAsia="en-AU"/>
        </w:rPr>
        <w:drawing>
          <wp:inline distT="0" distB="0" distL="0" distR="0" wp14:anchorId="2D55DA93" wp14:editId="2F280CCE">
            <wp:extent cx="5340545" cy="1533124"/>
            <wp:effectExtent l="0" t="0" r="0" b="0"/>
            <wp:docPr id="9" name="Picture 9" descr="Table 6: Study MM-398-07-03-01 – Time to treatment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55850" cy="1537518"/>
                    </a:xfrm>
                    <a:prstGeom prst="rect">
                      <a:avLst/>
                    </a:prstGeom>
                  </pic:spPr>
                </pic:pic>
              </a:graphicData>
            </a:graphic>
          </wp:inline>
        </w:drawing>
      </w:r>
    </w:p>
    <w:p w:rsidR="00184C7D" w:rsidRPr="00E60D18" w:rsidRDefault="00184C7D" w:rsidP="00E60D18">
      <w:pPr>
        <w:pStyle w:val="Heading5"/>
      </w:pPr>
      <w:r w:rsidRPr="00E60D18">
        <w:t>Objective response rate (ORR)</w:t>
      </w:r>
    </w:p>
    <w:p w:rsidR="00184C7D" w:rsidRDefault="00184C7D" w:rsidP="00184C7D">
      <w:r w:rsidRPr="00184C7D">
        <w:t>Results for ORR are summarised in</w:t>
      </w:r>
      <w:r w:rsidR="00197E0F">
        <w:t xml:space="preserve"> Table 7</w:t>
      </w:r>
      <w:r w:rsidRPr="00184C7D">
        <w:t xml:space="preserve">. Tumour responses rates were low in all the three treatment groups. However, the </w:t>
      </w:r>
      <w:r w:rsidRPr="00184C7D">
        <w:rPr>
          <w:i/>
        </w:rPr>
        <w:t>confirmed</w:t>
      </w:r>
      <w:r w:rsidRPr="00184C7D">
        <w:t xml:space="preserve"> response </w:t>
      </w:r>
      <w:r w:rsidRPr="00597B38">
        <w:t>rate in the Onivyde + 5-FU/LV arm (7.69%) was significantly greater than that in the 5-FU/LV arm (0.84%) – p=0.0097. For unconfirmed responses the difference was numerically greater (16.24% vs. 0.84%; p&lt;0.0001).</w:t>
      </w:r>
      <w:r w:rsidRPr="00184C7D">
        <w:t xml:space="preserve"> All re</w:t>
      </w:r>
      <w:r w:rsidR="00E60D18">
        <w:t>sponses were partial responses.</w:t>
      </w:r>
    </w:p>
    <w:p w:rsidR="00197E0F" w:rsidRDefault="00197E0F" w:rsidP="00197E0F">
      <w:pPr>
        <w:pStyle w:val="Tabletitle"/>
      </w:pPr>
      <w:r>
        <w:t xml:space="preserve">Table </w:t>
      </w:r>
      <w:r w:rsidR="00C0507C">
        <w:t>7</w:t>
      </w:r>
      <w:r>
        <w:t>:</w:t>
      </w:r>
      <w:r w:rsidRPr="008D63EC">
        <w:t xml:space="preserve"> </w:t>
      </w:r>
      <w:r w:rsidR="00C0507C" w:rsidRPr="00C0507C">
        <w:t>Study MM-398-07-03-01 – Objective response rate</w:t>
      </w:r>
      <w:r>
        <w:t>.</w:t>
      </w:r>
    </w:p>
    <w:p w:rsidR="00197E0F" w:rsidRPr="00184C7D" w:rsidRDefault="004635F4" w:rsidP="00184C7D">
      <w:r>
        <w:rPr>
          <w:noProof/>
          <w:lang w:eastAsia="en-AU"/>
        </w:rPr>
        <w:drawing>
          <wp:inline distT="0" distB="0" distL="0" distR="0" wp14:anchorId="66CBC602" wp14:editId="4948B055">
            <wp:extent cx="4241021" cy="5211109"/>
            <wp:effectExtent l="0" t="0" r="7620" b="8890"/>
            <wp:docPr id="10" name="Picture 10" descr="Table 7: Study MM-398-07-03-01 – Objective respons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47006" cy="5218463"/>
                    </a:xfrm>
                    <a:prstGeom prst="rect">
                      <a:avLst/>
                    </a:prstGeom>
                  </pic:spPr>
                </pic:pic>
              </a:graphicData>
            </a:graphic>
          </wp:inline>
        </w:drawing>
      </w:r>
    </w:p>
    <w:p w:rsidR="00184C7D" w:rsidRPr="00E60D18" w:rsidRDefault="00184C7D" w:rsidP="00E60D18">
      <w:pPr>
        <w:pStyle w:val="Heading5"/>
      </w:pPr>
      <w:r w:rsidRPr="00E60D18">
        <w:lastRenderedPageBreak/>
        <w:t>Clinical Benefit Response (CBR) rate</w:t>
      </w:r>
    </w:p>
    <w:p w:rsidR="00184C7D" w:rsidRPr="00184C7D" w:rsidRDefault="00184C7D" w:rsidP="00184C7D">
      <w:r w:rsidRPr="00184C7D">
        <w:t xml:space="preserve">In the CBRE population, a CBR was </w:t>
      </w:r>
      <w:r w:rsidRPr="00597B38">
        <w:t>achieved by 11 of 78 subjects (14.1%) in the Onivyde + 5-FU/LV arm compared to 7 of 60 subjects (11.7%) in the 5-FU/LV arm. The</w:t>
      </w:r>
      <w:r w:rsidRPr="00184C7D">
        <w:t xml:space="preserve"> difference was not statis</w:t>
      </w:r>
      <w:r w:rsidR="00E60D18">
        <w:t>tically significant (P=0.8007).</w:t>
      </w:r>
    </w:p>
    <w:p w:rsidR="00184C7D" w:rsidRPr="00E60D18" w:rsidRDefault="00184C7D" w:rsidP="00E60D18">
      <w:pPr>
        <w:pStyle w:val="Heading5"/>
      </w:pPr>
      <w:r w:rsidRPr="00E60D18">
        <w:t>Tumour Marker Response (TMR) rate</w:t>
      </w:r>
    </w:p>
    <w:p w:rsidR="00184C7D" w:rsidRPr="00597B38" w:rsidRDefault="00184C7D" w:rsidP="00184C7D">
      <w:r w:rsidRPr="00184C7D">
        <w:t xml:space="preserve">In the TMRE population, a TMR was </w:t>
      </w:r>
      <w:r w:rsidRPr="00597B38">
        <w:t>achieved by 28 of 97 subjects (28.9%) in the Onivyde + 5-FU/LV arm compared to 7 of 81 subjects (8.6%) in the 5-FU/LV arm. The difference was statis</w:t>
      </w:r>
      <w:r w:rsidR="00E60D18" w:rsidRPr="00597B38">
        <w:t>tically significant (P=0.0006).</w:t>
      </w:r>
    </w:p>
    <w:p w:rsidR="00184C7D" w:rsidRPr="00E60D18" w:rsidRDefault="00184C7D" w:rsidP="007B532D">
      <w:pPr>
        <w:pStyle w:val="Heading5"/>
      </w:pPr>
      <w:r w:rsidRPr="00E60D18">
        <w:t>EORTC QLQ-C30 questionnaire</w:t>
      </w:r>
    </w:p>
    <w:p w:rsidR="00184C7D" w:rsidRPr="00184C7D" w:rsidRDefault="00184C7D" w:rsidP="00184C7D">
      <w:r w:rsidRPr="00184C7D">
        <w:t>The study report presented tabulations of median scores at baseline, week 6 and week 12 in the three treatment arms for each of the following: - global health score, the five functional scale scores and the nine symptom scores. Median values at baseline were generally comparable between the three treatment arms. Median scores at week 6 and week 12 were generally unchanged or slightly changed from those at baseline, with no notable diff</w:t>
      </w:r>
      <w:r w:rsidR="00E60D18">
        <w:t>erences between treatment arms.</w:t>
      </w:r>
    </w:p>
    <w:p w:rsidR="00184C7D" w:rsidRPr="00184C7D" w:rsidRDefault="00184C7D" w:rsidP="00184C7D">
      <w:r w:rsidRPr="00184C7D">
        <w:t xml:space="preserve">Median score for diarrhoea increased from 0 at baseline to 33.3 at week 6 in the two Onivyde-containing arms, indicating increased symptoms. In the 5-FU/LV arm </w:t>
      </w:r>
      <w:r w:rsidR="00E60D18">
        <w:t>the median score remained at 0.</w:t>
      </w:r>
    </w:p>
    <w:p w:rsidR="00184C7D" w:rsidRPr="00E149C8" w:rsidRDefault="00E149C8" w:rsidP="00E149C8">
      <w:pPr>
        <w:ind w:left="720"/>
        <w:rPr>
          <w:i/>
        </w:rPr>
      </w:pPr>
      <w:r w:rsidRPr="00E149C8">
        <w:rPr>
          <w:i/>
        </w:rPr>
        <w:t xml:space="preserve">Comment: </w:t>
      </w:r>
      <w:r w:rsidR="00184C7D" w:rsidRPr="00E149C8">
        <w:rPr>
          <w:i/>
        </w:rPr>
        <w:t xml:space="preserve">The data suggest that there was minimal deterioration in </w:t>
      </w:r>
      <w:proofErr w:type="spellStart"/>
      <w:r w:rsidR="00184C7D" w:rsidRPr="00E149C8">
        <w:rPr>
          <w:i/>
        </w:rPr>
        <w:t>QoL</w:t>
      </w:r>
      <w:proofErr w:type="spellEnd"/>
      <w:r w:rsidR="00184C7D" w:rsidRPr="00E149C8">
        <w:rPr>
          <w:i/>
        </w:rPr>
        <w:t xml:space="preserve"> in any of the three treatment arms over t</w:t>
      </w:r>
      <w:r w:rsidR="00E60D18" w:rsidRPr="00E149C8">
        <w:rPr>
          <w:i/>
        </w:rPr>
        <w:t>he first 12 weeks of the study.</w:t>
      </w:r>
    </w:p>
    <w:p w:rsidR="00184C7D" w:rsidRDefault="00184C7D" w:rsidP="00184C7D">
      <w:pPr>
        <w:pStyle w:val="Heading3"/>
      </w:pPr>
      <w:bookmarkStart w:id="128" w:name="_Ref271037188"/>
      <w:bookmarkStart w:id="129" w:name="_Ref271037210"/>
      <w:bookmarkStart w:id="130" w:name="_Toc272414655"/>
      <w:bookmarkStart w:id="131" w:name="_Toc290846277"/>
      <w:bookmarkStart w:id="132" w:name="_Toc457234032"/>
      <w:bookmarkStart w:id="133" w:name="_Toc490577147"/>
      <w:bookmarkStart w:id="134" w:name="_Toc241374311"/>
      <w:bookmarkStart w:id="135" w:name="_Ref243294291"/>
      <w:r>
        <w:t>Other efficacy studies</w:t>
      </w:r>
      <w:bookmarkEnd w:id="128"/>
      <w:bookmarkEnd w:id="129"/>
      <w:bookmarkEnd w:id="130"/>
      <w:bookmarkEnd w:id="131"/>
      <w:bookmarkEnd w:id="132"/>
      <w:bookmarkEnd w:id="133"/>
    </w:p>
    <w:p w:rsidR="00184C7D" w:rsidRPr="00F81EE5" w:rsidRDefault="00184C7D" w:rsidP="00184C7D">
      <w:pPr>
        <w:pStyle w:val="Heading4"/>
      </w:pPr>
      <w:bookmarkStart w:id="136" w:name="_Toc290846280"/>
      <w:bookmarkStart w:id="137" w:name="_Toc457234033"/>
      <w:bookmarkStart w:id="138" w:name="_Toc290846278"/>
      <w:bookmarkEnd w:id="134"/>
      <w:bookmarkEnd w:id="135"/>
      <w:r w:rsidRPr="00F81EE5">
        <w:t xml:space="preserve">Study </w:t>
      </w:r>
      <w:bookmarkEnd w:id="136"/>
      <w:r w:rsidRPr="00F81EE5">
        <w:t>PEP0208</w:t>
      </w:r>
      <w:bookmarkEnd w:id="137"/>
    </w:p>
    <w:p w:rsidR="00184C7D" w:rsidRPr="00184C7D" w:rsidRDefault="00184C7D" w:rsidP="00184C7D">
      <w:pPr>
        <w:autoSpaceDE w:val="0"/>
        <w:autoSpaceDN w:val="0"/>
        <w:adjustRightInd w:val="0"/>
      </w:pPr>
      <w:r w:rsidRPr="00184C7D">
        <w:t>Study PEP0208 was a single-arm, open-label phase 2 trial of Onivyde monotherapy in subjects with metastatic pancreatic cancer. It was conducted between 2009 and 2012 in three centres in Taiwan and the United States. The primary objective of the study was to ass</w:t>
      </w:r>
      <w:r w:rsidR="00E60D18">
        <w:t xml:space="preserve">ess the 3-month survival rate. </w:t>
      </w:r>
    </w:p>
    <w:p w:rsidR="00184C7D" w:rsidRPr="00184C7D" w:rsidRDefault="00184C7D" w:rsidP="00184C7D">
      <w:pPr>
        <w:autoSpaceDE w:val="0"/>
        <w:autoSpaceDN w:val="0"/>
        <w:adjustRightInd w:val="0"/>
      </w:pPr>
      <w:r w:rsidRPr="00184C7D">
        <w:t>The study enrolled subjects with metastatic adenocarcinoma of the exocrine pancreas who had documented disease progression after gemcitabine-based therapy. Subjects we</w:t>
      </w:r>
      <w:r w:rsidR="00E60D18">
        <w:t>re required to have a KPS ≥ 70.</w:t>
      </w:r>
    </w:p>
    <w:p w:rsidR="00184C7D" w:rsidRPr="00184C7D" w:rsidRDefault="00184C7D" w:rsidP="00184C7D">
      <w:pPr>
        <w:autoSpaceDE w:val="0"/>
        <w:autoSpaceDN w:val="0"/>
        <w:adjustRightInd w:val="0"/>
      </w:pPr>
      <w:r w:rsidRPr="00184C7D">
        <w:t>Subjects were treated with Onivyde monotherapy 120 mg/m</w:t>
      </w:r>
      <w:r w:rsidRPr="00184C7D">
        <w:rPr>
          <w:vertAlign w:val="superscript"/>
        </w:rPr>
        <w:t>2</w:t>
      </w:r>
      <w:r w:rsidRPr="00184C7D">
        <w:t xml:space="preserve"> IV on day 1 of a 21-day cycle. Subjects assessed as being at high risk of toxicity could receive a lower initial dose (100 mg/m</w:t>
      </w:r>
      <w:r w:rsidRPr="00184C7D">
        <w:rPr>
          <w:vertAlign w:val="superscript"/>
        </w:rPr>
        <w:t>2</w:t>
      </w:r>
      <w:r w:rsidRPr="00184C7D">
        <w:t>) at the discretion of the investigator. Treatment was continued until disease progression. The primary efficacy variable was the proportion of patients still alive 90 days after the first dose. Secondary endpoints included tumour response rate, serum CA19-9 levels</w:t>
      </w:r>
      <w:r w:rsidR="00E60D18">
        <w:t>, and clinical benefit response</w:t>
      </w:r>
    </w:p>
    <w:p w:rsidR="00184C7D" w:rsidRPr="00184C7D" w:rsidRDefault="00184C7D" w:rsidP="00184C7D">
      <w:pPr>
        <w:autoSpaceDE w:val="0"/>
        <w:autoSpaceDN w:val="0"/>
        <w:adjustRightInd w:val="0"/>
      </w:pPr>
      <w:r w:rsidRPr="00184C7D">
        <w:t>A total of 40 subjects were enrolled and treated. Median age was 58.5 (range 39-82). 19 subject</w:t>
      </w:r>
      <w:r w:rsidR="00E60D18">
        <w:t>s were male and 12 were female.</w:t>
      </w:r>
    </w:p>
    <w:p w:rsidR="00184C7D" w:rsidRPr="00E60D18" w:rsidRDefault="00184C7D" w:rsidP="00184C7D">
      <w:pPr>
        <w:autoSpaceDE w:val="0"/>
        <w:autoSpaceDN w:val="0"/>
        <w:adjustRightInd w:val="0"/>
      </w:pPr>
      <w:r w:rsidRPr="00184C7D">
        <w:t>At 90 days, 30 subjects (75.0%; 95% CI: 58.8 – 87.3) were alive. The objective response rate was 7.5% (95% CI: 1.6 – 20.4). All responses were partial responses. Median PFS (in the per protocol population) was 74.0 (95% CI: 41 - 133) days. Median OS (in the per protocol population) was 156.5 (95% CI: 112 - 237) days. Among subjects with an elevated serum CA19-9 level at baseline, 31.3% achieved a tumour marker response (≥ 50% decrease). 24% of subjects achiev</w:t>
      </w:r>
      <w:r w:rsidR="00E60D18">
        <w:t>ed a clinical benefit response.</w:t>
      </w:r>
    </w:p>
    <w:p w:rsidR="00184C7D" w:rsidRPr="00B3250D" w:rsidRDefault="00184C7D" w:rsidP="00E2729C">
      <w:pPr>
        <w:pStyle w:val="Heading4"/>
      </w:pPr>
      <w:bookmarkStart w:id="139" w:name="_Toc457234034"/>
      <w:r w:rsidRPr="00B3250D">
        <w:lastRenderedPageBreak/>
        <w:t xml:space="preserve">Study </w:t>
      </w:r>
      <w:bookmarkEnd w:id="138"/>
      <w:r w:rsidRPr="00B3250D">
        <w:t>PEP0201</w:t>
      </w:r>
      <w:bookmarkEnd w:id="139"/>
    </w:p>
    <w:p w:rsidR="00184C7D" w:rsidRPr="00E60D18" w:rsidRDefault="00184C7D" w:rsidP="00184C7D">
      <w:pPr>
        <w:autoSpaceDE w:val="0"/>
        <w:autoSpaceDN w:val="0"/>
        <w:adjustRightInd w:val="0"/>
      </w:pPr>
      <w:r w:rsidRPr="00184C7D">
        <w:t>This was the first-in-man study of Onivyde. The product was administered as monotherapy. Two of the 11 subjects had pancreatic cancer. One subject received 6 cycles of 180 mg/m</w:t>
      </w:r>
      <w:r w:rsidRPr="00184C7D">
        <w:rPr>
          <w:vertAlign w:val="superscript"/>
        </w:rPr>
        <w:t>2</w:t>
      </w:r>
      <w:r w:rsidRPr="00184C7D">
        <w:t xml:space="preserve"> and achieved a partial response using RECIST criteria. The other subject received only 1 cycle of 180 mg/m</w:t>
      </w:r>
      <w:r w:rsidRPr="00184C7D">
        <w:rPr>
          <w:vertAlign w:val="superscript"/>
        </w:rPr>
        <w:t>2</w:t>
      </w:r>
      <w:r w:rsidRPr="00184C7D">
        <w:t xml:space="preserve"> and</w:t>
      </w:r>
      <w:r w:rsidR="00E60D18">
        <w:t xml:space="preserve"> developed progressive disease.</w:t>
      </w:r>
    </w:p>
    <w:p w:rsidR="00184C7D" w:rsidRPr="00AC0451" w:rsidRDefault="00184C7D" w:rsidP="00184C7D">
      <w:pPr>
        <w:pStyle w:val="Heading4"/>
      </w:pPr>
      <w:bookmarkStart w:id="140" w:name="_Toc290846279"/>
      <w:bookmarkStart w:id="141" w:name="_Toc457234035"/>
      <w:r w:rsidRPr="00AC0451">
        <w:t xml:space="preserve">Study </w:t>
      </w:r>
      <w:bookmarkEnd w:id="140"/>
      <w:r w:rsidRPr="00AC0451">
        <w:t>PEP0203</w:t>
      </w:r>
      <w:bookmarkEnd w:id="141"/>
    </w:p>
    <w:p w:rsidR="00184C7D" w:rsidRPr="00E60D18" w:rsidRDefault="00184C7D" w:rsidP="00184C7D">
      <w:pPr>
        <w:autoSpaceDE w:val="0"/>
        <w:autoSpaceDN w:val="0"/>
        <w:adjustRightInd w:val="0"/>
      </w:pPr>
      <w:r w:rsidRPr="00184C7D">
        <w:t xml:space="preserve">This was a phase 1, open dose-escalation study of Onivyde in combination with 5-fluorouracil and </w:t>
      </w:r>
      <w:proofErr w:type="spellStart"/>
      <w:r w:rsidRPr="00184C7D">
        <w:t>leucovorin</w:t>
      </w:r>
      <w:proofErr w:type="spellEnd"/>
      <w:r w:rsidRPr="00184C7D">
        <w:t xml:space="preserve"> in subjects with advanced solid tumours. Four of the 16 subjects enrolled had pancreatic cancer. In three of these subjects the best observed response was stable disease. The remaining patient</w:t>
      </w:r>
      <w:r w:rsidR="00E60D18">
        <w:t xml:space="preserve"> developed progressive disease.</w:t>
      </w:r>
    </w:p>
    <w:p w:rsidR="00184C7D" w:rsidRDefault="00184C7D" w:rsidP="00E2729C">
      <w:pPr>
        <w:pStyle w:val="Heading3"/>
      </w:pPr>
      <w:bookmarkStart w:id="142" w:name="_Toc241374312"/>
      <w:bookmarkStart w:id="143" w:name="_Toc272414656"/>
      <w:bookmarkStart w:id="144" w:name="_Toc290846281"/>
      <w:bookmarkStart w:id="145" w:name="_Toc457234036"/>
      <w:bookmarkStart w:id="146" w:name="_Toc490577148"/>
      <w:r>
        <w:t xml:space="preserve">Analyses performed across trials (pooled </w:t>
      </w:r>
      <w:r w:rsidR="002646E6">
        <w:t xml:space="preserve">&amp; </w:t>
      </w:r>
      <w:proofErr w:type="gramStart"/>
      <w:r>
        <w:t>meta</w:t>
      </w:r>
      <w:proofErr w:type="gramEnd"/>
      <w:r w:rsidR="00836CE0">
        <w:t xml:space="preserve"> </w:t>
      </w:r>
      <w:r>
        <w:t>analyses)</w:t>
      </w:r>
      <w:bookmarkEnd w:id="142"/>
      <w:bookmarkEnd w:id="143"/>
      <w:bookmarkEnd w:id="144"/>
      <w:bookmarkEnd w:id="145"/>
      <w:bookmarkEnd w:id="146"/>
    </w:p>
    <w:p w:rsidR="00184C7D" w:rsidRPr="00184C7D" w:rsidRDefault="00184C7D" w:rsidP="00E60D18">
      <w:pPr>
        <w:autoSpaceDE w:val="0"/>
        <w:autoSpaceDN w:val="0"/>
        <w:adjustRightInd w:val="0"/>
      </w:pPr>
      <w:r w:rsidRPr="00184C7D">
        <w:t>There were no pooled analyses or meta-analyses of efficacy d</w:t>
      </w:r>
      <w:r w:rsidR="00E60D18">
        <w:t>ata included in the submission.</w:t>
      </w:r>
    </w:p>
    <w:p w:rsidR="00184C7D" w:rsidRPr="003C0A48" w:rsidRDefault="00184C7D" w:rsidP="00E2729C">
      <w:pPr>
        <w:pStyle w:val="Heading3"/>
      </w:pPr>
      <w:bookmarkStart w:id="147" w:name="_Ref271126605"/>
      <w:bookmarkStart w:id="148" w:name="_Toc272414657"/>
      <w:bookmarkStart w:id="149" w:name="_Toc290846282"/>
      <w:bookmarkStart w:id="150" w:name="_Toc457234037"/>
      <w:bookmarkStart w:id="151" w:name="_Toc490577149"/>
      <w:r w:rsidRPr="003C0A48">
        <w:t>Evaluator’s conclusions on clinical efficacy for</w:t>
      </w:r>
      <w:r>
        <w:t xml:space="preserve"> </w:t>
      </w:r>
      <w:bookmarkEnd w:id="147"/>
      <w:bookmarkEnd w:id="148"/>
      <w:bookmarkEnd w:id="149"/>
      <w:r>
        <w:t>pancreatic cancer</w:t>
      </w:r>
      <w:bookmarkEnd w:id="150"/>
      <w:bookmarkEnd w:id="151"/>
    </w:p>
    <w:p w:rsidR="00524CAE" w:rsidRDefault="00524CAE" w:rsidP="00524CAE">
      <w:r>
        <w:t xml:space="preserve">The pivotal study in the submission was well designed and executed. </w:t>
      </w:r>
      <w:r w:rsidRPr="00781E71">
        <w:t>The design generally complied with the requirements of the EMA</w:t>
      </w:r>
      <w:r>
        <w:t xml:space="preserve"> guideline on anticancer agents.</w:t>
      </w:r>
      <w:r>
        <w:rPr>
          <w:rStyle w:val="FootnoteReference"/>
        </w:rPr>
        <w:footnoteReference w:id="21"/>
      </w:r>
    </w:p>
    <w:p w:rsidR="00524CAE" w:rsidRDefault="00524CAE" w:rsidP="00524CAE">
      <w:r>
        <w:t xml:space="preserve">Treatment with the combination of Onivyde + 5-FU/LV resulted in a statistically significant improvement in overall survival compared with 5-FU/LV alone. Median survival was improved by approximately 2 months. Given that the median survival with 5-FU/LV alone was only 4.2 months, an additional 2 months is considered clinically significant. </w:t>
      </w:r>
    </w:p>
    <w:p w:rsidR="00524CAE" w:rsidRDefault="00524CAE" w:rsidP="00524CAE">
      <w:r>
        <w:t xml:space="preserve">The finding of an overall survival benefit was supported by improvements in secondary endpoints such as PFS and TTF. There was also a small improvement in objective response rate and in the rate of response based on the biomarker CA19-9. The Onivyde + 5-FU/LV combination did not produce significant improvements in symptoms (as assessed by the CBR rate) or quality of life, compared to 5-FU/LV alone. </w:t>
      </w:r>
    </w:p>
    <w:p w:rsidR="00524CAE" w:rsidRPr="007015F4" w:rsidRDefault="00524CAE" w:rsidP="00524CAE">
      <w:r w:rsidRPr="007015F4">
        <w:t>The submission to register Onivyde is b</w:t>
      </w:r>
      <w:r>
        <w:t>ased on a single pivotal study and the TGA has adopted an EMA guideline that deals with this situation.</w:t>
      </w:r>
      <w:r>
        <w:rPr>
          <w:rStyle w:val="FootnoteReference"/>
        </w:rPr>
        <w:footnoteReference w:id="22"/>
      </w:r>
      <w:r>
        <w:t xml:space="preserve"> This guideline sets out certain ‘prerequisites’ that must be met for approval of such a submission. In the opinion of this reviewer, the design and results of the pivotal study allow the conclusion that these prerequisites have been met. </w:t>
      </w:r>
    </w:p>
    <w:p w:rsidR="00524CAE" w:rsidRPr="00F32B49" w:rsidRDefault="00524CAE" w:rsidP="00524CAE">
      <w:r>
        <w:t>The P</w:t>
      </w:r>
      <w:r w:rsidRPr="00F32B49">
        <w:t xml:space="preserve">hase </w:t>
      </w:r>
      <w:r>
        <w:t>II</w:t>
      </w:r>
      <w:r w:rsidRPr="00F32B49">
        <w:t xml:space="preserve"> monotherapy study in pancreatic cancer (PEP0208) provided some supportive evidence for efficacy in that a response rate of 7.5% was observed.</w:t>
      </w:r>
    </w:p>
    <w:p w:rsidR="00524CAE" w:rsidRDefault="00524CAE" w:rsidP="00524CAE">
      <w:r>
        <w:t>There are currently no established treatments for patients with metastatic pancreatic cancer who have failed gemcitabine based therapy. Given the demonstrated survival benefit and lack of alternative treatments, the evidence to support the efficacy of Onivyde in combination with 5-FU/LV is considered acceptable.</w:t>
      </w:r>
    </w:p>
    <w:p w:rsidR="00C22678" w:rsidRDefault="00C22678" w:rsidP="00C22678">
      <w:pPr>
        <w:pStyle w:val="Heading2"/>
      </w:pPr>
      <w:bookmarkStart w:id="152" w:name="_Toc490577150"/>
      <w:r>
        <w:lastRenderedPageBreak/>
        <w:t>Clinical safety</w:t>
      </w:r>
      <w:bookmarkEnd w:id="152"/>
    </w:p>
    <w:p w:rsidR="00184C7D" w:rsidRPr="004B259C" w:rsidRDefault="00184C7D" w:rsidP="00E2729C">
      <w:pPr>
        <w:pStyle w:val="Heading3"/>
      </w:pPr>
      <w:bookmarkStart w:id="153" w:name="_Toc272414659"/>
      <w:bookmarkStart w:id="154" w:name="_Toc290846284"/>
      <w:bookmarkStart w:id="155" w:name="_Toc457234039"/>
      <w:bookmarkStart w:id="156" w:name="_Toc490577151"/>
      <w:r>
        <w:t>Studies providing evaluable safety data</w:t>
      </w:r>
      <w:bookmarkEnd w:id="153"/>
      <w:bookmarkEnd w:id="154"/>
      <w:bookmarkEnd w:id="155"/>
      <w:bookmarkEnd w:id="156"/>
    </w:p>
    <w:p w:rsidR="00184C7D" w:rsidRPr="00184C7D" w:rsidRDefault="00184C7D" w:rsidP="00184C7D">
      <w:bookmarkStart w:id="157" w:name="_Ref268776745"/>
      <w:r w:rsidRPr="00184C7D">
        <w:t xml:space="preserve">The submission did not include an analysis of pooled safety data. Hence safety data from each study are reviewed separately. The following studies </w:t>
      </w:r>
      <w:r w:rsidR="00E60D18">
        <w:t>provided evaluable safety data:</w:t>
      </w:r>
    </w:p>
    <w:p w:rsidR="00184C7D" w:rsidRPr="00027276" w:rsidRDefault="00184C7D" w:rsidP="00E149C8">
      <w:pPr>
        <w:pStyle w:val="Heading4"/>
      </w:pPr>
      <w:r w:rsidRPr="00027276">
        <w:t>Pivotal efficacy stud</w:t>
      </w:r>
      <w:bookmarkEnd w:id="157"/>
      <w:r>
        <w:t xml:space="preserve">y </w:t>
      </w:r>
    </w:p>
    <w:p w:rsidR="00184C7D" w:rsidRPr="00184C7D" w:rsidRDefault="00184C7D" w:rsidP="00184C7D">
      <w:r w:rsidRPr="00184C7D">
        <w:t>In the pivotal efficacy study, the following safety data were collected:</w:t>
      </w:r>
    </w:p>
    <w:p w:rsidR="00184C7D" w:rsidRDefault="00184C7D" w:rsidP="00E2729C">
      <w:pPr>
        <w:pStyle w:val="Style1"/>
      </w:pPr>
      <w:r>
        <w:t>General adverse events (AEs). Information on AEs was collected at each study visit through open-ended questioning. AEs were graded (grades 1-5) according to the National Cancer Institute Common Toxicity Criteria for Adverse Events (NCI CTCAE) version 4.0. They were coded using the Medical Dictionary for Regulatory Activities (</w:t>
      </w:r>
      <w:proofErr w:type="spellStart"/>
      <w:r>
        <w:t>MedDRA</w:t>
      </w:r>
      <w:proofErr w:type="spellEnd"/>
      <w:r>
        <w:t>) version 14.1.</w:t>
      </w:r>
    </w:p>
    <w:p w:rsidR="00184C7D" w:rsidRDefault="00184C7D" w:rsidP="00E2729C">
      <w:pPr>
        <w:pStyle w:val="Style1"/>
      </w:pPr>
      <w:r w:rsidRPr="00971DC2">
        <w:t>A number of AEs of special importance (AESI) were identified by the sponsor.</w:t>
      </w:r>
      <w:r>
        <w:t xml:space="preserve"> These are listed in</w:t>
      </w:r>
      <w:r w:rsidR="006712AE">
        <w:t xml:space="preserve"> Table 8.</w:t>
      </w:r>
    </w:p>
    <w:p w:rsidR="006712AE" w:rsidRDefault="006712AE" w:rsidP="006712AE">
      <w:pPr>
        <w:pStyle w:val="Tabletitle"/>
      </w:pPr>
      <w:proofErr w:type="gramStart"/>
      <w:r>
        <w:t xml:space="preserve">Table </w:t>
      </w:r>
      <w:r w:rsidR="00621139">
        <w:t>8</w:t>
      </w:r>
      <w:r>
        <w:t>:</w:t>
      </w:r>
      <w:r w:rsidRPr="008D63EC">
        <w:t xml:space="preserve"> </w:t>
      </w:r>
      <w:r w:rsidR="00621139" w:rsidRPr="00621139">
        <w:t>Study MM-398-07-03-01 –AEs of special importance (AESI)</w:t>
      </w:r>
      <w:r>
        <w:t>.</w:t>
      </w:r>
      <w:proofErr w:type="gramEnd"/>
    </w:p>
    <w:p w:rsidR="006712AE" w:rsidRPr="00971DC2" w:rsidRDefault="00B115BD" w:rsidP="006712AE">
      <w:pPr>
        <w:pStyle w:val="Style1"/>
        <w:numPr>
          <w:ilvl w:val="0"/>
          <w:numId w:val="0"/>
        </w:numPr>
      </w:pPr>
      <w:r>
        <w:rPr>
          <w:noProof/>
        </w:rPr>
        <w:drawing>
          <wp:inline distT="0" distB="0" distL="0" distR="0" wp14:anchorId="662B5329" wp14:editId="643C6CE6">
            <wp:extent cx="3881837" cy="4964687"/>
            <wp:effectExtent l="0" t="0" r="4445" b="7620"/>
            <wp:docPr id="11" name="Picture 11" descr="Table 8: Study MM-398-07-03-01 –AEs of special importance (A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83910" cy="4967338"/>
                    </a:xfrm>
                    <a:prstGeom prst="rect">
                      <a:avLst/>
                    </a:prstGeom>
                  </pic:spPr>
                </pic:pic>
              </a:graphicData>
            </a:graphic>
          </wp:inline>
        </w:drawing>
      </w:r>
    </w:p>
    <w:p w:rsidR="00184C7D" w:rsidRPr="0059162B" w:rsidRDefault="00184C7D" w:rsidP="00E2729C">
      <w:pPr>
        <w:pStyle w:val="Style1"/>
      </w:pPr>
      <w:r w:rsidRPr="0059162B">
        <w:t>Vital signs were recorded at most study visits. Physical examinations were performed regular intervals.</w:t>
      </w:r>
    </w:p>
    <w:p w:rsidR="00184C7D" w:rsidRDefault="00184C7D" w:rsidP="00E2729C">
      <w:pPr>
        <w:pStyle w:val="Style1"/>
      </w:pPr>
      <w:r>
        <w:t>Laboratory tests were performed at most study visits. Parameters tested were:</w:t>
      </w:r>
    </w:p>
    <w:p w:rsidR="00184C7D" w:rsidRDefault="00184C7D" w:rsidP="00E2729C">
      <w:pPr>
        <w:pStyle w:val="Style1"/>
      </w:pPr>
      <w:r>
        <w:lastRenderedPageBreak/>
        <w:t>Complete</w:t>
      </w:r>
      <w:r w:rsidR="002564D9">
        <w:t xml:space="preserve"> blood count (CBC), </w:t>
      </w:r>
      <w:r>
        <w:t>white blood count (WBC) and differential, haemoglobin, haematocrit and platelet count;</w:t>
      </w:r>
    </w:p>
    <w:p w:rsidR="00184C7D" w:rsidRDefault="002564D9" w:rsidP="00E2729C">
      <w:pPr>
        <w:pStyle w:val="Style1"/>
      </w:pPr>
      <w:r>
        <w:t xml:space="preserve">Serum chemistry, </w:t>
      </w:r>
      <w:r w:rsidR="00184C7D">
        <w:t>electrolytes (sodium, potassium, chloride and bicarbonate), BUN, serum creatinine, glucose, direct and total bilirubin, AST, ALT, alkaline phosphatase, LDH, uric acid, total protein, albumin, calcium, magnesium, and phosphate</w:t>
      </w:r>
    </w:p>
    <w:p w:rsidR="00184C7D" w:rsidRPr="00184C7D" w:rsidRDefault="00184C7D" w:rsidP="00184C7D">
      <w:pPr>
        <w:pStyle w:val="Style1"/>
      </w:pPr>
      <w:r>
        <w:t>ECGs were performed at screeni</w:t>
      </w:r>
      <w:r w:rsidR="00E2729C">
        <w:t>ng and at the end of the study.</w:t>
      </w:r>
    </w:p>
    <w:p w:rsidR="00184C7D" w:rsidRDefault="00184C7D" w:rsidP="00E149C8">
      <w:pPr>
        <w:pStyle w:val="Heading4"/>
      </w:pPr>
      <w:r>
        <w:t>Phase 2 studies</w:t>
      </w:r>
    </w:p>
    <w:p w:rsidR="00184C7D" w:rsidRPr="00184C7D" w:rsidRDefault="00184C7D" w:rsidP="00184C7D">
      <w:bookmarkStart w:id="158" w:name="_Ref269204367"/>
      <w:r w:rsidRPr="00184C7D">
        <w:t xml:space="preserve">There were two phase 2 studies </w:t>
      </w:r>
    </w:p>
    <w:p w:rsidR="00184C7D" w:rsidRPr="00184C7D" w:rsidRDefault="00184C7D" w:rsidP="00184C7D">
      <w:pPr>
        <w:pStyle w:val="ListBullet"/>
      </w:pPr>
      <w:r w:rsidRPr="00E60D18">
        <w:t>Study PEP0208,</w:t>
      </w:r>
      <w:r w:rsidRPr="00184C7D">
        <w:t xml:space="preserve"> which was a single-arm study of Onivyde as monotherapy in subjects with pancreatic cancer who had failed gemcitabine treatment.</w:t>
      </w:r>
    </w:p>
    <w:p w:rsidR="00184C7D" w:rsidRPr="00184C7D" w:rsidRDefault="00184C7D" w:rsidP="00E60D18">
      <w:pPr>
        <w:pStyle w:val="ListBullet"/>
      </w:pPr>
      <w:r w:rsidRPr="00E60D18">
        <w:t>Study PEP0206</w:t>
      </w:r>
      <w:r w:rsidRPr="00184C7D">
        <w:t>, which compared Onivyde monotherapy with conventional irinotecan as monotherapy and docetaxel as monotherapy in subjects with gastric cancer. Safety data from this study are of interest as they enable a comparison of the toxicities of Onivy</w:t>
      </w:r>
      <w:r w:rsidR="00E60D18">
        <w:t>de and conventional irinotecan;</w:t>
      </w:r>
    </w:p>
    <w:p w:rsidR="00184C7D" w:rsidRPr="00184C7D" w:rsidRDefault="00184C7D" w:rsidP="00E60D18">
      <w:pPr>
        <w:tabs>
          <w:tab w:val="left" w:pos="709"/>
        </w:tabs>
      </w:pPr>
      <w:r w:rsidRPr="00184C7D">
        <w:t xml:space="preserve">The safety data collected in these studies were comparable to those </w:t>
      </w:r>
      <w:r w:rsidR="00E60D18">
        <w:t>collected in the pivotal study.</w:t>
      </w:r>
    </w:p>
    <w:p w:rsidR="00184C7D" w:rsidRDefault="00184C7D" w:rsidP="00E149C8">
      <w:pPr>
        <w:pStyle w:val="Heading4"/>
      </w:pPr>
      <w:r>
        <w:t>Phase 1 studies</w:t>
      </w:r>
    </w:p>
    <w:p w:rsidR="00184C7D" w:rsidRPr="00184C7D" w:rsidRDefault="00184C7D" w:rsidP="00184C7D">
      <w:r w:rsidRPr="00184C7D">
        <w:t>There were five phase 1 studies in the submission. Safety data from these studies are reviewed separately in this report.</w:t>
      </w:r>
      <w:bookmarkEnd w:id="158"/>
    </w:p>
    <w:p w:rsidR="00184C7D" w:rsidRDefault="00184C7D" w:rsidP="00184C7D">
      <w:pPr>
        <w:pStyle w:val="Heading3"/>
      </w:pPr>
      <w:bookmarkStart w:id="159" w:name="_Toc241374318"/>
      <w:bookmarkStart w:id="160" w:name="_Ref271196630"/>
      <w:bookmarkStart w:id="161" w:name="_Toc272414662"/>
      <w:bookmarkStart w:id="162" w:name="_Toc290846300"/>
      <w:bookmarkStart w:id="163" w:name="_Toc457234040"/>
      <w:bookmarkStart w:id="164" w:name="_Toc490577152"/>
      <w:r>
        <w:t>Patient exposure</w:t>
      </w:r>
      <w:bookmarkEnd w:id="159"/>
      <w:bookmarkEnd w:id="160"/>
      <w:bookmarkEnd w:id="161"/>
      <w:bookmarkEnd w:id="162"/>
      <w:bookmarkEnd w:id="163"/>
      <w:bookmarkEnd w:id="164"/>
    </w:p>
    <w:p w:rsidR="00184C7D" w:rsidRPr="00184C7D" w:rsidRDefault="00184C7D" w:rsidP="00184C7D">
      <w:pPr>
        <w:autoSpaceDE w:val="0"/>
        <w:autoSpaceDN w:val="0"/>
        <w:adjustRightInd w:val="0"/>
      </w:pPr>
      <w:r w:rsidRPr="00184C7D">
        <w:t xml:space="preserve">A total of 634 subjects were treated in the studies. Of these, 412 received Onivyde either as monotherapy or in combination </w:t>
      </w:r>
      <w:r w:rsidR="00E60D18">
        <w:t>with other chemotherapy agents.</w:t>
      </w:r>
    </w:p>
    <w:p w:rsidR="00184C7D" w:rsidRDefault="00184C7D" w:rsidP="00184C7D">
      <w:pPr>
        <w:pStyle w:val="Heading4"/>
      </w:pPr>
      <w:bookmarkStart w:id="165" w:name="_Toc457234041"/>
      <w:r>
        <w:t>Pivotal study</w:t>
      </w:r>
      <w:bookmarkEnd w:id="165"/>
    </w:p>
    <w:p w:rsidR="00184C7D" w:rsidRDefault="00184C7D" w:rsidP="00184C7D">
      <w:pPr>
        <w:autoSpaceDE w:val="0"/>
        <w:autoSpaceDN w:val="0"/>
        <w:adjustRightInd w:val="0"/>
      </w:pPr>
      <w:r w:rsidRPr="00184C7D">
        <w:t xml:space="preserve">Overall exposure to study drugs in the pivotal study is summarised in </w:t>
      </w:r>
      <w:r w:rsidR="006C5FF3">
        <w:t>Table 9.</w:t>
      </w:r>
    </w:p>
    <w:p w:rsidR="006C5FF3" w:rsidRDefault="006C5FF3" w:rsidP="006C5FF3">
      <w:pPr>
        <w:pStyle w:val="Tabletitle"/>
      </w:pPr>
      <w:r>
        <w:lastRenderedPageBreak/>
        <w:t>Table 9:</w:t>
      </w:r>
      <w:r w:rsidRPr="008D63EC">
        <w:t xml:space="preserve"> </w:t>
      </w:r>
      <w:r w:rsidRPr="006C5FF3">
        <w:t>Study MM-398-07-03-01 – Overall exposure</w:t>
      </w:r>
      <w:r>
        <w:t>.</w:t>
      </w:r>
    </w:p>
    <w:p w:rsidR="006C5FF3" w:rsidRPr="00184C7D" w:rsidRDefault="004E1F38" w:rsidP="00184C7D">
      <w:pPr>
        <w:autoSpaceDE w:val="0"/>
        <w:autoSpaceDN w:val="0"/>
        <w:adjustRightInd w:val="0"/>
      </w:pPr>
      <w:r>
        <w:rPr>
          <w:noProof/>
          <w:lang w:eastAsia="en-AU"/>
        </w:rPr>
        <w:drawing>
          <wp:inline distT="0" distB="0" distL="0" distR="0" wp14:anchorId="2BEE19B9" wp14:editId="69D13F60">
            <wp:extent cx="5731510" cy="3934902"/>
            <wp:effectExtent l="0" t="0" r="2540" b="8890"/>
            <wp:docPr id="12" name="Picture 12" descr="Table 9: Study MM-398-07-03-01 – Overall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934902"/>
                    </a:xfrm>
                    <a:prstGeom prst="rect">
                      <a:avLst/>
                    </a:prstGeom>
                  </pic:spPr>
                </pic:pic>
              </a:graphicData>
            </a:graphic>
          </wp:inline>
        </w:drawing>
      </w:r>
    </w:p>
    <w:p w:rsidR="00184C7D" w:rsidRPr="00547601" w:rsidRDefault="00184C7D" w:rsidP="00547601">
      <w:pPr>
        <w:ind w:left="720"/>
        <w:rPr>
          <w:i/>
        </w:rPr>
      </w:pPr>
      <w:r w:rsidRPr="00547601">
        <w:rPr>
          <w:i/>
        </w:rPr>
        <w:t>Comment:</w:t>
      </w:r>
      <w:r w:rsidR="00547601" w:rsidRPr="00547601">
        <w:rPr>
          <w:i/>
        </w:rPr>
        <w:t xml:space="preserve"> </w:t>
      </w:r>
      <w:r w:rsidR="001E2CB3" w:rsidRPr="00547601">
        <w:rPr>
          <w:i/>
        </w:rPr>
        <w:t>Duration of exposure was relatively short in all three treatment arms, but was longer in the Onivyde+5-FU/LV arm than in the 5-FU/LV control arm (mean duration 15.0 vs. 10.0 weeks). Although 5-FU dose intensity was higher in the control arm, the total amount of 5-FU delivered was slightly higher in the combination arm</w:t>
      </w:r>
      <w:r w:rsidR="00E60D18" w:rsidRPr="00547601">
        <w:rPr>
          <w:i/>
        </w:rPr>
        <w:t>.</w:t>
      </w:r>
    </w:p>
    <w:p w:rsidR="00184C7D" w:rsidRDefault="00184C7D" w:rsidP="00184C7D">
      <w:pPr>
        <w:pStyle w:val="Heading4"/>
      </w:pPr>
      <w:bookmarkStart w:id="166" w:name="_Toc457234042"/>
      <w:r>
        <w:t>Other studies</w:t>
      </w:r>
      <w:bookmarkEnd w:id="166"/>
    </w:p>
    <w:p w:rsidR="00184C7D" w:rsidRPr="00772758" w:rsidRDefault="00184C7D" w:rsidP="00184C7D">
      <w:pPr>
        <w:pStyle w:val="Heading5"/>
      </w:pPr>
      <w:bookmarkStart w:id="167" w:name="_Toc457234043"/>
      <w:r w:rsidRPr="00772758">
        <w:t>PEP0208</w:t>
      </w:r>
      <w:bookmarkEnd w:id="167"/>
    </w:p>
    <w:p w:rsidR="00184C7D" w:rsidRPr="00184C7D" w:rsidRDefault="00184C7D" w:rsidP="00184C7D">
      <w:r w:rsidRPr="00184C7D">
        <w:t>The mean number of cycles received was 5.9 (21-day cycles of 120 mg/m</w:t>
      </w:r>
      <w:r w:rsidRPr="00184C7D">
        <w:rPr>
          <w:vertAlign w:val="superscript"/>
        </w:rPr>
        <w:t>2</w:t>
      </w:r>
      <w:r w:rsidR="00E60D18">
        <w:t>).</w:t>
      </w:r>
    </w:p>
    <w:p w:rsidR="00184C7D" w:rsidRDefault="00184C7D" w:rsidP="00184C7D">
      <w:pPr>
        <w:pStyle w:val="Heading5"/>
      </w:pPr>
      <w:bookmarkStart w:id="168" w:name="_Toc457234044"/>
      <w:r>
        <w:t>PEP0206 (vs. irinotecan)</w:t>
      </w:r>
      <w:bookmarkEnd w:id="168"/>
    </w:p>
    <w:p w:rsidR="00184C7D" w:rsidRPr="00184C7D" w:rsidRDefault="00184C7D" w:rsidP="00E60D18">
      <w:r w:rsidRPr="00184C7D">
        <w:t>The mean number of cycles received was 4.4 for Onivyde, 4.6 for irinotecan and 4.7 for docetaxel. Median dose intens</w:t>
      </w:r>
      <w:r w:rsidR="00E60D18">
        <w:t>ity was 100% in all three arms.</w:t>
      </w:r>
    </w:p>
    <w:p w:rsidR="00184C7D" w:rsidRDefault="00184C7D" w:rsidP="00E2729C">
      <w:pPr>
        <w:pStyle w:val="Heading3"/>
      </w:pPr>
      <w:bookmarkStart w:id="169" w:name="_Toc241374319"/>
      <w:bookmarkStart w:id="170" w:name="_Ref271044764"/>
      <w:bookmarkStart w:id="171" w:name="_Toc272414663"/>
      <w:bookmarkStart w:id="172" w:name="_Toc290846301"/>
      <w:bookmarkStart w:id="173" w:name="_Ref315515747"/>
      <w:bookmarkStart w:id="174" w:name="_Ref315620775"/>
      <w:bookmarkStart w:id="175" w:name="_Toc457234045"/>
      <w:bookmarkStart w:id="176" w:name="_Toc490577153"/>
      <w:r>
        <w:t>Adverse events</w:t>
      </w:r>
      <w:bookmarkEnd w:id="169"/>
      <w:bookmarkEnd w:id="170"/>
      <w:bookmarkEnd w:id="171"/>
      <w:bookmarkEnd w:id="172"/>
      <w:bookmarkEnd w:id="173"/>
      <w:bookmarkEnd w:id="174"/>
      <w:bookmarkEnd w:id="175"/>
      <w:bookmarkEnd w:id="176"/>
    </w:p>
    <w:p w:rsidR="00184C7D" w:rsidRPr="00D9009F" w:rsidRDefault="00184C7D" w:rsidP="00D9009F">
      <w:r w:rsidRPr="00D9009F">
        <w:t xml:space="preserve">An overall summary for the incidence of AEs, SAEs etc. is shown in </w:t>
      </w:r>
      <w:r w:rsidR="00D9009F" w:rsidRPr="00D9009F">
        <w:t xml:space="preserve">Table 10 </w:t>
      </w:r>
      <w:r w:rsidRPr="00D9009F">
        <w:t xml:space="preserve">for the pivotal study, in </w:t>
      </w:r>
      <w:r w:rsidR="00D9009F" w:rsidRPr="00D9009F">
        <w:t xml:space="preserve">Table 11 </w:t>
      </w:r>
      <w:r w:rsidRPr="00D9009F">
        <w:t xml:space="preserve">for study PEP0208 and in </w:t>
      </w:r>
      <w:r w:rsidR="00D9009F" w:rsidRPr="00D9009F">
        <w:t xml:space="preserve">Table 12 </w:t>
      </w:r>
      <w:r w:rsidR="00E60D18" w:rsidRPr="00D9009F">
        <w:t>for study PEP0206.</w:t>
      </w:r>
    </w:p>
    <w:p w:rsidR="005F34B0" w:rsidRDefault="005F34B0" w:rsidP="005F34B0">
      <w:pPr>
        <w:pStyle w:val="Tabletitle"/>
      </w:pPr>
      <w:proofErr w:type="gramStart"/>
      <w:r>
        <w:lastRenderedPageBreak/>
        <w:t>Table 10:</w:t>
      </w:r>
      <w:r w:rsidRPr="008D63EC">
        <w:t xml:space="preserve"> </w:t>
      </w:r>
      <w:r w:rsidR="002A5D9D" w:rsidRPr="002A5D9D">
        <w:t>Study MM-398-07-03-01 - Overall summary of AEs</w:t>
      </w:r>
      <w:r>
        <w:t>.</w:t>
      </w:r>
      <w:proofErr w:type="gramEnd"/>
    </w:p>
    <w:p w:rsidR="005F34B0" w:rsidRDefault="003C1743" w:rsidP="00184C7D">
      <w:r>
        <w:rPr>
          <w:noProof/>
          <w:lang w:eastAsia="en-AU"/>
        </w:rPr>
        <w:drawing>
          <wp:inline distT="0" distB="0" distL="0" distR="0" wp14:anchorId="7DA5B6DE" wp14:editId="7EC89AE4">
            <wp:extent cx="4605659" cy="2609874"/>
            <wp:effectExtent l="0" t="0" r="4445" b="0"/>
            <wp:docPr id="13" name="Picture 13" descr="Table 10: Study MM-398-07-03-01 - Overall summary of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05337" cy="2609692"/>
                    </a:xfrm>
                    <a:prstGeom prst="rect">
                      <a:avLst/>
                    </a:prstGeom>
                  </pic:spPr>
                </pic:pic>
              </a:graphicData>
            </a:graphic>
          </wp:inline>
        </w:drawing>
      </w:r>
    </w:p>
    <w:p w:rsidR="005F34B0" w:rsidRDefault="005F34B0" w:rsidP="005F34B0">
      <w:pPr>
        <w:pStyle w:val="Tabletitle"/>
      </w:pPr>
      <w:r>
        <w:t>Table 11:</w:t>
      </w:r>
      <w:r w:rsidRPr="008D63EC">
        <w:t xml:space="preserve"> </w:t>
      </w:r>
      <w:r w:rsidR="003C1743" w:rsidRPr="003C1743">
        <w:t>Study PEP0208 - Overall summary of AEs</w:t>
      </w:r>
      <w:r>
        <w:t>.</w:t>
      </w:r>
    </w:p>
    <w:p w:rsidR="005F34B0" w:rsidRDefault="00B9189F" w:rsidP="00184C7D">
      <w:r>
        <w:rPr>
          <w:noProof/>
          <w:lang w:eastAsia="en-AU"/>
        </w:rPr>
        <w:drawing>
          <wp:inline distT="0" distB="0" distL="0" distR="0" wp14:anchorId="3F781189" wp14:editId="121E1820">
            <wp:extent cx="5731510" cy="3217239"/>
            <wp:effectExtent l="0" t="0" r="2540" b="2540"/>
            <wp:docPr id="14" name="Picture 14" descr="Table 11: Study PEP0208 - Overall summary of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217239"/>
                    </a:xfrm>
                    <a:prstGeom prst="rect">
                      <a:avLst/>
                    </a:prstGeom>
                  </pic:spPr>
                </pic:pic>
              </a:graphicData>
            </a:graphic>
          </wp:inline>
        </w:drawing>
      </w:r>
    </w:p>
    <w:p w:rsidR="005F34B0" w:rsidRDefault="005F34B0" w:rsidP="005F34B0">
      <w:pPr>
        <w:pStyle w:val="Tabletitle"/>
      </w:pPr>
      <w:r>
        <w:lastRenderedPageBreak/>
        <w:t>Table 12:</w:t>
      </w:r>
      <w:r w:rsidRPr="008D63EC">
        <w:t xml:space="preserve"> </w:t>
      </w:r>
      <w:r w:rsidR="00B9189F" w:rsidRPr="00B9189F">
        <w:t>Study MM-398-07-03-01 – Common AEs (incidence &gt; 10% in any arm)</w:t>
      </w:r>
      <w:r w:rsidR="00B9189F">
        <w:t>.</w:t>
      </w:r>
    </w:p>
    <w:p w:rsidR="005F34B0" w:rsidRPr="00184C7D" w:rsidRDefault="00B55DAF" w:rsidP="00184C7D">
      <w:r>
        <w:rPr>
          <w:noProof/>
          <w:lang w:eastAsia="en-AU"/>
        </w:rPr>
        <w:drawing>
          <wp:inline distT="0" distB="0" distL="0" distR="0" wp14:anchorId="31FE662B" wp14:editId="79F2D9AD">
            <wp:extent cx="5250788" cy="4551244"/>
            <wp:effectExtent l="0" t="0" r="7620" b="1905"/>
            <wp:docPr id="15" name="Picture 15" descr="Table 12: Study MM-398-07-03-01 – Common AEs (incidence &gt; 10% in any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54208" cy="4554209"/>
                    </a:xfrm>
                    <a:prstGeom prst="rect">
                      <a:avLst/>
                    </a:prstGeom>
                  </pic:spPr>
                </pic:pic>
              </a:graphicData>
            </a:graphic>
          </wp:inline>
        </w:drawing>
      </w:r>
    </w:p>
    <w:p w:rsidR="00184C7D" w:rsidRPr="00C27CB6" w:rsidRDefault="00184C7D" w:rsidP="00184C7D">
      <w:pPr>
        <w:pStyle w:val="Heading4"/>
      </w:pPr>
      <w:bookmarkStart w:id="177" w:name="_Ref272317284"/>
      <w:bookmarkStart w:id="178" w:name="_Ref272333565"/>
      <w:bookmarkStart w:id="179" w:name="_Toc272414664"/>
      <w:bookmarkStart w:id="180" w:name="_Toc290846302"/>
      <w:bookmarkStart w:id="181" w:name="_Toc457234046"/>
      <w:r>
        <w:t>All adverse events (irrespective of relationship to study treatment)</w:t>
      </w:r>
      <w:bookmarkEnd w:id="177"/>
      <w:bookmarkEnd w:id="178"/>
      <w:bookmarkEnd w:id="179"/>
      <w:bookmarkEnd w:id="180"/>
      <w:bookmarkEnd w:id="181"/>
    </w:p>
    <w:p w:rsidR="00184C7D" w:rsidRDefault="00184C7D" w:rsidP="00184C7D">
      <w:pPr>
        <w:pStyle w:val="Heading5"/>
      </w:pPr>
      <w:bookmarkStart w:id="182" w:name="_Toc457234047"/>
      <w:r>
        <w:t>Pivotal study</w:t>
      </w:r>
      <w:bookmarkEnd w:id="182"/>
    </w:p>
    <w:p w:rsidR="00184C7D" w:rsidRPr="00184C7D" w:rsidRDefault="00184C7D" w:rsidP="00184C7D">
      <w:r w:rsidRPr="00184C7D">
        <w:t>The incidence of treatment-</w:t>
      </w:r>
      <w:r w:rsidRPr="00547601">
        <w:t>emergent AEs was 99.1% in the combination arm and 98.5% in the</w:t>
      </w:r>
      <w:r w:rsidRPr="00184C7D">
        <w:t xml:space="preserve"> 5-FU/LV comparator arm. Common AEs (those occurring in at least 10% of subjects in any arm) are shown in </w:t>
      </w:r>
      <w:r w:rsidR="00B55DAF">
        <w:t>Table 12.</w:t>
      </w:r>
      <w:r w:rsidRPr="00184C7D">
        <w:t xml:space="preserve"> Compared to the 5-FU/LV arm the combination arm was associated with notable increases the incidence of the following toxicities:</w:t>
      </w:r>
    </w:p>
    <w:p w:rsidR="00184C7D" w:rsidRPr="00184C7D" w:rsidRDefault="00184C7D" w:rsidP="00184C7D">
      <w:pPr>
        <w:pStyle w:val="ListBullet"/>
      </w:pPr>
      <w:r w:rsidRPr="00184C7D">
        <w:t>Gastrointestinal toxicity – diarrhoea, nausea, vomiting, decreased appetite and stomatitis/mucosal inflammation;</w:t>
      </w:r>
    </w:p>
    <w:p w:rsidR="00184C7D" w:rsidRPr="00184C7D" w:rsidRDefault="00184C7D" w:rsidP="00184C7D">
      <w:pPr>
        <w:pStyle w:val="ListBullet"/>
      </w:pPr>
      <w:r w:rsidRPr="00184C7D">
        <w:t xml:space="preserve">Myelotoxicity – anaemia, </w:t>
      </w:r>
      <w:proofErr w:type="spellStart"/>
      <w:r w:rsidRPr="00184C7D">
        <w:t>leukopaenia</w:t>
      </w:r>
      <w:proofErr w:type="spellEnd"/>
      <w:r w:rsidRPr="00184C7D">
        <w:t xml:space="preserve">, </w:t>
      </w:r>
      <w:proofErr w:type="spellStart"/>
      <w:r w:rsidRPr="00184C7D">
        <w:t>neutropaenia</w:t>
      </w:r>
      <w:proofErr w:type="spellEnd"/>
      <w:r w:rsidRPr="00184C7D">
        <w:t xml:space="preserve"> and decreased platelet count;</w:t>
      </w:r>
    </w:p>
    <w:p w:rsidR="00184C7D" w:rsidRPr="00184C7D" w:rsidRDefault="00184C7D" w:rsidP="00184C7D">
      <w:pPr>
        <w:pStyle w:val="ListBullet"/>
      </w:pPr>
      <w:r w:rsidRPr="00184C7D">
        <w:t>Constitutional symptoms – fatigue, pyrexia and decreased weight.</w:t>
      </w:r>
    </w:p>
    <w:p w:rsidR="00184C7D" w:rsidRPr="00184C7D" w:rsidRDefault="00184C7D" w:rsidP="00184C7D">
      <w:r w:rsidRPr="00184C7D">
        <w:t>The incidence of diarrhoea was even higher in the Onivyde monotherapy arm, where a h</w:t>
      </w:r>
      <w:r w:rsidR="00E2729C">
        <w:t>igher dose of Onivyde was used.</w:t>
      </w:r>
    </w:p>
    <w:p w:rsidR="00184C7D" w:rsidRDefault="00184C7D" w:rsidP="00184C7D">
      <w:r w:rsidRPr="00184C7D">
        <w:t xml:space="preserve">The incidence of </w:t>
      </w:r>
      <w:r w:rsidRPr="00E2729C">
        <w:t>grade ≥ 3 AEs</w:t>
      </w:r>
      <w:r w:rsidRPr="00184C7D">
        <w:t xml:space="preserve"> </w:t>
      </w:r>
      <w:r w:rsidRPr="00547601">
        <w:t>was 76.9% in the combination arm and 56.0% in the</w:t>
      </w:r>
      <w:r w:rsidRPr="00184C7D">
        <w:t xml:space="preserve"> 5-FU/LV comparator arm. Common grade ≥ 3 AEs (those occurring in at least 3% of subjects in any arm) are shown in </w:t>
      </w:r>
      <w:r w:rsidR="00EF0DEE">
        <w:t xml:space="preserve">Table 13. </w:t>
      </w:r>
      <w:r w:rsidRPr="00184C7D">
        <w:t>The pattern of extra toxicity in the combination arm was si</w:t>
      </w:r>
      <w:r w:rsidR="00E2729C">
        <w:t>milar to that seen for all AEs.</w:t>
      </w:r>
    </w:p>
    <w:p w:rsidR="00E64CC5" w:rsidRDefault="00E64CC5" w:rsidP="00E64CC5">
      <w:pPr>
        <w:pStyle w:val="Tabletitle"/>
      </w:pPr>
      <w:r>
        <w:lastRenderedPageBreak/>
        <w:t>Table 13:</w:t>
      </w:r>
      <w:r w:rsidRPr="008D63EC">
        <w:t xml:space="preserve"> </w:t>
      </w:r>
      <w:r w:rsidRPr="00E64CC5">
        <w:t>Study MM-398-07-03-01 – Common Grade ≥ 3 AEs (incidence &gt; 3% in any arm)</w:t>
      </w:r>
      <w:r>
        <w:t>.</w:t>
      </w:r>
    </w:p>
    <w:tbl>
      <w:tblPr>
        <w:tblW w:w="8880" w:type="dxa"/>
        <w:jc w:val="center"/>
        <w:tblInd w:w="16" w:type="dxa"/>
        <w:tblLayout w:type="fixed"/>
        <w:tblCellMar>
          <w:left w:w="0" w:type="dxa"/>
          <w:right w:w="0" w:type="dxa"/>
        </w:tblCellMar>
        <w:tblLook w:val="0000" w:firstRow="0" w:lastRow="0" w:firstColumn="0" w:lastColumn="0" w:noHBand="0" w:noVBand="0"/>
      </w:tblPr>
      <w:tblGrid>
        <w:gridCol w:w="4082"/>
        <w:gridCol w:w="713"/>
        <w:gridCol w:w="1007"/>
        <w:gridCol w:w="629"/>
        <w:gridCol w:w="945"/>
        <w:gridCol w:w="576"/>
        <w:gridCol w:w="14"/>
        <w:gridCol w:w="914"/>
      </w:tblGrid>
      <w:tr w:rsidR="00F2256C" w:rsidRPr="00F2256C" w:rsidTr="007C5575">
        <w:trPr>
          <w:trHeight w:hRule="exact" w:val="1061"/>
          <w:jc w:val="center"/>
        </w:trPr>
        <w:tc>
          <w:tcPr>
            <w:tcW w:w="4082" w:type="dxa"/>
            <w:tcBorders>
              <w:top w:val="single" w:sz="7" w:space="0" w:color="000000"/>
              <w:left w:val="single" w:sz="7" w:space="0" w:color="000000"/>
              <w:bottom w:val="single" w:sz="7" w:space="0" w:color="000000"/>
              <w:right w:val="single" w:sz="7" w:space="0" w:color="000000"/>
            </w:tcBorders>
            <w:vAlign w:val="bottom"/>
          </w:tcPr>
          <w:p w:rsidR="00F2256C" w:rsidRPr="00F2256C" w:rsidRDefault="00F2256C" w:rsidP="00F2256C">
            <w:pPr>
              <w:spacing w:before="0" w:after="0" w:line="225" w:lineRule="exact"/>
              <w:ind w:left="69"/>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 xml:space="preserve">System Organ Class/ </w:t>
            </w:r>
            <w:r w:rsidRPr="00F2256C">
              <w:rPr>
                <w:rFonts w:asciiTheme="minorHAnsi" w:hAnsiTheme="minorHAnsi"/>
                <w:b/>
                <w:color w:val="000000"/>
                <w:sz w:val="18"/>
                <w:szCs w:val="18"/>
                <w:lang w:val="en-US"/>
              </w:rPr>
              <w:br/>
              <w:t xml:space="preserve">Preferred Term - </w:t>
            </w:r>
            <w:proofErr w:type="spellStart"/>
            <w:r w:rsidRPr="00F2256C">
              <w:rPr>
                <w:rFonts w:asciiTheme="minorHAnsi" w:hAnsiTheme="minorHAnsi"/>
                <w:b/>
                <w:color w:val="000000"/>
                <w:sz w:val="18"/>
                <w:szCs w:val="18"/>
                <w:lang w:val="en-US"/>
              </w:rPr>
              <w:t>MedDRA</w:t>
            </w:r>
            <w:proofErr w:type="spellEnd"/>
            <w:r w:rsidRPr="00F2256C">
              <w:rPr>
                <w:rFonts w:asciiTheme="minorHAnsi" w:hAnsiTheme="minorHAnsi"/>
                <w:b/>
                <w:color w:val="000000"/>
                <w:sz w:val="18"/>
                <w:szCs w:val="18"/>
                <w:lang w:val="en-US"/>
              </w:rPr>
              <w:t xml:space="preserve"> version 14.1</w:t>
            </w:r>
          </w:p>
        </w:tc>
        <w:tc>
          <w:tcPr>
            <w:tcW w:w="1720" w:type="dxa"/>
            <w:gridSpan w:val="2"/>
            <w:tcBorders>
              <w:top w:val="single" w:sz="7" w:space="0" w:color="000000"/>
              <w:left w:val="single" w:sz="7" w:space="0" w:color="000000"/>
              <w:bottom w:val="single" w:sz="7" w:space="0" w:color="000000"/>
              <w:right w:val="single" w:sz="7" w:space="0" w:color="000000"/>
            </w:tcBorders>
            <w:vAlign w:val="bottom"/>
          </w:tcPr>
          <w:p w:rsidR="00F2256C" w:rsidRPr="00F2256C" w:rsidRDefault="00F2256C" w:rsidP="00F2256C">
            <w:pPr>
              <w:spacing w:before="0" w:after="0" w:line="228" w:lineRule="exact"/>
              <w:jc w:val="center"/>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 xml:space="preserve">MM-398 </w:t>
            </w:r>
            <w:r w:rsidRPr="00F2256C">
              <w:rPr>
                <w:rFonts w:asciiTheme="minorHAnsi" w:hAnsiTheme="minorHAnsi"/>
                <w:b/>
                <w:color w:val="000000"/>
                <w:sz w:val="18"/>
                <w:szCs w:val="18"/>
                <w:lang w:val="en-US"/>
              </w:rPr>
              <w:br/>
              <w:t xml:space="preserve">(N=147) </w:t>
            </w:r>
            <w:r w:rsidRPr="00F2256C">
              <w:rPr>
                <w:rFonts w:asciiTheme="minorHAnsi" w:hAnsiTheme="minorHAnsi"/>
                <w:b/>
                <w:color w:val="000000"/>
                <w:sz w:val="18"/>
                <w:szCs w:val="18"/>
                <w:lang w:val="en-US"/>
              </w:rPr>
              <w:br/>
              <w:t>n (%)</w:t>
            </w:r>
          </w:p>
        </w:tc>
        <w:tc>
          <w:tcPr>
            <w:tcW w:w="1574" w:type="dxa"/>
            <w:gridSpan w:val="2"/>
            <w:tcBorders>
              <w:top w:val="single" w:sz="7" w:space="0" w:color="000000"/>
              <w:left w:val="single" w:sz="7" w:space="0" w:color="000000"/>
              <w:bottom w:val="single" w:sz="7" w:space="0" w:color="000000"/>
              <w:right w:val="single" w:sz="7" w:space="0" w:color="000000"/>
            </w:tcBorders>
          </w:tcPr>
          <w:p w:rsidR="00F2256C" w:rsidRPr="00F2256C" w:rsidRDefault="00F2256C" w:rsidP="00F2256C">
            <w:pPr>
              <w:spacing w:before="0" w:after="0" w:line="228" w:lineRule="exact"/>
              <w:jc w:val="center"/>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 xml:space="preserve">MM-398+5- </w:t>
            </w:r>
            <w:r w:rsidRPr="00F2256C">
              <w:rPr>
                <w:rFonts w:asciiTheme="minorHAnsi" w:hAnsiTheme="minorHAnsi"/>
                <w:b/>
                <w:color w:val="000000"/>
                <w:sz w:val="18"/>
                <w:szCs w:val="18"/>
                <w:lang w:val="en-US"/>
              </w:rPr>
              <w:br/>
              <w:t xml:space="preserve">FU/LV </w:t>
            </w:r>
            <w:r w:rsidRPr="00F2256C">
              <w:rPr>
                <w:rFonts w:asciiTheme="minorHAnsi" w:hAnsiTheme="minorHAnsi"/>
                <w:b/>
                <w:color w:val="000000"/>
                <w:sz w:val="18"/>
                <w:szCs w:val="18"/>
                <w:lang w:val="en-US"/>
              </w:rPr>
              <w:br/>
              <w:t xml:space="preserve">(N=117) </w:t>
            </w:r>
            <w:r w:rsidRPr="00F2256C">
              <w:rPr>
                <w:rFonts w:asciiTheme="minorHAnsi" w:hAnsiTheme="minorHAnsi"/>
                <w:b/>
                <w:color w:val="000000"/>
                <w:sz w:val="18"/>
                <w:szCs w:val="18"/>
                <w:lang w:val="en-US"/>
              </w:rPr>
              <w:br/>
              <w:t>n (%)</w:t>
            </w:r>
          </w:p>
        </w:tc>
        <w:tc>
          <w:tcPr>
            <w:tcW w:w="1504" w:type="dxa"/>
            <w:gridSpan w:val="3"/>
            <w:tcBorders>
              <w:top w:val="single" w:sz="7" w:space="0" w:color="000000"/>
              <w:left w:val="single" w:sz="7" w:space="0" w:color="000000"/>
              <w:bottom w:val="single" w:sz="7" w:space="0" w:color="000000"/>
              <w:right w:val="single" w:sz="7" w:space="0" w:color="000000"/>
            </w:tcBorders>
            <w:vAlign w:val="bottom"/>
          </w:tcPr>
          <w:p w:rsidR="00F2256C" w:rsidRPr="00F2256C" w:rsidRDefault="00F2256C" w:rsidP="00F2256C">
            <w:pPr>
              <w:spacing w:before="0" w:after="0" w:line="228" w:lineRule="exact"/>
              <w:jc w:val="center"/>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 xml:space="preserve">5-FU/LV </w:t>
            </w:r>
            <w:r w:rsidRPr="00F2256C">
              <w:rPr>
                <w:rFonts w:asciiTheme="minorHAnsi" w:hAnsiTheme="minorHAnsi"/>
                <w:b/>
                <w:color w:val="000000"/>
                <w:sz w:val="18"/>
                <w:szCs w:val="18"/>
                <w:lang w:val="en-US"/>
              </w:rPr>
              <w:br/>
              <w:t xml:space="preserve">(N=134) </w:t>
            </w:r>
            <w:r w:rsidRPr="00F2256C">
              <w:rPr>
                <w:rFonts w:asciiTheme="minorHAnsi" w:hAnsiTheme="minorHAnsi"/>
                <w:b/>
                <w:color w:val="000000"/>
                <w:sz w:val="18"/>
                <w:szCs w:val="18"/>
                <w:lang w:val="en-US"/>
              </w:rPr>
              <w:br/>
              <w:t>n (%)</w:t>
            </w:r>
          </w:p>
        </w:tc>
      </w:tr>
      <w:tr w:rsidR="00F2256C" w:rsidRPr="00F2256C" w:rsidTr="007C5575">
        <w:trPr>
          <w:trHeight w:hRule="exact" w:val="537"/>
          <w:jc w:val="center"/>
        </w:trPr>
        <w:tc>
          <w:tcPr>
            <w:tcW w:w="4082" w:type="dxa"/>
            <w:tcBorders>
              <w:top w:val="single" w:sz="7" w:space="0" w:color="000000"/>
              <w:left w:val="single" w:sz="7" w:space="0" w:color="000000"/>
              <w:bottom w:val="single" w:sz="7" w:space="0" w:color="000000"/>
              <w:right w:val="single" w:sz="7" w:space="0" w:color="000000"/>
            </w:tcBorders>
          </w:tcPr>
          <w:p w:rsidR="00F2256C" w:rsidRPr="00F2256C" w:rsidRDefault="00F2256C" w:rsidP="00F2256C">
            <w:pPr>
              <w:spacing w:before="0" w:after="0" w:line="230" w:lineRule="exact"/>
              <w:ind w:left="69"/>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xml:space="preserve">Number of Subjects With Any Grade 3 or </w:t>
            </w:r>
            <w:r w:rsidRPr="00F2256C">
              <w:rPr>
                <w:rFonts w:asciiTheme="minorHAnsi" w:hAnsiTheme="minorHAnsi"/>
                <w:color w:val="000000"/>
                <w:sz w:val="18"/>
                <w:szCs w:val="18"/>
                <w:lang w:val="en-US"/>
              </w:rPr>
              <w:br/>
              <w:t>Higher TEAE(s)</w:t>
            </w:r>
          </w:p>
        </w:tc>
        <w:tc>
          <w:tcPr>
            <w:tcW w:w="1720" w:type="dxa"/>
            <w:gridSpan w:val="2"/>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jc w:val="center"/>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112 (76.2)</w:t>
            </w:r>
          </w:p>
        </w:tc>
        <w:tc>
          <w:tcPr>
            <w:tcW w:w="1574" w:type="dxa"/>
            <w:gridSpan w:val="2"/>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jc w:val="center"/>
              <w:textAlignment w:val="baseline"/>
              <w:rPr>
                <w:rFonts w:asciiTheme="minorHAnsi" w:hAnsiTheme="minorHAnsi"/>
                <w:color w:val="000000"/>
                <w:sz w:val="18"/>
                <w:szCs w:val="18"/>
              </w:rPr>
            </w:pPr>
            <w:r w:rsidRPr="00F2256C">
              <w:rPr>
                <w:rFonts w:asciiTheme="minorHAnsi" w:hAnsiTheme="minorHAnsi"/>
                <w:color w:val="000000"/>
                <w:sz w:val="18"/>
                <w:szCs w:val="18"/>
                <w:lang w:val="en-US"/>
              </w:rPr>
              <w:t>90 (76.9)</w:t>
            </w:r>
          </w:p>
        </w:tc>
        <w:tc>
          <w:tcPr>
            <w:tcW w:w="1504" w:type="dxa"/>
            <w:gridSpan w:val="3"/>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jc w:val="center"/>
              <w:textAlignment w:val="baseline"/>
              <w:rPr>
                <w:rFonts w:asciiTheme="minorHAnsi" w:hAnsiTheme="minorHAnsi"/>
                <w:color w:val="000000"/>
                <w:sz w:val="18"/>
                <w:szCs w:val="18"/>
              </w:rPr>
            </w:pPr>
            <w:r w:rsidRPr="00F2256C">
              <w:rPr>
                <w:rFonts w:asciiTheme="minorHAnsi" w:hAnsiTheme="minorHAnsi"/>
                <w:color w:val="000000"/>
                <w:sz w:val="18"/>
                <w:szCs w:val="18"/>
                <w:lang w:val="en-US"/>
              </w:rPr>
              <w:t>75 (56.0)</w:t>
            </w:r>
          </w:p>
        </w:tc>
      </w:tr>
      <w:tr w:rsidR="00F2256C" w:rsidRPr="00F2256C" w:rsidTr="007C5575">
        <w:trPr>
          <w:trHeight w:hRule="exact" w:val="533"/>
          <w:jc w:val="center"/>
        </w:trPr>
        <w:tc>
          <w:tcPr>
            <w:tcW w:w="4082" w:type="dxa"/>
            <w:tcBorders>
              <w:top w:val="single" w:sz="7" w:space="0" w:color="000000"/>
              <w:left w:val="single" w:sz="7" w:space="0" w:color="000000"/>
              <w:bottom w:val="single" w:sz="7" w:space="0" w:color="000000"/>
              <w:right w:val="single" w:sz="7" w:space="0" w:color="000000"/>
            </w:tcBorders>
          </w:tcPr>
          <w:p w:rsidR="00F2256C" w:rsidRPr="00F2256C" w:rsidRDefault="00F2256C" w:rsidP="00F2256C">
            <w:pPr>
              <w:spacing w:before="0" w:after="0" w:line="230" w:lineRule="exact"/>
              <w:ind w:left="69"/>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 xml:space="preserve">BLOOD AND LYMPHATIC SYSTEM </w:t>
            </w:r>
            <w:r w:rsidRPr="00F2256C">
              <w:rPr>
                <w:rFonts w:asciiTheme="minorHAnsi" w:hAnsiTheme="minorHAnsi"/>
                <w:b/>
                <w:color w:val="000000"/>
                <w:sz w:val="18"/>
                <w:szCs w:val="18"/>
                <w:lang w:val="en-US"/>
              </w:rPr>
              <w:br/>
              <w:t>DISORDERS</w:t>
            </w:r>
          </w:p>
        </w:tc>
        <w:tc>
          <w:tcPr>
            <w:tcW w:w="1720" w:type="dxa"/>
            <w:gridSpan w:val="2"/>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jc w:val="center"/>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29 (19.7)</w:t>
            </w:r>
          </w:p>
        </w:tc>
        <w:tc>
          <w:tcPr>
            <w:tcW w:w="1574" w:type="dxa"/>
            <w:gridSpan w:val="2"/>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jc w:val="center"/>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31 (26.5)</w:t>
            </w:r>
          </w:p>
        </w:tc>
        <w:tc>
          <w:tcPr>
            <w:tcW w:w="1504" w:type="dxa"/>
            <w:gridSpan w:val="3"/>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jc w:val="center"/>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10 ( 7.5)</w:t>
            </w:r>
          </w:p>
        </w:tc>
      </w:tr>
      <w:tr w:rsidR="00F2256C" w:rsidRPr="00F2256C" w:rsidTr="007C5575">
        <w:trPr>
          <w:trHeight w:hRule="exact" w:val="303"/>
          <w:jc w:val="center"/>
        </w:trPr>
        <w:tc>
          <w:tcPr>
            <w:tcW w:w="4082" w:type="dxa"/>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left="69" w:right="1511"/>
              <w:textAlignment w:val="baseline"/>
              <w:rPr>
                <w:rFonts w:asciiTheme="minorHAnsi" w:hAnsiTheme="minorHAnsi"/>
                <w:color w:val="000000"/>
                <w:sz w:val="18"/>
                <w:szCs w:val="18"/>
              </w:rPr>
            </w:pPr>
            <w:r w:rsidRPr="00F2256C">
              <w:rPr>
                <w:rFonts w:asciiTheme="minorHAnsi" w:hAnsiTheme="minorHAnsi"/>
                <w:color w:val="000000"/>
                <w:sz w:val="18"/>
                <w:szCs w:val="18"/>
                <w:lang w:val="en-US"/>
              </w:rPr>
              <w:t>ANAEMIA</w:t>
            </w:r>
          </w:p>
        </w:tc>
        <w:tc>
          <w:tcPr>
            <w:tcW w:w="1720" w:type="dxa"/>
            <w:gridSpan w:val="2"/>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jc w:val="center"/>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16 (10.9)</w:t>
            </w:r>
          </w:p>
        </w:tc>
        <w:tc>
          <w:tcPr>
            <w:tcW w:w="1574" w:type="dxa"/>
            <w:gridSpan w:val="2"/>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jc w:val="center"/>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11 ( 9.4)</w:t>
            </w:r>
          </w:p>
        </w:tc>
        <w:tc>
          <w:tcPr>
            <w:tcW w:w="1504" w:type="dxa"/>
            <w:gridSpan w:val="3"/>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jc w:val="center"/>
              <w:textAlignment w:val="baseline"/>
              <w:rPr>
                <w:rFonts w:asciiTheme="minorHAnsi" w:hAnsiTheme="minorHAnsi"/>
                <w:color w:val="000000"/>
                <w:sz w:val="18"/>
                <w:szCs w:val="18"/>
              </w:rPr>
            </w:pPr>
            <w:r w:rsidRPr="00F2256C">
              <w:rPr>
                <w:rFonts w:asciiTheme="minorHAnsi" w:hAnsiTheme="minorHAnsi"/>
                <w:color w:val="000000"/>
                <w:sz w:val="18"/>
                <w:szCs w:val="18"/>
                <w:lang w:val="en-US"/>
              </w:rPr>
              <w:t>9 ( 6.7)</w:t>
            </w:r>
          </w:p>
        </w:tc>
      </w:tr>
      <w:tr w:rsidR="00F2256C" w:rsidRPr="00F2256C" w:rsidTr="007C5575">
        <w:trPr>
          <w:trHeight w:hRule="exact" w:val="307"/>
          <w:jc w:val="center"/>
        </w:trPr>
        <w:tc>
          <w:tcPr>
            <w:tcW w:w="4082" w:type="dxa"/>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left="69" w:right="881"/>
              <w:textAlignment w:val="baseline"/>
              <w:rPr>
                <w:rFonts w:asciiTheme="minorHAnsi" w:hAnsiTheme="minorHAnsi"/>
                <w:color w:val="000000"/>
                <w:sz w:val="18"/>
                <w:szCs w:val="18"/>
              </w:rPr>
            </w:pPr>
            <w:r w:rsidRPr="00F2256C">
              <w:rPr>
                <w:rFonts w:asciiTheme="minorHAnsi" w:hAnsiTheme="minorHAnsi"/>
                <w:color w:val="000000"/>
                <w:sz w:val="18"/>
                <w:szCs w:val="18"/>
                <w:lang w:val="en-US"/>
              </w:rPr>
              <w:t>FEBRILE NEUTROPENIA</w:t>
            </w:r>
          </w:p>
        </w:tc>
        <w:tc>
          <w:tcPr>
            <w:tcW w:w="1720" w:type="dxa"/>
            <w:gridSpan w:val="2"/>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jc w:val="center"/>
              <w:textAlignment w:val="baseline"/>
              <w:rPr>
                <w:rFonts w:asciiTheme="minorHAnsi" w:hAnsiTheme="minorHAnsi"/>
                <w:color w:val="000000"/>
                <w:sz w:val="18"/>
                <w:szCs w:val="18"/>
              </w:rPr>
            </w:pPr>
            <w:r w:rsidRPr="00F2256C">
              <w:rPr>
                <w:rFonts w:asciiTheme="minorHAnsi" w:hAnsiTheme="minorHAnsi"/>
                <w:color w:val="000000"/>
                <w:sz w:val="18"/>
                <w:szCs w:val="18"/>
                <w:lang w:val="en-US"/>
              </w:rPr>
              <w:t>6 ( 4.1)</w:t>
            </w:r>
          </w:p>
        </w:tc>
        <w:tc>
          <w:tcPr>
            <w:tcW w:w="1574" w:type="dxa"/>
            <w:gridSpan w:val="2"/>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jc w:val="center"/>
              <w:textAlignment w:val="baseline"/>
              <w:rPr>
                <w:rFonts w:asciiTheme="minorHAnsi" w:hAnsiTheme="minorHAnsi"/>
                <w:color w:val="000000"/>
                <w:sz w:val="18"/>
                <w:szCs w:val="18"/>
              </w:rPr>
            </w:pPr>
            <w:r w:rsidRPr="00F2256C">
              <w:rPr>
                <w:rFonts w:asciiTheme="minorHAnsi" w:hAnsiTheme="minorHAnsi"/>
                <w:color w:val="000000"/>
                <w:sz w:val="18"/>
                <w:szCs w:val="18"/>
                <w:lang w:val="en-US"/>
              </w:rPr>
              <w:t>2 ( 1.7)</w:t>
            </w:r>
          </w:p>
        </w:tc>
        <w:tc>
          <w:tcPr>
            <w:tcW w:w="1504" w:type="dxa"/>
            <w:gridSpan w:val="3"/>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jc w:val="center"/>
              <w:textAlignment w:val="baseline"/>
              <w:rPr>
                <w:rFonts w:asciiTheme="minorHAnsi" w:hAnsiTheme="minorHAnsi"/>
                <w:color w:val="000000"/>
                <w:sz w:val="18"/>
                <w:szCs w:val="18"/>
              </w:rPr>
            </w:pPr>
            <w:r w:rsidRPr="00F2256C">
              <w:rPr>
                <w:rFonts w:asciiTheme="minorHAnsi" w:hAnsiTheme="minorHAnsi"/>
                <w:color w:val="000000"/>
                <w:sz w:val="18"/>
                <w:szCs w:val="18"/>
                <w:lang w:val="en-US"/>
              </w:rPr>
              <w:t>0</w:t>
            </w:r>
          </w:p>
        </w:tc>
      </w:tr>
      <w:tr w:rsidR="00F2256C" w:rsidRPr="00F2256C" w:rsidTr="007C5575">
        <w:trPr>
          <w:trHeight w:hRule="exact" w:val="302"/>
          <w:jc w:val="center"/>
        </w:trPr>
        <w:tc>
          <w:tcPr>
            <w:tcW w:w="4082" w:type="dxa"/>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left="69"/>
              <w:textAlignment w:val="baseline"/>
              <w:rPr>
                <w:rFonts w:asciiTheme="minorHAnsi" w:hAnsiTheme="minorHAnsi"/>
                <w:color w:val="000000"/>
                <w:sz w:val="18"/>
                <w:szCs w:val="18"/>
              </w:rPr>
            </w:pPr>
            <w:r w:rsidRPr="00F2256C">
              <w:rPr>
                <w:rFonts w:asciiTheme="minorHAnsi" w:hAnsiTheme="minorHAnsi"/>
                <w:color w:val="000000"/>
                <w:sz w:val="18"/>
                <w:szCs w:val="18"/>
                <w:lang w:val="en-US"/>
              </w:rPr>
              <w:t>NEUTROPENIA</w:t>
            </w:r>
          </w:p>
        </w:tc>
        <w:tc>
          <w:tcPr>
            <w:tcW w:w="713"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5"/>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8</w:t>
            </w:r>
          </w:p>
        </w:tc>
        <w:tc>
          <w:tcPr>
            <w:tcW w:w="1007" w:type="dxa"/>
            <w:tcBorders>
              <w:top w:val="single" w:sz="7" w:space="0" w:color="000000"/>
              <w:left w:val="none" w:sz="0" w:space="0" w:color="000000"/>
              <w:bottom w:val="single" w:sz="7" w:space="0" w:color="000000"/>
              <w:right w:val="single" w:sz="7" w:space="0" w:color="000000"/>
            </w:tcBorders>
            <w:vAlign w:val="center"/>
          </w:tcPr>
          <w:p w:rsidR="00F2256C" w:rsidRPr="00F2256C" w:rsidRDefault="008B77F5" w:rsidP="008B77F5">
            <w:pPr>
              <w:spacing w:before="0" w:after="0" w:line="225" w:lineRule="exact"/>
              <w:ind w:right="460"/>
              <w:textAlignment w:val="baseline"/>
              <w:rPr>
                <w:rFonts w:asciiTheme="minorHAnsi" w:hAnsiTheme="minorHAnsi"/>
                <w:color w:val="000000"/>
                <w:sz w:val="18"/>
                <w:szCs w:val="18"/>
              </w:rPr>
            </w:pPr>
            <w:r>
              <w:rPr>
                <w:rFonts w:asciiTheme="minorHAnsi" w:hAnsiTheme="minorHAnsi"/>
                <w:color w:val="000000"/>
                <w:sz w:val="18"/>
                <w:szCs w:val="18"/>
                <w:lang w:val="en-US"/>
              </w:rPr>
              <w:t xml:space="preserve"> (</w:t>
            </w:r>
            <w:r w:rsidR="00F2256C" w:rsidRPr="00F2256C">
              <w:rPr>
                <w:rFonts w:asciiTheme="minorHAnsi" w:hAnsiTheme="minorHAnsi"/>
                <w:color w:val="000000"/>
                <w:sz w:val="18"/>
                <w:szCs w:val="18"/>
                <w:lang w:val="en-US"/>
              </w:rPr>
              <w:t>5.4)</w:t>
            </w:r>
          </w:p>
        </w:tc>
        <w:tc>
          <w:tcPr>
            <w:tcW w:w="629"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17</w:t>
            </w:r>
          </w:p>
        </w:tc>
        <w:tc>
          <w:tcPr>
            <w:tcW w:w="945"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8B77F5">
            <w:pPr>
              <w:spacing w:before="0" w:after="0" w:line="225" w:lineRule="exact"/>
              <w:ind w:right="398"/>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(14.5)</w:t>
            </w:r>
          </w:p>
        </w:tc>
        <w:tc>
          <w:tcPr>
            <w:tcW w:w="590" w:type="dxa"/>
            <w:gridSpan w:val="2"/>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w:t>
            </w:r>
          </w:p>
        </w:tc>
        <w:tc>
          <w:tcPr>
            <w:tcW w:w="914" w:type="dxa"/>
            <w:tcBorders>
              <w:top w:val="single" w:sz="7" w:space="0" w:color="000000"/>
              <w:left w:val="none" w:sz="0" w:space="0" w:color="000000"/>
              <w:bottom w:val="single" w:sz="7" w:space="0" w:color="000000"/>
              <w:right w:val="single" w:sz="7" w:space="0" w:color="000000"/>
            </w:tcBorders>
            <w:vAlign w:val="center"/>
          </w:tcPr>
          <w:p w:rsidR="00F2256C" w:rsidRPr="00F2256C" w:rsidRDefault="008B77F5" w:rsidP="008B77F5">
            <w:pPr>
              <w:spacing w:before="0" w:after="0" w:line="225" w:lineRule="exact"/>
              <w:ind w:right="369"/>
              <w:textAlignment w:val="baseline"/>
              <w:rPr>
                <w:rFonts w:asciiTheme="minorHAnsi" w:hAnsiTheme="minorHAnsi"/>
                <w:color w:val="000000"/>
                <w:sz w:val="18"/>
                <w:szCs w:val="18"/>
              </w:rPr>
            </w:pPr>
            <w:r>
              <w:rPr>
                <w:rFonts w:asciiTheme="minorHAnsi" w:hAnsiTheme="minorHAnsi"/>
                <w:color w:val="000000"/>
                <w:sz w:val="18"/>
                <w:szCs w:val="18"/>
                <w:lang w:val="en-US"/>
              </w:rPr>
              <w:t>(</w:t>
            </w:r>
            <w:r w:rsidR="00F2256C" w:rsidRPr="00F2256C">
              <w:rPr>
                <w:rFonts w:asciiTheme="minorHAnsi" w:hAnsiTheme="minorHAnsi"/>
                <w:color w:val="000000"/>
                <w:sz w:val="18"/>
                <w:szCs w:val="18"/>
                <w:lang w:val="en-US"/>
              </w:rPr>
              <w:t>0.7)</w:t>
            </w:r>
          </w:p>
        </w:tc>
      </w:tr>
      <w:tr w:rsidR="00F2256C" w:rsidRPr="00F2256C" w:rsidTr="007C5575">
        <w:trPr>
          <w:trHeight w:hRule="exact" w:val="307"/>
          <w:jc w:val="center"/>
        </w:trPr>
        <w:tc>
          <w:tcPr>
            <w:tcW w:w="4082" w:type="dxa"/>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left="69" w:right="411"/>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GASTROINTESTINAL DISORDERS</w:t>
            </w:r>
          </w:p>
        </w:tc>
        <w:tc>
          <w:tcPr>
            <w:tcW w:w="713"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5"/>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68</w:t>
            </w:r>
          </w:p>
        </w:tc>
        <w:tc>
          <w:tcPr>
            <w:tcW w:w="1007"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460"/>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(46.3)</w:t>
            </w:r>
          </w:p>
        </w:tc>
        <w:tc>
          <w:tcPr>
            <w:tcW w:w="629"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38</w:t>
            </w:r>
          </w:p>
        </w:tc>
        <w:tc>
          <w:tcPr>
            <w:tcW w:w="945"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98"/>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(32.5)</w:t>
            </w:r>
          </w:p>
        </w:tc>
        <w:tc>
          <w:tcPr>
            <w:tcW w:w="590" w:type="dxa"/>
            <w:gridSpan w:val="2"/>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29</w:t>
            </w:r>
          </w:p>
        </w:tc>
        <w:tc>
          <w:tcPr>
            <w:tcW w:w="914"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69"/>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(21.6)</w:t>
            </w:r>
          </w:p>
        </w:tc>
      </w:tr>
      <w:tr w:rsidR="00F2256C" w:rsidRPr="00F2256C" w:rsidTr="007C5575">
        <w:trPr>
          <w:trHeight w:hRule="exact" w:val="307"/>
          <w:jc w:val="center"/>
        </w:trPr>
        <w:tc>
          <w:tcPr>
            <w:tcW w:w="4082" w:type="dxa"/>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left="69"/>
              <w:textAlignment w:val="baseline"/>
              <w:rPr>
                <w:rFonts w:asciiTheme="minorHAnsi" w:hAnsiTheme="minorHAnsi"/>
                <w:color w:val="000000"/>
                <w:sz w:val="18"/>
                <w:szCs w:val="18"/>
              </w:rPr>
            </w:pPr>
            <w:r w:rsidRPr="00F2256C">
              <w:rPr>
                <w:rFonts w:asciiTheme="minorHAnsi" w:hAnsiTheme="minorHAnsi"/>
                <w:color w:val="000000"/>
                <w:sz w:val="18"/>
                <w:szCs w:val="18"/>
                <w:lang w:val="en-US"/>
              </w:rPr>
              <w:t>ABDOMINAL PAIN</w:t>
            </w:r>
          </w:p>
        </w:tc>
        <w:tc>
          <w:tcPr>
            <w:tcW w:w="713"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5"/>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12</w:t>
            </w:r>
          </w:p>
        </w:tc>
        <w:tc>
          <w:tcPr>
            <w:tcW w:w="1007"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460"/>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( 8.2)</w:t>
            </w:r>
          </w:p>
        </w:tc>
        <w:tc>
          <w:tcPr>
            <w:tcW w:w="629"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8</w:t>
            </w:r>
          </w:p>
        </w:tc>
        <w:tc>
          <w:tcPr>
            <w:tcW w:w="945"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98"/>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( 6.8)</w:t>
            </w:r>
          </w:p>
        </w:tc>
        <w:tc>
          <w:tcPr>
            <w:tcW w:w="590" w:type="dxa"/>
            <w:gridSpan w:val="2"/>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8</w:t>
            </w:r>
          </w:p>
        </w:tc>
        <w:tc>
          <w:tcPr>
            <w:tcW w:w="914"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6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( 6.0)</w:t>
            </w:r>
          </w:p>
        </w:tc>
      </w:tr>
      <w:tr w:rsidR="00F2256C" w:rsidRPr="00F2256C" w:rsidTr="007C5575">
        <w:trPr>
          <w:trHeight w:hRule="exact" w:val="307"/>
          <w:jc w:val="center"/>
        </w:trPr>
        <w:tc>
          <w:tcPr>
            <w:tcW w:w="4082" w:type="dxa"/>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left="69"/>
              <w:textAlignment w:val="baseline"/>
              <w:rPr>
                <w:rFonts w:asciiTheme="minorHAnsi" w:hAnsiTheme="minorHAnsi"/>
                <w:color w:val="000000"/>
                <w:sz w:val="18"/>
                <w:szCs w:val="18"/>
              </w:rPr>
            </w:pPr>
            <w:r w:rsidRPr="00F2256C">
              <w:rPr>
                <w:rFonts w:asciiTheme="minorHAnsi" w:hAnsiTheme="minorHAnsi"/>
                <w:color w:val="000000"/>
                <w:sz w:val="18"/>
                <w:szCs w:val="18"/>
                <w:lang w:val="en-US"/>
              </w:rPr>
              <w:t>ASCITES</w:t>
            </w:r>
          </w:p>
        </w:tc>
        <w:tc>
          <w:tcPr>
            <w:tcW w:w="713"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5"/>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5</w:t>
            </w:r>
          </w:p>
        </w:tc>
        <w:tc>
          <w:tcPr>
            <w:tcW w:w="1007"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460"/>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( 3.4)</w:t>
            </w:r>
          </w:p>
        </w:tc>
        <w:tc>
          <w:tcPr>
            <w:tcW w:w="629"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2</w:t>
            </w:r>
          </w:p>
        </w:tc>
        <w:tc>
          <w:tcPr>
            <w:tcW w:w="945"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98"/>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( 1.7)</w:t>
            </w:r>
          </w:p>
        </w:tc>
        <w:tc>
          <w:tcPr>
            <w:tcW w:w="590" w:type="dxa"/>
            <w:gridSpan w:val="2"/>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2</w:t>
            </w:r>
          </w:p>
        </w:tc>
        <w:tc>
          <w:tcPr>
            <w:tcW w:w="914"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6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( 1.5)</w:t>
            </w:r>
          </w:p>
        </w:tc>
      </w:tr>
      <w:tr w:rsidR="00F2256C" w:rsidRPr="00F2256C" w:rsidTr="007C5575">
        <w:trPr>
          <w:trHeight w:hRule="exact" w:val="302"/>
          <w:jc w:val="center"/>
        </w:trPr>
        <w:tc>
          <w:tcPr>
            <w:tcW w:w="4082" w:type="dxa"/>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left="69"/>
              <w:textAlignment w:val="baseline"/>
              <w:rPr>
                <w:rFonts w:asciiTheme="minorHAnsi" w:hAnsiTheme="minorHAnsi"/>
                <w:color w:val="000000"/>
                <w:sz w:val="18"/>
                <w:szCs w:val="18"/>
              </w:rPr>
            </w:pPr>
            <w:r w:rsidRPr="00F2256C">
              <w:rPr>
                <w:rFonts w:asciiTheme="minorHAnsi" w:hAnsiTheme="minorHAnsi"/>
                <w:color w:val="000000"/>
                <w:sz w:val="18"/>
                <w:szCs w:val="18"/>
                <w:lang w:val="en-US"/>
              </w:rPr>
              <w:t>DIARRHOEA</w:t>
            </w:r>
          </w:p>
        </w:tc>
        <w:tc>
          <w:tcPr>
            <w:tcW w:w="713"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5"/>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31</w:t>
            </w:r>
          </w:p>
        </w:tc>
        <w:tc>
          <w:tcPr>
            <w:tcW w:w="1007"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460"/>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(21.1)</w:t>
            </w:r>
          </w:p>
        </w:tc>
        <w:tc>
          <w:tcPr>
            <w:tcW w:w="629"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15</w:t>
            </w:r>
          </w:p>
        </w:tc>
        <w:tc>
          <w:tcPr>
            <w:tcW w:w="945"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98"/>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(12.8)</w:t>
            </w:r>
          </w:p>
        </w:tc>
        <w:tc>
          <w:tcPr>
            <w:tcW w:w="590" w:type="dxa"/>
            <w:gridSpan w:val="2"/>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6</w:t>
            </w:r>
          </w:p>
        </w:tc>
        <w:tc>
          <w:tcPr>
            <w:tcW w:w="914"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6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( 4.5)</w:t>
            </w:r>
          </w:p>
        </w:tc>
      </w:tr>
      <w:tr w:rsidR="00F2256C" w:rsidRPr="00F2256C" w:rsidTr="007C5575">
        <w:trPr>
          <w:trHeight w:hRule="exact" w:val="307"/>
          <w:jc w:val="center"/>
        </w:trPr>
        <w:tc>
          <w:tcPr>
            <w:tcW w:w="4082" w:type="dxa"/>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left="69"/>
              <w:textAlignment w:val="baseline"/>
              <w:rPr>
                <w:rFonts w:asciiTheme="minorHAnsi" w:hAnsiTheme="minorHAnsi"/>
                <w:color w:val="000000"/>
                <w:sz w:val="18"/>
                <w:szCs w:val="18"/>
              </w:rPr>
            </w:pPr>
            <w:r w:rsidRPr="00F2256C">
              <w:rPr>
                <w:rFonts w:asciiTheme="minorHAnsi" w:hAnsiTheme="minorHAnsi"/>
                <w:color w:val="000000"/>
                <w:sz w:val="18"/>
                <w:szCs w:val="18"/>
                <w:lang w:val="en-US"/>
              </w:rPr>
              <w:t>NAUSEA</w:t>
            </w:r>
          </w:p>
        </w:tc>
        <w:tc>
          <w:tcPr>
            <w:tcW w:w="713"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5"/>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8</w:t>
            </w:r>
          </w:p>
        </w:tc>
        <w:tc>
          <w:tcPr>
            <w:tcW w:w="1007"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460"/>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( 5.4)</w:t>
            </w:r>
          </w:p>
        </w:tc>
        <w:tc>
          <w:tcPr>
            <w:tcW w:w="629"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9</w:t>
            </w:r>
          </w:p>
        </w:tc>
        <w:tc>
          <w:tcPr>
            <w:tcW w:w="945"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98"/>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( 7.7)</w:t>
            </w:r>
          </w:p>
        </w:tc>
        <w:tc>
          <w:tcPr>
            <w:tcW w:w="590" w:type="dxa"/>
            <w:gridSpan w:val="2"/>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4</w:t>
            </w:r>
          </w:p>
        </w:tc>
        <w:tc>
          <w:tcPr>
            <w:tcW w:w="914"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6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( 3.0)</w:t>
            </w:r>
          </w:p>
        </w:tc>
      </w:tr>
      <w:tr w:rsidR="00F2256C" w:rsidRPr="00F2256C" w:rsidTr="007C5575">
        <w:trPr>
          <w:trHeight w:hRule="exact" w:val="307"/>
          <w:jc w:val="center"/>
        </w:trPr>
        <w:tc>
          <w:tcPr>
            <w:tcW w:w="4082" w:type="dxa"/>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left="69" w:right="1421"/>
              <w:textAlignment w:val="baseline"/>
              <w:rPr>
                <w:rFonts w:asciiTheme="minorHAnsi" w:hAnsiTheme="minorHAnsi"/>
                <w:color w:val="000000"/>
                <w:sz w:val="18"/>
                <w:szCs w:val="18"/>
              </w:rPr>
            </w:pPr>
            <w:r w:rsidRPr="00F2256C">
              <w:rPr>
                <w:rFonts w:asciiTheme="minorHAnsi" w:hAnsiTheme="minorHAnsi"/>
                <w:color w:val="000000"/>
                <w:sz w:val="18"/>
                <w:szCs w:val="18"/>
                <w:lang w:val="en-US"/>
              </w:rPr>
              <w:t>VOMITING</w:t>
            </w:r>
          </w:p>
        </w:tc>
        <w:tc>
          <w:tcPr>
            <w:tcW w:w="713"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5"/>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20</w:t>
            </w:r>
          </w:p>
        </w:tc>
        <w:tc>
          <w:tcPr>
            <w:tcW w:w="1007"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455"/>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(13.6)</w:t>
            </w:r>
          </w:p>
        </w:tc>
        <w:tc>
          <w:tcPr>
            <w:tcW w:w="629"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4"/>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13</w:t>
            </w:r>
          </w:p>
        </w:tc>
        <w:tc>
          <w:tcPr>
            <w:tcW w:w="945"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98"/>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(11.1)</w:t>
            </w:r>
          </w:p>
        </w:tc>
        <w:tc>
          <w:tcPr>
            <w:tcW w:w="590" w:type="dxa"/>
            <w:gridSpan w:val="2"/>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4</w:t>
            </w:r>
          </w:p>
        </w:tc>
        <w:tc>
          <w:tcPr>
            <w:tcW w:w="914"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64"/>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( 3.0)</w:t>
            </w:r>
          </w:p>
        </w:tc>
      </w:tr>
      <w:tr w:rsidR="00F2256C" w:rsidRPr="00F2256C" w:rsidTr="007C5575">
        <w:trPr>
          <w:trHeight w:hRule="exact" w:val="821"/>
          <w:jc w:val="center"/>
        </w:trPr>
        <w:tc>
          <w:tcPr>
            <w:tcW w:w="4082" w:type="dxa"/>
            <w:tcBorders>
              <w:top w:val="single" w:sz="7" w:space="0" w:color="000000"/>
              <w:left w:val="single" w:sz="7" w:space="0" w:color="000000"/>
              <w:bottom w:val="single" w:sz="7" w:space="0" w:color="000000"/>
              <w:right w:val="single" w:sz="7" w:space="0" w:color="000000"/>
            </w:tcBorders>
          </w:tcPr>
          <w:p w:rsidR="00F2256C" w:rsidRPr="00F2256C" w:rsidRDefault="00F2256C" w:rsidP="00F2256C">
            <w:pPr>
              <w:spacing w:before="0" w:after="0" w:line="231" w:lineRule="exact"/>
              <w:ind w:left="69"/>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 xml:space="preserve">GENERAL DISORDERS AND </w:t>
            </w:r>
            <w:r w:rsidRPr="00F2256C">
              <w:rPr>
                <w:rFonts w:asciiTheme="minorHAnsi" w:hAnsiTheme="minorHAnsi"/>
                <w:b/>
                <w:color w:val="000000"/>
                <w:sz w:val="18"/>
                <w:szCs w:val="18"/>
                <w:lang w:val="en-US"/>
              </w:rPr>
              <w:br/>
              <w:t>ADMINISTRATION</w:t>
            </w:r>
          </w:p>
          <w:p w:rsidR="00F2256C" w:rsidRPr="00F2256C" w:rsidRDefault="00F2256C" w:rsidP="00F2256C">
            <w:pPr>
              <w:spacing w:before="0" w:after="0" w:line="225" w:lineRule="exact"/>
              <w:ind w:left="69"/>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SITE CONDITIONS</w:t>
            </w:r>
          </w:p>
        </w:tc>
        <w:tc>
          <w:tcPr>
            <w:tcW w:w="713"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5"/>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26</w:t>
            </w:r>
          </w:p>
        </w:tc>
        <w:tc>
          <w:tcPr>
            <w:tcW w:w="1007"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455"/>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(17.7)</w:t>
            </w:r>
          </w:p>
        </w:tc>
        <w:tc>
          <w:tcPr>
            <w:tcW w:w="629"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4"/>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29</w:t>
            </w:r>
          </w:p>
        </w:tc>
        <w:tc>
          <w:tcPr>
            <w:tcW w:w="945"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98"/>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(24.8)</w:t>
            </w:r>
          </w:p>
        </w:tc>
        <w:tc>
          <w:tcPr>
            <w:tcW w:w="590" w:type="dxa"/>
            <w:gridSpan w:val="2"/>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20</w:t>
            </w:r>
          </w:p>
        </w:tc>
        <w:tc>
          <w:tcPr>
            <w:tcW w:w="914"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64"/>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(14.9)</w:t>
            </w:r>
          </w:p>
        </w:tc>
      </w:tr>
      <w:tr w:rsidR="00F2256C" w:rsidRPr="00F2256C" w:rsidTr="007C5575">
        <w:trPr>
          <w:trHeight w:hRule="exact" w:val="307"/>
          <w:jc w:val="center"/>
        </w:trPr>
        <w:tc>
          <w:tcPr>
            <w:tcW w:w="4082" w:type="dxa"/>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left="69" w:right="1511"/>
              <w:textAlignment w:val="baseline"/>
              <w:rPr>
                <w:rFonts w:asciiTheme="minorHAnsi" w:hAnsiTheme="minorHAnsi"/>
                <w:color w:val="000000"/>
                <w:sz w:val="18"/>
                <w:szCs w:val="18"/>
              </w:rPr>
            </w:pPr>
            <w:r w:rsidRPr="00F2256C">
              <w:rPr>
                <w:rFonts w:asciiTheme="minorHAnsi" w:hAnsiTheme="minorHAnsi"/>
                <w:color w:val="000000"/>
                <w:sz w:val="18"/>
                <w:szCs w:val="18"/>
                <w:lang w:val="en-US"/>
              </w:rPr>
              <w:t>ASTHENIA</w:t>
            </w:r>
          </w:p>
        </w:tc>
        <w:tc>
          <w:tcPr>
            <w:tcW w:w="713"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5"/>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10</w:t>
            </w:r>
          </w:p>
        </w:tc>
        <w:tc>
          <w:tcPr>
            <w:tcW w:w="1007"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455"/>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( 6.8)</w:t>
            </w:r>
          </w:p>
        </w:tc>
        <w:tc>
          <w:tcPr>
            <w:tcW w:w="629"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4"/>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9</w:t>
            </w:r>
          </w:p>
        </w:tc>
        <w:tc>
          <w:tcPr>
            <w:tcW w:w="945"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98"/>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( 7.7)</w:t>
            </w:r>
          </w:p>
        </w:tc>
        <w:tc>
          <w:tcPr>
            <w:tcW w:w="590" w:type="dxa"/>
            <w:gridSpan w:val="2"/>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9</w:t>
            </w:r>
          </w:p>
        </w:tc>
        <w:tc>
          <w:tcPr>
            <w:tcW w:w="914"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64"/>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( 6.7)</w:t>
            </w:r>
          </w:p>
        </w:tc>
      </w:tr>
      <w:tr w:rsidR="00F2256C" w:rsidRPr="00F2256C" w:rsidTr="007C5575">
        <w:trPr>
          <w:trHeight w:hRule="exact" w:val="307"/>
          <w:jc w:val="center"/>
        </w:trPr>
        <w:tc>
          <w:tcPr>
            <w:tcW w:w="4082" w:type="dxa"/>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left="69" w:right="1511"/>
              <w:textAlignment w:val="baseline"/>
              <w:rPr>
                <w:rFonts w:asciiTheme="minorHAnsi" w:hAnsiTheme="minorHAnsi"/>
                <w:color w:val="000000"/>
                <w:sz w:val="18"/>
                <w:szCs w:val="18"/>
              </w:rPr>
            </w:pPr>
            <w:r w:rsidRPr="00F2256C">
              <w:rPr>
                <w:rFonts w:asciiTheme="minorHAnsi" w:hAnsiTheme="minorHAnsi"/>
                <w:color w:val="000000"/>
                <w:sz w:val="18"/>
                <w:szCs w:val="18"/>
                <w:lang w:val="en-US"/>
              </w:rPr>
              <w:t>FATIGUE</w:t>
            </w:r>
          </w:p>
        </w:tc>
        <w:tc>
          <w:tcPr>
            <w:tcW w:w="713"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5"/>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9</w:t>
            </w:r>
          </w:p>
        </w:tc>
        <w:tc>
          <w:tcPr>
            <w:tcW w:w="1007"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455"/>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( 6.1)</w:t>
            </w:r>
          </w:p>
        </w:tc>
        <w:tc>
          <w:tcPr>
            <w:tcW w:w="629"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4"/>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16</w:t>
            </w:r>
          </w:p>
        </w:tc>
        <w:tc>
          <w:tcPr>
            <w:tcW w:w="945"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98"/>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(13.7)</w:t>
            </w:r>
          </w:p>
        </w:tc>
        <w:tc>
          <w:tcPr>
            <w:tcW w:w="590" w:type="dxa"/>
            <w:gridSpan w:val="2"/>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5</w:t>
            </w:r>
          </w:p>
        </w:tc>
        <w:tc>
          <w:tcPr>
            <w:tcW w:w="914"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64"/>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( 3.7)</w:t>
            </w:r>
          </w:p>
        </w:tc>
      </w:tr>
      <w:tr w:rsidR="00F2256C" w:rsidRPr="00F2256C" w:rsidTr="007C5575">
        <w:trPr>
          <w:trHeight w:hRule="exact" w:val="533"/>
          <w:jc w:val="center"/>
        </w:trPr>
        <w:tc>
          <w:tcPr>
            <w:tcW w:w="4082" w:type="dxa"/>
            <w:tcBorders>
              <w:top w:val="single" w:sz="7" w:space="0" w:color="000000"/>
              <w:left w:val="single" w:sz="7" w:space="0" w:color="000000"/>
              <w:bottom w:val="single" w:sz="7" w:space="0" w:color="000000"/>
              <w:right w:val="single" w:sz="7" w:space="0" w:color="000000"/>
            </w:tcBorders>
          </w:tcPr>
          <w:p w:rsidR="00F2256C" w:rsidRPr="00F2256C" w:rsidRDefault="00F2256C" w:rsidP="00F2256C">
            <w:pPr>
              <w:spacing w:before="0" w:after="0" w:line="230" w:lineRule="exact"/>
              <w:ind w:left="69"/>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xml:space="preserve">GENERAL PHYSICAL HEALTH </w:t>
            </w:r>
            <w:r w:rsidRPr="00F2256C">
              <w:rPr>
                <w:rFonts w:asciiTheme="minorHAnsi" w:hAnsiTheme="minorHAnsi"/>
                <w:color w:val="000000"/>
                <w:sz w:val="18"/>
                <w:szCs w:val="18"/>
                <w:lang w:val="en-US"/>
              </w:rPr>
              <w:br/>
              <w:t>DETERIORATION</w:t>
            </w:r>
          </w:p>
        </w:tc>
        <w:tc>
          <w:tcPr>
            <w:tcW w:w="713"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5"/>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5</w:t>
            </w:r>
          </w:p>
        </w:tc>
        <w:tc>
          <w:tcPr>
            <w:tcW w:w="1007"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455"/>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( 3.4)</w:t>
            </w:r>
          </w:p>
        </w:tc>
        <w:tc>
          <w:tcPr>
            <w:tcW w:w="629" w:type="dxa"/>
            <w:tcBorders>
              <w:top w:val="single" w:sz="7" w:space="0" w:color="000000"/>
              <w:left w:val="single" w:sz="7" w:space="0" w:color="000000"/>
              <w:bottom w:val="single" w:sz="7" w:space="0" w:color="000000"/>
              <w:right w:val="none" w:sz="0" w:space="0" w:color="000000"/>
            </w:tcBorders>
          </w:tcPr>
          <w:p w:rsidR="00F2256C" w:rsidRPr="00F2256C" w:rsidRDefault="00F2256C" w:rsidP="00F2256C">
            <w:pPr>
              <w:spacing w:before="0" w:after="0"/>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xml:space="preserve"> </w:t>
            </w:r>
          </w:p>
        </w:tc>
        <w:tc>
          <w:tcPr>
            <w:tcW w:w="945"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98"/>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0</w:t>
            </w:r>
          </w:p>
        </w:tc>
        <w:tc>
          <w:tcPr>
            <w:tcW w:w="590" w:type="dxa"/>
            <w:gridSpan w:val="2"/>
            <w:tcBorders>
              <w:top w:val="single" w:sz="7" w:space="0" w:color="000000"/>
              <w:left w:val="single" w:sz="7" w:space="0" w:color="000000"/>
              <w:bottom w:val="single" w:sz="7" w:space="0" w:color="000000"/>
              <w:right w:val="none" w:sz="0" w:space="0" w:color="000000"/>
            </w:tcBorders>
          </w:tcPr>
          <w:p w:rsidR="00F2256C" w:rsidRPr="00F2256C" w:rsidRDefault="00F2256C" w:rsidP="00F2256C">
            <w:pPr>
              <w:spacing w:before="0" w:after="0"/>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xml:space="preserve"> </w:t>
            </w:r>
          </w:p>
        </w:tc>
        <w:tc>
          <w:tcPr>
            <w:tcW w:w="914"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64"/>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0</w:t>
            </w:r>
          </w:p>
        </w:tc>
      </w:tr>
      <w:tr w:rsidR="00F2256C" w:rsidRPr="00F2256C" w:rsidTr="007C5575">
        <w:trPr>
          <w:trHeight w:hRule="exact" w:val="308"/>
          <w:jc w:val="center"/>
        </w:trPr>
        <w:tc>
          <w:tcPr>
            <w:tcW w:w="4082" w:type="dxa"/>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left="69" w:right="431"/>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INFECTIONS AND INFESTATIONS</w:t>
            </w:r>
          </w:p>
        </w:tc>
        <w:tc>
          <w:tcPr>
            <w:tcW w:w="713"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5"/>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21</w:t>
            </w:r>
          </w:p>
        </w:tc>
        <w:tc>
          <w:tcPr>
            <w:tcW w:w="1007"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455"/>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(14.3)</w:t>
            </w:r>
          </w:p>
        </w:tc>
        <w:tc>
          <w:tcPr>
            <w:tcW w:w="629"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4"/>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20</w:t>
            </w:r>
          </w:p>
        </w:tc>
        <w:tc>
          <w:tcPr>
            <w:tcW w:w="945"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98"/>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(17.1)</w:t>
            </w:r>
          </w:p>
        </w:tc>
        <w:tc>
          <w:tcPr>
            <w:tcW w:w="590" w:type="dxa"/>
            <w:gridSpan w:val="2"/>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16</w:t>
            </w:r>
          </w:p>
        </w:tc>
        <w:tc>
          <w:tcPr>
            <w:tcW w:w="914"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64"/>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(11.9)</w:t>
            </w:r>
          </w:p>
        </w:tc>
      </w:tr>
      <w:tr w:rsidR="00F2256C" w:rsidRPr="00F2256C" w:rsidTr="007C5575">
        <w:trPr>
          <w:trHeight w:hRule="exact" w:val="308"/>
          <w:jc w:val="center"/>
        </w:trPr>
        <w:tc>
          <w:tcPr>
            <w:tcW w:w="4082" w:type="dxa"/>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left="69"/>
              <w:textAlignment w:val="baseline"/>
              <w:rPr>
                <w:rFonts w:asciiTheme="minorHAnsi" w:hAnsiTheme="minorHAnsi"/>
                <w:color w:val="000000"/>
                <w:sz w:val="18"/>
                <w:szCs w:val="18"/>
              </w:rPr>
            </w:pPr>
            <w:r w:rsidRPr="00F2256C">
              <w:rPr>
                <w:rFonts w:asciiTheme="minorHAnsi" w:hAnsiTheme="minorHAnsi"/>
                <w:color w:val="000000"/>
                <w:sz w:val="18"/>
                <w:szCs w:val="18"/>
                <w:lang w:val="en-US"/>
              </w:rPr>
              <w:t>SEPSIS</w:t>
            </w:r>
          </w:p>
        </w:tc>
        <w:tc>
          <w:tcPr>
            <w:tcW w:w="713"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5"/>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3</w:t>
            </w:r>
          </w:p>
        </w:tc>
        <w:tc>
          <w:tcPr>
            <w:tcW w:w="1007"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460"/>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( 2.0)</w:t>
            </w:r>
          </w:p>
        </w:tc>
        <w:tc>
          <w:tcPr>
            <w:tcW w:w="629"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4</w:t>
            </w:r>
          </w:p>
        </w:tc>
        <w:tc>
          <w:tcPr>
            <w:tcW w:w="945"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98"/>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( 3.4)</w:t>
            </w:r>
          </w:p>
        </w:tc>
        <w:tc>
          <w:tcPr>
            <w:tcW w:w="576"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28"/>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w:t>
            </w:r>
          </w:p>
        </w:tc>
        <w:tc>
          <w:tcPr>
            <w:tcW w:w="928" w:type="dxa"/>
            <w:gridSpan w:val="2"/>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tabs>
                <w:tab w:val="decimal" w:pos="216"/>
              </w:tabs>
              <w:spacing w:before="0" w:after="0" w:line="225" w:lineRule="exac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( 0.7)</w:t>
            </w:r>
          </w:p>
        </w:tc>
      </w:tr>
      <w:tr w:rsidR="00F2256C" w:rsidRPr="00F2256C" w:rsidTr="007C5575">
        <w:trPr>
          <w:trHeight w:hRule="exact" w:val="303"/>
          <w:jc w:val="center"/>
        </w:trPr>
        <w:tc>
          <w:tcPr>
            <w:tcW w:w="4082" w:type="dxa"/>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left="69"/>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INVESTIGATIONS</w:t>
            </w:r>
          </w:p>
        </w:tc>
        <w:tc>
          <w:tcPr>
            <w:tcW w:w="713"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5"/>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26</w:t>
            </w:r>
          </w:p>
        </w:tc>
        <w:tc>
          <w:tcPr>
            <w:tcW w:w="1007"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460"/>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(17.7)</w:t>
            </w:r>
          </w:p>
        </w:tc>
        <w:tc>
          <w:tcPr>
            <w:tcW w:w="629"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23</w:t>
            </w:r>
          </w:p>
        </w:tc>
        <w:tc>
          <w:tcPr>
            <w:tcW w:w="945"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98"/>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(19.7)</w:t>
            </w:r>
          </w:p>
        </w:tc>
        <w:tc>
          <w:tcPr>
            <w:tcW w:w="576"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28"/>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5</w:t>
            </w:r>
          </w:p>
        </w:tc>
        <w:tc>
          <w:tcPr>
            <w:tcW w:w="928" w:type="dxa"/>
            <w:gridSpan w:val="2"/>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tabs>
                <w:tab w:val="decimal" w:pos="216"/>
              </w:tabs>
              <w:spacing w:before="0" w:after="0" w:line="225" w:lineRule="exac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( 3.7)</w:t>
            </w:r>
          </w:p>
        </w:tc>
      </w:tr>
      <w:tr w:rsidR="00F2256C" w:rsidRPr="00F2256C" w:rsidTr="007C5575">
        <w:trPr>
          <w:trHeight w:hRule="exact" w:val="317"/>
          <w:jc w:val="center"/>
        </w:trPr>
        <w:tc>
          <w:tcPr>
            <w:tcW w:w="4082" w:type="dxa"/>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left="69"/>
              <w:textAlignment w:val="baseline"/>
              <w:rPr>
                <w:rFonts w:asciiTheme="minorHAnsi" w:hAnsiTheme="minorHAnsi"/>
                <w:color w:val="000000"/>
                <w:sz w:val="18"/>
                <w:szCs w:val="18"/>
              </w:rPr>
            </w:pPr>
            <w:r w:rsidRPr="00F2256C">
              <w:rPr>
                <w:rFonts w:asciiTheme="minorHAnsi" w:hAnsiTheme="minorHAnsi"/>
                <w:color w:val="000000"/>
                <w:sz w:val="18"/>
                <w:szCs w:val="18"/>
                <w:lang w:val="en-US"/>
              </w:rPr>
              <w:t>NEUTROPHIL COUNT DECREASED</w:t>
            </w:r>
          </w:p>
        </w:tc>
        <w:tc>
          <w:tcPr>
            <w:tcW w:w="713"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5"/>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12</w:t>
            </w:r>
          </w:p>
        </w:tc>
        <w:tc>
          <w:tcPr>
            <w:tcW w:w="1007"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460"/>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( 8.2)</w:t>
            </w:r>
          </w:p>
        </w:tc>
        <w:tc>
          <w:tcPr>
            <w:tcW w:w="629"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12</w:t>
            </w:r>
          </w:p>
        </w:tc>
        <w:tc>
          <w:tcPr>
            <w:tcW w:w="945"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98"/>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(10.3)</w:t>
            </w:r>
          </w:p>
        </w:tc>
        <w:tc>
          <w:tcPr>
            <w:tcW w:w="576"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28"/>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w:t>
            </w:r>
          </w:p>
        </w:tc>
        <w:tc>
          <w:tcPr>
            <w:tcW w:w="928" w:type="dxa"/>
            <w:gridSpan w:val="2"/>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tabs>
                <w:tab w:val="decimal" w:pos="216"/>
              </w:tabs>
              <w:spacing w:before="0" w:after="0" w:line="225" w:lineRule="exac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( 0.7)</w:t>
            </w:r>
          </w:p>
        </w:tc>
      </w:tr>
      <w:tr w:rsidR="00F2256C" w:rsidRPr="00F2256C" w:rsidTr="007C5575">
        <w:trPr>
          <w:trHeight w:hRule="exact" w:val="538"/>
          <w:jc w:val="center"/>
        </w:trPr>
        <w:tc>
          <w:tcPr>
            <w:tcW w:w="4082" w:type="dxa"/>
            <w:tcBorders>
              <w:top w:val="single" w:sz="7" w:space="0" w:color="000000"/>
              <w:left w:val="single" w:sz="7" w:space="0" w:color="000000"/>
              <w:bottom w:val="single" w:sz="7" w:space="0" w:color="000000"/>
              <w:right w:val="single" w:sz="7" w:space="0" w:color="000000"/>
            </w:tcBorders>
          </w:tcPr>
          <w:p w:rsidR="00F2256C" w:rsidRPr="00F2256C" w:rsidRDefault="00F2256C" w:rsidP="00F2256C">
            <w:pPr>
              <w:spacing w:before="0" w:after="0" w:line="231" w:lineRule="exact"/>
              <w:ind w:left="69"/>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xml:space="preserve">WHITE BLOOD CELL COUNT </w:t>
            </w:r>
            <w:r w:rsidRPr="00F2256C">
              <w:rPr>
                <w:rFonts w:asciiTheme="minorHAnsi" w:hAnsiTheme="minorHAnsi"/>
                <w:color w:val="000000"/>
                <w:sz w:val="18"/>
                <w:szCs w:val="18"/>
                <w:lang w:val="en-US"/>
              </w:rPr>
              <w:br/>
              <w:t>DECREASED</w:t>
            </w:r>
          </w:p>
        </w:tc>
        <w:tc>
          <w:tcPr>
            <w:tcW w:w="713"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4</w:t>
            </w:r>
          </w:p>
        </w:tc>
        <w:tc>
          <w:tcPr>
            <w:tcW w:w="1007"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460"/>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( 2.7)</w:t>
            </w:r>
          </w:p>
        </w:tc>
        <w:tc>
          <w:tcPr>
            <w:tcW w:w="629"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9</w:t>
            </w:r>
          </w:p>
        </w:tc>
        <w:tc>
          <w:tcPr>
            <w:tcW w:w="945"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98"/>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( 7.7)</w:t>
            </w:r>
          </w:p>
        </w:tc>
        <w:tc>
          <w:tcPr>
            <w:tcW w:w="590" w:type="dxa"/>
            <w:gridSpan w:val="2"/>
            <w:tcBorders>
              <w:top w:val="single" w:sz="7" w:space="0" w:color="000000"/>
              <w:left w:val="single" w:sz="7" w:space="0" w:color="000000"/>
              <w:bottom w:val="single" w:sz="7" w:space="0" w:color="000000"/>
              <w:right w:val="none" w:sz="0" w:space="0" w:color="000000"/>
            </w:tcBorders>
          </w:tcPr>
          <w:p w:rsidR="00F2256C" w:rsidRPr="00F2256C" w:rsidRDefault="00F2256C" w:rsidP="00F2256C">
            <w:pPr>
              <w:spacing w:before="0" w:after="0"/>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xml:space="preserve"> </w:t>
            </w:r>
          </w:p>
        </w:tc>
        <w:tc>
          <w:tcPr>
            <w:tcW w:w="914"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64"/>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0</w:t>
            </w:r>
          </w:p>
        </w:tc>
      </w:tr>
      <w:tr w:rsidR="00F2256C" w:rsidRPr="00F2256C" w:rsidTr="007C5575">
        <w:trPr>
          <w:trHeight w:hRule="exact" w:val="533"/>
          <w:jc w:val="center"/>
        </w:trPr>
        <w:tc>
          <w:tcPr>
            <w:tcW w:w="4082" w:type="dxa"/>
            <w:tcBorders>
              <w:top w:val="single" w:sz="7" w:space="0" w:color="000000"/>
              <w:left w:val="single" w:sz="7" w:space="0" w:color="000000"/>
              <w:bottom w:val="single" w:sz="7" w:space="0" w:color="000000"/>
              <w:right w:val="single" w:sz="7" w:space="0" w:color="000000"/>
            </w:tcBorders>
          </w:tcPr>
          <w:p w:rsidR="00F2256C" w:rsidRPr="00F2256C" w:rsidRDefault="00F2256C" w:rsidP="00F2256C">
            <w:pPr>
              <w:spacing w:before="0" w:after="0" w:line="231" w:lineRule="exact"/>
              <w:ind w:left="69"/>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 xml:space="preserve">METABOLISM AND NUTRITION </w:t>
            </w:r>
            <w:r w:rsidRPr="00F2256C">
              <w:rPr>
                <w:rFonts w:asciiTheme="minorHAnsi" w:hAnsiTheme="minorHAnsi"/>
                <w:b/>
                <w:color w:val="000000"/>
                <w:sz w:val="18"/>
                <w:szCs w:val="18"/>
                <w:lang w:val="en-US"/>
              </w:rPr>
              <w:br/>
              <w:t>DISORDERS</w:t>
            </w:r>
          </w:p>
        </w:tc>
        <w:tc>
          <w:tcPr>
            <w:tcW w:w="713"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9"/>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53</w:t>
            </w:r>
          </w:p>
        </w:tc>
        <w:tc>
          <w:tcPr>
            <w:tcW w:w="1007"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460"/>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(36.1)</w:t>
            </w:r>
          </w:p>
        </w:tc>
        <w:tc>
          <w:tcPr>
            <w:tcW w:w="629"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22</w:t>
            </w:r>
          </w:p>
        </w:tc>
        <w:tc>
          <w:tcPr>
            <w:tcW w:w="945"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98"/>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(18.8)</w:t>
            </w:r>
          </w:p>
        </w:tc>
        <w:tc>
          <w:tcPr>
            <w:tcW w:w="590" w:type="dxa"/>
            <w:gridSpan w:val="2"/>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16</w:t>
            </w:r>
          </w:p>
        </w:tc>
        <w:tc>
          <w:tcPr>
            <w:tcW w:w="914"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64"/>
              <w:jc w:val="right"/>
              <w:textAlignment w:val="baseline"/>
              <w:rPr>
                <w:rFonts w:asciiTheme="minorHAnsi" w:hAnsiTheme="minorHAnsi"/>
                <w:b/>
                <w:color w:val="000000"/>
                <w:sz w:val="18"/>
                <w:szCs w:val="18"/>
              </w:rPr>
            </w:pPr>
            <w:r w:rsidRPr="00F2256C">
              <w:rPr>
                <w:rFonts w:asciiTheme="minorHAnsi" w:hAnsiTheme="minorHAnsi"/>
                <w:b/>
                <w:color w:val="000000"/>
                <w:sz w:val="18"/>
                <w:szCs w:val="18"/>
                <w:lang w:val="en-US"/>
              </w:rPr>
              <w:t>(11.9)</w:t>
            </w:r>
          </w:p>
        </w:tc>
      </w:tr>
      <w:tr w:rsidR="00F2256C" w:rsidRPr="00F2256C" w:rsidTr="007C5575">
        <w:trPr>
          <w:trHeight w:hRule="exact" w:val="302"/>
          <w:jc w:val="center"/>
        </w:trPr>
        <w:tc>
          <w:tcPr>
            <w:tcW w:w="4082" w:type="dxa"/>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left="69"/>
              <w:textAlignment w:val="baseline"/>
              <w:rPr>
                <w:rFonts w:asciiTheme="minorHAnsi" w:hAnsiTheme="minorHAnsi"/>
                <w:color w:val="000000"/>
                <w:sz w:val="18"/>
                <w:szCs w:val="18"/>
              </w:rPr>
            </w:pPr>
            <w:r w:rsidRPr="00F2256C">
              <w:rPr>
                <w:rFonts w:asciiTheme="minorHAnsi" w:hAnsiTheme="minorHAnsi"/>
                <w:color w:val="000000"/>
                <w:sz w:val="18"/>
                <w:szCs w:val="18"/>
                <w:lang w:val="en-US"/>
              </w:rPr>
              <w:t>DECREASED APPETITE</w:t>
            </w:r>
          </w:p>
        </w:tc>
        <w:tc>
          <w:tcPr>
            <w:tcW w:w="713"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13</w:t>
            </w:r>
          </w:p>
        </w:tc>
        <w:tc>
          <w:tcPr>
            <w:tcW w:w="1007"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460"/>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( 8.8)</w:t>
            </w:r>
          </w:p>
        </w:tc>
        <w:tc>
          <w:tcPr>
            <w:tcW w:w="629"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5</w:t>
            </w:r>
          </w:p>
        </w:tc>
        <w:tc>
          <w:tcPr>
            <w:tcW w:w="945"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98"/>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( 4.3)</w:t>
            </w:r>
          </w:p>
        </w:tc>
        <w:tc>
          <w:tcPr>
            <w:tcW w:w="590" w:type="dxa"/>
            <w:gridSpan w:val="2"/>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3</w:t>
            </w:r>
          </w:p>
        </w:tc>
        <w:tc>
          <w:tcPr>
            <w:tcW w:w="914"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64"/>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( 2.2)</w:t>
            </w:r>
          </w:p>
        </w:tc>
      </w:tr>
      <w:tr w:rsidR="00F2256C" w:rsidRPr="00F2256C" w:rsidTr="007C5575">
        <w:trPr>
          <w:trHeight w:hRule="exact" w:val="308"/>
          <w:jc w:val="center"/>
        </w:trPr>
        <w:tc>
          <w:tcPr>
            <w:tcW w:w="4082" w:type="dxa"/>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left="69"/>
              <w:textAlignment w:val="baseline"/>
              <w:rPr>
                <w:rFonts w:asciiTheme="minorHAnsi" w:hAnsiTheme="minorHAnsi"/>
                <w:color w:val="000000"/>
                <w:sz w:val="18"/>
                <w:szCs w:val="18"/>
              </w:rPr>
            </w:pPr>
            <w:r w:rsidRPr="00F2256C">
              <w:rPr>
                <w:rFonts w:asciiTheme="minorHAnsi" w:hAnsiTheme="minorHAnsi"/>
                <w:color w:val="000000"/>
                <w:sz w:val="18"/>
                <w:szCs w:val="18"/>
                <w:lang w:val="en-US"/>
              </w:rPr>
              <w:t>DEHYDRATION</w:t>
            </w:r>
          </w:p>
        </w:tc>
        <w:tc>
          <w:tcPr>
            <w:tcW w:w="713"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5</w:t>
            </w:r>
          </w:p>
        </w:tc>
        <w:tc>
          <w:tcPr>
            <w:tcW w:w="1007"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460"/>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( 3.4)</w:t>
            </w:r>
          </w:p>
        </w:tc>
        <w:tc>
          <w:tcPr>
            <w:tcW w:w="629"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5</w:t>
            </w:r>
          </w:p>
        </w:tc>
        <w:tc>
          <w:tcPr>
            <w:tcW w:w="945"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98"/>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( 4.3)</w:t>
            </w:r>
          </w:p>
        </w:tc>
        <w:tc>
          <w:tcPr>
            <w:tcW w:w="590" w:type="dxa"/>
            <w:gridSpan w:val="2"/>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2</w:t>
            </w:r>
          </w:p>
        </w:tc>
        <w:tc>
          <w:tcPr>
            <w:tcW w:w="914"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64"/>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( 1.5)</w:t>
            </w:r>
          </w:p>
        </w:tc>
      </w:tr>
      <w:tr w:rsidR="00F2256C" w:rsidRPr="00F2256C" w:rsidTr="007C5575">
        <w:trPr>
          <w:trHeight w:hRule="exact" w:val="307"/>
          <w:jc w:val="center"/>
        </w:trPr>
        <w:tc>
          <w:tcPr>
            <w:tcW w:w="4082" w:type="dxa"/>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left="69"/>
              <w:textAlignment w:val="baseline"/>
              <w:rPr>
                <w:rFonts w:asciiTheme="minorHAnsi" w:hAnsiTheme="minorHAnsi"/>
                <w:color w:val="000000"/>
                <w:sz w:val="18"/>
                <w:szCs w:val="18"/>
              </w:rPr>
            </w:pPr>
            <w:r w:rsidRPr="00F2256C">
              <w:rPr>
                <w:rFonts w:asciiTheme="minorHAnsi" w:hAnsiTheme="minorHAnsi"/>
                <w:color w:val="000000"/>
                <w:sz w:val="18"/>
                <w:szCs w:val="18"/>
                <w:lang w:val="en-US"/>
              </w:rPr>
              <w:t>HYPERGLYCAEMIA</w:t>
            </w:r>
          </w:p>
        </w:tc>
        <w:tc>
          <w:tcPr>
            <w:tcW w:w="713"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8</w:t>
            </w:r>
          </w:p>
        </w:tc>
        <w:tc>
          <w:tcPr>
            <w:tcW w:w="1007"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460"/>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( 5.4)</w:t>
            </w:r>
          </w:p>
        </w:tc>
        <w:tc>
          <w:tcPr>
            <w:tcW w:w="629"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w:t>
            </w:r>
          </w:p>
        </w:tc>
        <w:tc>
          <w:tcPr>
            <w:tcW w:w="945"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98"/>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( 0.9)</w:t>
            </w:r>
          </w:p>
        </w:tc>
        <w:tc>
          <w:tcPr>
            <w:tcW w:w="590" w:type="dxa"/>
            <w:gridSpan w:val="2"/>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3</w:t>
            </w:r>
          </w:p>
        </w:tc>
        <w:tc>
          <w:tcPr>
            <w:tcW w:w="914"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64"/>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( 2.2)</w:t>
            </w:r>
          </w:p>
        </w:tc>
      </w:tr>
      <w:tr w:rsidR="00F2256C" w:rsidRPr="00F2256C" w:rsidTr="007C5575">
        <w:trPr>
          <w:trHeight w:hRule="exact" w:val="302"/>
          <w:jc w:val="center"/>
        </w:trPr>
        <w:tc>
          <w:tcPr>
            <w:tcW w:w="4082" w:type="dxa"/>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left="69"/>
              <w:textAlignment w:val="baseline"/>
              <w:rPr>
                <w:rFonts w:asciiTheme="minorHAnsi" w:hAnsiTheme="minorHAnsi"/>
                <w:color w:val="000000"/>
                <w:sz w:val="18"/>
                <w:szCs w:val="18"/>
              </w:rPr>
            </w:pPr>
            <w:r w:rsidRPr="00F2256C">
              <w:rPr>
                <w:rFonts w:asciiTheme="minorHAnsi" w:hAnsiTheme="minorHAnsi"/>
                <w:color w:val="000000"/>
                <w:sz w:val="18"/>
                <w:szCs w:val="18"/>
                <w:lang w:val="en-US"/>
              </w:rPr>
              <w:t>HYPOKALAEMIA</w:t>
            </w:r>
          </w:p>
        </w:tc>
        <w:tc>
          <w:tcPr>
            <w:tcW w:w="713"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17</w:t>
            </w:r>
          </w:p>
        </w:tc>
        <w:tc>
          <w:tcPr>
            <w:tcW w:w="1007"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460"/>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(11.6)</w:t>
            </w:r>
          </w:p>
        </w:tc>
        <w:tc>
          <w:tcPr>
            <w:tcW w:w="629"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4</w:t>
            </w:r>
          </w:p>
        </w:tc>
        <w:tc>
          <w:tcPr>
            <w:tcW w:w="945"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98"/>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( 3.4)</w:t>
            </w:r>
          </w:p>
        </w:tc>
        <w:tc>
          <w:tcPr>
            <w:tcW w:w="590" w:type="dxa"/>
            <w:gridSpan w:val="2"/>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3</w:t>
            </w:r>
          </w:p>
        </w:tc>
        <w:tc>
          <w:tcPr>
            <w:tcW w:w="914"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64"/>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( 2.2)</w:t>
            </w:r>
          </w:p>
        </w:tc>
      </w:tr>
      <w:tr w:rsidR="00F2256C" w:rsidRPr="00F2256C" w:rsidTr="007C5575">
        <w:trPr>
          <w:trHeight w:hRule="exact" w:val="307"/>
          <w:jc w:val="center"/>
        </w:trPr>
        <w:tc>
          <w:tcPr>
            <w:tcW w:w="4082" w:type="dxa"/>
            <w:tcBorders>
              <w:top w:val="single" w:sz="7" w:space="0" w:color="000000"/>
              <w:left w:val="single" w:sz="7"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left="69"/>
              <w:textAlignment w:val="baseline"/>
              <w:rPr>
                <w:rFonts w:asciiTheme="minorHAnsi" w:hAnsiTheme="minorHAnsi"/>
                <w:color w:val="000000"/>
                <w:sz w:val="18"/>
                <w:szCs w:val="18"/>
              </w:rPr>
            </w:pPr>
            <w:r w:rsidRPr="00F2256C">
              <w:rPr>
                <w:rFonts w:asciiTheme="minorHAnsi" w:hAnsiTheme="minorHAnsi"/>
                <w:color w:val="000000"/>
                <w:sz w:val="18"/>
                <w:szCs w:val="18"/>
                <w:lang w:val="en-US"/>
              </w:rPr>
              <w:t>HYPONATRAEMIA</w:t>
            </w:r>
          </w:p>
        </w:tc>
        <w:tc>
          <w:tcPr>
            <w:tcW w:w="713"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9</w:t>
            </w:r>
          </w:p>
        </w:tc>
        <w:tc>
          <w:tcPr>
            <w:tcW w:w="1007"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460"/>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( 6.1)</w:t>
            </w:r>
          </w:p>
        </w:tc>
        <w:tc>
          <w:tcPr>
            <w:tcW w:w="629" w:type="dxa"/>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3</w:t>
            </w:r>
          </w:p>
        </w:tc>
        <w:tc>
          <w:tcPr>
            <w:tcW w:w="945"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98"/>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( 2.6)</w:t>
            </w:r>
          </w:p>
        </w:tc>
        <w:tc>
          <w:tcPr>
            <w:tcW w:w="590" w:type="dxa"/>
            <w:gridSpan w:val="2"/>
            <w:tcBorders>
              <w:top w:val="single" w:sz="7" w:space="0" w:color="000000"/>
              <w:left w:val="single" w:sz="7" w:space="0" w:color="000000"/>
              <w:bottom w:val="single" w:sz="7" w:space="0" w:color="000000"/>
              <w:right w:val="none" w:sz="0" w:space="0" w:color="000000"/>
            </w:tcBorders>
            <w:vAlign w:val="center"/>
          </w:tcPr>
          <w:p w:rsidR="00F2256C" w:rsidRPr="00F2256C" w:rsidRDefault="00F2256C" w:rsidP="00F2256C">
            <w:pPr>
              <w:spacing w:before="0" w:after="0" w:line="225" w:lineRule="exact"/>
              <w:ind w:right="19"/>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2</w:t>
            </w:r>
          </w:p>
        </w:tc>
        <w:tc>
          <w:tcPr>
            <w:tcW w:w="914" w:type="dxa"/>
            <w:tcBorders>
              <w:top w:val="single" w:sz="7" w:space="0" w:color="000000"/>
              <w:left w:val="none" w:sz="0" w:space="0" w:color="000000"/>
              <w:bottom w:val="single" w:sz="7" w:space="0" w:color="000000"/>
              <w:right w:val="single" w:sz="7" w:space="0" w:color="000000"/>
            </w:tcBorders>
            <w:vAlign w:val="center"/>
          </w:tcPr>
          <w:p w:rsidR="00F2256C" w:rsidRPr="00F2256C" w:rsidRDefault="00F2256C" w:rsidP="00F2256C">
            <w:pPr>
              <w:spacing w:before="0" w:after="0" w:line="225" w:lineRule="exact"/>
              <w:ind w:right="364"/>
              <w:jc w:val="right"/>
              <w:textAlignment w:val="baseline"/>
              <w:rPr>
                <w:rFonts w:asciiTheme="minorHAnsi" w:hAnsiTheme="minorHAnsi"/>
                <w:color w:val="000000"/>
                <w:sz w:val="18"/>
                <w:szCs w:val="18"/>
              </w:rPr>
            </w:pPr>
            <w:r w:rsidRPr="00F2256C">
              <w:rPr>
                <w:rFonts w:asciiTheme="minorHAnsi" w:hAnsiTheme="minorHAnsi"/>
                <w:color w:val="000000"/>
                <w:sz w:val="18"/>
                <w:szCs w:val="18"/>
                <w:lang w:val="en-US"/>
              </w:rPr>
              <w:t>( 1.5)</w:t>
            </w:r>
          </w:p>
        </w:tc>
      </w:tr>
    </w:tbl>
    <w:p w:rsidR="00184C7D" w:rsidRDefault="00184C7D" w:rsidP="00184C7D">
      <w:pPr>
        <w:pStyle w:val="Heading5"/>
      </w:pPr>
      <w:bookmarkStart w:id="183" w:name="_Toc457234048"/>
      <w:r>
        <w:t>Other studies</w:t>
      </w:r>
      <w:bookmarkEnd w:id="183"/>
    </w:p>
    <w:p w:rsidR="00184C7D" w:rsidRPr="00EF3E66" w:rsidRDefault="00184C7D" w:rsidP="00184C7D">
      <w:pPr>
        <w:pStyle w:val="Heading6"/>
      </w:pPr>
      <w:r w:rsidRPr="00EF3E66">
        <w:t>PEP0208</w:t>
      </w:r>
    </w:p>
    <w:p w:rsidR="00184C7D" w:rsidRPr="00547601" w:rsidRDefault="00184C7D" w:rsidP="00184C7D">
      <w:r w:rsidRPr="00184C7D">
        <w:t xml:space="preserve">AEs occurred </w:t>
      </w:r>
      <w:r w:rsidRPr="00547601">
        <w:t xml:space="preserve">in 100% of treated subjects. Gastrointestinal toxicity was the most frequent, especially diarrhoea (incidence = 75%), nausea (60.0%), decreased appetite and vomiting (57.5% each). Common non-GIT toxicities included fatigue (62.5%), alopecia (42.5%), </w:t>
      </w:r>
      <w:proofErr w:type="spellStart"/>
      <w:r w:rsidRPr="00547601">
        <w:t>neutropaenia</w:t>
      </w:r>
      <w:proofErr w:type="spellEnd"/>
      <w:r w:rsidRPr="00547601">
        <w:t xml:space="preserve"> (40.0%), </w:t>
      </w:r>
      <w:proofErr w:type="spellStart"/>
      <w:r w:rsidRPr="00547601">
        <w:t>leukopaenia</w:t>
      </w:r>
      <w:proofErr w:type="spellEnd"/>
      <w:r w:rsidRPr="00547601">
        <w:t xml:space="preserve"> (37.5%), decreased weig</w:t>
      </w:r>
      <w:r w:rsidR="00E2729C" w:rsidRPr="00547601">
        <w:t>ht (37.5%) and anaemia (32.5%).</w:t>
      </w:r>
    </w:p>
    <w:p w:rsidR="00184C7D" w:rsidRPr="00184C7D" w:rsidRDefault="00184C7D" w:rsidP="00184C7D">
      <w:r w:rsidRPr="00547601">
        <w:t>Grade ≥ 3 AEs occurred in 67.5% of subjects</w:t>
      </w:r>
      <w:r w:rsidRPr="00184C7D">
        <w:t>. The pattern of grade ≥ 3 toxicities was simila</w:t>
      </w:r>
      <w:r w:rsidR="00E2729C">
        <w:t>r to that observed for all AEs.</w:t>
      </w:r>
    </w:p>
    <w:p w:rsidR="00184C7D" w:rsidRDefault="00184C7D" w:rsidP="00184C7D">
      <w:pPr>
        <w:pStyle w:val="Heading6"/>
      </w:pPr>
      <w:r>
        <w:lastRenderedPageBreak/>
        <w:t>PEP0206 (vs. irinotecan)</w:t>
      </w:r>
    </w:p>
    <w:p w:rsidR="00184C7D" w:rsidRDefault="00184C7D" w:rsidP="00184C7D">
      <w:r w:rsidRPr="00184C7D">
        <w:t xml:space="preserve">AEs </w:t>
      </w:r>
      <w:r w:rsidRPr="00547601">
        <w:t xml:space="preserve">occurred in 97.7% of subjects treated with Onivyde monotherapy compared with 95.5% of subjects treated with irinotecan. Common AEs are shown in </w:t>
      </w:r>
      <w:r w:rsidR="00FD5C92">
        <w:t>Table 14</w:t>
      </w:r>
      <w:r w:rsidRPr="00547601">
        <w:t>. Gastrointestinal AEs were the most commonly reported events with Onivyde with diarrhoea being the most</w:t>
      </w:r>
      <w:r w:rsidRPr="00184C7D">
        <w:t xml:space="preserve"> frequent (72.7%). Common non-GIT events were anorexia (54.5%), alopecia (38.6%) and </w:t>
      </w:r>
      <w:proofErr w:type="spellStart"/>
      <w:r w:rsidRPr="00184C7D">
        <w:t>neutropaenia</w:t>
      </w:r>
      <w:proofErr w:type="spellEnd"/>
      <w:r w:rsidRPr="00184C7D">
        <w:t xml:space="preserve"> (27.3%). The incidence of the common AEs was generally comparable in the Onivyde and irinotecan arms, although nausea (61.4% vs. 40.9%) and vomiting (45.5% vs. 34.1%) app</w:t>
      </w:r>
      <w:r w:rsidR="00E2729C">
        <w:t>eared more common with Onivyde.</w:t>
      </w:r>
    </w:p>
    <w:p w:rsidR="00677D80" w:rsidRDefault="00677D80" w:rsidP="00677D80">
      <w:pPr>
        <w:pStyle w:val="Tabletitle"/>
      </w:pPr>
      <w:r>
        <w:t>Table 14:</w:t>
      </w:r>
      <w:r w:rsidRPr="008D63EC">
        <w:t xml:space="preserve"> </w:t>
      </w:r>
      <w:r w:rsidR="005B6918" w:rsidRPr="005B6918">
        <w:t>Study PEP0206 - Common AEs</w:t>
      </w:r>
      <w:r>
        <w:t>.</w:t>
      </w:r>
    </w:p>
    <w:p w:rsidR="00677D80" w:rsidRPr="00184C7D" w:rsidRDefault="001243B3" w:rsidP="00184C7D">
      <w:r>
        <w:rPr>
          <w:noProof/>
          <w:lang w:eastAsia="en-AU"/>
        </w:rPr>
        <w:drawing>
          <wp:inline distT="0" distB="0" distL="0" distR="0" wp14:anchorId="39F95B7A" wp14:editId="12D0CCD3">
            <wp:extent cx="5731510" cy="3407064"/>
            <wp:effectExtent l="0" t="0" r="2540" b="3175"/>
            <wp:docPr id="16" name="Picture 16" descr="Table 14: Study PEP0206 - Common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407064"/>
                    </a:xfrm>
                    <a:prstGeom prst="rect">
                      <a:avLst/>
                    </a:prstGeom>
                  </pic:spPr>
                </pic:pic>
              </a:graphicData>
            </a:graphic>
          </wp:inline>
        </w:drawing>
      </w:r>
    </w:p>
    <w:p w:rsidR="00184C7D" w:rsidRPr="00184C7D" w:rsidRDefault="00184C7D" w:rsidP="00184C7D">
      <w:r w:rsidRPr="00184C7D">
        <w:t xml:space="preserve">The incidence of </w:t>
      </w:r>
      <w:r w:rsidRPr="00E2729C">
        <w:t xml:space="preserve">grade 3 or </w:t>
      </w:r>
      <w:r w:rsidRPr="00547601">
        <w:t>4 AEs was 54.5% with Onivyde and 47.7% with irinotecan. The pattern of events was consist</w:t>
      </w:r>
      <w:r w:rsidR="00E2729C" w:rsidRPr="00547601">
        <w:t>ent with that seen for all AEs.</w:t>
      </w:r>
    </w:p>
    <w:p w:rsidR="00184C7D" w:rsidRPr="00D12012" w:rsidRDefault="00184C7D" w:rsidP="00184C7D">
      <w:pPr>
        <w:pStyle w:val="Heading4"/>
      </w:pPr>
      <w:bookmarkStart w:id="184" w:name="_Ref272333567"/>
      <w:bookmarkStart w:id="185" w:name="_Toc272414665"/>
      <w:bookmarkStart w:id="186" w:name="_Toc290846303"/>
      <w:bookmarkStart w:id="187" w:name="_Toc457234049"/>
      <w:r>
        <w:t>Treatment-related adverse events (adverse drug reactions)</w:t>
      </w:r>
      <w:bookmarkEnd w:id="184"/>
      <w:bookmarkEnd w:id="185"/>
      <w:bookmarkEnd w:id="186"/>
      <w:bookmarkEnd w:id="187"/>
    </w:p>
    <w:p w:rsidR="00184C7D" w:rsidRDefault="00184C7D" w:rsidP="00184C7D">
      <w:pPr>
        <w:pStyle w:val="Heading5"/>
      </w:pPr>
      <w:bookmarkStart w:id="188" w:name="_Toc457234050"/>
      <w:r>
        <w:t>Pivotal study</w:t>
      </w:r>
      <w:bookmarkEnd w:id="188"/>
    </w:p>
    <w:p w:rsidR="00184C7D" w:rsidRDefault="00184C7D" w:rsidP="00184C7D">
      <w:r w:rsidRPr="00184C7D">
        <w:t xml:space="preserve">The incidence of treatment-emergent AEs </w:t>
      </w:r>
      <w:r w:rsidRPr="00547601">
        <w:t>was 91.5% in the combination arm and 69.4% in the</w:t>
      </w:r>
      <w:r w:rsidRPr="00184C7D">
        <w:t xml:space="preserve"> 5-FU/LV comparator arm. Common AEs (those occurring in at least 10% of subjects in any arm) are shown in </w:t>
      </w:r>
      <w:r w:rsidR="001243B3">
        <w:t>Table 15.</w:t>
      </w:r>
      <w:r w:rsidRPr="00184C7D">
        <w:t xml:space="preserve"> The pattern of extra toxicity in the combination arm was si</w:t>
      </w:r>
      <w:r w:rsidR="00E2729C">
        <w:t>milar to that seen for all AEs.</w:t>
      </w:r>
    </w:p>
    <w:p w:rsidR="005A3A46" w:rsidRDefault="005A3A46" w:rsidP="005A3A46">
      <w:pPr>
        <w:pStyle w:val="Tabletitle"/>
      </w:pPr>
      <w:r>
        <w:lastRenderedPageBreak/>
        <w:t>Table 15:</w:t>
      </w:r>
      <w:r w:rsidRPr="008D63EC">
        <w:t xml:space="preserve"> </w:t>
      </w:r>
      <w:r w:rsidRPr="005A3A46">
        <w:t>Study MM-398-07-03-01 – Common treatment-related AEs (incidence &gt; 10%)</w:t>
      </w:r>
      <w:r>
        <w:t>.</w:t>
      </w:r>
    </w:p>
    <w:p w:rsidR="001243B3" w:rsidRPr="00184C7D" w:rsidRDefault="008B77F5" w:rsidP="00184C7D">
      <w:r>
        <w:rPr>
          <w:noProof/>
          <w:lang w:eastAsia="en-AU"/>
        </w:rPr>
        <w:drawing>
          <wp:inline distT="0" distB="0" distL="0" distR="0" wp14:anchorId="08E07209" wp14:editId="3DD4F05B">
            <wp:extent cx="4471023" cy="3107265"/>
            <wp:effectExtent l="0" t="0" r="6350" b="0"/>
            <wp:docPr id="17" name="Picture 17" descr="Table 15: Study MM-398-07-03-01 – Common treatment-related AEs (incidence &g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471369" cy="3107505"/>
                    </a:xfrm>
                    <a:prstGeom prst="rect">
                      <a:avLst/>
                    </a:prstGeom>
                  </pic:spPr>
                </pic:pic>
              </a:graphicData>
            </a:graphic>
          </wp:inline>
        </w:drawing>
      </w:r>
    </w:p>
    <w:p w:rsidR="00184C7D" w:rsidRDefault="00184C7D" w:rsidP="00184C7D">
      <w:pPr>
        <w:pStyle w:val="Heading5"/>
      </w:pPr>
      <w:bookmarkStart w:id="189" w:name="_Toc457234051"/>
      <w:r>
        <w:t>Other studies</w:t>
      </w:r>
      <w:bookmarkEnd w:id="189"/>
    </w:p>
    <w:p w:rsidR="00184C7D" w:rsidRPr="00AD3DDA" w:rsidRDefault="00184C7D" w:rsidP="00184C7D">
      <w:pPr>
        <w:pStyle w:val="Heading6"/>
      </w:pPr>
      <w:r w:rsidRPr="00AD3DDA">
        <w:t>PEP0208</w:t>
      </w:r>
    </w:p>
    <w:p w:rsidR="00184C7D" w:rsidRPr="00184C7D" w:rsidRDefault="00184C7D" w:rsidP="00184C7D">
      <w:r w:rsidRPr="00184C7D">
        <w:t xml:space="preserve">The incidence of treatment-related </w:t>
      </w:r>
      <w:r w:rsidRPr="00547601">
        <w:t>AEs was 97.5%. The pattern of events was</w:t>
      </w:r>
      <w:r w:rsidRPr="00184C7D">
        <w:t xml:space="preserve"> consist</w:t>
      </w:r>
      <w:r w:rsidR="00E2729C">
        <w:t>ent with that seen for all AEs.</w:t>
      </w:r>
    </w:p>
    <w:p w:rsidR="00184C7D" w:rsidRDefault="00184C7D" w:rsidP="00184C7D">
      <w:pPr>
        <w:pStyle w:val="Heading6"/>
      </w:pPr>
      <w:r>
        <w:t>PEP0206 (vs. irinotecan)</w:t>
      </w:r>
    </w:p>
    <w:p w:rsidR="00184C7D" w:rsidRPr="00184C7D" w:rsidRDefault="00184C7D" w:rsidP="00E2729C">
      <w:r w:rsidRPr="00184C7D">
        <w:t xml:space="preserve">The incidence of treatment-related AEs </w:t>
      </w:r>
      <w:r w:rsidRPr="00547601">
        <w:t>was 90.9% with Onivyde and 93.2%</w:t>
      </w:r>
      <w:r w:rsidRPr="00184C7D">
        <w:t xml:space="preserve"> with irinotecan. The pattern of events was consist</w:t>
      </w:r>
      <w:r w:rsidR="00E2729C">
        <w:t>ent with that seen for all AEs.</w:t>
      </w:r>
    </w:p>
    <w:p w:rsidR="00184C7D" w:rsidRPr="00213E77" w:rsidRDefault="00184C7D" w:rsidP="00184C7D">
      <w:pPr>
        <w:pStyle w:val="Heading4"/>
      </w:pPr>
      <w:bookmarkStart w:id="190" w:name="_Toc241374320"/>
      <w:bookmarkStart w:id="191" w:name="_Ref272333507"/>
      <w:bookmarkStart w:id="192" w:name="_Toc272414666"/>
      <w:bookmarkStart w:id="193" w:name="_Toc290846304"/>
      <w:bookmarkStart w:id="194" w:name="_Toc457234052"/>
      <w:r>
        <w:t>Deaths and other serious adverse events</w:t>
      </w:r>
      <w:bookmarkEnd w:id="190"/>
      <w:bookmarkEnd w:id="191"/>
      <w:bookmarkEnd w:id="192"/>
      <w:bookmarkEnd w:id="193"/>
      <w:bookmarkEnd w:id="194"/>
    </w:p>
    <w:p w:rsidR="00184C7D" w:rsidRDefault="00184C7D" w:rsidP="00184C7D">
      <w:pPr>
        <w:pStyle w:val="Heading5"/>
      </w:pPr>
      <w:bookmarkStart w:id="195" w:name="_Toc457234053"/>
      <w:bookmarkStart w:id="196" w:name="_Toc241374325"/>
      <w:bookmarkStart w:id="197" w:name="_Ref272333477"/>
      <w:bookmarkStart w:id="198" w:name="_Toc272414667"/>
      <w:bookmarkStart w:id="199" w:name="_Toc290846305"/>
      <w:r>
        <w:t>Pivotal study</w:t>
      </w:r>
      <w:bookmarkEnd w:id="195"/>
    </w:p>
    <w:p w:rsidR="00184C7D" w:rsidRPr="00E2729C" w:rsidRDefault="00184C7D" w:rsidP="00E2729C">
      <w:pPr>
        <w:pStyle w:val="Heading6"/>
      </w:pPr>
      <w:r w:rsidRPr="00E2729C">
        <w:t>Deaths</w:t>
      </w:r>
    </w:p>
    <w:p w:rsidR="00184C7D" w:rsidRPr="00184C7D" w:rsidRDefault="00184C7D" w:rsidP="00184C7D">
      <w:r w:rsidRPr="00184C7D">
        <w:t xml:space="preserve">The incidence of </w:t>
      </w:r>
      <w:r w:rsidR="00DA6D51">
        <w:t>AEs</w:t>
      </w:r>
      <w:r w:rsidRPr="00184C7D">
        <w:t xml:space="preserve"> (occurring while on treatment or within 30 days after cessation of treatment) and leading to death was:</w:t>
      </w:r>
    </w:p>
    <w:p w:rsidR="00184C7D" w:rsidRPr="00DA6D51" w:rsidRDefault="00DA6D51" w:rsidP="00DA6D51">
      <w:pPr>
        <w:pStyle w:val="ListBullet"/>
      </w:pPr>
      <w:r w:rsidRPr="00DA6D51">
        <w:t xml:space="preserve">Onivyde monotherapy: </w:t>
      </w:r>
      <w:r w:rsidR="00184C7D" w:rsidRPr="00DA6D51">
        <w:t>1</w:t>
      </w:r>
      <w:r w:rsidRPr="00DA6D51">
        <w:t xml:space="preserve">5/147 </w:t>
      </w:r>
      <w:r w:rsidR="00184C7D" w:rsidRPr="00DA6D51">
        <w:t>(10.2%);</w:t>
      </w:r>
    </w:p>
    <w:p w:rsidR="00184C7D" w:rsidRPr="00DA6D51" w:rsidRDefault="00445AAA" w:rsidP="00DA6D51">
      <w:pPr>
        <w:pStyle w:val="ListBullet"/>
      </w:pPr>
      <w:r>
        <w:t>Onivyde+</w:t>
      </w:r>
      <w:r w:rsidR="00DA6D51" w:rsidRPr="00DA6D51">
        <w:t xml:space="preserve">5-FU/LV: </w:t>
      </w:r>
      <w:r w:rsidR="00DA6D51">
        <w:t>2/117</w:t>
      </w:r>
      <w:r w:rsidR="00DA6D51" w:rsidRPr="00DA6D51">
        <w:t xml:space="preserve"> </w:t>
      </w:r>
      <w:r w:rsidR="00184C7D" w:rsidRPr="00DA6D51">
        <w:t>(1.7%);</w:t>
      </w:r>
    </w:p>
    <w:p w:rsidR="00184C7D" w:rsidRPr="00DA6D51" w:rsidRDefault="00DA6D51" w:rsidP="00DA6D51">
      <w:pPr>
        <w:pStyle w:val="ListBullet"/>
      </w:pPr>
      <w:r w:rsidRPr="00DA6D51">
        <w:t xml:space="preserve">5-FU/LV: 10/134 </w:t>
      </w:r>
      <w:r w:rsidR="00184C7D" w:rsidRPr="00DA6D51">
        <w:t>(7.5%</w:t>
      </w:r>
      <w:r w:rsidR="00E2729C" w:rsidRPr="00DA6D51">
        <w:t>).</w:t>
      </w:r>
    </w:p>
    <w:p w:rsidR="00184C7D" w:rsidRPr="00184C7D" w:rsidRDefault="00184C7D" w:rsidP="00184C7D">
      <w:r w:rsidRPr="00184C7D">
        <w:t xml:space="preserve">One of the deaths in the combination arm was assessed as </w:t>
      </w:r>
      <w:r w:rsidR="008B77F5">
        <w:t xml:space="preserve">being drug-related. This was a [information redacted] subject </w:t>
      </w:r>
      <w:r w:rsidRPr="00184C7D">
        <w:t xml:space="preserve">who received one dose only of the combination regimen. Four days later he developed fever, chills, vomiting and diarrhoea. He then developed severe </w:t>
      </w:r>
      <w:proofErr w:type="spellStart"/>
      <w:r w:rsidRPr="00184C7D">
        <w:t>neutropaenia</w:t>
      </w:r>
      <w:proofErr w:type="spellEnd"/>
      <w:r w:rsidRPr="00184C7D">
        <w:t xml:space="preserve"> followed by septic sh</w:t>
      </w:r>
      <w:r w:rsidR="008B77F5">
        <w:t xml:space="preserve">ock and multi-organ failure. The subject </w:t>
      </w:r>
      <w:r w:rsidRPr="00184C7D">
        <w:t>die</w:t>
      </w:r>
      <w:r w:rsidR="00E2729C">
        <w:t>d 13 days after his first dose.</w:t>
      </w:r>
    </w:p>
    <w:p w:rsidR="00184C7D" w:rsidRPr="00184C7D" w:rsidRDefault="00184C7D" w:rsidP="00184C7D">
      <w:r w:rsidRPr="00184C7D">
        <w:t xml:space="preserve">None of the 10 deaths in the 5-FU/LV arm were assessed as being related to treatment. Four of the deaths in the Onivyde monotherapy arm were assessed as being treatment-related (GIT toxicity, disseminated intravascular coagulation/pulmonary embolism, </w:t>
      </w:r>
      <w:proofErr w:type="spellStart"/>
      <w:r w:rsidRPr="00184C7D">
        <w:t>neutropaenia</w:t>
      </w:r>
      <w:proofErr w:type="spellEnd"/>
      <w:r w:rsidRPr="00184C7D">
        <w:t xml:space="preserve">/septic shock and febrile </w:t>
      </w:r>
      <w:proofErr w:type="spellStart"/>
      <w:r w:rsidRPr="00184C7D">
        <w:t>neutropaenia</w:t>
      </w:r>
      <w:proofErr w:type="spellEnd"/>
      <w:r w:rsidRPr="00184C7D">
        <w:t>/infectio</w:t>
      </w:r>
      <w:r w:rsidR="00E2729C">
        <w:t>us colitis).</w:t>
      </w:r>
    </w:p>
    <w:p w:rsidR="00184C7D" w:rsidRPr="00E2729C" w:rsidRDefault="00184C7D" w:rsidP="00E2729C">
      <w:pPr>
        <w:pStyle w:val="Heading6"/>
      </w:pPr>
      <w:r w:rsidRPr="00E2729C">
        <w:lastRenderedPageBreak/>
        <w:t>SAEs</w:t>
      </w:r>
    </w:p>
    <w:p w:rsidR="00184C7D" w:rsidRDefault="00184C7D" w:rsidP="00184C7D">
      <w:r w:rsidRPr="00184C7D">
        <w:t>The incidence of serious AEs was only slightly higher in the combination arm than in the 5-FU/LV comparator arm (</w:t>
      </w:r>
      <w:r w:rsidRPr="00DB6CFB">
        <w:t>47.9% vs. 44.8%). SAEs occurring in at</w:t>
      </w:r>
      <w:r w:rsidRPr="00184C7D">
        <w:t xml:space="preserve"> least 1% of subjects in any arm are shown in </w:t>
      </w:r>
      <w:r w:rsidR="00D109BF">
        <w:t>Table 16</w:t>
      </w:r>
      <w:r w:rsidRPr="00184C7D">
        <w:t xml:space="preserve">. The combination arm was associated with higher incidences of serious </w:t>
      </w:r>
      <w:proofErr w:type="spellStart"/>
      <w:r w:rsidRPr="00184C7D">
        <w:t>cytopaenias</w:t>
      </w:r>
      <w:proofErr w:type="spellEnd"/>
      <w:r w:rsidRPr="00184C7D">
        <w:t xml:space="preserve">, infections and some GIT disorders </w:t>
      </w:r>
      <w:r w:rsidR="00E2729C">
        <w:t xml:space="preserve">(diarrhoea, nausea, vomiting). </w:t>
      </w:r>
    </w:p>
    <w:p w:rsidR="00D109BF" w:rsidRDefault="00D109BF" w:rsidP="00D109BF">
      <w:pPr>
        <w:pStyle w:val="Tabletitle"/>
      </w:pPr>
      <w:r>
        <w:t>Table 16:</w:t>
      </w:r>
      <w:r w:rsidRPr="008D63EC">
        <w:t xml:space="preserve"> </w:t>
      </w:r>
      <w:r w:rsidR="00AE6165" w:rsidRPr="00AE6165">
        <w:t>Study MM-398-07-03-01 – Serious AEs (incidence &gt; 1%)</w:t>
      </w:r>
      <w:r>
        <w:t>.</w:t>
      </w:r>
    </w:p>
    <w:p w:rsidR="00D109BF" w:rsidRDefault="00AB5AF9" w:rsidP="00184C7D">
      <w:r>
        <w:rPr>
          <w:noProof/>
          <w:lang w:eastAsia="en-AU"/>
        </w:rPr>
        <w:drawing>
          <wp:inline distT="0" distB="0" distL="0" distR="0" wp14:anchorId="16612DE6" wp14:editId="60FAE2DA">
            <wp:extent cx="4628098" cy="3251042"/>
            <wp:effectExtent l="0" t="0" r="1270" b="6985"/>
            <wp:docPr id="18" name="Picture 18" descr="Table 16: Study MM-398-07-03-01 – Serious AEs (incidence &g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26708" cy="3250066"/>
                    </a:xfrm>
                    <a:prstGeom prst="rect">
                      <a:avLst/>
                    </a:prstGeom>
                  </pic:spPr>
                </pic:pic>
              </a:graphicData>
            </a:graphic>
          </wp:inline>
        </w:drawing>
      </w:r>
    </w:p>
    <w:p w:rsidR="00AB5AF9" w:rsidRDefault="00AB5AF9" w:rsidP="00184C7D">
      <w:r>
        <w:rPr>
          <w:noProof/>
          <w:lang w:eastAsia="en-AU"/>
        </w:rPr>
        <w:drawing>
          <wp:inline distT="0" distB="0" distL="0" distR="0" wp14:anchorId="679D3D1F" wp14:editId="0197C783">
            <wp:extent cx="4630589" cy="3533792"/>
            <wp:effectExtent l="0" t="0" r="0" b="0"/>
            <wp:docPr id="21" name="Picture 21" descr="Table 16: Study MM-398-07-03-01 – Serious AEs (incidence &g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629198" cy="3532731"/>
                    </a:xfrm>
                    <a:prstGeom prst="rect">
                      <a:avLst/>
                    </a:prstGeom>
                  </pic:spPr>
                </pic:pic>
              </a:graphicData>
            </a:graphic>
          </wp:inline>
        </w:drawing>
      </w:r>
    </w:p>
    <w:p w:rsidR="00AB5AF9" w:rsidRDefault="00AB5AF9" w:rsidP="00AB5AF9">
      <w:pPr>
        <w:pStyle w:val="Tabletitle"/>
      </w:pPr>
      <w:r>
        <w:lastRenderedPageBreak/>
        <w:t>Table 16 (continued):</w:t>
      </w:r>
      <w:r w:rsidRPr="008D63EC">
        <w:t xml:space="preserve"> </w:t>
      </w:r>
      <w:r w:rsidRPr="00AE6165">
        <w:t>Study MM-398-07-03-01 – Serious AEs (incidence &gt; 1%)</w:t>
      </w:r>
      <w:r>
        <w:t>.</w:t>
      </w:r>
    </w:p>
    <w:p w:rsidR="00AB5AF9" w:rsidRDefault="00AB5AF9" w:rsidP="00184C7D">
      <w:r>
        <w:rPr>
          <w:noProof/>
          <w:lang w:eastAsia="en-AU"/>
        </w:rPr>
        <w:drawing>
          <wp:inline distT="0" distB="0" distL="0" distR="0" wp14:anchorId="360C1DED" wp14:editId="18614AB3">
            <wp:extent cx="4710805" cy="3528574"/>
            <wp:effectExtent l="0" t="0" r="0" b="0"/>
            <wp:docPr id="20" name="Picture 20" descr="Table 16 (continued): Study MM-398-07-03-01 – Serious AEs (incidence &g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12574" cy="3529899"/>
                    </a:xfrm>
                    <a:prstGeom prst="rect">
                      <a:avLst/>
                    </a:prstGeom>
                  </pic:spPr>
                </pic:pic>
              </a:graphicData>
            </a:graphic>
          </wp:inline>
        </w:drawing>
      </w:r>
    </w:p>
    <w:p w:rsidR="00184C7D" w:rsidRDefault="00184C7D" w:rsidP="00184C7D">
      <w:pPr>
        <w:pStyle w:val="Heading5"/>
      </w:pPr>
      <w:bookmarkStart w:id="200" w:name="_Toc457234054"/>
      <w:r>
        <w:t>Other studies</w:t>
      </w:r>
      <w:bookmarkEnd w:id="200"/>
    </w:p>
    <w:p w:rsidR="00184C7D" w:rsidRPr="00EA0103" w:rsidRDefault="00184C7D" w:rsidP="00184C7D">
      <w:pPr>
        <w:pStyle w:val="Heading6"/>
      </w:pPr>
      <w:r w:rsidRPr="00EA0103">
        <w:t>PEP0208</w:t>
      </w:r>
    </w:p>
    <w:p w:rsidR="00184C7D" w:rsidRPr="00E2729C" w:rsidRDefault="00184C7D" w:rsidP="00184C7D">
      <w:r w:rsidRPr="00E2729C">
        <w:t>Deaths</w:t>
      </w:r>
    </w:p>
    <w:p w:rsidR="00184C7D" w:rsidRPr="00184C7D" w:rsidRDefault="00184C7D" w:rsidP="00184C7D">
      <w:r w:rsidRPr="00184C7D">
        <w:t xml:space="preserve">There were four subjects in the study who developed AEs that led to death. One was considered probably related to treatment. This </w:t>
      </w:r>
      <w:r w:rsidR="006767CA">
        <w:t>was a [information redacted]</w:t>
      </w:r>
      <w:r w:rsidRPr="00184C7D">
        <w:t xml:space="preserve"> </w:t>
      </w:r>
      <w:r w:rsidR="00C12832">
        <w:t xml:space="preserve">subject </w:t>
      </w:r>
      <w:r w:rsidRPr="00184C7D">
        <w:t xml:space="preserve">who died from </w:t>
      </w:r>
      <w:proofErr w:type="spellStart"/>
      <w:r w:rsidRPr="00184C7D">
        <w:t>neutropaenic</w:t>
      </w:r>
      <w:proofErr w:type="spellEnd"/>
      <w:r w:rsidRPr="00184C7D">
        <w:t xml:space="preserve"> sepsis. Two other deaths were assessed as being unlikely to be related (aspiration pneumonia and abdominal pain/suspected tumour progression). The remaining death was due to respiratory failure a</w:t>
      </w:r>
      <w:r w:rsidR="00E2729C">
        <w:t>nd was assessed as not related.</w:t>
      </w:r>
    </w:p>
    <w:p w:rsidR="00184C7D" w:rsidRPr="00E2729C" w:rsidRDefault="00184C7D" w:rsidP="00184C7D">
      <w:r w:rsidRPr="00E2729C">
        <w:t>SAEs</w:t>
      </w:r>
    </w:p>
    <w:p w:rsidR="00184C7D" w:rsidRPr="00184C7D" w:rsidRDefault="00184C7D" w:rsidP="00184C7D">
      <w:r w:rsidRPr="00184C7D">
        <w:t xml:space="preserve">SAEs occurred </w:t>
      </w:r>
      <w:r w:rsidRPr="00A10F09">
        <w:t>in 45.0% of subjects</w:t>
      </w:r>
      <w:r w:rsidRPr="00184C7D">
        <w:t>. The pattern of events was consist</w:t>
      </w:r>
      <w:r w:rsidR="00E2729C">
        <w:t>ent with that seen for all AEs.</w:t>
      </w:r>
    </w:p>
    <w:p w:rsidR="00184C7D" w:rsidRDefault="00184C7D" w:rsidP="00184C7D">
      <w:pPr>
        <w:pStyle w:val="Heading6"/>
      </w:pPr>
      <w:r>
        <w:t>PEP0206 (vs. irinotecan)</w:t>
      </w:r>
    </w:p>
    <w:p w:rsidR="00184C7D" w:rsidRPr="00E2729C" w:rsidRDefault="00184C7D" w:rsidP="00184C7D">
      <w:r w:rsidRPr="00E2729C">
        <w:t>Deaths</w:t>
      </w:r>
    </w:p>
    <w:p w:rsidR="00184C7D" w:rsidRPr="00184C7D" w:rsidRDefault="00184C7D" w:rsidP="00184C7D">
      <w:r w:rsidRPr="00184C7D">
        <w:t>The</w:t>
      </w:r>
      <w:r w:rsidR="00A10F09">
        <w:t xml:space="preserve">re were 4 deaths in the study: </w:t>
      </w:r>
      <w:r w:rsidRPr="00184C7D">
        <w:t>2 in the Onivyde arm</w:t>
      </w:r>
      <w:r w:rsidR="00A10F09">
        <w:t>,</w:t>
      </w:r>
      <w:r w:rsidRPr="00184C7D">
        <w:t xml:space="preserve"> and 2 in the irinotecan arm. Only one of these deaths was assessed as being related to study drug. This was a </w:t>
      </w:r>
      <w:r w:rsidR="000F6FAB">
        <w:t xml:space="preserve">[information redacted] </w:t>
      </w:r>
      <w:r w:rsidRPr="00184C7D">
        <w:t xml:space="preserve">subject treated with one cycle of Onivyde who developed febrile </w:t>
      </w:r>
      <w:proofErr w:type="spellStart"/>
      <w:r w:rsidRPr="00184C7D">
        <w:t>neutropaenia</w:t>
      </w:r>
      <w:proofErr w:type="spellEnd"/>
      <w:r w:rsidRPr="00184C7D">
        <w:t>, a ches</w:t>
      </w:r>
      <w:r w:rsidR="005F790F">
        <w:t>t infection and septic shock. The subject</w:t>
      </w:r>
      <w:r w:rsidRPr="00184C7D">
        <w:t xml:space="preserve"> recovered after ICU treatment but died at home at some time later presu</w:t>
      </w:r>
      <w:r w:rsidR="00E2729C">
        <w:t>mably due to ongoing infection.</w:t>
      </w:r>
    </w:p>
    <w:p w:rsidR="00184C7D" w:rsidRPr="00E2729C" w:rsidRDefault="00184C7D" w:rsidP="00184C7D">
      <w:r w:rsidRPr="00E2729C">
        <w:t>SAEs</w:t>
      </w:r>
    </w:p>
    <w:p w:rsidR="00184C7D" w:rsidRPr="000F6FAB" w:rsidRDefault="00184C7D" w:rsidP="00184C7D">
      <w:r w:rsidRPr="00184C7D">
        <w:t xml:space="preserve">SAEs were more </w:t>
      </w:r>
      <w:r w:rsidRPr="000F6FAB">
        <w:t>common with Onivyde (43.2%) than with irinotecan (31.8%). Individual SAEs that were notably more common with Onivyde included:</w:t>
      </w:r>
    </w:p>
    <w:p w:rsidR="00184C7D" w:rsidRPr="00184C7D" w:rsidRDefault="00184C7D" w:rsidP="00073212">
      <w:pPr>
        <w:pStyle w:val="ListBullet"/>
      </w:pPr>
      <w:r w:rsidRPr="00184C7D">
        <w:t>Diarrhoea (20.5% vs. 9.1%);</w:t>
      </w:r>
    </w:p>
    <w:p w:rsidR="00184C7D" w:rsidRPr="00184C7D" w:rsidRDefault="00184C7D" w:rsidP="00073212">
      <w:pPr>
        <w:pStyle w:val="ListBullet"/>
      </w:pPr>
      <w:r w:rsidRPr="00184C7D">
        <w:t>Abdominal pain (9.1% vs. 2.3%);</w:t>
      </w:r>
    </w:p>
    <w:p w:rsidR="00184C7D" w:rsidRPr="00184C7D" w:rsidRDefault="00184C7D" w:rsidP="00073212">
      <w:pPr>
        <w:pStyle w:val="ListBullet"/>
      </w:pPr>
      <w:r w:rsidRPr="00184C7D">
        <w:lastRenderedPageBreak/>
        <w:t>Dyspnoea (6.8% vs. 0%);</w:t>
      </w:r>
    </w:p>
    <w:p w:rsidR="00184C7D" w:rsidRPr="00184C7D" w:rsidRDefault="00184C7D" w:rsidP="00073212">
      <w:pPr>
        <w:pStyle w:val="ListBullet"/>
      </w:pPr>
      <w:r w:rsidRPr="00184C7D">
        <w:t>Nausea (4.5% vs. 0%);</w:t>
      </w:r>
    </w:p>
    <w:p w:rsidR="00184C7D" w:rsidRPr="00184C7D" w:rsidRDefault="00E2729C" w:rsidP="00073212">
      <w:pPr>
        <w:pStyle w:val="ListBullet"/>
      </w:pPr>
      <w:r>
        <w:t>Dehydration (4.5% vs. 0%).</w:t>
      </w:r>
    </w:p>
    <w:p w:rsidR="00184C7D" w:rsidRPr="008F73B4" w:rsidRDefault="00184C7D" w:rsidP="00184C7D">
      <w:pPr>
        <w:pStyle w:val="Heading4"/>
      </w:pPr>
      <w:bookmarkStart w:id="201" w:name="_Toc457234055"/>
      <w:r>
        <w:t>Discontinuation due to adverse events</w:t>
      </w:r>
      <w:bookmarkEnd w:id="196"/>
      <w:bookmarkEnd w:id="197"/>
      <w:bookmarkEnd w:id="198"/>
      <w:bookmarkEnd w:id="199"/>
      <w:bookmarkEnd w:id="201"/>
    </w:p>
    <w:p w:rsidR="00184C7D" w:rsidRDefault="00184C7D" w:rsidP="00184C7D">
      <w:pPr>
        <w:pStyle w:val="Heading5"/>
      </w:pPr>
      <w:bookmarkStart w:id="202" w:name="_Toc457234056"/>
      <w:r>
        <w:t>Pivotal study</w:t>
      </w:r>
      <w:bookmarkEnd w:id="202"/>
    </w:p>
    <w:p w:rsidR="00184C7D" w:rsidRPr="00184C7D" w:rsidRDefault="00184C7D" w:rsidP="00184C7D">
      <w:r w:rsidRPr="00184C7D">
        <w:t xml:space="preserve">AEs leading to treatment </w:t>
      </w:r>
      <w:r w:rsidRPr="00815AB5">
        <w:t xml:space="preserve">discontinuation were only slightly more frequent in the combination arm than in the 5-FU/LV comparator arm (11.1% vs. 7.5%). </w:t>
      </w:r>
      <w:r w:rsidRPr="00184C7D">
        <w:t>GIT disorders and infections leading to discontinuation were more</w:t>
      </w:r>
      <w:r w:rsidR="00E2729C">
        <w:t xml:space="preserve"> common in the combination arm.</w:t>
      </w:r>
    </w:p>
    <w:p w:rsidR="00184C7D" w:rsidRDefault="00184C7D" w:rsidP="00184C7D">
      <w:pPr>
        <w:pStyle w:val="Heading5"/>
      </w:pPr>
      <w:bookmarkStart w:id="203" w:name="_Toc457234057"/>
      <w:r>
        <w:t>Other studies</w:t>
      </w:r>
      <w:bookmarkEnd w:id="203"/>
    </w:p>
    <w:p w:rsidR="00184C7D" w:rsidRPr="00C86E76" w:rsidRDefault="00184C7D" w:rsidP="00184C7D">
      <w:pPr>
        <w:pStyle w:val="Heading6"/>
      </w:pPr>
      <w:r w:rsidRPr="00C86E76">
        <w:t>PEP0208</w:t>
      </w:r>
    </w:p>
    <w:p w:rsidR="00184C7D" w:rsidRPr="00184C7D" w:rsidRDefault="00184C7D" w:rsidP="00184C7D">
      <w:r w:rsidRPr="00184C7D">
        <w:t xml:space="preserve">The incidence of AEs leading to </w:t>
      </w:r>
      <w:r w:rsidRPr="00815AB5">
        <w:t>discontinuation was 15.0% (6/40 subjects</w:t>
      </w:r>
      <w:r w:rsidRPr="00184C7D">
        <w:t xml:space="preserve">). </w:t>
      </w:r>
      <w:proofErr w:type="spellStart"/>
      <w:r w:rsidRPr="00184C7D">
        <w:t>Neutropaenia</w:t>
      </w:r>
      <w:proofErr w:type="spellEnd"/>
      <w:r w:rsidRPr="00184C7D">
        <w:t xml:space="preserve"> was an issue in two of these subjects and diarrhoea in one. Otherwise there wa</w:t>
      </w:r>
      <w:r w:rsidR="00E2729C">
        <w:t>s no consistent pattern of AEs.</w:t>
      </w:r>
    </w:p>
    <w:p w:rsidR="00184C7D" w:rsidRDefault="00184C7D" w:rsidP="00184C7D">
      <w:pPr>
        <w:pStyle w:val="Heading6"/>
      </w:pPr>
      <w:r>
        <w:t>PEP0206 (vs. irinotecan)</w:t>
      </w:r>
    </w:p>
    <w:p w:rsidR="00184C7D" w:rsidRPr="00815AB5" w:rsidRDefault="00184C7D" w:rsidP="00E2729C">
      <w:r w:rsidRPr="00184C7D">
        <w:t xml:space="preserve">The incidence of AEs leading to discontinuation </w:t>
      </w:r>
      <w:r w:rsidRPr="00815AB5">
        <w:t>was 20.5% with Onivyde and 18.2% with irinotecan. The only individual AE that led to discontinuation in more than one patient in the Onivyde arm was decreas</w:t>
      </w:r>
      <w:r w:rsidR="00E2729C" w:rsidRPr="00815AB5">
        <w:t>ed appetite (3 subjects, 6.8%).</w:t>
      </w:r>
    </w:p>
    <w:p w:rsidR="00184C7D" w:rsidRDefault="00184C7D" w:rsidP="00184C7D">
      <w:pPr>
        <w:pStyle w:val="Heading4"/>
      </w:pPr>
      <w:bookmarkStart w:id="204" w:name="_Toc457234058"/>
      <w:r>
        <w:t>Adverse events of special importance</w:t>
      </w:r>
      <w:bookmarkEnd w:id="204"/>
    </w:p>
    <w:p w:rsidR="00184C7D" w:rsidRPr="00184C7D" w:rsidRDefault="00184C7D" w:rsidP="00184C7D">
      <w:pPr>
        <w:autoSpaceDE w:val="0"/>
        <w:autoSpaceDN w:val="0"/>
        <w:adjustRightInd w:val="0"/>
      </w:pPr>
      <w:r w:rsidRPr="00184C7D">
        <w:t xml:space="preserve">In the pivotal study a number of AEs were identified as AEs of special interest (AESI). The incidence of these events are summarised </w:t>
      </w:r>
      <w:r w:rsidR="00AC04F6">
        <w:t>above</w:t>
      </w:r>
      <w:r w:rsidR="00E2729C">
        <w:t>.</w:t>
      </w:r>
    </w:p>
    <w:p w:rsidR="00184C7D" w:rsidRDefault="00184C7D" w:rsidP="00184C7D">
      <w:pPr>
        <w:pStyle w:val="Heading3"/>
      </w:pPr>
      <w:bookmarkStart w:id="205" w:name="_Toc241374321"/>
      <w:bookmarkStart w:id="206" w:name="_Ref271044780"/>
      <w:bookmarkStart w:id="207" w:name="_Ref271196640"/>
      <w:bookmarkStart w:id="208" w:name="_Ref272333085"/>
      <w:bookmarkStart w:id="209" w:name="_Toc272414668"/>
      <w:bookmarkStart w:id="210" w:name="_Toc290846306"/>
      <w:bookmarkStart w:id="211" w:name="_Toc457234059"/>
      <w:bookmarkStart w:id="212" w:name="_Toc490577154"/>
      <w:r>
        <w:t>Laboratory tests</w:t>
      </w:r>
      <w:bookmarkEnd w:id="205"/>
      <w:bookmarkEnd w:id="206"/>
      <w:bookmarkEnd w:id="207"/>
      <w:bookmarkEnd w:id="208"/>
      <w:bookmarkEnd w:id="209"/>
      <w:bookmarkEnd w:id="210"/>
      <w:bookmarkEnd w:id="211"/>
      <w:bookmarkEnd w:id="212"/>
    </w:p>
    <w:p w:rsidR="00184C7D" w:rsidRPr="00184C7D" w:rsidRDefault="00184C7D" w:rsidP="00184C7D">
      <w:r w:rsidRPr="00184C7D">
        <w:t>An analysis of the incidence of abnormal laboratory values was n</w:t>
      </w:r>
      <w:r w:rsidR="00E2729C">
        <w:t>ot presented for study PEP0206.</w:t>
      </w:r>
    </w:p>
    <w:p w:rsidR="00184C7D" w:rsidRDefault="00184C7D" w:rsidP="00184C7D">
      <w:pPr>
        <w:pStyle w:val="Heading4"/>
      </w:pPr>
      <w:bookmarkStart w:id="213" w:name="_Toc272414669"/>
      <w:bookmarkStart w:id="214" w:name="_Toc290846307"/>
      <w:bookmarkStart w:id="215" w:name="_Toc457234060"/>
      <w:r>
        <w:t>Liver function</w:t>
      </w:r>
      <w:bookmarkEnd w:id="213"/>
      <w:bookmarkEnd w:id="214"/>
      <w:bookmarkEnd w:id="215"/>
    </w:p>
    <w:p w:rsidR="00184C7D" w:rsidRDefault="00184C7D" w:rsidP="00184C7D">
      <w:pPr>
        <w:pStyle w:val="Heading5"/>
      </w:pPr>
      <w:bookmarkStart w:id="216" w:name="_Ref318275574"/>
      <w:bookmarkStart w:id="217" w:name="_Ref318275594"/>
      <w:bookmarkStart w:id="218" w:name="_Toc457234061"/>
      <w:bookmarkStart w:id="219" w:name="_Toc272414670"/>
      <w:bookmarkStart w:id="220" w:name="_Toc290846308"/>
      <w:r>
        <w:t>Pivotal study</w:t>
      </w:r>
      <w:bookmarkEnd w:id="216"/>
      <w:bookmarkEnd w:id="217"/>
      <w:bookmarkEnd w:id="218"/>
    </w:p>
    <w:p w:rsidR="00184C7D" w:rsidRPr="00184C7D" w:rsidRDefault="00184C7D" w:rsidP="00184C7D">
      <w:r w:rsidRPr="00184C7D">
        <w:t>Elevated ALT levels occurred more frequently in the combination arm than in the 5-FU/LV arm (50.5% vs. 36.9%). Grade 3 or 4 elevations were also more common (5.5% vs. 0.8%). However, incidences of othe</w:t>
      </w:r>
      <w:r w:rsidR="00C62E61">
        <w:t>r LFT abnormalities (AST, ALKP</w:t>
      </w:r>
      <w:r w:rsidRPr="00184C7D">
        <w:t xml:space="preserve"> </w:t>
      </w:r>
      <w:r w:rsidR="00C62E61">
        <w:t xml:space="preserve">and </w:t>
      </w:r>
      <w:r w:rsidRPr="00184C7D">
        <w:t>bilirubin) were not notably hig</w:t>
      </w:r>
      <w:r w:rsidR="00E2729C">
        <w:t>her with combination treatment.</w:t>
      </w:r>
    </w:p>
    <w:p w:rsidR="00184C7D" w:rsidRPr="002E5661" w:rsidRDefault="00184C7D" w:rsidP="00184C7D">
      <w:pPr>
        <w:pStyle w:val="Heading5"/>
      </w:pPr>
      <w:bookmarkStart w:id="221" w:name="_Toc457234062"/>
      <w:r w:rsidRPr="002E5661">
        <w:t>Study PEP0208</w:t>
      </w:r>
      <w:bookmarkEnd w:id="221"/>
    </w:p>
    <w:p w:rsidR="00184C7D" w:rsidRPr="00184C7D" w:rsidRDefault="00184C7D" w:rsidP="00184C7D">
      <w:r w:rsidRPr="00184C7D">
        <w:t>Grade 3 or 4 elevations were observed in 34.3% of subjects for GGT and 16.2% of subjects for ALKP. For othe</w:t>
      </w:r>
      <w:r w:rsidR="00E2729C">
        <w:t>r LFTs the incidence was &lt; 10%.</w:t>
      </w:r>
    </w:p>
    <w:p w:rsidR="00184C7D" w:rsidRPr="00D364F5" w:rsidRDefault="00184C7D" w:rsidP="00D364F5">
      <w:pPr>
        <w:ind w:left="720"/>
        <w:rPr>
          <w:i/>
        </w:rPr>
      </w:pPr>
      <w:r w:rsidRPr="00D364F5">
        <w:rPr>
          <w:i/>
        </w:rPr>
        <w:t>Comment:</w:t>
      </w:r>
      <w:r w:rsidR="00D364F5" w:rsidRPr="00D364F5">
        <w:rPr>
          <w:i/>
        </w:rPr>
        <w:t xml:space="preserve"> </w:t>
      </w:r>
      <w:r w:rsidRPr="00D364F5">
        <w:rPr>
          <w:i/>
        </w:rPr>
        <w:t xml:space="preserve">Abnormal LFTs are listed as an adverse reaction in the current </w:t>
      </w:r>
      <w:r w:rsidR="00E2729C" w:rsidRPr="00D364F5">
        <w:rPr>
          <w:i/>
        </w:rPr>
        <w:t>PI for conventional irinotecan.</w:t>
      </w:r>
    </w:p>
    <w:p w:rsidR="00184C7D" w:rsidRDefault="00184C7D" w:rsidP="00184C7D">
      <w:pPr>
        <w:pStyle w:val="Heading4"/>
      </w:pPr>
      <w:bookmarkStart w:id="222" w:name="_Toc457234063"/>
      <w:r>
        <w:t>Kidney function</w:t>
      </w:r>
      <w:bookmarkEnd w:id="219"/>
      <w:bookmarkEnd w:id="220"/>
      <w:bookmarkEnd w:id="222"/>
    </w:p>
    <w:p w:rsidR="00184C7D" w:rsidRDefault="00184C7D" w:rsidP="00184C7D">
      <w:pPr>
        <w:pStyle w:val="Heading5"/>
      </w:pPr>
      <w:bookmarkStart w:id="223" w:name="_Toc457234064"/>
      <w:r>
        <w:t>Pivotal study</w:t>
      </w:r>
      <w:bookmarkEnd w:id="223"/>
    </w:p>
    <w:p w:rsidR="00184C7D" w:rsidRPr="00184C7D" w:rsidRDefault="00184C7D" w:rsidP="00184C7D">
      <w:r w:rsidRPr="00184C7D">
        <w:t>Although elevations in serum creatinine occurred more frequently in the combination arm than in the 5-FU/LV arm, there were</w:t>
      </w:r>
      <w:r w:rsidR="00E2729C">
        <w:t xml:space="preserve"> no grade 3 or 4 abnormalities.</w:t>
      </w:r>
    </w:p>
    <w:p w:rsidR="00184C7D" w:rsidRPr="00D31FB1" w:rsidRDefault="00184C7D" w:rsidP="00184C7D">
      <w:pPr>
        <w:pStyle w:val="Heading5"/>
      </w:pPr>
      <w:bookmarkStart w:id="224" w:name="_Toc457234065"/>
      <w:r w:rsidRPr="00D31FB1">
        <w:t>Study PEP0208</w:t>
      </w:r>
      <w:bookmarkEnd w:id="224"/>
    </w:p>
    <w:p w:rsidR="00184C7D" w:rsidRPr="00E2729C" w:rsidRDefault="00184C7D" w:rsidP="00184C7D">
      <w:r w:rsidRPr="00184C7D">
        <w:t xml:space="preserve">There were no grade 3 or 4 </w:t>
      </w:r>
      <w:r w:rsidR="00E2729C">
        <w:t>elevations in serum creatinine.</w:t>
      </w:r>
    </w:p>
    <w:p w:rsidR="00184C7D" w:rsidRPr="00D364F5" w:rsidRDefault="00184C7D" w:rsidP="00D364F5">
      <w:pPr>
        <w:ind w:left="720"/>
        <w:rPr>
          <w:i/>
        </w:rPr>
      </w:pPr>
      <w:r w:rsidRPr="00D364F5">
        <w:rPr>
          <w:i/>
        </w:rPr>
        <w:lastRenderedPageBreak/>
        <w:t>Comment:</w:t>
      </w:r>
      <w:r w:rsidR="00D364F5" w:rsidRPr="00D364F5">
        <w:rPr>
          <w:i/>
        </w:rPr>
        <w:t xml:space="preserve"> </w:t>
      </w:r>
      <w:r w:rsidRPr="00D364F5">
        <w:rPr>
          <w:i/>
        </w:rPr>
        <w:t xml:space="preserve">Increase in serum creatinine and blood urea nitrogen is listed in the current </w:t>
      </w:r>
      <w:r w:rsidR="00E2729C" w:rsidRPr="00D364F5">
        <w:rPr>
          <w:i/>
        </w:rPr>
        <w:t>PI for conventional irinotecan.</w:t>
      </w:r>
    </w:p>
    <w:p w:rsidR="00184C7D" w:rsidRDefault="00184C7D" w:rsidP="00184C7D">
      <w:pPr>
        <w:pStyle w:val="Heading4"/>
      </w:pPr>
      <w:bookmarkStart w:id="225" w:name="_Toc272414671"/>
      <w:bookmarkStart w:id="226" w:name="_Toc290846309"/>
      <w:bookmarkStart w:id="227" w:name="_Toc457234066"/>
      <w:r>
        <w:t>Other clinical chemistry</w:t>
      </w:r>
      <w:bookmarkEnd w:id="225"/>
      <w:bookmarkEnd w:id="226"/>
      <w:bookmarkEnd w:id="227"/>
    </w:p>
    <w:p w:rsidR="00184C7D" w:rsidRDefault="00184C7D" w:rsidP="00184C7D">
      <w:pPr>
        <w:pStyle w:val="Heading5"/>
      </w:pPr>
      <w:bookmarkStart w:id="228" w:name="_Toc457234067"/>
      <w:r>
        <w:t>Pivotal study</w:t>
      </w:r>
      <w:bookmarkEnd w:id="228"/>
    </w:p>
    <w:p w:rsidR="00184C7D" w:rsidRPr="00184C7D" w:rsidRDefault="00184C7D" w:rsidP="00184C7D">
      <w:r w:rsidRPr="00184C7D">
        <w:t>Electrolyte abnormalities (decreases in sodium, potassium, calcium and magnesium) were more common in the combination arm. The abnormalities were predominantly grade 1 in severity. Such abnormalities may have been due t</w:t>
      </w:r>
      <w:r w:rsidR="00E2729C">
        <w:t>o diarrhoea induced by Onivyde.</w:t>
      </w:r>
    </w:p>
    <w:p w:rsidR="00184C7D" w:rsidRPr="00D31FB1" w:rsidRDefault="00184C7D" w:rsidP="00184C7D">
      <w:pPr>
        <w:pStyle w:val="Heading5"/>
      </w:pPr>
      <w:bookmarkStart w:id="229" w:name="_Toc457234068"/>
      <w:r w:rsidRPr="00D31FB1">
        <w:t>Study PEP0208</w:t>
      </w:r>
      <w:bookmarkEnd w:id="229"/>
    </w:p>
    <w:p w:rsidR="00184C7D" w:rsidRPr="00184C7D" w:rsidRDefault="00184C7D" w:rsidP="00184C7D">
      <w:r w:rsidRPr="00184C7D">
        <w:t>Grade 3 or 4 changes in sodium were observed in 23.1% of subjects. For other biochemistry para</w:t>
      </w:r>
      <w:r w:rsidR="00E2729C">
        <w:t>meters the incidence was &lt; 10%.</w:t>
      </w:r>
    </w:p>
    <w:p w:rsidR="00184C7D" w:rsidRDefault="00184C7D" w:rsidP="00184C7D">
      <w:pPr>
        <w:pStyle w:val="Heading4"/>
      </w:pPr>
      <w:bookmarkStart w:id="230" w:name="_Toc272414672"/>
      <w:bookmarkStart w:id="231" w:name="_Toc290846310"/>
      <w:bookmarkStart w:id="232" w:name="_Toc457234069"/>
      <w:r>
        <w:t>Haematology</w:t>
      </w:r>
      <w:bookmarkEnd w:id="230"/>
      <w:bookmarkEnd w:id="231"/>
      <w:bookmarkEnd w:id="232"/>
    </w:p>
    <w:p w:rsidR="00184C7D" w:rsidRDefault="00184C7D" w:rsidP="00184C7D">
      <w:pPr>
        <w:pStyle w:val="Heading5"/>
      </w:pPr>
      <w:bookmarkStart w:id="233" w:name="_Toc457234070"/>
      <w:r>
        <w:t>Pivotal study</w:t>
      </w:r>
      <w:bookmarkEnd w:id="233"/>
    </w:p>
    <w:p w:rsidR="00184C7D" w:rsidRPr="00184C7D" w:rsidRDefault="00184C7D" w:rsidP="00184C7D">
      <w:proofErr w:type="spellStart"/>
      <w:r w:rsidRPr="00184C7D">
        <w:t>Neutropaenia</w:t>
      </w:r>
      <w:proofErr w:type="spellEnd"/>
      <w:r w:rsidRPr="00184C7D">
        <w:t xml:space="preserve"> was more common in the combination arm than in the comparator arm (51.8% vs. 6.0%). Grade 3/4 </w:t>
      </w:r>
      <w:proofErr w:type="spellStart"/>
      <w:r w:rsidRPr="00184C7D">
        <w:t>neutropaenia</w:t>
      </w:r>
      <w:proofErr w:type="spellEnd"/>
      <w:r w:rsidRPr="00184C7D">
        <w:t xml:space="preserve"> was also more common (20.2% vs. 2.3%). Results for </w:t>
      </w:r>
      <w:proofErr w:type="spellStart"/>
      <w:r w:rsidRPr="00184C7D">
        <w:t>leukopaenia</w:t>
      </w:r>
      <w:proofErr w:type="spellEnd"/>
      <w:r w:rsidRPr="00184C7D">
        <w:t xml:space="preserve"> were similar. Decreases in haemoglobin and platelets also occurred more commonly in the combination arm, although grade 3/4 abnormalit</w:t>
      </w:r>
      <w:r w:rsidR="00E2729C">
        <w:t>ies were not notably increased.</w:t>
      </w:r>
    </w:p>
    <w:p w:rsidR="00184C7D" w:rsidRPr="00D31FB1" w:rsidRDefault="00184C7D" w:rsidP="00184C7D">
      <w:pPr>
        <w:pStyle w:val="Heading5"/>
      </w:pPr>
      <w:bookmarkStart w:id="234" w:name="_Toc457234071"/>
      <w:r w:rsidRPr="00D31FB1">
        <w:t>Study PEP0208</w:t>
      </w:r>
      <w:bookmarkEnd w:id="234"/>
    </w:p>
    <w:p w:rsidR="00184C7D" w:rsidRPr="00184C7D" w:rsidRDefault="00184C7D" w:rsidP="00184C7D">
      <w:r w:rsidRPr="00184C7D">
        <w:t xml:space="preserve">25% of subjects developed grade 3 or 4 </w:t>
      </w:r>
      <w:proofErr w:type="spellStart"/>
      <w:r w:rsidRPr="00184C7D">
        <w:t>neutropaenia</w:t>
      </w:r>
      <w:proofErr w:type="spellEnd"/>
      <w:r w:rsidRPr="00184C7D">
        <w:t>, and 22.5% of subjects deve</w:t>
      </w:r>
      <w:r w:rsidR="00E2729C">
        <w:t xml:space="preserve">loped grade 3 or 4 </w:t>
      </w:r>
      <w:proofErr w:type="spellStart"/>
      <w:r w:rsidR="00E2729C">
        <w:t>leukopaenia</w:t>
      </w:r>
      <w:proofErr w:type="spellEnd"/>
      <w:r w:rsidR="00E2729C">
        <w:t>.</w:t>
      </w:r>
    </w:p>
    <w:p w:rsidR="00184C7D" w:rsidRPr="00D4404C" w:rsidRDefault="00184C7D" w:rsidP="00184C7D">
      <w:pPr>
        <w:pStyle w:val="Heading4"/>
      </w:pPr>
      <w:bookmarkStart w:id="235" w:name="_Toc272414675"/>
      <w:bookmarkStart w:id="236" w:name="_Toc290846313"/>
      <w:bookmarkStart w:id="237" w:name="_Toc457234072"/>
      <w:r w:rsidRPr="00D4404C">
        <w:t>Electrocardiograph</w:t>
      </w:r>
      <w:bookmarkEnd w:id="235"/>
      <w:bookmarkEnd w:id="236"/>
      <w:bookmarkEnd w:id="237"/>
    </w:p>
    <w:p w:rsidR="00184C7D" w:rsidRPr="00D4404C" w:rsidRDefault="00184C7D" w:rsidP="00184C7D">
      <w:pPr>
        <w:pStyle w:val="Heading5"/>
      </w:pPr>
      <w:bookmarkStart w:id="238" w:name="_Toc457234073"/>
      <w:r w:rsidRPr="00D4404C">
        <w:t>Pivotal study</w:t>
      </w:r>
      <w:bookmarkEnd w:id="238"/>
    </w:p>
    <w:p w:rsidR="00184C7D" w:rsidRPr="00E2729C" w:rsidRDefault="00184C7D" w:rsidP="00184C7D">
      <w:r w:rsidRPr="00184C7D">
        <w:t>There were no clinicall</w:t>
      </w:r>
      <w:r w:rsidR="00E2729C">
        <w:t xml:space="preserve">y significant changes in ECGs. </w:t>
      </w:r>
    </w:p>
    <w:p w:rsidR="00184C7D" w:rsidRPr="00B64563" w:rsidRDefault="00184C7D" w:rsidP="00184C7D">
      <w:pPr>
        <w:pStyle w:val="Heading5"/>
      </w:pPr>
      <w:bookmarkStart w:id="239" w:name="_Toc457234074"/>
      <w:r w:rsidRPr="00B64563">
        <w:t>Other studies</w:t>
      </w:r>
      <w:bookmarkEnd w:id="239"/>
    </w:p>
    <w:p w:rsidR="00184C7D" w:rsidRPr="00184C7D" w:rsidRDefault="00184C7D" w:rsidP="00184C7D">
      <w:r w:rsidRPr="00184C7D">
        <w:t>ECGs were not routinely mo</w:t>
      </w:r>
      <w:r w:rsidR="00E2729C">
        <w:t>nitored in the phase 2 studies.</w:t>
      </w:r>
    </w:p>
    <w:p w:rsidR="00184C7D" w:rsidRPr="00D4404C" w:rsidRDefault="00184C7D" w:rsidP="00184C7D">
      <w:pPr>
        <w:pStyle w:val="Heading4"/>
      </w:pPr>
      <w:bookmarkStart w:id="240" w:name="_Toc272414676"/>
      <w:bookmarkStart w:id="241" w:name="_Toc290846314"/>
      <w:bookmarkStart w:id="242" w:name="_Toc457234075"/>
      <w:r w:rsidRPr="00D4404C">
        <w:t>Vital signs</w:t>
      </w:r>
      <w:bookmarkEnd w:id="240"/>
      <w:bookmarkEnd w:id="241"/>
      <w:bookmarkEnd w:id="242"/>
    </w:p>
    <w:p w:rsidR="00184C7D" w:rsidRPr="00D4404C" w:rsidRDefault="00184C7D" w:rsidP="00184C7D">
      <w:pPr>
        <w:pStyle w:val="Heading5"/>
      </w:pPr>
      <w:bookmarkStart w:id="243" w:name="_Toc457234076"/>
      <w:bookmarkStart w:id="244" w:name="_Toc272414677"/>
      <w:bookmarkStart w:id="245" w:name="_Toc290846315"/>
      <w:r w:rsidRPr="00D4404C">
        <w:t>Pivotal study</w:t>
      </w:r>
      <w:bookmarkEnd w:id="243"/>
    </w:p>
    <w:p w:rsidR="00184C7D" w:rsidRPr="00184C7D" w:rsidRDefault="00184C7D" w:rsidP="00184C7D">
      <w:r w:rsidRPr="00184C7D">
        <w:t>Significant weight loss (&gt; 5%) occurred more frequently with combination treatment than with 5-FU/LV (52.6% vs. 25.0%). Other abnormalities occur</w:t>
      </w:r>
      <w:r w:rsidR="00E2729C">
        <w:t xml:space="preserve">red with comparable frequency. </w:t>
      </w:r>
    </w:p>
    <w:p w:rsidR="00184C7D" w:rsidRPr="00D4404C" w:rsidRDefault="00184C7D" w:rsidP="00184C7D">
      <w:pPr>
        <w:pStyle w:val="Heading5"/>
      </w:pPr>
      <w:bookmarkStart w:id="246" w:name="_Toc457234077"/>
      <w:r w:rsidRPr="00D4404C">
        <w:t>Other studies</w:t>
      </w:r>
      <w:bookmarkEnd w:id="246"/>
    </w:p>
    <w:p w:rsidR="00184C7D" w:rsidRPr="00B64563" w:rsidRDefault="00184C7D" w:rsidP="00184C7D">
      <w:pPr>
        <w:pStyle w:val="Heading6"/>
      </w:pPr>
      <w:r w:rsidRPr="00B64563">
        <w:t>PEP0208</w:t>
      </w:r>
    </w:p>
    <w:p w:rsidR="00184C7D" w:rsidRPr="00E2729C" w:rsidRDefault="00184C7D" w:rsidP="00184C7D">
      <w:r w:rsidRPr="00184C7D">
        <w:t xml:space="preserve">There were no clinically significant changes observed </w:t>
      </w:r>
      <w:r w:rsidR="00E2729C">
        <w:t>in mean values for vital signs.</w:t>
      </w:r>
    </w:p>
    <w:p w:rsidR="00184C7D" w:rsidRPr="002C5D48" w:rsidRDefault="00184C7D" w:rsidP="00184C7D">
      <w:pPr>
        <w:pStyle w:val="Heading6"/>
      </w:pPr>
      <w:r w:rsidRPr="002C5D48">
        <w:t>PEP0206 (vs. irinotecan)</w:t>
      </w:r>
    </w:p>
    <w:p w:rsidR="00184C7D" w:rsidRPr="00184C7D" w:rsidRDefault="00184C7D" w:rsidP="00E2729C">
      <w:r w:rsidRPr="00184C7D">
        <w:t>No consistent clinically significant changes were observed in blood pressure or pulse rate. Small decreases in mean body weight were observed for both the Onivyde and irinotecan groups over the course of the study.</w:t>
      </w:r>
      <w:bookmarkEnd w:id="244"/>
      <w:bookmarkEnd w:id="245"/>
    </w:p>
    <w:p w:rsidR="00184C7D" w:rsidRDefault="000B7CBC" w:rsidP="00184C7D">
      <w:pPr>
        <w:pStyle w:val="Heading3"/>
      </w:pPr>
      <w:bookmarkStart w:id="247" w:name="_Toc457234078"/>
      <w:bookmarkStart w:id="248" w:name="_Toc490577155"/>
      <w:r>
        <w:lastRenderedPageBreak/>
        <w:t>Phase I</w:t>
      </w:r>
      <w:r w:rsidR="00184C7D">
        <w:t xml:space="preserve"> studies</w:t>
      </w:r>
      <w:bookmarkEnd w:id="247"/>
      <w:bookmarkEnd w:id="248"/>
    </w:p>
    <w:p w:rsidR="00184C7D" w:rsidRDefault="00184C7D" w:rsidP="00184C7D">
      <w:pPr>
        <w:pStyle w:val="Heading4"/>
      </w:pPr>
      <w:bookmarkStart w:id="249" w:name="_Ref314584390"/>
      <w:bookmarkStart w:id="250" w:name="_Toc457234079"/>
      <w:r>
        <w:t>Study PEP0201</w:t>
      </w:r>
      <w:bookmarkEnd w:id="249"/>
      <w:bookmarkEnd w:id="250"/>
    </w:p>
    <w:p w:rsidR="00184C7D" w:rsidRPr="00184C7D" w:rsidRDefault="00184C7D" w:rsidP="00184C7D">
      <w:pPr>
        <w:autoSpaceDE w:val="0"/>
        <w:autoSpaceDN w:val="0"/>
        <w:adjustRightInd w:val="0"/>
      </w:pPr>
      <w:r w:rsidRPr="00184C7D">
        <w:t>This study was the first-in-man trial of Onivyde. It was a phase 1, open, dose-escalation trial that examined the safety and PK of Onivyde as monotherapy in subjects with solid tumours. Three dose levels were tested – 80, 120 and 160 mg/m</w:t>
      </w:r>
      <w:r w:rsidRPr="00184C7D">
        <w:rPr>
          <w:vertAlign w:val="superscript"/>
        </w:rPr>
        <w:t>2</w:t>
      </w:r>
      <w:r w:rsidRPr="00184C7D">
        <w:t xml:space="preserve"> </w:t>
      </w:r>
      <w:r w:rsidR="004251FF" w:rsidRPr="00184C7D">
        <w:t>–</w:t>
      </w:r>
      <w:r w:rsidRPr="00184C7D">
        <w:t xml:space="preserve"> given IV on day 1 of a 21-day cycle.</w:t>
      </w:r>
    </w:p>
    <w:p w:rsidR="00184C7D" w:rsidRPr="00E2729C" w:rsidRDefault="00184C7D" w:rsidP="00E2729C">
      <w:pPr>
        <w:pStyle w:val="Heading5"/>
      </w:pPr>
      <w:r w:rsidRPr="00E2729C">
        <w:t>DLT/MTD</w:t>
      </w:r>
    </w:p>
    <w:p w:rsidR="00184C7D" w:rsidRPr="00184C7D" w:rsidRDefault="00184C7D" w:rsidP="00184C7D">
      <w:pPr>
        <w:autoSpaceDE w:val="0"/>
        <w:autoSpaceDN w:val="0"/>
        <w:adjustRightInd w:val="0"/>
      </w:pPr>
      <w:r w:rsidRPr="00184C7D">
        <w:t>DLTs were defined as:</w:t>
      </w:r>
    </w:p>
    <w:p w:rsidR="00184C7D" w:rsidRPr="00184C7D" w:rsidRDefault="00184C7D" w:rsidP="00184C7D">
      <w:pPr>
        <w:pStyle w:val="ListBullet"/>
        <w:rPr>
          <w:lang w:val="en-US"/>
        </w:rPr>
      </w:pPr>
      <w:r w:rsidRPr="00184C7D">
        <w:rPr>
          <w:lang w:val="en-US"/>
        </w:rPr>
        <w:t xml:space="preserve">Grade 4 </w:t>
      </w:r>
      <w:proofErr w:type="spellStart"/>
      <w:r w:rsidRPr="00184C7D">
        <w:rPr>
          <w:lang w:val="en-US"/>
        </w:rPr>
        <w:t>haematological</w:t>
      </w:r>
      <w:proofErr w:type="spellEnd"/>
      <w:r w:rsidRPr="00184C7D">
        <w:rPr>
          <w:lang w:val="en-US"/>
        </w:rPr>
        <w:t xml:space="preserve"> toxicity lasting for longer than 3 days; or</w:t>
      </w:r>
    </w:p>
    <w:p w:rsidR="00184C7D" w:rsidRPr="00184C7D" w:rsidRDefault="00184C7D" w:rsidP="00184C7D">
      <w:pPr>
        <w:pStyle w:val="ListBullet"/>
        <w:rPr>
          <w:lang w:val="en-US"/>
        </w:rPr>
      </w:pPr>
      <w:r w:rsidRPr="00184C7D">
        <w:rPr>
          <w:lang w:val="en-US"/>
        </w:rPr>
        <w:t xml:space="preserve">Febrile </w:t>
      </w:r>
      <w:proofErr w:type="spellStart"/>
      <w:r w:rsidRPr="00184C7D">
        <w:rPr>
          <w:lang w:val="en-US"/>
        </w:rPr>
        <w:t>neutropaenia</w:t>
      </w:r>
      <w:proofErr w:type="spellEnd"/>
      <w:r w:rsidRPr="00184C7D">
        <w:rPr>
          <w:lang w:val="en-US"/>
        </w:rPr>
        <w:t xml:space="preserve"> (ANC &lt; 0.5 x 10</w:t>
      </w:r>
      <w:r w:rsidRPr="00184C7D">
        <w:rPr>
          <w:vertAlign w:val="superscript"/>
          <w:lang w:val="en-US"/>
        </w:rPr>
        <w:t>9</w:t>
      </w:r>
      <w:r w:rsidRPr="00184C7D">
        <w:rPr>
          <w:lang w:val="en-US"/>
        </w:rPr>
        <w:t>/L with temperature ≥ 38</w:t>
      </w:r>
      <w:r w:rsidRPr="00184C7D">
        <w:rPr>
          <w:vertAlign w:val="superscript"/>
          <w:lang w:val="en-US"/>
        </w:rPr>
        <w:t>°</w:t>
      </w:r>
      <w:r w:rsidRPr="00184C7D">
        <w:rPr>
          <w:lang w:val="en-US"/>
        </w:rPr>
        <w:t>C); or</w:t>
      </w:r>
    </w:p>
    <w:p w:rsidR="00184C7D" w:rsidRPr="00184C7D" w:rsidRDefault="00184C7D" w:rsidP="00184C7D">
      <w:pPr>
        <w:pStyle w:val="ListBullet"/>
        <w:rPr>
          <w:lang w:val="en-US"/>
        </w:rPr>
      </w:pPr>
      <w:r w:rsidRPr="00184C7D">
        <w:rPr>
          <w:lang w:val="en-US"/>
        </w:rPr>
        <w:t>Grade ≥ 3 non-</w:t>
      </w:r>
      <w:proofErr w:type="spellStart"/>
      <w:r w:rsidRPr="00184C7D">
        <w:rPr>
          <w:lang w:val="en-US"/>
        </w:rPr>
        <w:t>haematological</w:t>
      </w:r>
      <w:proofErr w:type="spellEnd"/>
      <w:r w:rsidRPr="00184C7D">
        <w:rPr>
          <w:lang w:val="en-US"/>
        </w:rPr>
        <w:t xml:space="preserve"> toxicity (except grade 3 nausea and vomiting).</w:t>
      </w:r>
    </w:p>
    <w:p w:rsidR="00184C7D" w:rsidRPr="00184C7D" w:rsidRDefault="00184C7D" w:rsidP="00E2729C">
      <w:pPr>
        <w:widowControl w:val="0"/>
        <w:autoSpaceDE w:val="0"/>
        <w:autoSpaceDN w:val="0"/>
        <w:adjustRightInd w:val="0"/>
      </w:pPr>
      <w:r w:rsidRPr="00184C7D">
        <w:t>The maximum tolerated dose (MTD) was defined as the highest dose level at which ≤ 1 out o</w:t>
      </w:r>
      <w:r w:rsidR="00E2729C">
        <w:t>f six patients experienced DLT.</w:t>
      </w:r>
    </w:p>
    <w:p w:rsidR="00184C7D" w:rsidRPr="00184C7D" w:rsidRDefault="00184C7D" w:rsidP="00184C7D">
      <w:pPr>
        <w:autoSpaceDE w:val="0"/>
        <w:autoSpaceDN w:val="0"/>
        <w:adjustRightInd w:val="0"/>
      </w:pPr>
      <w:r w:rsidRPr="00184C7D">
        <w:t>A total of 11 subjects were enrolled. DLTs occurred in 2 of 4 subjects treated with 180 mg/m</w:t>
      </w:r>
      <w:r w:rsidRPr="00184C7D">
        <w:rPr>
          <w:vertAlign w:val="superscript"/>
        </w:rPr>
        <w:t>2</w:t>
      </w:r>
      <w:r w:rsidRPr="00184C7D">
        <w:t xml:space="preserve"> and only 1 of 6 subjects treated with 120 mg/m</w:t>
      </w:r>
      <w:r w:rsidRPr="00184C7D">
        <w:rPr>
          <w:vertAlign w:val="superscript"/>
        </w:rPr>
        <w:t>2</w:t>
      </w:r>
      <w:r w:rsidRPr="00184C7D">
        <w:t>. The MTD was therefore determined to be 120 mg/m</w:t>
      </w:r>
      <w:r w:rsidRPr="00184C7D">
        <w:rPr>
          <w:vertAlign w:val="superscript"/>
        </w:rPr>
        <w:t>2</w:t>
      </w:r>
      <w:r w:rsidRPr="00184C7D">
        <w:t xml:space="preserve"> (when given as mo</w:t>
      </w:r>
      <w:r w:rsidR="00E2729C">
        <w:t>notherapy at 21-day intervals).</w:t>
      </w:r>
    </w:p>
    <w:p w:rsidR="00184C7D" w:rsidRPr="00E2729C" w:rsidRDefault="00184C7D" w:rsidP="00E2729C">
      <w:pPr>
        <w:pStyle w:val="Heading5"/>
      </w:pPr>
      <w:r w:rsidRPr="00E2729C">
        <w:t>Other safety data</w:t>
      </w:r>
    </w:p>
    <w:p w:rsidR="00184C7D" w:rsidRPr="00184C7D" w:rsidRDefault="00184C7D" w:rsidP="00184C7D">
      <w:pPr>
        <w:autoSpaceDE w:val="0"/>
        <w:autoSpaceDN w:val="0"/>
        <w:adjustRightInd w:val="0"/>
      </w:pPr>
      <w:r w:rsidRPr="00184C7D">
        <w:t xml:space="preserve">A total of 40 cycles of treatment were administered to the 11 subjects (range 1-6 per subject). The incidence of AEs was 100%. The most events were diarrhoea (incidence 100%), vomiting (82%), nausea (82%), fatigue, (55%), alopecia (55%), </w:t>
      </w:r>
      <w:proofErr w:type="spellStart"/>
      <w:r w:rsidRPr="00184C7D">
        <w:t>leukopaenia</w:t>
      </w:r>
      <w:proofErr w:type="spellEnd"/>
      <w:r w:rsidRPr="00184C7D">
        <w:t xml:space="preserve"> (36%), </w:t>
      </w:r>
      <w:proofErr w:type="spellStart"/>
      <w:r w:rsidRPr="00184C7D">
        <w:t>neutropaenia</w:t>
      </w:r>
      <w:proofErr w:type="spellEnd"/>
      <w:r w:rsidRPr="00184C7D">
        <w:t xml:space="preserve"> (36%) and weight loss (36%). The incidence of drug-related AEs was also 100%, with a similar pattern of events. Seven subjects (64%) experienced SAEs (mostly gastrointestinal and haematological events). One patient died after developing febrile </w:t>
      </w:r>
      <w:proofErr w:type="spellStart"/>
      <w:r w:rsidRPr="00184C7D">
        <w:t>ne</w:t>
      </w:r>
      <w:r w:rsidR="00E2729C">
        <w:t>utropaenia</w:t>
      </w:r>
      <w:proofErr w:type="spellEnd"/>
      <w:r w:rsidR="00E2729C">
        <w:t xml:space="preserve"> and GIT haemorrhage.</w:t>
      </w:r>
    </w:p>
    <w:p w:rsidR="00184C7D" w:rsidRDefault="00184C7D" w:rsidP="00184C7D">
      <w:pPr>
        <w:pStyle w:val="Heading4"/>
      </w:pPr>
      <w:bookmarkStart w:id="251" w:name="_Ref315164692"/>
      <w:bookmarkStart w:id="252" w:name="_Toc457234080"/>
      <w:r>
        <w:t>Study PIST-CRC-01</w:t>
      </w:r>
      <w:bookmarkEnd w:id="251"/>
      <w:bookmarkEnd w:id="252"/>
    </w:p>
    <w:p w:rsidR="00184C7D" w:rsidRPr="00184C7D" w:rsidRDefault="00184C7D" w:rsidP="00184C7D">
      <w:pPr>
        <w:autoSpaceDE w:val="0"/>
        <w:autoSpaceDN w:val="0"/>
        <w:adjustRightInd w:val="0"/>
      </w:pPr>
      <w:r w:rsidRPr="00184C7D">
        <w:t>This was a phase 1 dose-escalation study of Onivyde as monotherapy in subjects with metastatic colorectal cancer. Three dose levels were tested – 80, 90 and 100 mg/m</w:t>
      </w:r>
      <w:r w:rsidRPr="00184C7D">
        <w:rPr>
          <w:vertAlign w:val="superscript"/>
        </w:rPr>
        <w:t>2</w:t>
      </w:r>
      <w:r w:rsidRPr="00184C7D">
        <w:t xml:space="preserve"> </w:t>
      </w:r>
      <w:r w:rsidR="009A497E" w:rsidRPr="00184C7D">
        <w:t>–</w:t>
      </w:r>
      <w:r w:rsidRPr="00184C7D">
        <w:t xml:space="preserve"> given IV on days 1 and 15 of a 28-day cycle. Escalation above 100 mg/m</w:t>
      </w:r>
      <w:r w:rsidRPr="00184C7D">
        <w:rPr>
          <w:vertAlign w:val="superscript"/>
        </w:rPr>
        <w:t>2</w:t>
      </w:r>
      <w:r w:rsidRPr="00184C7D">
        <w:t xml:space="preserve"> was not permitted in the protocol.</w:t>
      </w:r>
    </w:p>
    <w:p w:rsidR="00184C7D" w:rsidRPr="00E2729C" w:rsidRDefault="00184C7D" w:rsidP="00E2729C">
      <w:pPr>
        <w:pStyle w:val="Heading5"/>
      </w:pPr>
      <w:r w:rsidRPr="00E2729C">
        <w:t>DLT/MTD</w:t>
      </w:r>
    </w:p>
    <w:p w:rsidR="00184C7D" w:rsidRPr="00184C7D" w:rsidRDefault="00184C7D" w:rsidP="00184C7D">
      <w:pPr>
        <w:autoSpaceDE w:val="0"/>
        <w:autoSpaceDN w:val="0"/>
        <w:adjustRightInd w:val="0"/>
      </w:pPr>
      <w:r w:rsidRPr="00184C7D">
        <w:t>DLTs were defined as:</w:t>
      </w:r>
    </w:p>
    <w:p w:rsidR="00184C7D" w:rsidRPr="00184C7D" w:rsidRDefault="00184C7D" w:rsidP="00184C7D">
      <w:pPr>
        <w:pStyle w:val="ListBullet"/>
        <w:rPr>
          <w:lang w:val="en-US"/>
        </w:rPr>
      </w:pPr>
      <w:r w:rsidRPr="00184C7D">
        <w:rPr>
          <w:lang w:val="en-US"/>
        </w:rPr>
        <w:t xml:space="preserve">Grade 4 </w:t>
      </w:r>
      <w:proofErr w:type="spellStart"/>
      <w:r w:rsidRPr="00184C7D">
        <w:rPr>
          <w:lang w:val="en-US"/>
        </w:rPr>
        <w:t>haematological</w:t>
      </w:r>
      <w:proofErr w:type="spellEnd"/>
      <w:r w:rsidRPr="00184C7D">
        <w:rPr>
          <w:lang w:val="en-US"/>
        </w:rPr>
        <w:t xml:space="preserve"> toxicity lasting for longer than 3 days; or</w:t>
      </w:r>
    </w:p>
    <w:p w:rsidR="00184C7D" w:rsidRPr="00184C7D" w:rsidRDefault="00184C7D" w:rsidP="00184C7D">
      <w:pPr>
        <w:pStyle w:val="ListBullet"/>
        <w:rPr>
          <w:lang w:val="en-US"/>
        </w:rPr>
      </w:pPr>
      <w:r w:rsidRPr="00184C7D">
        <w:t xml:space="preserve">Grade 3 </w:t>
      </w:r>
      <w:proofErr w:type="spellStart"/>
      <w:r w:rsidRPr="00184C7D">
        <w:rPr>
          <w:lang w:val="en-US"/>
        </w:rPr>
        <w:t>haematological</w:t>
      </w:r>
      <w:proofErr w:type="spellEnd"/>
      <w:r w:rsidRPr="00184C7D">
        <w:rPr>
          <w:lang w:val="en-US"/>
        </w:rPr>
        <w:t xml:space="preserve"> </w:t>
      </w:r>
      <w:r w:rsidRPr="00184C7D">
        <w:t xml:space="preserve">toxicity associated with complications (e.g., febrile </w:t>
      </w:r>
      <w:proofErr w:type="spellStart"/>
      <w:r w:rsidRPr="00184C7D">
        <w:t>neutropaenia</w:t>
      </w:r>
      <w:proofErr w:type="spellEnd"/>
      <w:r w:rsidRPr="00184C7D">
        <w:t xml:space="preserve"> or bleeding); or</w:t>
      </w:r>
    </w:p>
    <w:p w:rsidR="00184C7D" w:rsidRPr="00184C7D" w:rsidRDefault="00184C7D" w:rsidP="00184C7D">
      <w:pPr>
        <w:pStyle w:val="ListBullet"/>
        <w:rPr>
          <w:lang w:val="en-US"/>
        </w:rPr>
      </w:pPr>
      <w:r w:rsidRPr="00184C7D">
        <w:rPr>
          <w:lang w:val="en-US"/>
        </w:rPr>
        <w:t>Grade ≥ 3 non-</w:t>
      </w:r>
      <w:proofErr w:type="spellStart"/>
      <w:r w:rsidRPr="00184C7D">
        <w:rPr>
          <w:lang w:val="en-US"/>
        </w:rPr>
        <w:t>haematological</w:t>
      </w:r>
      <w:proofErr w:type="spellEnd"/>
      <w:r w:rsidRPr="00184C7D">
        <w:rPr>
          <w:lang w:val="en-US"/>
        </w:rPr>
        <w:t xml:space="preserve"> toxicity (except grade 3 nausea and vomiting);</w:t>
      </w:r>
    </w:p>
    <w:p w:rsidR="00184C7D" w:rsidRPr="00184C7D" w:rsidRDefault="00184C7D" w:rsidP="00184C7D">
      <w:pPr>
        <w:pStyle w:val="ListBullet"/>
        <w:rPr>
          <w:lang w:val="en-US"/>
        </w:rPr>
      </w:pPr>
      <w:r w:rsidRPr="00184C7D">
        <w:rPr>
          <w:lang w:val="en-US"/>
        </w:rPr>
        <w:t>Dose delay of &gt; 2 weeks due to drug-related toxicity.</w:t>
      </w:r>
    </w:p>
    <w:p w:rsidR="00184C7D" w:rsidRPr="00184C7D" w:rsidRDefault="00184C7D" w:rsidP="00E2729C">
      <w:pPr>
        <w:widowControl w:val="0"/>
        <w:autoSpaceDE w:val="0"/>
        <w:autoSpaceDN w:val="0"/>
        <w:adjustRightInd w:val="0"/>
      </w:pPr>
      <w:r w:rsidRPr="00184C7D">
        <w:t>The MTD was defined as the highest dose level at which no more than 1 out o</w:t>
      </w:r>
      <w:r w:rsidR="00E2729C">
        <w:t>f six patients experienced DLT.</w:t>
      </w:r>
    </w:p>
    <w:p w:rsidR="00184C7D" w:rsidRPr="00184C7D" w:rsidRDefault="00184C7D" w:rsidP="00184C7D">
      <w:pPr>
        <w:autoSpaceDE w:val="0"/>
        <w:autoSpaceDN w:val="0"/>
        <w:adjustRightInd w:val="0"/>
      </w:pPr>
      <w:r w:rsidRPr="00184C7D">
        <w:t>A total of 18 subjects were enrolled. One subject at each dose level developed a DLT. As dose escalation beyond 100 mg/m</w:t>
      </w:r>
      <w:r w:rsidRPr="00184C7D">
        <w:rPr>
          <w:vertAlign w:val="superscript"/>
        </w:rPr>
        <w:t>2</w:t>
      </w:r>
      <w:r w:rsidRPr="00184C7D">
        <w:t xml:space="preserve"> was not permitted, this dose level was determined to be the MTD (when given as monotherapy at 14</w:t>
      </w:r>
      <w:r w:rsidR="00E2729C">
        <w:t>-day intervals).</w:t>
      </w:r>
    </w:p>
    <w:p w:rsidR="00184C7D" w:rsidRPr="00E2729C" w:rsidRDefault="00184C7D" w:rsidP="00E2729C">
      <w:pPr>
        <w:pStyle w:val="Heading5"/>
      </w:pPr>
      <w:r w:rsidRPr="00E2729C">
        <w:t>Other safety data</w:t>
      </w:r>
    </w:p>
    <w:p w:rsidR="00184C7D" w:rsidRPr="00184C7D" w:rsidRDefault="00184C7D" w:rsidP="00184C7D">
      <w:pPr>
        <w:autoSpaceDE w:val="0"/>
        <w:autoSpaceDN w:val="0"/>
        <w:adjustRightInd w:val="0"/>
      </w:pPr>
      <w:r w:rsidRPr="00184C7D">
        <w:t xml:space="preserve">A total of 109 cycles were administered to the 18 subjects (median </w:t>
      </w:r>
      <w:proofErr w:type="gramStart"/>
      <w:r w:rsidRPr="00184C7D">
        <w:t>4 cycles/subject, range 2-18</w:t>
      </w:r>
      <w:proofErr w:type="gramEnd"/>
      <w:r w:rsidRPr="00184C7D">
        <w:t xml:space="preserve">). AEs and treatment-related AEs occurred in 100% of subjects. Grade 3 or 4 AEs occurred in </w:t>
      </w:r>
      <w:r w:rsidRPr="00184C7D">
        <w:lastRenderedPageBreak/>
        <w:t>72% of subjects and SAEs in 17%. There were no deaths due to AEs. The most common toxicities assessed as treatment-related were:</w:t>
      </w:r>
    </w:p>
    <w:p w:rsidR="00184C7D" w:rsidRPr="00184C7D" w:rsidRDefault="00184C7D" w:rsidP="00184C7D">
      <w:pPr>
        <w:pStyle w:val="ListBullet"/>
        <w:rPr>
          <w:lang w:val="en-US"/>
        </w:rPr>
      </w:pPr>
      <w:r w:rsidRPr="00184C7D">
        <w:rPr>
          <w:lang w:val="en-US"/>
        </w:rPr>
        <w:t xml:space="preserve">Gastrointestinal - </w:t>
      </w:r>
      <w:proofErr w:type="spellStart"/>
      <w:r w:rsidRPr="00184C7D">
        <w:rPr>
          <w:lang w:val="en-US"/>
        </w:rPr>
        <w:t>diarrhoea</w:t>
      </w:r>
      <w:proofErr w:type="spellEnd"/>
      <w:r w:rsidRPr="00184C7D">
        <w:rPr>
          <w:lang w:val="en-US"/>
        </w:rPr>
        <w:t xml:space="preserve"> (incidence 77.8%), nausea (77.8%), anorexia (77.8%) and vomiting (66.7%);</w:t>
      </w:r>
    </w:p>
    <w:p w:rsidR="00184C7D" w:rsidRPr="00184C7D" w:rsidRDefault="00184C7D" w:rsidP="00184C7D">
      <w:pPr>
        <w:pStyle w:val="ListBullet"/>
        <w:rPr>
          <w:lang w:val="en-US"/>
        </w:rPr>
      </w:pPr>
      <w:proofErr w:type="spellStart"/>
      <w:r w:rsidRPr="00184C7D">
        <w:rPr>
          <w:lang w:val="en-US"/>
        </w:rPr>
        <w:t>Haematological</w:t>
      </w:r>
      <w:proofErr w:type="spellEnd"/>
      <w:r w:rsidRPr="00184C7D">
        <w:rPr>
          <w:lang w:val="en-US"/>
        </w:rPr>
        <w:t xml:space="preserve"> - </w:t>
      </w:r>
      <w:r w:rsidRPr="00184C7D">
        <w:t>anaemia (66.7%), leukopenia (61.1%), and neutropenia (55.6%);</w:t>
      </w:r>
    </w:p>
    <w:p w:rsidR="00184C7D" w:rsidRPr="00184C7D" w:rsidRDefault="00184C7D" w:rsidP="00184C7D">
      <w:pPr>
        <w:pStyle w:val="ListBullet"/>
        <w:rPr>
          <w:lang w:val="en-US"/>
        </w:rPr>
      </w:pPr>
      <w:r w:rsidRPr="00184C7D">
        <w:t>Alopecia (88.9%);</w:t>
      </w:r>
    </w:p>
    <w:p w:rsidR="00184C7D" w:rsidRPr="00184C7D" w:rsidRDefault="00184C7D" w:rsidP="00184C7D">
      <w:pPr>
        <w:pStyle w:val="ListBullet"/>
        <w:rPr>
          <w:lang w:val="en-US"/>
        </w:rPr>
      </w:pPr>
      <w:r w:rsidRPr="00184C7D">
        <w:t>Mucosal inflammation (61.1%);</w:t>
      </w:r>
    </w:p>
    <w:p w:rsidR="00184C7D" w:rsidRPr="00E2729C" w:rsidRDefault="00184C7D" w:rsidP="00E2729C">
      <w:pPr>
        <w:pStyle w:val="ListBullet"/>
        <w:rPr>
          <w:lang w:val="en-US"/>
        </w:rPr>
      </w:pPr>
      <w:r w:rsidRPr="00184C7D">
        <w:t>Fatigue (50.0%);</w:t>
      </w:r>
    </w:p>
    <w:p w:rsidR="00184C7D" w:rsidRPr="00497745" w:rsidRDefault="00184C7D" w:rsidP="00184C7D">
      <w:pPr>
        <w:pStyle w:val="Heading4"/>
      </w:pPr>
      <w:bookmarkStart w:id="253" w:name="_Ref315182243"/>
      <w:bookmarkStart w:id="254" w:name="_Toc457234081"/>
      <w:r>
        <w:t>Study PEP0203</w:t>
      </w:r>
      <w:bookmarkEnd w:id="253"/>
      <w:bookmarkEnd w:id="254"/>
    </w:p>
    <w:p w:rsidR="00184C7D" w:rsidRPr="00184C7D" w:rsidRDefault="00184C7D" w:rsidP="00184C7D">
      <w:pPr>
        <w:autoSpaceDE w:val="0"/>
        <w:autoSpaceDN w:val="0"/>
        <w:adjustRightInd w:val="0"/>
      </w:pPr>
      <w:r w:rsidRPr="00184C7D">
        <w:t xml:space="preserve">This was a phase 1, open dose-escalation trial that examined the safety of Onivyde in combination with 5-fluorouracil and </w:t>
      </w:r>
      <w:proofErr w:type="spellStart"/>
      <w:r w:rsidRPr="00184C7D">
        <w:t>leucovorin</w:t>
      </w:r>
      <w:proofErr w:type="spellEnd"/>
      <w:r w:rsidRPr="00184C7D">
        <w:t xml:space="preserve"> in subjects with advanced solid tumours. Four dose levels of Onivyde were tested – 60, 80, 100 and 120 mg/m</w:t>
      </w:r>
      <w:r w:rsidRPr="00184C7D">
        <w:rPr>
          <w:vertAlign w:val="superscript"/>
        </w:rPr>
        <w:t>2</w:t>
      </w:r>
      <w:r w:rsidRPr="00184C7D">
        <w:t xml:space="preserve"> - given IV on day 1 of a 21-day cycle. All subjects also received 5-fluorouracil 2000 mg/m</w:t>
      </w:r>
      <w:r w:rsidRPr="00184C7D">
        <w:rPr>
          <w:vertAlign w:val="superscript"/>
        </w:rPr>
        <w:t>2</w:t>
      </w:r>
      <w:r w:rsidRPr="00184C7D">
        <w:t xml:space="preserve"> IV and </w:t>
      </w:r>
      <w:proofErr w:type="spellStart"/>
      <w:r w:rsidRPr="00184C7D">
        <w:t>leucovorin</w:t>
      </w:r>
      <w:proofErr w:type="spellEnd"/>
      <w:r w:rsidRPr="00184C7D">
        <w:t xml:space="preserve"> 200 mg/ m</w:t>
      </w:r>
      <w:r w:rsidRPr="00184C7D">
        <w:rPr>
          <w:vertAlign w:val="superscript"/>
        </w:rPr>
        <w:t>2</w:t>
      </w:r>
      <w:r w:rsidRPr="00184C7D">
        <w:t xml:space="preserve"> IV (both over 24 hours) on days 1 and 8 of the 21-day cycle. </w:t>
      </w:r>
    </w:p>
    <w:p w:rsidR="00184C7D" w:rsidRPr="00E2729C" w:rsidRDefault="00184C7D" w:rsidP="00E2729C">
      <w:pPr>
        <w:pStyle w:val="Heading5"/>
      </w:pPr>
      <w:r w:rsidRPr="00E2729C">
        <w:t>DLT/MTD</w:t>
      </w:r>
    </w:p>
    <w:p w:rsidR="00184C7D" w:rsidRPr="00184C7D" w:rsidRDefault="00184C7D" w:rsidP="00184C7D">
      <w:pPr>
        <w:autoSpaceDE w:val="0"/>
        <w:autoSpaceDN w:val="0"/>
        <w:adjustRightInd w:val="0"/>
      </w:pPr>
      <w:r w:rsidRPr="00184C7D">
        <w:t>DLTs were defined as a toxicity occurring during the first cycle consisting of:</w:t>
      </w:r>
    </w:p>
    <w:p w:rsidR="00184C7D" w:rsidRPr="00184C7D" w:rsidRDefault="00184C7D" w:rsidP="00184C7D">
      <w:pPr>
        <w:pStyle w:val="ListBullet"/>
        <w:rPr>
          <w:lang w:val="en-US"/>
        </w:rPr>
      </w:pPr>
      <w:r w:rsidRPr="00184C7D">
        <w:rPr>
          <w:lang w:val="en-US"/>
        </w:rPr>
        <w:t xml:space="preserve">Grade 4 </w:t>
      </w:r>
      <w:proofErr w:type="spellStart"/>
      <w:r w:rsidRPr="00184C7D">
        <w:rPr>
          <w:lang w:val="en-US"/>
        </w:rPr>
        <w:t>haematological</w:t>
      </w:r>
      <w:proofErr w:type="spellEnd"/>
      <w:r w:rsidRPr="00184C7D">
        <w:rPr>
          <w:lang w:val="en-US"/>
        </w:rPr>
        <w:t xml:space="preserve"> toxicity lasting at least 3 days; or</w:t>
      </w:r>
    </w:p>
    <w:p w:rsidR="00184C7D" w:rsidRPr="00184C7D" w:rsidRDefault="00184C7D" w:rsidP="00184C7D">
      <w:pPr>
        <w:pStyle w:val="ListBullet"/>
        <w:rPr>
          <w:lang w:val="en-US"/>
        </w:rPr>
      </w:pPr>
      <w:r w:rsidRPr="00184C7D">
        <w:t xml:space="preserve">Grade 3 </w:t>
      </w:r>
      <w:proofErr w:type="spellStart"/>
      <w:r w:rsidRPr="00184C7D">
        <w:rPr>
          <w:lang w:val="en-US"/>
        </w:rPr>
        <w:t>haematological</w:t>
      </w:r>
      <w:proofErr w:type="spellEnd"/>
      <w:r w:rsidRPr="00184C7D">
        <w:rPr>
          <w:lang w:val="en-US"/>
        </w:rPr>
        <w:t xml:space="preserve"> </w:t>
      </w:r>
      <w:r w:rsidRPr="00184C7D">
        <w:t xml:space="preserve">toxicity associated with complications (e.g., febrile </w:t>
      </w:r>
      <w:proofErr w:type="spellStart"/>
      <w:r w:rsidRPr="00184C7D">
        <w:t>neutropaenia</w:t>
      </w:r>
      <w:proofErr w:type="spellEnd"/>
      <w:r w:rsidRPr="00184C7D">
        <w:t xml:space="preserve"> or bleeding); or</w:t>
      </w:r>
    </w:p>
    <w:p w:rsidR="00184C7D" w:rsidRPr="00184C7D" w:rsidRDefault="00184C7D" w:rsidP="00184C7D">
      <w:pPr>
        <w:pStyle w:val="ListBullet"/>
        <w:rPr>
          <w:lang w:val="en-US"/>
        </w:rPr>
      </w:pPr>
      <w:r w:rsidRPr="00184C7D">
        <w:rPr>
          <w:lang w:val="en-US"/>
        </w:rPr>
        <w:t>Grade ≥ 3 non-</w:t>
      </w:r>
      <w:proofErr w:type="spellStart"/>
      <w:r w:rsidRPr="00184C7D">
        <w:rPr>
          <w:lang w:val="en-US"/>
        </w:rPr>
        <w:t>haematological</w:t>
      </w:r>
      <w:proofErr w:type="spellEnd"/>
      <w:r w:rsidRPr="00184C7D">
        <w:rPr>
          <w:lang w:val="en-US"/>
        </w:rPr>
        <w:t xml:space="preserve"> toxicity (except grade 3 nausea and vomiting);</w:t>
      </w:r>
    </w:p>
    <w:p w:rsidR="00184C7D" w:rsidRPr="00184C7D" w:rsidRDefault="00184C7D" w:rsidP="00184C7D">
      <w:pPr>
        <w:pStyle w:val="ListBullet"/>
        <w:rPr>
          <w:lang w:val="en-US"/>
        </w:rPr>
      </w:pPr>
      <w:r w:rsidRPr="00184C7D">
        <w:rPr>
          <w:lang w:val="en-US"/>
        </w:rPr>
        <w:t>Dose delay of &gt; 2 weeks due to drug-related toxicity.</w:t>
      </w:r>
    </w:p>
    <w:p w:rsidR="00184C7D" w:rsidRPr="00184C7D" w:rsidRDefault="00184C7D" w:rsidP="00E2729C">
      <w:pPr>
        <w:widowControl w:val="0"/>
        <w:autoSpaceDE w:val="0"/>
        <w:autoSpaceDN w:val="0"/>
        <w:adjustRightInd w:val="0"/>
      </w:pPr>
      <w:r w:rsidRPr="00184C7D">
        <w:t>The MTD was defined as the highest dose level at which no more than 1 out o</w:t>
      </w:r>
      <w:r w:rsidR="00E2729C">
        <w:t>f six patients experienced DLT.</w:t>
      </w:r>
    </w:p>
    <w:p w:rsidR="00184C7D" w:rsidRPr="00184C7D" w:rsidRDefault="00184C7D" w:rsidP="00184C7D">
      <w:pPr>
        <w:autoSpaceDE w:val="0"/>
        <w:autoSpaceDN w:val="0"/>
        <w:adjustRightInd w:val="0"/>
      </w:pPr>
      <w:r w:rsidRPr="00184C7D">
        <w:t>A total of 16 subjects were enrolled. No subjects in the 60 and 80 mg/m</w:t>
      </w:r>
      <w:r w:rsidRPr="00184C7D">
        <w:rPr>
          <w:vertAlign w:val="superscript"/>
        </w:rPr>
        <w:t>2</w:t>
      </w:r>
      <w:r w:rsidRPr="00184C7D">
        <w:t xml:space="preserve"> cohorts experienced a DLT. 2/5 subjects in the 100 mg/m</w:t>
      </w:r>
      <w:r w:rsidRPr="00184C7D">
        <w:rPr>
          <w:vertAlign w:val="superscript"/>
        </w:rPr>
        <w:t>2</w:t>
      </w:r>
      <w:r w:rsidRPr="00184C7D">
        <w:t xml:space="preserve"> cohort and 2/2 subjects in the 120 mg/m</w:t>
      </w:r>
      <w:r w:rsidRPr="00184C7D">
        <w:rPr>
          <w:vertAlign w:val="superscript"/>
        </w:rPr>
        <w:t>2</w:t>
      </w:r>
      <w:r w:rsidRPr="00184C7D">
        <w:t xml:space="preserve"> cohort experienced DLTs. The MTD was therefore determined to be 80 mg/m</w:t>
      </w:r>
      <w:r w:rsidRPr="00184C7D">
        <w:rPr>
          <w:vertAlign w:val="superscript"/>
        </w:rPr>
        <w:t>2</w:t>
      </w:r>
      <w:r w:rsidRPr="00184C7D">
        <w:t xml:space="preserve"> (when given in combination </w:t>
      </w:r>
      <w:r w:rsidR="00E2729C">
        <w:t>with 5FU/LV in a 21-day cycle).</w:t>
      </w:r>
    </w:p>
    <w:p w:rsidR="00184C7D" w:rsidRPr="00E2729C" w:rsidRDefault="00184C7D" w:rsidP="00E2729C">
      <w:pPr>
        <w:pStyle w:val="Heading5"/>
      </w:pPr>
      <w:r w:rsidRPr="00E2729C">
        <w:t>Other safety data</w:t>
      </w:r>
    </w:p>
    <w:p w:rsidR="00184C7D" w:rsidRPr="00184C7D" w:rsidRDefault="00184C7D" w:rsidP="00184C7D">
      <w:pPr>
        <w:autoSpaceDE w:val="0"/>
        <w:autoSpaceDN w:val="0"/>
        <w:adjustRightInd w:val="0"/>
      </w:pPr>
      <w:r w:rsidRPr="00184C7D">
        <w:t>The median number of cycles administered to the 16 subjects was 4.5 (range 1 to 6). AEs occurred in 100% of subjects and treatment-related AEs in 94%. Grade 3 or 4 AEs occurred in 44% of subjects and SAEs in 62.5%. There were no deaths due to treatment-related AEs. The most common toxicities assessed as treatment-related were:</w:t>
      </w:r>
    </w:p>
    <w:p w:rsidR="00184C7D" w:rsidRPr="00184C7D" w:rsidRDefault="00184C7D" w:rsidP="00184C7D">
      <w:pPr>
        <w:pStyle w:val="ListBullet"/>
        <w:rPr>
          <w:lang w:val="en-US"/>
        </w:rPr>
      </w:pPr>
      <w:r w:rsidRPr="00184C7D">
        <w:rPr>
          <w:lang w:val="en-US"/>
        </w:rPr>
        <w:t xml:space="preserve">Gastrointestinal - nausea (incidence 81.3%), </w:t>
      </w:r>
      <w:proofErr w:type="spellStart"/>
      <w:r w:rsidRPr="00184C7D">
        <w:rPr>
          <w:lang w:val="en-US"/>
        </w:rPr>
        <w:t>diarrhoea</w:t>
      </w:r>
      <w:proofErr w:type="spellEnd"/>
      <w:r w:rsidRPr="00184C7D">
        <w:rPr>
          <w:lang w:val="en-US"/>
        </w:rPr>
        <w:t xml:space="preserve"> (75.0%), vomiting (75.0%) and abdominal pain (43.8%);</w:t>
      </w:r>
    </w:p>
    <w:p w:rsidR="00184C7D" w:rsidRPr="00184C7D" w:rsidRDefault="00184C7D" w:rsidP="00184C7D">
      <w:pPr>
        <w:pStyle w:val="ListBullet"/>
        <w:rPr>
          <w:lang w:val="en-US"/>
        </w:rPr>
      </w:pPr>
      <w:r w:rsidRPr="00184C7D">
        <w:t>Weight loss (50.0%);</w:t>
      </w:r>
    </w:p>
    <w:p w:rsidR="00184C7D" w:rsidRPr="00184C7D" w:rsidRDefault="00184C7D" w:rsidP="00184C7D">
      <w:pPr>
        <w:pStyle w:val="ListBullet"/>
        <w:rPr>
          <w:lang w:val="en-US"/>
        </w:rPr>
      </w:pPr>
      <w:r w:rsidRPr="00184C7D">
        <w:t>Hypokalaemia (50.0%)</w:t>
      </w:r>
    </w:p>
    <w:p w:rsidR="00184C7D" w:rsidRPr="00184C7D" w:rsidRDefault="00184C7D" w:rsidP="00184C7D">
      <w:pPr>
        <w:pStyle w:val="ListBullet"/>
        <w:rPr>
          <w:lang w:val="en-US"/>
        </w:rPr>
      </w:pPr>
      <w:r w:rsidRPr="00184C7D">
        <w:t>Fatigue (50.0%);</w:t>
      </w:r>
    </w:p>
    <w:p w:rsidR="00184C7D" w:rsidRPr="00184C7D" w:rsidRDefault="00184C7D" w:rsidP="00184C7D">
      <w:pPr>
        <w:pStyle w:val="ListBullet"/>
        <w:rPr>
          <w:lang w:val="en-US"/>
        </w:rPr>
      </w:pPr>
      <w:proofErr w:type="spellStart"/>
      <w:r w:rsidRPr="00184C7D">
        <w:rPr>
          <w:lang w:val="en-US"/>
        </w:rPr>
        <w:t>Haematological</w:t>
      </w:r>
      <w:proofErr w:type="spellEnd"/>
      <w:r w:rsidRPr="00184C7D">
        <w:rPr>
          <w:lang w:val="en-US"/>
        </w:rPr>
        <w:t xml:space="preserve"> - </w:t>
      </w:r>
      <w:r w:rsidRPr="00184C7D">
        <w:t>anaemia (43.8%), leukopenia (37.5%), and neutropenia (</w:t>
      </w:r>
      <w:proofErr w:type="gramStart"/>
      <w:r w:rsidRPr="00184C7D">
        <w:t>37.5%</w:t>
      </w:r>
      <w:proofErr w:type="gramEnd"/>
      <w:r w:rsidRPr="00184C7D">
        <w:t>%);</w:t>
      </w:r>
    </w:p>
    <w:p w:rsidR="00184C7D" w:rsidRPr="00184C7D" w:rsidRDefault="00184C7D" w:rsidP="00184C7D">
      <w:pPr>
        <w:pStyle w:val="ListBullet"/>
        <w:rPr>
          <w:lang w:val="en-US"/>
        </w:rPr>
      </w:pPr>
      <w:r w:rsidRPr="00184C7D">
        <w:t>Mucosal inflammation (43.8%);</w:t>
      </w:r>
    </w:p>
    <w:p w:rsidR="00184C7D" w:rsidRPr="00E2729C" w:rsidRDefault="00184C7D" w:rsidP="00E2729C">
      <w:pPr>
        <w:pStyle w:val="ListBullet"/>
        <w:rPr>
          <w:lang w:val="en-US"/>
        </w:rPr>
      </w:pPr>
      <w:r w:rsidRPr="00184C7D">
        <w:t>Pyrexia (43.8%).</w:t>
      </w:r>
    </w:p>
    <w:p w:rsidR="00184C7D" w:rsidRPr="00497745" w:rsidRDefault="00184C7D" w:rsidP="00184C7D">
      <w:pPr>
        <w:pStyle w:val="Heading4"/>
      </w:pPr>
      <w:bookmarkStart w:id="255" w:name="_Toc457234082"/>
      <w:r>
        <w:lastRenderedPageBreak/>
        <w:t>Study PEP0202</w:t>
      </w:r>
      <w:bookmarkEnd w:id="255"/>
    </w:p>
    <w:p w:rsidR="00184C7D" w:rsidRPr="00184C7D" w:rsidRDefault="00184C7D" w:rsidP="00184C7D">
      <w:pPr>
        <w:autoSpaceDE w:val="0"/>
        <w:autoSpaceDN w:val="0"/>
        <w:adjustRightInd w:val="0"/>
      </w:pPr>
      <w:r w:rsidRPr="00184C7D">
        <w:t>This was a phase 1, open dose-escalation trial that examined the safety of Onivyde in combination with cisplatin in subjects with advanced carcinoma of the cervix. Two dose levels of Onivyde were tested – 60 and 80 mg/m</w:t>
      </w:r>
      <w:r w:rsidRPr="00184C7D">
        <w:rPr>
          <w:vertAlign w:val="superscript"/>
        </w:rPr>
        <w:t>2</w:t>
      </w:r>
      <w:r w:rsidRPr="00184C7D">
        <w:t xml:space="preserve"> - given IV on day 1 of a 21-day cycle. All subjects also received cisplatin 60 mg/m</w:t>
      </w:r>
      <w:r w:rsidRPr="00184C7D">
        <w:rPr>
          <w:vertAlign w:val="superscript"/>
        </w:rPr>
        <w:t>2</w:t>
      </w:r>
      <w:r w:rsidRPr="00184C7D">
        <w:t xml:space="preserve"> IV on day 1 of the 21-day cycle. Further phase 1 dose escalation of Onivyde up to 120 mg/m</w:t>
      </w:r>
      <w:r w:rsidRPr="00184C7D">
        <w:rPr>
          <w:vertAlign w:val="superscript"/>
        </w:rPr>
        <w:t>2</w:t>
      </w:r>
      <w:r w:rsidRPr="00184C7D">
        <w:t>, and a planned phase 2 portion of the tr</w:t>
      </w:r>
      <w:r w:rsidR="00E2729C">
        <w:t>ial did not proceed.</w:t>
      </w:r>
    </w:p>
    <w:p w:rsidR="00184C7D" w:rsidRPr="00E2729C" w:rsidRDefault="00184C7D" w:rsidP="00E2729C">
      <w:pPr>
        <w:pStyle w:val="Heading5"/>
      </w:pPr>
      <w:r w:rsidRPr="00E2729C">
        <w:t>DLT/MTD</w:t>
      </w:r>
    </w:p>
    <w:p w:rsidR="00184C7D" w:rsidRPr="00184C7D" w:rsidRDefault="00184C7D" w:rsidP="00184C7D">
      <w:pPr>
        <w:autoSpaceDE w:val="0"/>
        <w:autoSpaceDN w:val="0"/>
        <w:adjustRightInd w:val="0"/>
      </w:pPr>
      <w:r w:rsidRPr="00184C7D">
        <w:t xml:space="preserve">DLT was defined as drug-related toxicity occurring </w:t>
      </w:r>
      <w:r w:rsidRPr="00184C7D">
        <w:rPr>
          <w:i/>
        </w:rPr>
        <w:t>in the first cycle</w:t>
      </w:r>
      <w:r w:rsidRPr="00184C7D">
        <w:t xml:space="preserve"> and consisting of at least one of the following:</w:t>
      </w:r>
    </w:p>
    <w:p w:rsidR="00184C7D" w:rsidRPr="00184C7D" w:rsidRDefault="00184C7D" w:rsidP="00184C7D">
      <w:pPr>
        <w:pStyle w:val="ListBullet"/>
        <w:rPr>
          <w:lang w:val="en-US"/>
        </w:rPr>
      </w:pPr>
      <w:r w:rsidRPr="00184C7D">
        <w:rPr>
          <w:lang w:val="en-US"/>
        </w:rPr>
        <w:t xml:space="preserve">Grade 4 </w:t>
      </w:r>
      <w:proofErr w:type="spellStart"/>
      <w:r w:rsidRPr="00184C7D">
        <w:rPr>
          <w:lang w:val="en-US"/>
        </w:rPr>
        <w:t>haematological</w:t>
      </w:r>
      <w:proofErr w:type="spellEnd"/>
      <w:r w:rsidRPr="00184C7D">
        <w:rPr>
          <w:lang w:val="en-US"/>
        </w:rPr>
        <w:t xml:space="preserve"> toxicity lasting for longer than 3 days; or</w:t>
      </w:r>
    </w:p>
    <w:p w:rsidR="00184C7D" w:rsidRPr="00184C7D" w:rsidRDefault="00184C7D" w:rsidP="00184C7D">
      <w:pPr>
        <w:pStyle w:val="ListBullet"/>
        <w:rPr>
          <w:lang w:val="en-US"/>
        </w:rPr>
      </w:pPr>
      <w:r w:rsidRPr="00184C7D">
        <w:t xml:space="preserve">Grade 3 </w:t>
      </w:r>
      <w:proofErr w:type="spellStart"/>
      <w:r w:rsidRPr="00184C7D">
        <w:rPr>
          <w:lang w:val="en-US"/>
        </w:rPr>
        <w:t>haematological</w:t>
      </w:r>
      <w:proofErr w:type="spellEnd"/>
      <w:r w:rsidRPr="00184C7D">
        <w:rPr>
          <w:lang w:val="en-US"/>
        </w:rPr>
        <w:t xml:space="preserve"> </w:t>
      </w:r>
      <w:r w:rsidRPr="00184C7D">
        <w:t xml:space="preserve">toxicity associated with complications (e.g., febrile </w:t>
      </w:r>
      <w:proofErr w:type="spellStart"/>
      <w:r w:rsidRPr="00184C7D">
        <w:t>neutropaenia</w:t>
      </w:r>
      <w:proofErr w:type="spellEnd"/>
      <w:r w:rsidRPr="00184C7D">
        <w:t xml:space="preserve"> or bleeding)</w:t>
      </w:r>
    </w:p>
    <w:p w:rsidR="00184C7D" w:rsidRPr="00184C7D" w:rsidRDefault="00184C7D" w:rsidP="00184C7D">
      <w:pPr>
        <w:pStyle w:val="ListBullet"/>
        <w:rPr>
          <w:lang w:val="en-US"/>
        </w:rPr>
      </w:pPr>
      <w:r w:rsidRPr="00184C7D">
        <w:rPr>
          <w:lang w:val="en-US"/>
        </w:rPr>
        <w:t>Grade ≥ 3 non-</w:t>
      </w:r>
      <w:proofErr w:type="spellStart"/>
      <w:r w:rsidRPr="00184C7D">
        <w:rPr>
          <w:lang w:val="en-US"/>
        </w:rPr>
        <w:t>haematological</w:t>
      </w:r>
      <w:proofErr w:type="spellEnd"/>
      <w:r w:rsidRPr="00184C7D">
        <w:rPr>
          <w:lang w:val="en-US"/>
        </w:rPr>
        <w:t xml:space="preserve"> toxicity (except for alopecia and nausea and vomiting that responded to treatment);</w:t>
      </w:r>
    </w:p>
    <w:p w:rsidR="00184C7D" w:rsidRPr="00184C7D" w:rsidRDefault="00184C7D" w:rsidP="00184C7D">
      <w:pPr>
        <w:pStyle w:val="ListBullet"/>
        <w:rPr>
          <w:lang w:val="en-US"/>
        </w:rPr>
      </w:pPr>
      <w:r w:rsidRPr="00184C7D">
        <w:rPr>
          <w:lang w:val="en-US"/>
        </w:rPr>
        <w:t>Dose delay of &gt; 2 weeks due to drug-related toxicity.</w:t>
      </w:r>
    </w:p>
    <w:p w:rsidR="00184C7D" w:rsidRPr="00184C7D" w:rsidRDefault="00184C7D" w:rsidP="00E2729C">
      <w:pPr>
        <w:widowControl w:val="0"/>
        <w:autoSpaceDE w:val="0"/>
        <w:autoSpaceDN w:val="0"/>
        <w:adjustRightInd w:val="0"/>
      </w:pPr>
      <w:r w:rsidRPr="00184C7D">
        <w:t>The maximum tolerated dose (MTD) was defined as the highest dose level at which ≤ 1 out o</w:t>
      </w:r>
      <w:r w:rsidR="00E2729C">
        <w:t>f six patients experienced DLT.</w:t>
      </w:r>
    </w:p>
    <w:p w:rsidR="00184C7D" w:rsidRPr="00184C7D" w:rsidRDefault="00184C7D" w:rsidP="00184C7D">
      <w:pPr>
        <w:autoSpaceDE w:val="0"/>
        <w:autoSpaceDN w:val="0"/>
        <w:adjustRightInd w:val="0"/>
      </w:pPr>
      <w:r w:rsidRPr="00184C7D">
        <w:t>Three subjects were treated at the 60 mg/m</w:t>
      </w:r>
      <w:r w:rsidRPr="00184C7D">
        <w:rPr>
          <w:vertAlign w:val="superscript"/>
        </w:rPr>
        <w:t>2</w:t>
      </w:r>
      <w:r w:rsidRPr="00184C7D">
        <w:t xml:space="preserve"> dose level and none developed DLT (although one subject died due to multiple SAEs in the second cycle). Three subjects were then treated at the 80 mg/m</w:t>
      </w:r>
      <w:r w:rsidRPr="00184C7D">
        <w:rPr>
          <w:vertAlign w:val="superscript"/>
        </w:rPr>
        <w:t>2</w:t>
      </w:r>
      <w:r w:rsidRPr="00184C7D">
        <w:t xml:space="preserve"> dose level and two of these developed DLTs, principally diarrhoea, febrile neutropenia, and grade 4 </w:t>
      </w:r>
      <w:proofErr w:type="spellStart"/>
      <w:r w:rsidRPr="00184C7D">
        <w:t>leukopaenia</w:t>
      </w:r>
      <w:proofErr w:type="spellEnd"/>
      <w:r w:rsidRPr="00184C7D">
        <w:t xml:space="preserve"> and </w:t>
      </w:r>
      <w:proofErr w:type="spellStart"/>
      <w:r w:rsidRPr="00184C7D">
        <w:t>neutropaenia</w:t>
      </w:r>
      <w:proofErr w:type="spellEnd"/>
      <w:r w:rsidRPr="00184C7D">
        <w:t>. Both of these patients died. The study was suspended and then terminated. The stated reason for termination was that protocol violations (incorrect dosing) had occurred at 60 mg/m</w:t>
      </w:r>
      <w:r w:rsidRPr="00184C7D">
        <w:rPr>
          <w:vertAlign w:val="superscript"/>
        </w:rPr>
        <w:t>2</w:t>
      </w:r>
      <w:r w:rsidRPr="00184C7D">
        <w:t xml:space="preserve"> such that the safety of this dose had not been adequately tested prior to escalation to the next dose level. The 80 mg/m</w:t>
      </w:r>
      <w:r w:rsidRPr="00184C7D">
        <w:rPr>
          <w:vertAlign w:val="superscript"/>
        </w:rPr>
        <w:t>2</w:t>
      </w:r>
      <w:r w:rsidRPr="00184C7D">
        <w:t xml:space="preserve"> dose level clearly exceeded the MTD. However, an insufficient number of subjects had been enrolled in the 60 mg/m</w:t>
      </w:r>
      <w:r w:rsidRPr="00184C7D">
        <w:rPr>
          <w:vertAlign w:val="superscript"/>
        </w:rPr>
        <w:t>2</w:t>
      </w:r>
      <w:r w:rsidR="00E2729C">
        <w:t xml:space="preserve"> dose level to define the MTD.</w:t>
      </w:r>
    </w:p>
    <w:p w:rsidR="00184C7D" w:rsidRPr="00E2729C" w:rsidRDefault="00184C7D" w:rsidP="00E2729C">
      <w:pPr>
        <w:pStyle w:val="Heading5"/>
      </w:pPr>
      <w:r w:rsidRPr="00E2729C">
        <w:t>Other safety data</w:t>
      </w:r>
    </w:p>
    <w:p w:rsidR="00184C7D" w:rsidRPr="00184C7D" w:rsidRDefault="00184C7D" w:rsidP="00184C7D">
      <w:pPr>
        <w:autoSpaceDE w:val="0"/>
        <w:autoSpaceDN w:val="0"/>
        <w:adjustRightInd w:val="0"/>
      </w:pPr>
      <w:r w:rsidRPr="00184C7D">
        <w:t>AEs and treatment-related AEs occurred in 100% of subjects. 3 subjects (50%) developed a total of 19 SAEs. 17 of these SAEs were considered to be treatment-related. All 3 of these subjects died with diar</w:t>
      </w:r>
      <w:r w:rsidR="00E2729C">
        <w:t xml:space="preserve">rhoea, </w:t>
      </w:r>
      <w:proofErr w:type="spellStart"/>
      <w:r w:rsidR="00E2729C">
        <w:t>neutropaenia</w:t>
      </w:r>
      <w:proofErr w:type="spellEnd"/>
      <w:r w:rsidR="00E2729C">
        <w:t xml:space="preserve"> and sepsis.</w:t>
      </w:r>
    </w:p>
    <w:p w:rsidR="00184C7D" w:rsidRPr="003B7502" w:rsidRDefault="00184C7D" w:rsidP="00184C7D">
      <w:pPr>
        <w:pStyle w:val="Heading4"/>
      </w:pPr>
      <w:bookmarkStart w:id="256" w:name="_Ref315364682"/>
      <w:bookmarkStart w:id="257" w:name="_Toc457234083"/>
      <w:r w:rsidRPr="003B7502">
        <w:t>Study MM-398-01-01-02</w:t>
      </w:r>
      <w:bookmarkEnd w:id="256"/>
      <w:bookmarkEnd w:id="257"/>
    </w:p>
    <w:p w:rsidR="00184C7D" w:rsidRPr="00184C7D" w:rsidRDefault="00184C7D" w:rsidP="00184C7D">
      <w:pPr>
        <w:autoSpaceDE w:val="0"/>
        <w:autoSpaceDN w:val="0"/>
        <w:adjustRightInd w:val="0"/>
      </w:pPr>
      <w:r w:rsidRPr="00184C7D">
        <w:t>This was a phase 1 pilot study that involved treating subjects with metastatic solid tumours with Onivyde monotherapy at a dose of 80 mg/m</w:t>
      </w:r>
      <w:r w:rsidRPr="00184C7D">
        <w:rPr>
          <w:vertAlign w:val="superscript"/>
        </w:rPr>
        <w:t>2</w:t>
      </w:r>
      <w:r w:rsidRPr="00184C7D">
        <w:t xml:space="preserve"> every 2 weeks. A full study report was not provided. Limited safety data were provided in a </w:t>
      </w:r>
      <w:r w:rsidR="00E2729C">
        <w:t>six-page synopsis of the study.</w:t>
      </w:r>
    </w:p>
    <w:p w:rsidR="00184C7D" w:rsidRPr="00184C7D" w:rsidRDefault="00184C7D" w:rsidP="00184C7D">
      <w:pPr>
        <w:autoSpaceDE w:val="0"/>
        <w:autoSpaceDN w:val="0"/>
        <w:adjustRightInd w:val="0"/>
      </w:pPr>
      <w:r w:rsidRPr="00184C7D">
        <w:t>13 patients were treated with Onivyde. The median number of cycles received was 2 (range 1-8). The incidence of treatment-related AEs was 100%. The incidence of SAEs was 30.8% and for grade 3 or 4 AEs it was 69.2%. There</w:t>
      </w:r>
      <w:r w:rsidR="00E2729C">
        <w:t xml:space="preserve"> were no AEs that led to death.</w:t>
      </w:r>
    </w:p>
    <w:p w:rsidR="00184C7D" w:rsidRPr="00E2729C" w:rsidRDefault="00184C7D" w:rsidP="00184C7D">
      <w:pPr>
        <w:autoSpaceDE w:val="0"/>
        <w:autoSpaceDN w:val="0"/>
        <w:adjustRightInd w:val="0"/>
        <w:rPr>
          <w:lang w:val="en-US"/>
        </w:rPr>
      </w:pPr>
      <w:r w:rsidRPr="00184C7D">
        <w:t xml:space="preserve">The most common AEs assessed as related to Onivyde were </w:t>
      </w:r>
      <w:r w:rsidRPr="00184C7D">
        <w:rPr>
          <w:lang w:val="en-US"/>
        </w:rPr>
        <w:t xml:space="preserve">diarrhea (76.9%), nausea (69.2%), vomiting (53.8%), </w:t>
      </w:r>
      <w:proofErr w:type="spellStart"/>
      <w:r w:rsidRPr="00184C7D">
        <w:rPr>
          <w:lang w:val="en-US"/>
        </w:rPr>
        <w:t>anaemia</w:t>
      </w:r>
      <w:proofErr w:type="spellEnd"/>
      <w:r w:rsidRPr="00184C7D">
        <w:rPr>
          <w:lang w:val="en-US"/>
        </w:rPr>
        <w:t xml:space="preserve"> (30.8%), </w:t>
      </w:r>
      <w:proofErr w:type="spellStart"/>
      <w:r w:rsidRPr="00184C7D">
        <w:rPr>
          <w:lang w:val="en-US"/>
        </w:rPr>
        <w:t>hypokalaemia</w:t>
      </w:r>
      <w:proofErr w:type="spellEnd"/>
      <w:r w:rsidRPr="00184C7D">
        <w:rPr>
          <w:lang w:val="en-US"/>
        </w:rPr>
        <w:t xml:space="preserve"> (30.8%), </w:t>
      </w:r>
      <w:proofErr w:type="spellStart"/>
      <w:r w:rsidRPr="00184C7D">
        <w:rPr>
          <w:lang w:val="en-US"/>
        </w:rPr>
        <w:t>neutropaeni</w:t>
      </w:r>
      <w:r w:rsidR="00E2729C">
        <w:rPr>
          <w:lang w:val="en-US"/>
        </w:rPr>
        <w:t>a</w:t>
      </w:r>
      <w:proofErr w:type="spellEnd"/>
      <w:r w:rsidR="00E2729C">
        <w:rPr>
          <w:lang w:val="en-US"/>
        </w:rPr>
        <w:t xml:space="preserve"> (30.8%), and fatigue (23.1%).</w:t>
      </w:r>
    </w:p>
    <w:p w:rsidR="00184C7D" w:rsidRDefault="00184C7D" w:rsidP="00184C7D">
      <w:pPr>
        <w:pStyle w:val="Heading3"/>
      </w:pPr>
      <w:bookmarkStart w:id="258" w:name="_Toc241374326"/>
      <w:bookmarkStart w:id="259" w:name="_Ref272333048"/>
      <w:bookmarkStart w:id="260" w:name="_Toc272414679"/>
      <w:bookmarkStart w:id="261" w:name="_Toc290846317"/>
      <w:bookmarkStart w:id="262" w:name="_Toc457234084"/>
      <w:bookmarkStart w:id="263" w:name="_Toc490577156"/>
      <w:r>
        <w:t>Post-marketing experience</w:t>
      </w:r>
      <w:bookmarkEnd w:id="258"/>
      <w:bookmarkEnd w:id="259"/>
      <w:bookmarkEnd w:id="260"/>
      <w:bookmarkEnd w:id="261"/>
      <w:bookmarkEnd w:id="262"/>
      <w:bookmarkEnd w:id="263"/>
    </w:p>
    <w:p w:rsidR="00184C7D" w:rsidRPr="00184C7D" w:rsidRDefault="00184C7D" w:rsidP="00184C7D">
      <w:pPr>
        <w:autoSpaceDE w:val="0"/>
        <w:autoSpaceDN w:val="0"/>
        <w:adjustRightInd w:val="0"/>
      </w:pPr>
      <w:r w:rsidRPr="00184C7D">
        <w:t>There were no post-marketing data included</w:t>
      </w:r>
      <w:r w:rsidR="00E2729C">
        <w:t xml:space="preserve"> in the submission.</w:t>
      </w:r>
    </w:p>
    <w:p w:rsidR="00184C7D" w:rsidRPr="00184C7D" w:rsidRDefault="00184C7D" w:rsidP="00184C7D">
      <w:pPr>
        <w:pStyle w:val="Heading3"/>
      </w:pPr>
      <w:bookmarkStart w:id="264" w:name="_Ref272333005"/>
      <w:bookmarkStart w:id="265" w:name="_Toc272414680"/>
      <w:bookmarkStart w:id="266" w:name="_Toc290846318"/>
      <w:bookmarkStart w:id="267" w:name="_Toc457234085"/>
      <w:bookmarkStart w:id="268" w:name="_Toc490577157"/>
      <w:r w:rsidRPr="00AB4C27">
        <w:lastRenderedPageBreak/>
        <w:t>Safety issues with the potential for major regulatory imp</w:t>
      </w:r>
      <w:bookmarkEnd w:id="264"/>
      <w:bookmarkEnd w:id="265"/>
      <w:r w:rsidRPr="00AB4C27">
        <w:t>act</w:t>
      </w:r>
      <w:bookmarkEnd w:id="266"/>
      <w:bookmarkEnd w:id="267"/>
      <w:bookmarkEnd w:id="268"/>
    </w:p>
    <w:p w:rsidR="00184C7D" w:rsidRPr="00AB4C27" w:rsidRDefault="00184C7D" w:rsidP="00184C7D">
      <w:pPr>
        <w:pStyle w:val="Heading4"/>
      </w:pPr>
      <w:bookmarkStart w:id="269" w:name="_Toc272414681"/>
      <w:bookmarkStart w:id="270" w:name="_Toc290846319"/>
      <w:bookmarkStart w:id="271" w:name="_Toc457234086"/>
      <w:r w:rsidRPr="00AB4C27">
        <w:t>Liver toxicity</w:t>
      </w:r>
      <w:bookmarkEnd w:id="269"/>
      <w:bookmarkEnd w:id="270"/>
      <w:bookmarkEnd w:id="271"/>
    </w:p>
    <w:p w:rsidR="009B0763" w:rsidRDefault="009B0763" w:rsidP="009B0763">
      <w:bookmarkStart w:id="272" w:name="_Toc272414682"/>
      <w:bookmarkStart w:id="273" w:name="_Toc290846320"/>
      <w:bookmarkStart w:id="274" w:name="_Toc457234087"/>
      <w:r>
        <w:t>The current PI for conventional irinotecan solution states that liver enzyme abnormalities have been reported with the drug, but usually in patients with known hepatic metastases. It also states that increases in AST and ALT in the absence of progressive liver metastasis have been reported rarely.</w:t>
      </w:r>
      <w:r>
        <w:rPr>
          <w:rStyle w:val="FootnoteReference"/>
        </w:rPr>
        <w:footnoteReference w:id="23"/>
      </w:r>
    </w:p>
    <w:p w:rsidR="009B0763" w:rsidRDefault="009B0763" w:rsidP="009B0763">
      <w:r>
        <w:t>The submission did not provide a discussion of any patients that met ‘</w:t>
      </w:r>
      <w:proofErr w:type="spellStart"/>
      <w:r>
        <w:t>Hy’s</w:t>
      </w:r>
      <w:proofErr w:type="spellEnd"/>
      <w:r>
        <w:t xml:space="preserve"> law’ criteria for liver toxicity. However, in the pivotal study, approximately 70% of subjects had hepatic metastases at baseline. The incidence of grade 3/4 abnormalities of ALT was increased in the combination arm compared to the comparator arm. However, abnormalities of other LFTs were not notably increased. There were 2 reported cases of hepatic failure in the 5-FU/LV control arm and none in the two Onivyde arms.</w:t>
      </w:r>
    </w:p>
    <w:p w:rsidR="009B0763" w:rsidRPr="00F14338" w:rsidRDefault="009B0763" w:rsidP="009B0763">
      <w:pPr>
        <w:ind w:left="720"/>
        <w:rPr>
          <w:i/>
        </w:rPr>
      </w:pPr>
      <w:r w:rsidRPr="00F14338">
        <w:rPr>
          <w:i/>
        </w:rPr>
        <w:t>Comment: Irinotecan does not appear to have been associated with severe irreversible drug-induced liver injury (DILI). The submitted data do not suggest this is a risk for Onivyde.</w:t>
      </w:r>
    </w:p>
    <w:p w:rsidR="00184C7D" w:rsidRPr="00BA5369" w:rsidRDefault="00184C7D" w:rsidP="00184C7D">
      <w:pPr>
        <w:pStyle w:val="Heading4"/>
      </w:pPr>
      <w:r w:rsidRPr="00BA5369">
        <w:t>Haematological toxicity</w:t>
      </w:r>
      <w:bookmarkEnd w:id="272"/>
      <w:bookmarkEnd w:id="273"/>
      <w:bookmarkEnd w:id="274"/>
    </w:p>
    <w:p w:rsidR="00F03297" w:rsidRDefault="00F03297" w:rsidP="00F03297">
      <w:pPr>
        <w:autoSpaceDE w:val="0"/>
        <w:autoSpaceDN w:val="0"/>
        <w:adjustRightInd w:val="0"/>
      </w:pPr>
      <w:bookmarkStart w:id="275" w:name="_Toc272414683"/>
      <w:bookmarkStart w:id="276" w:name="_Toc290846321"/>
      <w:bookmarkStart w:id="277" w:name="_Toc457234088"/>
      <w:r>
        <w:t xml:space="preserve">Haematological toxicity is a known adverse reaction associated with irinotecan. In the pivotal study, Onivyde was associated with a significantly increased risk of grade 3/4 </w:t>
      </w:r>
      <w:proofErr w:type="spellStart"/>
      <w:r>
        <w:t>neutropaenia</w:t>
      </w:r>
      <w:proofErr w:type="spellEnd"/>
      <w:r>
        <w:t xml:space="preserve"> and </w:t>
      </w:r>
      <w:proofErr w:type="spellStart"/>
      <w:r>
        <w:t>leukopaenia</w:t>
      </w:r>
      <w:proofErr w:type="spellEnd"/>
      <w:r>
        <w:t xml:space="preserve">. There were two cases of </w:t>
      </w:r>
      <w:proofErr w:type="spellStart"/>
      <w:r>
        <w:t>pancytopaenia</w:t>
      </w:r>
      <w:proofErr w:type="spellEnd"/>
      <w:r>
        <w:t xml:space="preserve"> reported in the Onivyde monotherapy arm.</w:t>
      </w:r>
    </w:p>
    <w:p w:rsidR="00184C7D" w:rsidRPr="00BA5369" w:rsidRDefault="00184C7D" w:rsidP="00184C7D">
      <w:pPr>
        <w:pStyle w:val="Heading4"/>
      </w:pPr>
      <w:r w:rsidRPr="00BA5369">
        <w:t>Serious skin reactions</w:t>
      </w:r>
      <w:bookmarkEnd w:id="275"/>
      <w:bookmarkEnd w:id="276"/>
      <w:bookmarkEnd w:id="277"/>
    </w:p>
    <w:p w:rsidR="00F03297" w:rsidRDefault="00F03297" w:rsidP="00F03297">
      <w:pPr>
        <w:autoSpaceDE w:val="0"/>
        <w:autoSpaceDN w:val="0"/>
        <w:adjustRightInd w:val="0"/>
      </w:pPr>
      <w:bookmarkStart w:id="278" w:name="_Toc272414684"/>
      <w:bookmarkStart w:id="279" w:name="_Toc290846322"/>
      <w:bookmarkStart w:id="280" w:name="_Toc457234089"/>
      <w:r>
        <w:t>According to the current PI for conventional irinotecan solution, alopecia is a common adverse effect. Rashes have also been reported but these did not result in discontinuation of treatment.</w:t>
      </w:r>
    </w:p>
    <w:p w:rsidR="00F03297" w:rsidRDefault="00F03297" w:rsidP="00F03297">
      <w:pPr>
        <w:autoSpaceDE w:val="0"/>
        <w:autoSpaceDN w:val="0"/>
        <w:adjustRightInd w:val="0"/>
      </w:pPr>
      <w:r>
        <w:t>In the pivotal study in this submission, the incidence of dermatological adverse events was 28.2% in the combination arm and 29.1% in the 5-FU/LV comparator arm. There were no serious dermatological reactions reported.</w:t>
      </w:r>
    </w:p>
    <w:p w:rsidR="00F03297" w:rsidRDefault="00F03297" w:rsidP="00F03297">
      <w:pPr>
        <w:autoSpaceDE w:val="0"/>
        <w:autoSpaceDN w:val="0"/>
        <w:adjustRightInd w:val="0"/>
      </w:pPr>
      <w:r>
        <w:t>In Study PEP0202, in which Onivyde was administered in combination with cisplatin, there was 1 case of Stevens-Johnson syndrome that was assessed as being unrelated to Onivyde.</w:t>
      </w:r>
    </w:p>
    <w:p w:rsidR="00184C7D" w:rsidRPr="003A1F27" w:rsidRDefault="00184C7D" w:rsidP="00184C7D">
      <w:pPr>
        <w:pStyle w:val="Heading4"/>
      </w:pPr>
      <w:r w:rsidRPr="003A1F27">
        <w:t>Cardiovascular safety</w:t>
      </w:r>
      <w:bookmarkEnd w:id="278"/>
      <w:bookmarkEnd w:id="279"/>
      <w:bookmarkEnd w:id="280"/>
    </w:p>
    <w:p w:rsidR="00F03297" w:rsidRDefault="00F03297" w:rsidP="00F03297">
      <w:bookmarkStart w:id="281" w:name="_Toc241374323"/>
      <w:bookmarkStart w:id="282" w:name="_Toc272414685"/>
      <w:bookmarkStart w:id="283" w:name="_Toc290846323"/>
      <w:bookmarkStart w:id="284" w:name="_Toc457234090"/>
      <w:r>
        <w:t>The current PI for conventional irinotecan solution lists vasodilation (due to irinotecan’s anti-cholinesterase activity) and thromboembolic events as potential cardiovascular toxicities.</w:t>
      </w:r>
    </w:p>
    <w:p w:rsidR="00F03297" w:rsidRDefault="00F03297" w:rsidP="00F03297">
      <w:r>
        <w:t>Combination treatment was associated with an increased incidence of hypotension (6.0% versus 1.5%) compared to 5-FU/LV. Otherwise there was no suggestion of increased cardiovascular toxicity due to Onivyde. There was no increase in the incidence of serious cardiovascular AEs in the combination arm.</w:t>
      </w:r>
    </w:p>
    <w:p w:rsidR="00184C7D" w:rsidRPr="003A1F27" w:rsidRDefault="00184C7D" w:rsidP="00184C7D">
      <w:pPr>
        <w:pStyle w:val="Heading4"/>
      </w:pPr>
      <w:r w:rsidRPr="003A1F27">
        <w:t>Unwanted immunological events</w:t>
      </w:r>
      <w:bookmarkEnd w:id="281"/>
      <w:bookmarkEnd w:id="282"/>
      <w:bookmarkEnd w:id="283"/>
      <w:bookmarkEnd w:id="284"/>
    </w:p>
    <w:p w:rsidR="00F03297" w:rsidRDefault="00F03297" w:rsidP="00F03297">
      <w:pPr>
        <w:autoSpaceDE w:val="0"/>
        <w:autoSpaceDN w:val="0"/>
        <w:adjustRightInd w:val="0"/>
      </w:pPr>
      <w:bookmarkStart w:id="285" w:name="_Toc241374322"/>
      <w:bookmarkStart w:id="286" w:name="_Ref272331212"/>
      <w:bookmarkStart w:id="287" w:name="_Toc272414687"/>
      <w:bookmarkStart w:id="288" w:name="_Toc290846325"/>
      <w:bookmarkStart w:id="289" w:name="_Toc457234091"/>
      <w:r>
        <w:t xml:space="preserve">The current PI for conventional irinotecan solution indicates that hypersensitivity reactions including severe anaphylactic and </w:t>
      </w:r>
      <w:proofErr w:type="spellStart"/>
      <w:r>
        <w:t>anaphylactoid</w:t>
      </w:r>
      <w:proofErr w:type="spellEnd"/>
      <w:r>
        <w:t xml:space="preserve"> reactions have been observed with the drug.</w:t>
      </w:r>
    </w:p>
    <w:p w:rsidR="00F03297" w:rsidRDefault="00F03297" w:rsidP="00F03297">
      <w:pPr>
        <w:autoSpaceDE w:val="0"/>
        <w:autoSpaceDN w:val="0"/>
        <w:adjustRightInd w:val="0"/>
      </w:pPr>
      <w:r>
        <w:t xml:space="preserve">In the pivotal study, infusion reactions (defined using a standardised </w:t>
      </w:r>
      <w:proofErr w:type="spellStart"/>
      <w:r>
        <w:t>MedDRA</w:t>
      </w:r>
      <w:proofErr w:type="spellEnd"/>
      <w:r>
        <w:t xml:space="preserve"> query for hypersensitivity type events) and acute infusion reactions (those occurring on the day of treatment) occurred with similar frequency in the two treatment arms. There were no reports of anaphylaxis in any of the submitted studies.</w:t>
      </w:r>
    </w:p>
    <w:p w:rsidR="00184C7D" w:rsidRPr="000C26B6" w:rsidRDefault="00184C7D" w:rsidP="00E2729C">
      <w:pPr>
        <w:pStyle w:val="Heading3"/>
      </w:pPr>
      <w:bookmarkStart w:id="290" w:name="_Toc490577158"/>
      <w:r w:rsidRPr="000C26B6">
        <w:lastRenderedPageBreak/>
        <w:t>Safety in special populations</w:t>
      </w:r>
      <w:bookmarkEnd w:id="285"/>
      <w:bookmarkEnd w:id="286"/>
      <w:bookmarkEnd w:id="287"/>
      <w:bookmarkEnd w:id="288"/>
      <w:bookmarkEnd w:id="289"/>
      <w:bookmarkEnd w:id="290"/>
    </w:p>
    <w:p w:rsidR="00184C7D" w:rsidRDefault="00184C7D" w:rsidP="00E2729C">
      <w:pPr>
        <w:pStyle w:val="Heading4"/>
      </w:pPr>
      <w:bookmarkStart w:id="291" w:name="_Toc457234092"/>
      <w:r>
        <w:t>UGT1A1 genotype</w:t>
      </w:r>
      <w:bookmarkEnd w:id="291"/>
    </w:p>
    <w:p w:rsidR="00184C7D" w:rsidRPr="00184C7D" w:rsidRDefault="00184C7D" w:rsidP="00184C7D">
      <w:r w:rsidRPr="00184C7D">
        <w:t xml:space="preserve">Subjects enrolled in the pivotal study had UGT1A1 genotyping performed at baseline. The proportions of subjects who were homozygous for </w:t>
      </w:r>
      <w:r w:rsidRPr="00823048">
        <w:rPr>
          <w:i/>
        </w:rPr>
        <w:t>UGT1A1*28</w:t>
      </w:r>
      <w:r w:rsidRPr="00184C7D">
        <w:t xml:space="preserve"> were as follows:</w:t>
      </w:r>
    </w:p>
    <w:p w:rsidR="00184C7D" w:rsidRPr="003B236D" w:rsidRDefault="003B236D" w:rsidP="003B236D">
      <w:pPr>
        <w:pStyle w:val="ListBullet"/>
        <w:rPr>
          <w:lang w:val="en-US"/>
        </w:rPr>
      </w:pPr>
      <w:r w:rsidRPr="003B236D">
        <w:t xml:space="preserve">Onivyde monotherapy: 7/147 </w:t>
      </w:r>
      <w:r w:rsidR="00184C7D" w:rsidRPr="003B236D">
        <w:t>(4.8%);</w:t>
      </w:r>
    </w:p>
    <w:p w:rsidR="00184C7D" w:rsidRPr="003B236D" w:rsidRDefault="00184C7D" w:rsidP="003B236D">
      <w:pPr>
        <w:pStyle w:val="ListBullet"/>
        <w:rPr>
          <w:lang w:val="en-US"/>
        </w:rPr>
      </w:pPr>
      <w:r w:rsidRPr="003B236D">
        <w:t>5-F</w:t>
      </w:r>
      <w:r w:rsidR="003B236D" w:rsidRPr="003B236D">
        <w:t xml:space="preserve">U/LV: </w:t>
      </w:r>
      <w:r w:rsidR="0029756D">
        <w:t xml:space="preserve">13/134 </w:t>
      </w:r>
      <w:r w:rsidRPr="003B236D">
        <w:t>(9.7%);</w:t>
      </w:r>
    </w:p>
    <w:p w:rsidR="00184C7D" w:rsidRPr="003B236D" w:rsidRDefault="00A954DA" w:rsidP="003B236D">
      <w:pPr>
        <w:pStyle w:val="ListBullet"/>
        <w:rPr>
          <w:lang w:val="en-US"/>
        </w:rPr>
      </w:pPr>
      <w:r>
        <w:t>Onivyde+</w:t>
      </w:r>
      <w:r w:rsidR="003B236D" w:rsidRPr="003B236D">
        <w:t xml:space="preserve">5-FU/LV: </w:t>
      </w:r>
      <w:r w:rsidR="00184C7D" w:rsidRPr="003B236D">
        <w:t>7/117</w:t>
      </w:r>
      <w:r w:rsidR="00184C7D" w:rsidRPr="003B236D">
        <w:tab/>
        <w:t>(6.0%).</w:t>
      </w:r>
    </w:p>
    <w:p w:rsidR="00184C7D" w:rsidRPr="00E2729C" w:rsidRDefault="00184C7D" w:rsidP="00E2729C">
      <w:pPr>
        <w:tabs>
          <w:tab w:val="left" w:pos="4111"/>
        </w:tabs>
        <w:rPr>
          <w:lang w:val="en-US"/>
        </w:rPr>
      </w:pPr>
      <w:r w:rsidRPr="00184C7D">
        <w:rPr>
          <w:lang w:val="en-US"/>
        </w:rPr>
        <w:t xml:space="preserve">In the two </w:t>
      </w:r>
      <w:r w:rsidRPr="00184C7D">
        <w:t xml:space="preserve">Onivyde </w:t>
      </w:r>
      <w:r w:rsidRPr="00184C7D">
        <w:rPr>
          <w:lang w:val="en-US"/>
        </w:rPr>
        <w:t xml:space="preserve">arms toxicity was comparable between those subjects who were </w:t>
      </w:r>
      <w:r w:rsidRPr="00184C7D">
        <w:t xml:space="preserve">homozygous for </w:t>
      </w:r>
      <w:r w:rsidRPr="00823048">
        <w:rPr>
          <w:i/>
        </w:rPr>
        <w:t>UGT1A1*28</w:t>
      </w:r>
      <w:r w:rsidRPr="00184C7D">
        <w:t xml:space="preserve"> and those who were not.</w:t>
      </w:r>
    </w:p>
    <w:p w:rsidR="00184C7D" w:rsidRDefault="00184C7D" w:rsidP="00184C7D">
      <w:pPr>
        <w:pStyle w:val="Heading4"/>
      </w:pPr>
      <w:bookmarkStart w:id="292" w:name="_Toc457234093"/>
      <w:r>
        <w:t>Race</w:t>
      </w:r>
      <w:bookmarkEnd w:id="292"/>
    </w:p>
    <w:p w:rsidR="00184C7D" w:rsidRPr="00184C7D" w:rsidRDefault="00184C7D" w:rsidP="00184C7D">
      <w:r w:rsidRPr="00184C7D">
        <w:t xml:space="preserve">In the combination arm of the pivotal study, Asians had a higher frequency of grade ≥ 3 AEs compared to Whites (87.9% vs. 69.9%). This was mainly due to an increased frequency of grade ≥ 3 neutropenia (24.2% in Asians vs. 12.3% in Whites) and neutrophil count decreased (33.3% </w:t>
      </w:r>
      <w:r w:rsidR="00E2729C">
        <w:t xml:space="preserve">in Asians vs. 1.4% in Whites). </w:t>
      </w:r>
    </w:p>
    <w:p w:rsidR="00184C7D" w:rsidRDefault="00184C7D" w:rsidP="00184C7D">
      <w:pPr>
        <w:pStyle w:val="Heading4"/>
      </w:pPr>
      <w:bookmarkStart w:id="293" w:name="_Toc457234094"/>
      <w:r>
        <w:t>Other populations</w:t>
      </w:r>
      <w:bookmarkEnd w:id="293"/>
    </w:p>
    <w:p w:rsidR="00184C7D" w:rsidRPr="00184C7D" w:rsidRDefault="00184C7D" w:rsidP="00E2729C">
      <w:r w:rsidRPr="00184C7D">
        <w:t xml:space="preserve">The Summary of Clinical Safety included analyses of safety in various other subpopulations in the pivotal study. There was no consistent evidence of increased toxicity associated with </w:t>
      </w:r>
      <w:r w:rsidR="00E2729C">
        <w:t>advancing age or female gender.</w:t>
      </w:r>
    </w:p>
    <w:p w:rsidR="00184C7D" w:rsidRDefault="00184C7D" w:rsidP="00184C7D">
      <w:pPr>
        <w:pStyle w:val="Heading3"/>
      </w:pPr>
      <w:bookmarkStart w:id="294" w:name="_Toc241374328"/>
      <w:bookmarkStart w:id="295" w:name="_Toc272414691"/>
      <w:bookmarkStart w:id="296" w:name="_Toc290846329"/>
      <w:bookmarkStart w:id="297" w:name="_Toc457234095"/>
      <w:bookmarkStart w:id="298" w:name="_Toc490577159"/>
      <w:r>
        <w:t>Evaluator’s overall conclusions on clinical safety</w:t>
      </w:r>
      <w:bookmarkEnd w:id="294"/>
      <w:bookmarkEnd w:id="295"/>
      <w:bookmarkEnd w:id="296"/>
      <w:bookmarkEnd w:id="297"/>
      <w:bookmarkEnd w:id="298"/>
    </w:p>
    <w:p w:rsidR="00B85914" w:rsidRDefault="00B85914" w:rsidP="00B85914">
      <w:pPr>
        <w:autoSpaceDE w:val="0"/>
        <w:autoSpaceDN w:val="0"/>
        <w:adjustRightInd w:val="0"/>
      </w:pPr>
      <w:r>
        <w:t>The addition of Onivyde to 5-FU/LV for the treatment of metastatic pancreatic cancer results in an increase in toxicity. The incidence of drug related AEs was notably increased (91.5% versus 69.4%), as was the incidence of grade ≥ 3 AEs (76.9% versus 56.0%).  However, the incidence of serious AEs was only slightly increased (47.9% versus 44.8%). There was no apparent increase in the incidence of AEs leading to death, and in any event the drug has beneficial effect on overall survival.</w:t>
      </w:r>
    </w:p>
    <w:p w:rsidR="00B85914" w:rsidRDefault="00B85914" w:rsidP="00B85914">
      <w:pPr>
        <w:autoSpaceDE w:val="0"/>
        <w:autoSpaceDN w:val="0"/>
        <w:adjustRightInd w:val="0"/>
      </w:pPr>
      <w:r>
        <w:t xml:space="preserve">The pattern of adverse events associated with the increased toxicity was consistent with the known safety profile of irinotecan: mainly GIT toxicity (diarrhoea, vomiting, </w:t>
      </w:r>
      <w:proofErr w:type="gramStart"/>
      <w:r>
        <w:t>nausea</w:t>
      </w:r>
      <w:proofErr w:type="gramEnd"/>
      <w:r>
        <w:t xml:space="preserve">), myelotoxicity (mainly </w:t>
      </w:r>
      <w:proofErr w:type="spellStart"/>
      <w:r>
        <w:t>neutropaenia</w:t>
      </w:r>
      <w:proofErr w:type="spellEnd"/>
      <w:r>
        <w:t>) and infections. No novel toxicities associated with Onivyde treatment were identified.</w:t>
      </w:r>
    </w:p>
    <w:p w:rsidR="00B85914" w:rsidRDefault="00B85914" w:rsidP="00B85914">
      <w:pPr>
        <w:autoSpaceDE w:val="0"/>
        <w:autoSpaceDN w:val="0"/>
        <w:adjustRightInd w:val="0"/>
      </w:pPr>
      <w:r>
        <w:t>The toxicities appeared to be manageable with dose delays and dose reductions, as evidenced by the proportion of patients having to discontinue treatment due to AEs being only slightly higher in the combination arm than in the 5-FU/LV arm (11.1% versus 7.5%).</w:t>
      </w:r>
    </w:p>
    <w:p w:rsidR="00B85914" w:rsidRDefault="00B85914" w:rsidP="00B85914">
      <w:pPr>
        <w:autoSpaceDE w:val="0"/>
        <w:autoSpaceDN w:val="0"/>
        <w:adjustRightInd w:val="0"/>
      </w:pPr>
      <w:r>
        <w:t>Metastatic pancreatic cancer is a life threatening condition and subjects who have already failed treatment with gemcitabine have a very poor prognosis. Although the proposed combination of Onivyde with 5-FU/LV has significant toxicity, it is considered acceptable given the proposed patient population.</w:t>
      </w:r>
    </w:p>
    <w:p w:rsidR="00C22678" w:rsidRDefault="00C22678" w:rsidP="00C22678">
      <w:pPr>
        <w:pStyle w:val="Heading2"/>
      </w:pPr>
      <w:bookmarkStart w:id="299" w:name="_Toc490577160"/>
      <w:r>
        <w:t>First round benefit-risk assessment</w:t>
      </w:r>
      <w:bookmarkEnd w:id="299"/>
    </w:p>
    <w:p w:rsidR="00184C7D" w:rsidRDefault="00184C7D" w:rsidP="00184C7D">
      <w:pPr>
        <w:pStyle w:val="Heading3"/>
      </w:pPr>
      <w:bookmarkStart w:id="300" w:name="_Toc236802592"/>
      <w:bookmarkStart w:id="301" w:name="_Toc241374331"/>
      <w:bookmarkStart w:id="302" w:name="_Ref272160836"/>
      <w:bookmarkStart w:id="303" w:name="_Toc272414693"/>
      <w:bookmarkStart w:id="304" w:name="_Toc290846331"/>
      <w:bookmarkStart w:id="305" w:name="_Toc457234097"/>
      <w:bookmarkStart w:id="306" w:name="_Toc490577161"/>
      <w:r>
        <w:t>First round assessment of benefits</w:t>
      </w:r>
      <w:bookmarkEnd w:id="300"/>
      <w:bookmarkEnd w:id="301"/>
      <w:bookmarkEnd w:id="302"/>
      <w:bookmarkEnd w:id="303"/>
      <w:bookmarkEnd w:id="304"/>
      <w:bookmarkEnd w:id="305"/>
      <w:bookmarkEnd w:id="306"/>
    </w:p>
    <w:p w:rsidR="00184C7D" w:rsidRPr="00184C7D" w:rsidRDefault="00184C7D" w:rsidP="00184C7D">
      <w:r w:rsidRPr="00184C7D">
        <w:t>The benefits of Onivyde in the proposed usage are:</w:t>
      </w:r>
    </w:p>
    <w:p w:rsidR="00184C7D" w:rsidRDefault="00184C7D" w:rsidP="00184C7D">
      <w:pPr>
        <w:pStyle w:val="ListBullet"/>
      </w:pPr>
      <w:r>
        <w:lastRenderedPageBreak/>
        <w:t>An increase in overall survival with a prolongation of median survival of approximately 2 months.</w:t>
      </w:r>
    </w:p>
    <w:p w:rsidR="00184C7D" w:rsidRPr="00184C7D" w:rsidRDefault="00184C7D" w:rsidP="00E2729C">
      <w:pPr>
        <w:pStyle w:val="Bullet1"/>
        <w:numPr>
          <w:ilvl w:val="0"/>
          <w:numId w:val="0"/>
        </w:numPr>
      </w:pPr>
      <w:r>
        <w:t xml:space="preserve">The drug was not associated with any improvement </w:t>
      </w:r>
      <w:r w:rsidR="00E2729C">
        <w:t>in symptoms or quality of life.</w:t>
      </w:r>
    </w:p>
    <w:p w:rsidR="00184C7D" w:rsidRDefault="00184C7D" w:rsidP="00184C7D">
      <w:pPr>
        <w:pStyle w:val="Heading3"/>
      </w:pPr>
      <w:bookmarkStart w:id="307" w:name="_Toc236802596"/>
      <w:bookmarkStart w:id="308" w:name="_Toc241374334"/>
      <w:bookmarkStart w:id="309" w:name="_Ref272160964"/>
      <w:bookmarkStart w:id="310" w:name="_Toc272414694"/>
      <w:bookmarkStart w:id="311" w:name="_Toc290846332"/>
      <w:bookmarkStart w:id="312" w:name="_Toc457234098"/>
      <w:bookmarkStart w:id="313" w:name="_Toc490577162"/>
      <w:r>
        <w:t>First round assessment of risks</w:t>
      </w:r>
      <w:bookmarkEnd w:id="307"/>
      <w:bookmarkEnd w:id="308"/>
      <w:bookmarkEnd w:id="309"/>
      <w:bookmarkEnd w:id="310"/>
      <w:bookmarkEnd w:id="311"/>
      <w:bookmarkEnd w:id="312"/>
      <w:bookmarkEnd w:id="313"/>
    </w:p>
    <w:p w:rsidR="00184C7D" w:rsidRPr="00184C7D" w:rsidRDefault="00184C7D" w:rsidP="00184C7D">
      <w:r w:rsidRPr="00184C7D">
        <w:t>The risks of Onivyde in the proposed usage are:</w:t>
      </w:r>
    </w:p>
    <w:p w:rsidR="00184C7D" w:rsidRPr="00184C7D" w:rsidRDefault="00184C7D" w:rsidP="00E2729C">
      <w:pPr>
        <w:pStyle w:val="ListBullet"/>
      </w:pPr>
      <w:r>
        <w:t>A toxicity profile similar to that seen with conventional irinotecan solution (mainly gastrointestin</w:t>
      </w:r>
      <w:r w:rsidR="00E2729C">
        <w:t>al toxicity and myelotoxicity).</w:t>
      </w:r>
    </w:p>
    <w:p w:rsidR="00184C7D" w:rsidRDefault="00184C7D" w:rsidP="00184C7D">
      <w:pPr>
        <w:pStyle w:val="Heading3"/>
      </w:pPr>
      <w:bookmarkStart w:id="314" w:name="_Toc236802597"/>
      <w:bookmarkStart w:id="315" w:name="_Toc241374335"/>
      <w:bookmarkStart w:id="316" w:name="_Toc272414695"/>
      <w:bookmarkStart w:id="317" w:name="_Toc290846333"/>
      <w:bookmarkStart w:id="318" w:name="_Toc457234099"/>
      <w:bookmarkStart w:id="319" w:name="_Toc490577163"/>
      <w:r>
        <w:t>First round assessment of benefit-risk balance</w:t>
      </w:r>
      <w:bookmarkEnd w:id="314"/>
      <w:bookmarkEnd w:id="315"/>
      <w:bookmarkEnd w:id="316"/>
      <w:bookmarkEnd w:id="317"/>
      <w:bookmarkEnd w:id="318"/>
      <w:bookmarkEnd w:id="319"/>
    </w:p>
    <w:p w:rsidR="000142FD" w:rsidRPr="00184C7D" w:rsidRDefault="00184C7D" w:rsidP="000142FD">
      <w:r w:rsidRPr="00184C7D">
        <w:t>The benefit-risk balance of Onivyde, given the proposed usage, is favourable. This assessment takes into consideration the very poor prognosis of the proposed patient group and the lack of est</w:t>
      </w:r>
      <w:r w:rsidR="00E2729C">
        <w:t>ablished alternative therapies.</w:t>
      </w:r>
    </w:p>
    <w:p w:rsidR="00C22678" w:rsidRDefault="00C22678" w:rsidP="00C22678">
      <w:pPr>
        <w:pStyle w:val="Heading2"/>
      </w:pPr>
      <w:bookmarkStart w:id="320" w:name="_Toc490577164"/>
      <w:r>
        <w:t>First round recommendation regarding authorisation</w:t>
      </w:r>
      <w:bookmarkEnd w:id="320"/>
    </w:p>
    <w:p w:rsidR="0085068D" w:rsidRPr="00184C7D" w:rsidRDefault="00184C7D" w:rsidP="0085068D">
      <w:pPr>
        <w:rPr>
          <w:lang w:eastAsia="ja-JP"/>
        </w:rPr>
      </w:pPr>
      <w:r w:rsidRPr="00184C7D">
        <w:t>It is recommended that the application for registration be approved.</w:t>
      </w:r>
    </w:p>
    <w:p w:rsidR="00C22678" w:rsidRDefault="00C22678" w:rsidP="00C22678">
      <w:pPr>
        <w:pStyle w:val="Heading2"/>
      </w:pPr>
      <w:bookmarkStart w:id="321" w:name="_Toc490577165"/>
      <w:r>
        <w:t>Clinical questions</w:t>
      </w:r>
      <w:bookmarkEnd w:id="321"/>
    </w:p>
    <w:p w:rsidR="00341788" w:rsidRPr="00184C7D" w:rsidRDefault="00184C7D" w:rsidP="00341788">
      <w:r w:rsidRPr="00184C7D">
        <w:t>T</w:t>
      </w:r>
      <w:r w:rsidR="00E2729C">
        <w:t>here are no clinical questions.</w:t>
      </w:r>
    </w:p>
    <w:p w:rsidR="00C618F7" w:rsidRDefault="00C618F7" w:rsidP="00A8332D">
      <w:pPr>
        <w:pStyle w:val="Heading2"/>
      </w:pPr>
      <w:bookmarkStart w:id="322" w:name="_Toc490577166"/>
      <w:r>
        <w:t>Second round evaluation of clinical data</w:t>
      </w:r>
      <w:bookmarkEnd w:id="322"/>
    </w:p>
    <w:p w:rsidR="0085068D" w:rsidRPr="00184C7D" w:rsidRDefault="00184C7D" w:rsidP="0085068D">
      <w:r w:rsidRPr="00184C7D">
        <w:t>There were no clinical questions raised</w:t>
      </w:r>
      <w:r w:rsidR="00E2729C">
        <w:t xml:space="preserve"> in the first round evaluation.</w:t>
      </w:r>
    </w:p>
    <w:p w:rsidR="000142FD" w:rsidRDefault="00C618F7" w:rsidP="000142FD">
      <w:pPr>
        <w:pStyle w:val="Heading2"/>
      </w:pPr>
      <w:bookmarkStart w:id="323" w:name="_Toc490577167"/>
      <w:r>
        <w:t>Second round benefit-risk assessment</w:t>
      </w:r>
      <w:bookmarkEnd w:id="323"/>
    </w:p>
    <w:p w:rsidR="00184C7D" w:rsidRDefault="00184C7D" w:rsidP="00184C7D">
      <w:pPr>
        <w:pStyle w:val="Heading3"/>
      </w:pPr>
      <w:bookmarkStart w:id="324" w:name="_Toc272414709"/>
      <w:bookmarkStart w:id="325" w:name="_Toc290846349"/>
      <w:bookmarkStart w:id="326" w:name="_Toc290888886"/>
      <w:bookmarkStart w:id="327" w:name="_Toc457234108"/>
      <w:bookmarkStart w:id="328" w:name="_Toc490577168"/>
      <w:r>
        <w:t>Second round assessment of benefits</w:t>
      </w:r>
      <w:bookmarkEnd w:id="324"/>
      <w:bookmarkEnd w:id="325"/>
      <w:bookmarkEnd w:id="326"/>
      <w:bookmarkEnd w:id="327"/>
      <w:bookmarkEnd w:id="328"/>
    </w:p>
    <w:p w:rsidR="00184C7D" w:rsidRPr="00184C7D" w:rsidRDefault="00184C7D" w:rsidP="00E2729C">
      <w:pPr>
        <w:autoSpaceDE w:val="0"/>
        <w:autoSpaceDN w:val="0"/>
        <w:adjustRightInd w:val="0"/>
      </w:pPr>
      <w:r w:rsidRPr="00184C7D">
        <w:t xml:space="preserve">No new clinical information was submitted. Accordingly, the benefits of Onivyde are unchanged from those identified in </w:t>
      </w:r>
      <w:r w:rsidR="007D5FCA">
        <w:t>the first round evaluation</w:t>
      </w:r>
      <w:r w:rsidR="00E2729C">
        <w:t>.</w:t>
      </w:r>
    </w:p>
    <w:p w:rsidR="00184C7D" w:rsidRDefault="00184C7D" w:rsidP="00184C7D">
      <w:pPr>
        <w:pStyle w:val="Heading3"/>
      </w:pPr>
      <w:bookmarkStart w:id="329" w:name="_Toc272414710"/>
      <w:bookmarkStart w:id="330" w:name="_Toc290846350"/>
      <w:bookmarkStart w:id="331" w:name="_Toc290888887"/>
      <w:bookmarkStart w:id="332" w:name="_Toc457234109"/>
      <w:bookmarkStart w:id="333" w:name="_Toc490577169"/>
      <w:r>
        <w:t>Second round assessment of risks</w:t>
      </w:r>
      <w:bookmarkEnd w:id="329"/>
      <w:bookmarkEnd w:id="330"/>
      <w:bookmarkEnd w:id="331"/>
      <w:bookmarkEnd w:id="332"/>
      <w:bookmarkEnd w:id="333"/>
    </w:p>
    <w:p w:rsidR="00184C7D" w:rsidRPr="00184C7D" w:rsidRDefault="00184C7D" w:rsidP="00184C7D">
      <w:pPr>
        <w:autoSpaceDE w:val="0"/>
        <w:autoSpaceDN w:val="0"/>
        <w:adjustRightInd w:val="0"/>
      </w:pPr>
      <w:r w:rsidRPr="00184C7D">
        <w:t xml:space="preserve">No new clinical information was submitted. Accordingly, the risks of Onivyde are unchanged from those </w:t>
      </w:r>
      <w:r w:rsidR="00590AE2" w:rsidRPr="00184C7D">
        <w:t xml:space="preserve">identified in </w:t>
      </w:r>
      <w:r w:rsidR="00590AE2">
        <w:t>the first round evaluation.</w:t>
      </w:r>
    </w:p>
    <w:p w:rsidR="00184C7D" w:rsidRDefault="00184C7D" w:rsidP="00184C7D">
      <w:pPr>
        <w:pStyle w:val="Heading3"/>
      </w:pPr>
      <w:bookmarkStart w:id="334" w:name="_Toc272414711"/>
      <w:bookmarkStart w:id="335" w:name="_Toc290846351"/>
      <w:bookmarkStart w:id="336" w:name="_Toc290888888"/>
      <w:bookmarkStart w:id="337" w:name="_Toc457234110"/>
      <w:bookmarkStart w:id="338" w:name="_Toc490577170"/>
      <w:r>
        <w:t>Second round assessment of benefit-risk balance</w:t>
      </w:r>
      <w:bookmarkEnd w:id="334"/>
      <w:bookmarkEnd w:id="335"/>
      <w:bookmarkEnd w:id="336"/>
      <w:bookmarkEnd w:id="337"/>
      <w:bookmarkEnd w:id="338"/>
    </w:p>
    <w:p w:rsidR="0085068D" w:rsidRPr="00184C7D" w:rsidRDefault="00184C7D" w:rsidP="00E2729C">
      <w:pPr>
        <w:autoSpaceDE w:val="0"/>
        <w:autoSpaceDN w:val="0"/>
        <w:adjustRightInd w:val="0"/>
      </w:pPr>
      <w:r w:rsidRPr="00184C7D">
        <w:t>The benefit-risk balance of Onivyde, given the</w:t>
      </w:r>
      <w:r w:rsidR="00E2729C">
        <w:t xml:space="preserve"> proposed usage, is favourable.</w:t>
      </w:r>
    </w:p>
    <w:p w:rsidR="00C618F7" w:rsidRDefault="00C618F7" w:rsidP="00E2729C">
      <w:pPr>
        <w:pStyle w:val="Heading2"/>
      </w:pPr>
      <w:bookmarkStart w:id="339" w:name="_Toc490577171"/>
      <w:r>
        <w:lastRenderedPageBreak/>
        <w:t>Second round recommendation regarding authorisation</w:t>
      </w:r>
      <w:bookmarkEnd w:id="339"/>
    </w:p>
    <w:p w:rsidR="0085068D" w:rsidRPr="00184C7D" w:rsidRDefault="00184C7D" w:rsidP="0085068D">
      <w:pPr>
        <w:rPr>
          <w:lang w:eastAsia="ja-JP"/>
        </w:rPr>
      </w:pPr>
      <w:r w:rsidRPr="00184C7D">
        <w:t>It is recommended that the application for registration be approved.</w:t>
      </w:r>
    </w:p>
    <w:p w:rsidR="004258C3" w:rsidRDefault="004258C3" w:rsidP="004258C3">
      <w:pPr>
        <w:pStyle w:val="Heading2"/>
      </w:pPr>
      <w:bookmarkStart w:id="340" w:name="_Toc490577172"/>
      <w:bookmarkEnd w:id="4"/>
      <w:bookmarkEnd w:id="3"/>
      <w:bookmarkEnd w:id="2"/>
      <w:r>
        <w:t>References</w:t>
      </w:r>
      <w:bookmarkEnd w:id="340"/>
    </w:p>
    <w:p w:rsidR="00702C40" w:rsidRPr="00702C40" w:rsidRDefault="00702C40" w:rsidP="00702C40">
      <w:pPr>
        <w:pStyle w:val="ListBullet"/>
      </w:pPr>
      <w:r w:rsidRPr="00702C40">
        <w:t xml:space="preserve">Hidalgo M.  Pancreatic cancer. N </w:t>
      </w:r>
      <w:proofErr w:type="spellStart"/>
      <w:r w:rsidRPr="00702C40">
        <w:t>Engl</w:t>
      </w:r>
      <w:proofErr w:type="spellEnd"/>
      <w:r w:rsidRPr="00702C40">
        <w:t xml:space="preserve"> J Med. 2010; 362(17): 1605-17.</w:t>
      </w:r>
    </w:p>
    <w:p w:rsidR="00702C40" w:rsidRPr="00702C40" w:rsidRDefault="00702C40" w:rsidP="00702C40">
      <w:pPr>
        <w:pStyle w:val="ListBullet"/>
      </w:pPr>
      <w:r w:rsidRPr="00702C40">
        <w:t xml:space="preserve">Cancer Australia. Pancreatic cancer statistics. </w:t>
      </w:r>
    </w:p>
    <w:p w:rsidR="00702C40" w:rsidRPr="00702C40" w:rsidRDefault="00702C40" w:rsidP="00702C40">
      <w:pPr>
        <w:pStyle w:val="ListBullet"/>
      </w:pPr>
      <w:r w:rsidRPr="00702C40">
        <w:t xml:space="preserve">National Comprehensive Cancer Network (NCCN). NCCN Clinical Practice Guidelines in Oncology – Pancreatic </w:t>
      </w:r>
      <w:r>
        <w:t>Adenocarcinoma. Version 2.2015.</w:t>
      </w:r>
    </w:p>
    <w:p w:rsidR="00702C40" w:rsidRPr="00702C40" w:rsidRDefault="00702C40" w:rsidP="00702C40">
      <w:pPr>
        <w:pStyle w:val="ListBullet"/>
      </w:pPr>
      <w:r w:rsidRPr="00702C40">
        <w:t xml:space="preserve">Vincent A, Herman J, </w:t>
      </w:r>
      <w:proofErr w:type="spellStart"/>
      <w:r w:rsidRPr="00702C40">
        <w:t>Schulick</w:t>
      </w:r>
      <w:proofErr w:type="spellEnd"/>
      <w:r w:rsidRPr="00702C40">
        <w:t xml:space="preserve"> R et al. Pancreatic cancer. Lancet. 2011; 378 (9791): 607-20.</w:t>
      </w:r>
    </w:p>
    <w:p w:rsidR="00702C40" w:rsidRPr="00702C40" w:rsidRDefault="00702C40" w:rsidP="00702C40">
      <w:pPr>
        <w:pStyle w:val="ListBullet"/>
      </w:pPr>
      <w:proofErr w:type="spellStart"/>
      <w:r w:rsidRPr="00702C40">
        <w:t>Ducreux</w:t>
      </w:r>
      <w:proofErr w:type="spellEnd"/>
      <w:r w:rsidRPr="00702C40">
        <w:t xml:space="preserve"> M, </w:t>
      </w:r>
      <w:proofErr w:type="spellStart"/>
      <w:r w:rsidRPr="00702C40">
        <w:t>Cuhna</w:t>
      </w:r>
      <w:proofErr w:type="spellEnd"/>
      <w:r w:rsidRPr="00702C40">
        <w:t xml:space="preserve"> AS, </w:t>
      </w:r>
      <w:proofErr w:type="spellStart"/>
      <w:r w:rsidRPr="00702C40">
        <w:t>Caramella</w:t>
      </w:r>
      <w:proofErr w:type="spellEnd"/>
      <w:r w:rsidRPr="00702C40">
        <w:t xml:space="preserve"> C et al. Cancer of the pancreas: ESMO Clinical Practice Guidelines for diagnosis, treatment and follow-up. Ann </w:t>
      </w:r>
      <w:proofErr w:type="spellStart"/>
      <w:r w:rsidRPr="00702C40">
        <w:t>Oncol</w:t>
      </w:r>
      <w:proofErr w:type="spellEnd"/>
      <w:r w:rsidRPr="00702C40">
        <w:t xml:space="preserve">. 2015; 26 </w:t>
      </w:r>
      <w:proofErr w:type="spellStart"/>
      <w:r w:rsidRPr="00702C40">
        <w:t>Suppl</w:t>
      </w:r>
      <w:proofErr w:type="spellEnd"/>
      <w:r w:rsidRPr="00702C40">
        <w:t xml:space="preserve"> 5: v56-68.</w:t>
      </w:r>
    </w:p>
    <w:p w:rsidR="00702C40" w:rsidRPr="00702C40" w:rsidRDefault="00702C40" w:rsidP="00702C40">
      <w:pPr>
        <w:pStyle w:val="ListBullet"/>
      </w:pPr>
      <w:r w:rsidRPr="00702C40">
        <w:t xml:space="preserve">Conroy T, </w:t>
      </w:r>
      <w:proofErr w:type="spellStart"/>
      <w:r w:rsidRPr="00702C40">
        <w:t>Desseigne</w:t>
      </w:r>
      <w:proofErr w:type="spellEnd"/>
      <w:r w:rsidRPr="00702C40">
        <w:t xml:space="preserve"> F, </w:t>
      </w:r>
      <w:proofErr w:type="spellStart"/>
      <w:r w:rsidRPr="00702C40">
        <w:t>Ychou</w:t>
      </w:r>
      <w:proofErr w:type="spellEnd"/>
      <w:r w:rsidRPr="00702C40">
        <w:t xml:space="preserve"> M et al. FOLFIRINOX versus gemcitabine for metastatic pancreatic cancer. N </w:t>
      </w:r>
      <w:proofErr w:type="spellStart"/>
      <w:r w:rsidRPr="00702C40">
        <w:t>Engl</w:t>
      </w:r>
      <w:proofErr w:type="spellEnd"/>
      <w:r w:rsidRPr="00702C40">
        <w:t xml:space="preserve"> J Med. 2011; 364 (19): 1817-25.</w:t>
      </w:r>
    </w:p>
    <w:p w:rsidR="00702C40" w:rsidRPr="00702C40" w:rsidRDefault="00702C40" w:rsidP="00702C40">
      <w:pPr>
        <w:pStyle w:val="ListBullet"/>
      </w:pPr>
      <w:r w:rsidRPr="00702C40">
        <w:t xml:space="preserve">Von Hoff DD, Ervin T, Arena FP et al. Increased survival in pancreatic cancer with nab-paclitaxel plus gemcitabine. N </w:t>
      </w:r>
      <w:proofErr w:type="spellStart"/>
      <w:r w:rsidRPr="00702C40">
        <w:t>Engl</w:t>
      </w:r>
      <w:proofErr w:type="spellEnd"/>
      <w:r w:rsidRPr="00702C40">
        <w:t xml:space="preserve"> J Med. 2013; 369 (18): 1691-703.</w:t>
      </w:r>
    </w:p>
    <w:p w:rsidR="00702C40" w:rsidRPr="00702C40" w:rsidRDefault="00702C40" w:rsidP="00702C40">
      <w:pPr>
        <w:pStyle w:val="ListBullet"/>
      </w:pPr>
      <w:r w:rsidRPr="00702C40">
        <w:t xml:space="preserve">Moore MJ, Goldstein D, Hamm J et al. </w:t>
      </w:r>
      <w:proofErr w:type="spellStart"/>
      <w:r w:rsidRPr="00702C40">
        <w:t>Erlotinib</w:t>
      </w:r>
      <w:proofErr w:type="spellEnd"/>
      <w:r w:rsidRPr="00702C40">
        <w:t xml:space="preserve"> plus gemcitabine compared with gemcitabine alone in patients with advanced pancreatic cancer: a phase III trial of the National Cancer Institute of Canada Clinical Trials Group. J </w:t>
      </w:r>
      <w:proofErr w:type="spellStart"/>
      <w:r w:rsidRPr="00702C40">
        <w:t>Clin</w:t>
      </w:r>
      <w:proofErr w:type="spellEnd"/>
      <w:r w:rsidRPr="00702C40">
        <w:t xml:space="preserve"> </w:t>
      </w:r>
      <w:proofErr w:type="spellStart"/>
      <w:r w:rsidRPr="00702C40">
        <w:t>Oncol</w:t>
      </w:r>
      <w:proofErr w:type="spellEnd"/>
      <w:r w:rsidRPr="00702C40">
        <w:t xml:space="preserve">. 2007 May 20; 25 (15): 1960-6. </w:t>
      </w:r>
    </w:p>
    <w:p w:rsidR="00702C40" w:rsidRPr="00702C40" w:rsidRDefault="00702C40" w:rsidP="00702C40">
      <w:pPr>
        <w:pStyle w:val="ListBullet"/>
      </w:pPr>
      <w:r w:rsidRPr="00702C40">
        <w:t xml:space="preserve">Burris HA, Moore MJ, Andersen J et al. Improvements in survival and clinical benefit with gemcitabine as first-line therapy for patients with advanced pancreas cancer: a randomized trial. J </w:t>
      </w:r>
      <w:proofErr w:type="spellStart"/>
      <w:r w:rsidRPr="00702C40">
        <w:t>Clin</w:t>
      </w:r>
      <w:proofErr w:type="spellEnd"/>
      <w:r w:rsidRPr="00702C40">
        <w:t xml:space="preserve"> </w:t>
      </w:r>
      <w:proofErr w:type="spellStart"/>
      <w:r w:rsidRPr="00702C40">
        <w:t>Oncol</w:t>
      </w:r>
      <w:proofErr w:type="spellEnd"/>
      <w:r w:rsidRPr="00702C40">
        <w:t>. 1997; 15 (6): 2403-13.</w:t>
      </w:r>
    </w:p>
    <w:p w:rsidR="00702C40" w:rsidRPr="00702C40" w:rsidRDefault="00702C40" w:rsidP="00702C40">
      <w:pPr>
        <w:pStyle w:val="ListBullet"/>
      </w:pPr>
      <w:proofErr w:type="spellStart"/>
      <w:r w:rsidRPr="00702C40">
        <w:t>Oettle</w:t>
      </w:r>
      <w:proofErr w:type="spellEnd"/>
      <w:r w:rsidRPr="00702C40">
        <w:t xml:space="preserve"> H, </w:t>
      </w:r>
      <w:proofErr w:type="spellStart"/>
      <w:r w:rsidRPr="00702C40">
        <w:t>Riess</w:t>
      </w:r>
      <w:proofErr w:type="spellEnd"/>
      <w:r w:rsidRPr="00702C40">
        <w:t xml:space="preserve"> H, </w:t>
      </w:r>
      <w:proofErr w:type="spellStart"/>
      <w:r w:rsidRPr="00702C40">
        <w:t>Stieler</w:t>
      </w:r>
      <w:proofErr w:type="spellEnd"/>
      <w:r w:rsidRPr="00702C40">
        <w:t xml:space="preserve"> JM et al. Second-line </w:t>
      </w:r>
      <w:proofErr w:type="spellStart"/>
      <w:r w:rsidRPr="00702C40">
        <w:t>oxaliplatin</w:t>
      </w:r>
      <w:proofErr w:type="spellEnd"/>
      <w:r w:rsidRPr="00702C40">
        <w:t xml:space="preserve">, </w:t>
      </w:r>
      <w:proofErr w:type="spellStart"/>
      <w:r w:rsidRPr="00702C40">
        <w:t>folinic</w:t>
      </w:r>
      <w:proofErr w:type="spellEnd"/>
      <w:r w:rsidRPr="00702C40">
        <w:t xml:space="preserve"> acid, and fluorouracil versus </w:t>
      </w:r>
      <w:proofErr w:type="spellStart"/>
      <w:r w:rsidRPr="00702C40">
        <w:t>folinic</w:t>
      </w:r>
      <w:proofErr w:type="spellEnd"/>
      <w:r w:rsidRPr="00702C40">
        <w:t xml:space="preserve"> acid and fluorouracil alone for gemcitabine-refractory pancreatic cancer: outcomes from the CONKO-003 trial. J </w:t>
      </w:r>
      <w:proofErr w:type="spellStart"/>
      <w:r w:rsidRPr="00702C40">
        <w:t>Clin</w:t>
      </w:r>
      <w:proofErr w:type="spellEnd"/>
      <w:r w:rsidRPr="00702C40">
        <w:t xml:space="preserve"> </w:t>
      </w:r>
      <w:proofErr w:type="spellStart"/>
      <w:r w:rsidRPr="00702C40">
        <w:t>Oncol</w:t>
      </w:r>
      <w:proofErr w:type="spellEnd"/>
      <w:r w:rsidRPr="00702C40">
        <w:t xml:space="preserve">. 2014; 32 (23): 2423-9. </w:t>
      </w:r>
    </w:p>
    <w:p w:rsidR="00702C40" w:rsidRPr="00702C40" w:rsidRDefault="00702C40" w:rsidP="00702C40">
      <w:pPr>
        <w:pStyle w:val="ListBullet"/>
      </w:pPr>
      <w:r w:rsidRPr="00702C40">
        <w:t xml:space="preserve">Gill S, </w:t>
      </w:r>
      <w:proofErr w:type="spellStart"/>
      <w:r w:rsidRPr="00702C40">
        <w:t>Ko</w:t>
      </w:r>
      <w:proofErr w:type="spellEnd"/>
      <w:r w:rsidRPr="00702C40">
        <w:t xml:space="preserve"> YJ, </w:t>
      </w:r>
      <w:proofErr w:type="gramStart"/>
      <w:r w:rsidRPr="00702C40">
        <w:t>Cripps</w:t>
      </w:r>
      <w:proofErr w:type="gramEnd"/>
      <w:r w:rsidRPr="00702C40">
        <w:t xml:space="preserve"> C et al. PANCREOX: A randomized phase 3 study of 5FU/LV with or without </w:t>
      </w:r>
      <w:proofErr w:type="spellStart"/>
      <w:r w:rsidRPr="00702C40">
        <w:t>oxaliplatin</w:t>
      </w:r>
      <w:proofErr w:type="spellEnd"/>
      <w:r w:rsidRPr="00702C40">
        <w:t xml:space="preserve"> for second-line advanced pancreatic cancer in patients who have received gemcitabine-based chemotherapy. ASCO Meeting Abstracts. 2014; 32: 4022.</w:t>
      </w:r>
    </w:p>
    <w:p w:rsidR="00702C40" w:rsidRPr="00702C40" w:rsidRDefault="00702C40" w:rsidP="00702C40">
      <w:pPr>
        <w:pStyle w:val="ListBullet"/>
      </w:pPr>
      <w:r w:rsidRPr="00702C40">
        <w:t xml:space="preserve">Cancer Institute of NSW. </w:t>
      </w:r>
      <w:proofErr w:type="spellStart"/>
      <w:r w:rsidRPr="00702C40">
        <w:t>EviQ</w:t>
      </w:r>
      <w:proofErr w:type="spellEnd"/>
      <w:r w:rsidRPr="00702C40">
        <w:t xml:space="preserve"> – Protocols – Medical Oncology – Upper Gastrointestinal - Pancreas Metastatic FOLFOX6 (Modified) (Fluorouracil </w:t>
      </w:r>
      <w:proofErr w:type="spellStart"/>
      <w:r w:rsidRPr="00702C40">
        <w:t>Leucovorin</w:t>
      </w:r>
      <w:proofErr w:type="spellEnd"/>
      <w:r w:rsidRPr="00702C40">
        <w:t xml:space="preserve"> </w:t>
      </w:r>
      <w:proofErr w:type="spellStart"/>
      <w:r w:rsidRPr="00702C40">
        <w:t>Oxaliplatin</w:t>
      </w:r>
      <w:proofErr w:type="spellEnd"/>
      <w:r w:rsidRPr="00702C40">
        <w:t>).</w:t>
      </w:r>
    </w:p>
    <w:p w:rsidR="00702C40" w:rsidRPr="00702C40" w:rsidRDefault="00702C40" w:rsidP="00702C40">
      <w:pPr>
        <w:pStyle w:val="ListBullet"/>
      </w:pPr>
      <w:r w:rsidRPr="00702C40">
        <w:t>European Medicines Agency. Guideline on the evaluation of anticancer medicinal products in man.</w:t>
      </w:r>
      <w:r>
        <w:t xml:space="preserve"> EMA/CHMP/205/95/Rev.4; (2012).</w:t>
      </w:r>
    </w:p>
    <w:p w:rsidR="00702C40" w:rsidRPr="00702C40" w:rsidRDefault="00702C40" w:rsidP="00702C40">
      <w:pPr>
        <w:pStyle w:val="ListBullet"/>
      </w:pPr>
      <w:r w:rsidRPr="00702C40">
        <w:t>European Medicines Agency.  Points to consider on application with 1. Meta-analyses; 2. One pivotal study; CPMP/EWP/2</w:t>
      </w:r>
      <w:r>
        <w:t>330/99 (2001).</w:t>
      </w:r>
    </w:p>
    <w:p w:rsidR="00702C40" w:rsidRPr="00702C40" w:rsidRDefault="00702C40" w:rsidP="00702C40">
      <w:pPr>
        <w:pStyle w:val="ListBullet"/>
      </w:pPr>
      <w:r w:rsidRPr="00702C40">
        <w:t>Therapeutic Goods Administration. Product Information for irinot</w:t>
      </w:r>
      <w:r>
        <w:t>ecan hydrochloride (CAMPTOSAR).</w:t>
      </w:r>
    </w:p>
    <w:p w:rsidR="00702C40" w:rsidRPr="00702C40" w:rsidRDefault="00702C40" w:rsidP="00702C40">
      <w:pPr>
        <w:pStyle w:val="ListBullet"/>
      </w:pPr>
      <w:proofErr w:type="spellStart"/>
      <w:r w:rsidRPr="00702C40">
        <w:t>Mathijssen</w:t>
      </w:r>
      <w:proofErr w:type="spellEnd"/>
      <w:r w:rsidRPr="00702C40">
        <w:t xml:space="preserve"> RH, van Alphen RJ, </w:t>
      </w:r>
      <w:proofErr w:type="spellStart"/>
      <w:r w:rsidRPr="00702C40">
        <w:t>Verweij</w:t>
      </w:r>
      <w:proofErr w:type="spellEnd"/>
      <w:r w:rsidRPr="00702C40">
        <w:t xml:space="preserve"> J et al. Clinical pharmacokinetics and metabolism of irinotecan (CPT-11). </w:t>
      </w:r>
      <w:proofErr w:type="spellStart"/>
      <w:r w:rsidRPr="00702C40">
        <w:t>Clin</w:t>
      </w:r>
      <w:proofErr w:type="spellEnd"/>
      <w:r w:rsidRPr="00702C40">
        <w:t xml:space="preserve"> Cancer Res. 2001; 7 (8): 2182-94.</w:t>
      </w:r>
    </w:p>
    <w:p w:rsidR="00702C40" w:rsidRDefault="00702C40" w:rsidP="00702C40">
      <w:pPr>
        <w:pStyle w:val="ListBullet"/>
      </w:pPr>
      <w:r w:rsidRPr="00702C40">
        <w:t>Wang-Gillam A</w:t>
      </w:r>
      <w:proofErr w:type="gramStart"/>
      <w:r w:rsidRPr="00702C40">
        <w:t>,  Li</w:t>
      </w:r>
      <w:proofErr w:type="gramEnd"/>
      <w:r w:rsidRPr="00702C40">
        <w:t xml:space="preserve"> C-P, </w:t>
      </w:r>
      <w:proofErr w:type="spellStart"/>
      <w:r w:rsidRPr="00702C40">
        <w:t>Bodoky</w:t>
      </w:r>
      <w:proofErr w:type="spellEnd"/>
      <w:r w:rsidRPr="00702C40">
        <w:t xml:space="preserve"> G et al. </w:t>
      </w:r>
      <w:proofErr w:type="spellStart"/>
      <w:r w:rsidRPr="00702C40">
        <w:t>Nanoliposomal</w:t>
      </w:r>
      <w:proofErr w:type="spellEnd"/>
      <w:r w:rsidRPr="00702C40">
        <w:t xml:space="preserve"> irinotecan with fluorouracil and </w:t>
      </w:r>
      <w:proofErr w:type="spellStart"/>
      <w:r w:rsidRPr="00702C40">
        <w:t>folinic</w:t>
      </w:r>
      <w:proofErr w:type="spellEnd"/>
      <w:r w:rsidRPr="00702C40">
        <w:t xml:space="preserve"> acid in metastatic pancreatic cancer after previous gemcitabine-based therapy (NAPOLI-1): a global, randomised, open-label, phase 3 trial. Lancet. 2016, 387: 545 – 557</w:t>
      </w:r>
      <w:r>
        <w:t>.</w:t>
      </w:r>
    </w:p>
    <w:p w:rsidR="00702C40" w:rsidRPr="00702C40" w:rsidRDefault="00702C40" w:rsidP="00702C40">
      <w:pPr>
        <w:pStyle w:val="ListBullet"/>
      </w:pPr>
      <w:proofErr w:type="spellStart"/>
      <w:r w:rsidRPr="00702C40">
        <w:lastRenderedPageBreak/>
        <w:t>Eisenhauer</w:t>
      </w:r>
      <w:proofErr w:type="spellEnd"/>
      <w:r w:rsidRPr="00702C40">
        <w:t xml:space="preserve"> EA et al. New response evaluation criteria in solid tumours: Revised RECIST guideline (version 1.1). </w:t>
      </w:r>
      <w:proofErr w:type="spellStart"/>
      <w:r w:rsidRPr="00702C40">
        <w:t>Eur</w:t>
      </w:r>
      <w:proofErr w:type="spellEnd"/>
      <w:r w:rsidRPr="00702C40">
        <w:t xml:space="preserve"> J Cancer. 2009, 45: 228-247.</w:t>
      </w:r>
    </w:p>
    <w:p w:rsidR="003D1E62" w:rsidRPr="00184C7D" w:rsidRDefault="008E7846" w:rsidP="002666AC">
      <w:pPr>
        <w:sectPr w:rsidR="003D1E62" w:rsidRPr="00184C7D" w:rsidSect="00EF2434">
          <w:headerReference w:type="even" r:id="rId37"/>
          <w:headerReference w:type="default" r:id="rId38"/>
          <w:headerReference w:type="first" r:id="rId39"/>
          <w:footerReference w:type="first" r:id="rId40"/>
          <w:pgSz w:w="11906" w:h="16838" w:code="9"/>
          <w:pgMar w:top="1440" w:right="1440" w:bottom="1440" w:left="1440" w:header="907" w:footer="216" w:gutter="0"/>
          <w:cols w:space="708"/>
          <w:docGrid w:linePitch="360"/>
        </w:sectPr>
      </w:pPr>
      <w:r w:rsidRPr="00184C7D">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7A323C" w:rsidRPr="00184C7D" w:rsidTr="009021F5">
        <w:trPr>
          <w:trHeight w:hRule="exact" w:val="564"/>
        </w:trPr>
        <w:tc>
          <w:tcPr>
            <w:tcW w:w="9175" w:type="dxa"/>
          </w:tcPr>
          <w:p w:rsidR="007A323C" w:rsidRPr="007D5FCA" w:rsidRDefault="007A323C" w:rsidP="009021F5">
            <w:pPr>
              <w:pStyle w:val="TGASignoff"/>
            </w:pPr>
            <w:r w:rsidRPr="007D5FCA">
              <w:lastRenderedPageBreak/>
              <w:t>Therapeutic Goods Administration</w:t>
            </w:r>
          </w:p>
        </w:tc>
      </w:tr>
      <w:tr w:rsidR="007A323C" w:rsidRPr="00184C7D" w:rsidTr="009021F5">
        <w:trPr>
          <w:trHeight w:val="1221"/>
        </w:trPr>
        <w:tc>
          <w:tcPr>
            <w:tcW w:w="9175" w:type="dxa"/>
            <w:tcMar>
              <w:top w:w="28" w:type="dxa"/>
            </w:tcMar>
          </w:tcPr>
          <w:p w:rsidR="007A323C" w:rsidRPr="007D5FCA" w:rsidRDefault="007A323C" w:rsidP="009021F5">
            <w:pPr>
              <w:pStyle w:val="Address"/>
            </w:pPr>
            <w:r w:rsidRPr="007D5FCA">
              <w:t>PO Box 100 Woden ACT 2606 Australia</w:t>
            </w:r>
          </w:p>
          <w:p w:rsidR="007A323C" w:rsidRPr="007D5FCA" w:rsidRDefault="007A323C" w:rsidP="009021F5">
            <w:pPr>
              <w:pStyle w:val="Address"/>
            </w:pPr>
            <w:r w:rsidRPr="007D5FCA">
              <w:t xml:space="preserve">Email: </w:t>
            </w:r>
            <w:hyperlink r:id="rId41" w:history="1">
              <w:r w:rsidRPr="007D5FCA">
                <w:rPr>
                  <w:rStyle w:val="Hyperlink"/>
                </w:rPr>
                <w:t>info@tga.gov.au</w:t>
              </w:r>
            </w:hyperlink>
            <w:r w:rsidRPr="007D5FCA">
              <w:t xml:space="preserve">  Phone: 1800 020 653  Fax: 02 6232 8605</w:t>
            </w:r>
          </w:p>
          <w:p w:rsidR="007A323C" w:rsidRPr="007D5FCA" w:rsidRDefault="00584489" w:rsidP="009021F5">
            <w:pPr>
              <w:pStyle w:val="Address"/>
              <w:spacing w:line="260" w:lineRule="atLeast"/>
              <w:rPr>
                <w:b/>
                <w:color w:val="0000FF"/>
                <w:u w:val="single"/>
              </w:rPr>
            </w:pPr>
            <w:hyperlink r:id="rId42" w:history="1">
              <w:r w:rsidR="007A323C" w:rsidRPr="007D5FCA">
                <w:rPr>
                  <w:rStyle w:val="Hyperlink"/>
                </w:rPr>
                <w:t>https://www.tga.gov.au</w:t>
              </w:r>
            </w:hyperlink>
          </w:p>
        </w:tc>
      </w:tr>
    </w:tbl>
    <w:p w:rsidR="00774E1D" w:rsidRPr="00184C7D" w:rsidRDefault="00774E1D" w:rsidP="008A5E0B"/>
    <w:sectPr w:rsidR="00774E1D" w:rsidRPr="00184C7D" w:rsidSect="00B3567E">
      <w:headerReference w:type="even" r:id="rId43"/>
      <w:headerReference w:type="default" r:id="rId44"/>
      <w:headerReference w:type="first" r:id="rId45"/>
      <w:footerReference w:type="first" r:id="rId46"/>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575" w:rsidRDefault="007C5575" w:rsidP="00C40A36">
      <w:pPr>
        <w:spacing w:after="0"/>
      </w:pPr>
      <w:r>
        <w:separator/>
      </w:r>
    </w:p>
  </w:endnote>
  <w:endnote w:type="continuationSeparator" w:id="0">
    <w:p w:rsidR="007C5575" w:rsidRDefault="007C557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575" w:rsidRDefault="007C5575" w:rsidP="00184C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7C5575" w:rsidRDefault="007C5575" w:rsidP="004A270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575" w:rsidRDefault="007C5575" w:rsidP="00BC6738">
    <w:pPr>
      <w:pStyle w:val="Footer"/>
      <w:framePr w:wrap="around" w:vAnchor="text" w:hAnchor="margin" w:xAlign="right" w:y="1"/>
      <w:rPr>
        <w:rStyle w:val="PageNumber"/>
      </w:rPr>
    </w:pPr>
  </w:p>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7C5575" w:rsidRPr="00487162" w:rsidTr="00597B38">
      <w:trPr>
        <w:trHeight w:val="269"/>
      </w:trPr>
      <w:tc>
        <w:tcPr>
          <w:tcW w:w="7938" w:type="dxa"/>
          <w:tcMar>
            <w:top w:w="142" w:type="dxa"/>
            <w:bottom w:w="0" w:type="dxa"/>
          </w:tcMar>
        </w:tcPr>
        <w:p w:rsidR="007C5575" w:rsidRPr="00487162" w:rsidRDefault="007C5575" w:rsidP="007B532D">
          <w:pPr>
            <w:pStyle w:val="Footer"/>
          </w:pPr>
          <w:r>
            <w:t xml:space="preserve">Submission </w:t>
          </w:r>
          <w:r w:rsidRPr="00487162">
            <w:t>PM-20</w:t>
          </w:r>
          <w:r>
            <w:t>15-03141-1-2 Extract from the Clinical Evaluation Report for Onivyde</w:t>
          </w:r>
        </w:p>
      </w:tc>
      <w:tc>
        <w:tcPr>
          <w:tcW w:w="923" w:type="dxa"/>
          <w:tcMar>
            <w:top w:w="142" w:type="dxa"/>
            <w:bottom w:w="0" w:type="dxa"/>
          </w:tcMar>
        </w:tcPr>
        <w:p w:rsidR="007C5575" w:rsidRPr="00981D66" w:rsidRDefault="007C5575" w:rsidP="00197FA7">
          <w:pPr>
            <w:pStyle w:val="Footer"/>
            <w:jc w:val="right"/>
          </w:pPr>
          <w:r w:rsidRPr="00981D66">
            <w:fldChar w:fldCharType="begin"/>
          </w:r>
          <w:r w:rsidRPr="00981D66">
            <w:instrText xml:space="preserve"> PAGE  \* Arabic  \* MERGEFORMAT </w:instrText>
          </w:r>
          <w:r w:rsidRPr="00981D66">
            <w:fldChar w:fldCharType="separate"/>
          </w:r>
          <w:r w:rsidR="00584489">
            <w:rPr>
              <w:noProof/>
            </w:rPr>
            <w:t>49</w:t>
          </w:r>
          <w:r w:rsidRPr="00981D66">
            <w:fldChar w:fldCharType="end"/>
          </w:r>
          <w:r w:rsidRPr="00981D66">
            <w:t xml:space="preserve"> of </w:t>
          </w:r>
          <w:r w:rsidR="00584489">
            <w:fldChar w:fldCharType="begin"/>
          </w:r>
          <w:r w:rsidR="00584489">
            <w:instrText xml:space="preserve"> NUMPAGES  \* Arabic  \* MERGEFORMAT </w:instrText>
          </w:r>
          <w:r w:rsidR="00584489">
            <w:fldChar w:fldCharType="separate"/>
          </w:r>
          <w:r w:rsidR="00584489">
            <w:rPr>
              <w:noProof/>
            </w:rPr>
            <w:t>49</w:t>
          </w:r>
          <w:r w:rsidR="00584489">
            <w:rPr>
              <w:noProof/>
            </w:rPr>
            <w:fldChar w:fldCharType="end"/>
          </w:r>
        </w:p>
      </w:tc>
    </w:tr>
  </w:tbl>
  <w:p w:rsidR="007C5575" w:rsidRPr="00184C7D" w:rsidRDefault="007C5575" w:rsidP="007B532D">
    <w:pPr>
      <w:pStyle w:val="Footer"/>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575" w:rsidRPr="00086428" w:rsidRDefault="007C5575" w:rsidP="00086428">
    <w:pPr>
      <w:pStyle w:val="Footer"/>
      <w:ind w:right="360"/>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C5575" w:rsidRPr="00487162" w:rsidTr="00E45619">
      <w:trPr>
        <w:trHeight w:val="269"/>
      </w:trPr>
      <w:tc>
        <w:tcPr>
          <w:tcW w:w="4519" w:type="dxa"/>
          <w:tcBorders>
            <w:top w:val="single" w:sz="4" w:space="0" w:color="auto"/>
          </w:tcBorders>
          <w:tcMar>
            <w:top w:w="142" w:type="dxa"/>
            <w:bottom w:w="0" w:type="dxa"/>
          </w:tcMar>
        </w:tcPr>
        <w:p w:rsidR="007C5575" w:rsidRPr="00487162" w:rsidRDefault="007C5575" w:rsidP="00FE1DEE">
          <w:pPr>
            <w:pStyle w:val="Footer"/>
          </w:pPr>
          <w:r w:rsidRPr="00487162">
            <w:t>Document title, Part #, Section # - Section title</w:t>
          </w:r>
        </w:p>
        <w:p w:rsidR="007C5575" w:rsidRPr="00487162" w:rsidRDefault="007C5575" w:rsidP="00FE1DEE">
          <w:pPr>
            <w:pStyle w:val="Footer"/>
          </w:pPr>
          <w:r w:rsidRPr="00487162">
            <w:t>V1.0 October 2010</w:t>
          </w:r>
        </w:p>
      </w:tc>
      <w:tc>
        <w:tcPr>
          <w:tcW w:w="4342" w:type="dxa"/>
          <w:tcBorders>
            <w:top w:val="single" w:sz="4" w:space="0" w:color="auto"/>
          </w:tcBorders>
          <w:tcMar>
            <w:top w:w="142" w:type="dxa"/>
            <w:bottom w:w="0" w:type="dxa"/>
          </w:tcMar>
        </w:tcPr>
        <w:p w:rsidR="007C5575" w:rsidRPr="00487162" w:rsidRDefault="007C557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7C5575" w:rsidRDefault="007C5575">
    <w:pPr>
      <w:pStyle w:val="Footer"/>
    </w:pPr>
  </w:p>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C5575" w:rsidTr="0010601F">
      <w:trPr>
        <w:trHeight w:val="108"/>
      </w:trPr>
      <w:tc>
        <w:tcPr>
          <w:tcW w:w="8875" w:type="dxa"/>
          <w:gridSpan w:val="2"/>
          <w:tcBorders>
            <w:bottom w:val="single" w:sz="4" w:space="0" w:color="auto"/>
          </w:tcBorders>
          <w:tcMar>
            <w:right w:w="284" w:type="dxa"/>
          </w:tcMar>
        </w:tcPr>
        <w:p w:rsidR="007C5575" w:rsidRDefault="007C5575" w:rsidP="006E08B3">
          <w:pPr>
            <w:pStyle w:val="Heading3"/>
          </w:pPr>
          <w:r>
            <w:t>Copyright</w:t>
          </w:r>
        </w:p>
        <w:p w:rsidR="007C5575" w:rsidRDefault="007C5575" w:rsidP="006E08B3">
          <w:r>
            <w:t>© Commonwealth of Australia [add year]</w:t>
          </w:r>
        </w:p>
        <w:p w:rsidR="007C5575" w:rsidRDefault="007C5575" w:rsidP="006E08B3"/>
        <w:p w:rsidR="007C5575" w:rsidRDefault="007C557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C5575" w:rsidRDefault="007C5575" w:rsidP="006E08B3"/>
        <w:p w:rsidR="007C5575" w:rsidRDefault="007C5575" w:rsidP="006E08B3">
          <w:pPr>
            <w:pStyle w:val="Heading3"/>
          </w:pPr>
          <w:r>
            <w:t>Confidentiality</w:t>
          </w:r>
        </w:p>
        <w:p w:rsidR="007C5575" w:rsidRDefault="007C557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C5575" w:rsidRDefault="007C5575" w:rsidP="006E08B3"/>
        <w:p w:rsidR="007C5575" w:rsidRDefault="007C5575" w:rsidP="006E08B3">
          <w:r>
            <w:t>For submission made by individuals, all personal details, other than your name, will be removed from your submission before it is published on the TGA’s Internet site.</w:t>
          </w:r>
        </w:p>
        <w:p w:rsidR="007C5575" w:rsidRDefault="007C5575" w:rsidP="006E08B3"/>
        <w:p w:rsidR="007C5575" w:rsidRDefault="007C557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C5575" w:rsidTr="0010601F">
      <w:trPr>
        <w:trHeight w:val="417"/>
      </w:trPr>
      <w:tc>
        <w:tcPr>
          <w:tcW w:w="4519" w:type="dxa"/>
          <w:tcBorders>
            <w:top w:val="single" w:sz="4" w:space="0" w:color="auto"/>
          </w:tcBorders>
          <w:tcMar>
            <w:top w:w="142" w:type="dxa"/>
            <w:bottom w:w="0" w:type="dxa"/>
          </w:tcMar>
        </w:tcPr>
        <w:p w:rsidR="007C5575" w:rsidRDefault="007C5575" w:rsidP="006E08B3">
          <w:r>
            <w:t>Document title, Part #, Section # - Section title</w:t>
          </w:r>
        </w:p>
        <w:p w:rsidR="007C5575" w:rsidRDefault="007C5575" w:rsidP="006E08B3">
          <w:r>
            <w:t>V1.0 October 2010</w:t>
          </w:r>
        </w:p>
      </w:tc>
      <w:tc>
        <w:tcPr>
          <w:tcW w:w="4356" w:type="dxa"/>
          <w:tcBorders>
            <w:top w:val="single" w:sz="4" w:space="0" w:color="auto"/>
          </w:tcBorders>
          <w:tcMar>
            <w:top w:w="142" w:type="dxa"/>
            <w:bottom w:w="0" w:type="dxa"/>
          </w:tcMar>
        </w:tcPr>
        <w:p w:rsidR="007C5575" w:rsidRDefault="007C557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7C5575" w:rsidRDefault="007C55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575" w:rsidRDefault="007C5575" w:rsidP="00C40A36">
      <w:pPr>
        <w:spacing w:after="0"/>
      </w:pPr>
      <w:r>
        <w:separator/>
      </w:r>
    </w:p>
  </w:footnote>
  <w:footnote w:type="continuationSeparator" w:id="0">
    <w:p w:rsidR="007C5575" w:rsidRDefault="007C5575" w:rsidP="00C40A36">
      <w:pPr>
        <w:spacing w:after="0"/>
      </w:pPr>
      <w:r>
        <w:continuationSeparator/>
      </w:r>
    </w:p>
  </w:footnote>
  <w:footnote w:id="1">
    <w:p w:rsidR="007C5575" w:rsidRPr="00EE1152" w:rsidRDefault="007C5575" w:rsidP="005C0C40">
      <w:pPr>
        <w:pStyle w:val="FootnoteText"/>
        <w:rPr>
          <w:lang w:val="en-US"/>
        </w:rPr>
      </w:pPr>
      <w:r>
        <w:rPr>
          <w:rStyle w:val="FootnoteReference"/>
        </w:rPr>
        <w:footnoteRef/>
      </w:r>
      <w:r>
        <w:t xml:space="preserve"> </w:t>
      </w:r>
      <w:proofErr w:type="gramStart"/>
      <w:r w:rsidRPr="00EE1152">
        <w:t>Hidalgo M. Pancreatic cancer.</w:t>
      </w:r>
      <w:proofErr w:type="gramEnd"/>
      <w:r w:rsidRPr="00EE1152">
        <w:t xml:space="preserve"> </w:t>
      </w:r>
      <w:r w:rsidRPr="00E2068D">
        <w:rPr>
          <w:i/>
        </w:rPr>
        <w:t xml:space="preserve">N </w:t>
      </w:r>
      <w:proofErr w:type="spellStart"/>
      <w:r w:rsidRPr="00E2068D">
        <w:rPr>
          <w:i/>
        </w:rPr>
        <w:t>Engl</w:t>
      </w:r>
      <w:proofErr w:type="spellEnd"/>
      <w:r w:rsidRPr="00E2068D">
        <w:rPr>
          <w:i/>
        </w:rPr>
        <w:t xml:space="preserve"> J Med.</w:t>
      </w:r>
      <w:r>
        <w:t xml:space="preserve"> 362: 1605-1617 (2010).</w:t>
      </w:r>
    </w:p>
  </w:footnote>
  <w:footnote w:id="2">
    <w:p w:rsidR="007C5575" w:rsidRPr="000843A3" w:rsidRDefault="007C5575" w:rsidP="005C0C40">
      <w:pPr>
        <w:pStyle w:val="FootnoteText"/>
        <w:rPr>
          <w:lang w:val="en-US"/>
        </w:rPr>
      </w:pPr>
      <w:r>
        <w:rPr>
          <w:rStyle w:val="FootnoteReference"/>
        </w:rPr>
        <w:footnoteRef/>
      </w:r>
      <w:r>
        <w:t xml:space="preserve"> </w:t>
      </w:r>
      <w:proofErr w:type="gramStart"/>
      <w:r w:rsidRPr="000843A3">
        <w:t>Cancer Australia.</w:t>
      </w:r>
      <w:proofErr w:type="gramEnd"/>
      <w:r w:rsidRPr="000843A3">
        <w:t xml:space="preserve"> </w:t>
      </w:r>
      <w:proofErr w:type="gramStart"/>
      <w:r w:rsidRPr="000843A3">
        <w:t>Pancreatic cancer statistics.</w:t>
      </w:r>
      <w:proofErr w:type="gramEnd"/>
      <w:r w:rsidRPr="000843A3">
        <w:t xml:space="preserve"> </w:t>
      </w:r>
      <w:proofErr w:type="gramStart"/>
      <w:r w:rsidRPr="000843A3">
        <w:t>Accessed 13 January 2016.</w:t>
      </w:r>
      <w:proofErr w:type="gramEnd"/>
    </w:p>
  </w:footnote>
  <w:footnote w:id="3">
    <w:p w:rsidR="007C5575" w:rsidRPr="00E56225" w:rsidRDefault="007C5575" w:rsidP="005C0C40">
      <w:pPr>
        <w:pStyle w:val="FootnoteText"/>
        <w:rPr>
          <w:lang w:val="en-US"/>
        </w:rPr>
      </w:pPr>
      <w:r>
        <w:rPr>
          <w:rStyle w:val="FootnoteReference"/>
        </w:rPr>
        <w:footnoteRef/>
      </w:r>
      <w:r>
        <w:t xml:space="preserve"> </w:t>
      </w:r>
      <w:r w:rsidRPr="00E56225">
        <w:t xml:space="preserve">National Comprehensive Cancer Network (NCCN). </w:t>
      </w:r>
      <w:proofErr w:type="gramStart"/>
      <w:r w:rsidRPr="00E56225">
        <w:t>NCCN Clinical Practice Guidelines in Oncology – Pancreatic Adenocarcinoma.</w:t>
      </w:r>
      <w:proofErr w:type="gramEnd"/>
      <w:r w:rsidRPr="00E56225">
        <w:t xml:space="preserve"> </w:t>
      </w:r>
      <w:proofErr w:type="gramStart"/>
      <w:r w:rsidRPr="00E56225">
        <w:t>Version 2.2015.</w:t>
      </w:r>
      <w:proofErr w:type="gramEnd"/>
      <w:r w:rsidRPr="00E56225">
        <w:t xml:space="preserve"> </w:t>
      </w:r>
      <w:proofErr w:type="gramStart"/>
      <w:r w:rsidRPr="00E56225">
        <w:t>Accessed 11 January 2016.</w:t>
      </w:r>
      <w:proofErr w:type="gramEnd"/>
    </w:p>
  </w:footnote>
  <w:footnote w:id="4">
    <w:p w:rsidR="007C5575" w:rsidRPr="00E56225" w:rsidRDefault="007C5575" w:rsidP="005C0C40">
      <w:pPr>
        <w:pStyle w:val="FootnoteText"/>
        <w:rPr>
          <w:lang w:val="en-US"/>
        </w:rPr>
      </w:pPr>
      <w:r>
        <w:rPr>
          <w:rStyle w:val="FootnoteReference"/>
        </w:rPr>
        <w:footnoteRef/>
      </w:r>
      <w:r>
        <w:t xml:space="preserve"> </w:t>
      </w:r>
      <w:r w:rsidRPr="00E56225">
        <w:t xml:space="preserve">Vincent A, et al. Pancreatic cancer. </w:t>
      </w:r>
      <w:r w:rsidRPr="007E1700">
        <w:rPr>
          <w:i/>
        </w:rPr>
        <w:t>Lancet</w:t>
      </w:r>
      <w:r>
        <w:t xml:space="preserve"> 378: 607-620 (2011).</w:t>
      </w:r>
    </w:p>
  </w:footnote>
  <w:footnote w:id="5">
    <w:p w:rsidR="007C5575" w:rsidRPr="00A24F22" w:rsidRDefault="007C5575" w:rsidP="005C0C40">
      <w:pPr>
        <w:pStyle w:val="FootnoteText"/>
        <w:rPr>
          <w:lang w:val="en-US"/>
        </w:rPr>
      </w:pPr>
      <w:r>
        <w:rPr>
          <w:rStyle w:val="FootnoteReference"/>
        </w:rPr>
        <w:footnoteRef/>
      </w:r>
      <w:r>
        <w:t xml:space="preserve"> </w:t>
      </w:r>
      <w:proofErr w:type="spellStart"/>
      <w:r w:rsidRPr="00A47A04">
        <w:t>Ducreux</w:t>
      </w:r>
      <w:proofErr w:type="spellEnd"/>
      <w:r w:rsidRPr="00A47A04">
        <w:t xml:space="preserve"> M</w:t>
      </w:r>
      <w:r>
        <w:t xml:space="preserve">, et al. </w:t>
      </w:r>
      <w:r w:rsidRPr="00A47A04">
        <w:t>Cancer of the pancreas: ESMO Clinical Practice Guidelines for diag</w:t>
      </w:r>
      <w:r>
        <w:t xml:space="preserve">nosis, treatment and follow-up. </w:t>
      </w:r>
      <w:r w:rsidRPr="00FB3E58">
        <w:rPr>
          <w:i/>
        </w:rPr>
        <w:t xml:space="preserve">Ann </w:t>
      </w:r>
      <w:proofErr w:type="spellStart"/>
      <w:r w:rsidRPr="00FB3E58">
        <w:rPr>
          <w:i/>
        </w:rPr>
        <w:t>Oncol</w:t>
      </w:r>
      <w:proofErr w:type="spellEnd"/>
      <w:r w:rsidRPr="00FB3E58">
        <w:rPr>
          <w:i/>
        </w:rPr>
        <w:t>.</w:t>
      </w:r>
      <w:r w:rsidRPr="00A47A04">
        <w:t xml:space="preserve"> 26 </w:t>
      </w:r>
      <w:proofErr w:type="spellStart"/>
      <w:r w:rsidRPr="00A47A04">
        <w:t>Suppl</w:t>
      </w:r>
      <w:proofErr w:type="spellEnd"/>
      <w:r w:rsidRPr="00A47A04">
        <w:t xml:space="preserve"> 5:</w:t>
      </w:r>
      <w:r>
        <w:t xml:space="preserve"> </w:t>
      </w:r>
      <w:r w:rsidRPr="00A47A04">
        <w:t>v56-68</w:t>
      </w:r>
      <w:r>
        <w:t xml:space="preserve"> (2015).</w:t>
      </w:r>
    </w:p>
  </w:footnote>
  <w:footnote w:id="6">
    <w:p w:rsidR="007C5575" w:rsidRPr="00A24F22" w:rsidRDefault="007C5575" w:rsidP="005C0C40">
      <w:pPr>
        <w:pStyle w:val="FootnoteText"/>
        <w:rPr>
          <w:lang w:val="en-US"/>
        </w:rPr>
      </w:pPr>
      <w:r>
        <w:rPr>
          <w:rStyle w:val="FootnoteReference"/>
        </w:rPr>
        <w:footnoteRef/>
      </w:r>
      <w:r>
        <w:t xml:space="preserve"> </w:t>
      </w:r>
      <w:proofErr w:type="gramStart"/>
      <w:r w:rsidRPr="00EE1152">
        <w:t>Hidalgo M. Pancreatic cancer.</w:t>
      </w:r>
      <w:proofErr w:type="gramEnd"/>
      <w:r w:rsidRPr="00EE1152">
        <w:t xml:space="preserve"> </w:t>
      </w:r>
      <w:r w:rsidRPr="00E2068D">
        <w:rPr>
          <w:i/>
        </w:rPr>
        <w:t xml:space="preserve">N </w:t>
      </w:r>
      <w:proofErr w:type="spellStart"/>
      <w:r w:rsidRPr="00E2068D">
        <w:rPr>
          <w:i/>
        </w:rPr>
        <w:t>Engl</w:t>
      </w:r>
      <w:proofErr w:type="spellEnd"/>
      <w:r w:rsidRPr="00E2068D">
        <w:rPr>
          <w:i/>
        </w:rPr>
        <w:t xml:space="preserve"> J Med.</w:t>
      </w:r>
      <w:r>
        <w:t xml:space="preserve"> 362: 1605-1617 (2010).</w:t>
      </w:r>
    </w:p>
  </w:footnote>
  <w:footnote w:id="7">
    <w:p w:rsidR="007C5575" w:rsidRPr="004F09AA" w:rsidRDefault="007C5575" w:rsidP="005C0C40">
      <w:pPr>
        <w:pStyle w:val="FootnoteText"/>
        <w:rPr>
          <w:lang w:val="en-US"/>
        </w:rPr>
      </w:pPr>
      <w:r>
        <w:rPr>
          <w:rStyle w:val="FootnoteReference"/>
        </w:rPr>
        <w:footnoteRef/>
      </w:r>
      <w:r>
        <w:t xml:space="preserve"> </w:t>
      </w:r>
      <w:proofErr w:type="gramStart"/>
      <w:r w:rsidRPr="004F09AA">
        <w:t>Conroy T, et al. FOLFIRINOX versus gemcitabine for metastatic pancreatic cancer.</w:t>
      </w:r>
      <w:proofErr w:type="gramEnd"/>
      <w:r w:rsidRPr="004F09AA">
        <w:t xml:space="preserve"> </w:t>
      </w:r>
      <w:r w:rsidRPr="00B21365">
        <w:rPr>
          <w:i/>
        </w:rPr>
        <w:t xml:space="preserve">N </w:t>
      </w:r>
      <w:proofErr w:type="spellStart"/>
      <w:r w:rsidRPr="00B21365">
        <w:rPr>
          <w:i/>
        </w:rPr>
        <w:t>Engl</w:t>
      </w:r>
      <w:proofErr w:type="spellEnd"/>
      <w:r w:rsidRPr="00B21365">
        <w:rPr>
          <w:i/>
        </w:rPr>
        <w:t xml:space="preserve"> J Med.</w:t>
      </w:r>
      <w:r>
        <w:t xml:space="preserve"> 364: 1817-1825 (2011).</w:t>
      </w:r>
    </w:p>
  </w:footnote>
  <w:footnote w:id="8">
    <w:p w:rsidR="007C5575" w:rsidRPr="00B21365" w:rsidRDefault="007C5575" w:rsidP="005C0C40">
      <w:pPr>
        <w:pStyle w:val="FootnoteText"/>
        <w:rPr>
          <w:lang w:val="en-US"/>
        </w:rPr>
      </w:pPr>
      <w:r>
        <w:rPr>
          <w:rStyle w:val="FootnoteReference"/>
        </w:rPr>
        <w:footnoteRef/>
      </w:r>
      <w:r>
        <w:t xml:space="preserve"> </w:t>
      </w:r>
      <w:proofErr w:type="gramStart"/>
      <w:r w:rsidRPr="00B21365">
        <w:t>Von Hoff DD, et al. Increased survival in pancreatic cancer with nab-paclitaxel plus gemcitabine.</w:t>
      </w:r>
      <w:proofErr w:type="gramEnd"/>
      <w:r w:rsidRPr="00B21365">
        <w:t xml:space="preserve"> </w:t>
      </w:r>
      <w:r w:rsidRPr="00FF2150">
        <w:rPr>
          <w:i/>
        </w:rPr>
        <w:t xml:space="preserve">N </w:t>
      </w:r>
      <w:proofErr w:type="spellStart"/>
      <w:r w:rsidRPr="00FF2150">
        <w:rPr>
          <w:i/>
        </w:rPr>
        <w:t>Engl</w:t>
      </w:r>
      <w:proofErr w:type="spellEnd"/>
      <w:r w:rsidRPr="00FF2150">
        <w:rPr>
          <w:i/>
        </w:rPr>
        <w:t xml:space="preserve"> J Med.</w:t>
      </w:r>
      <w:r>
        <w:t xml:space="preserve"> 369: 1691-1703 (2013).</w:t>
      </w:r>
    </w:p>
  </w:footnote>
  <w:footnote w:id="9">
    <w:p w:rsidR="007C5575" w:rsidRPr="00FF2150" w:rsidRDefault="007C5575" w:rsidP="005C0C40">
      <w:pPr>
        <w:pStyle w:val="FootnoteText"/>
        <w:rPr>
          <w:lang w:val="en-US"/>
        </w:rPr>
      </w:pPr>
      <w:r>
        <w:rPr>
          <w:rStyle w:val="FootnoteReference"/>
        </w:rPr>
        <w:footnoteRef/>
      </w:r>
      <w:r>
        <w:t xml:space="preserve"> </w:t>
      </w:r>
      <w:r w:rsidRPr="00FF2150">
        <w:t xml:space="preserve">Moore MJ, et al. </w:t>
      </w:r>
      <w:proofErr w:type="spellStart"/>
      <w:r w:rsidRPr="00FF2150">
        <w:t>Erlotinib</w:t>
      </w:r>
      <w:proofErr w:type="spellEnd"/>
      <w:r w:rsidRPr="00FF2150">
        <w:t xml:space="preserve"> plus gemcitabine compared with gemcitabine alone in patients with advanced pancreatic cancer: a phase III trial of the National Cancer Institute of Canada Clinical Trials Group. </w:t>
      </w:r>
      <w:proofErr w:type="gramStart"/>
      <w:r w:rsidRPr="006B6186">
        <w:rPr>
          <w:i/>
        </w:rPr>
        <w:t xml:space="preserve">J </w:t>
      </w:r>
      <w:proofErr w:type="spellStart"/>
      <w:r w:rsidRPr="006B6186">
        <w:rPr>
          <w:i/>
        </w:rPr>
        <w:t>Clin</w:t>
      </w:r>
      <w:proofErr w:type="spellEnd"/>
      <w:r w:rsidRPr="006B6186">
        <w:rPr>
          <w:i/>
        </w:rPr>
        <w:t xml:space="preserve"> </w:t>
      </w:r>
      <w:proofErr w:type="spellStart"/>
      <w:r w:rsidRPr="006B6186">
        <w:rPr>
          <w:i/>
        </w:rPr>
        <w:t>Oncol</w:t>
      </w:r>
      <w:proofErr w:type="spellEnd"/>
      <w:r w:rsidRPr="006B6186">
        <w:rPr>
          <w:i/>
        </w:rPr>
        <w:t>.</w:t>
      </w:r>
      <w:proofErr w:type="gramEnd"/>
      <w:r>
        <w:t xml:space="preserve"> 25: 1960-1966 (2007).</w:t>
      </w:r>
    </w:p>
  </w:footnote>
  <w:footnote w:id="10">
    <w:p w:rsidR="007C5575" w:rsidRPr="00F80691" w:rsidRDefault="007C5575" w:rsidP="005C0C40">
      <w:pPr>
        <w:pStyle w:val="FootnoteText"/>
        <w:rPr>
          <w:lang w:val="en-US"/>
        </w:rPr>
      </w:pPr>
      <w:r>
        <w:rPr>
          <w:rStyle w:val="FootnoteReference"/>
        </w:rPr>
        <w:footnoteRef/>
      </w:r>
      <w:r>
        <w:t xml:space="preserve"> </w:t>
      </w:r>
      <w:r w:rsidRPr="00F80691">
        <w:t xml:space="preserve">Burris HA, et al. Improvements in survival and clinical benefit with gemcitabine as first-line therapy for patients with advanced pancreas cancer: a randomized trial. </w:t>
      </w:r>
      <w:proofErr w:type="gramStart"/>
      <w:r w:rsidRPr="00D95386">
        <w:rPr>
          <w:i/>
        </w:rPr>
        <w:t xml:space="preserve">J </w:t>
      </w:r>
      <w:proofErr w:type="spellStart"/>
      <w:r w:rsidRPr="00D95386">
        <w:rPr>
          <w:i/>
        </w:rPr>
        <w:t>Clin</w:t>
      </w:r>
      <w:proofErr w:type="spellEnd"/>
      <w:r w:rsidRPr="00D95386">
        <w:rPr>
          <w:i/>
        </w:rPr>
        <w:t xml:space="preserve"> </w:t>
      </w:r>
      <w:proofErr w:type="spellStart"/>
      <w:r w:rsidRPr="00D95386">
        <w:rPr>
          <w:i/>
        </w:rPr>
        <w:t>Oncol</w:t>
      </w:r>
      <w:proofErr w:type="spellEnd"/>
      <w:r w:rsidRPr="00D95386">
        <w:rPr>
          <w:i/>
        </w:rPr>
        <w:t>.</w:t>
      </w:r>
      <w:proofErr w:type="gramEnd"/>
      <w:r>
        <w:t xml:space="preserve"> 15: 2403-2413 (1997).</w:t>
      </w:r>
    </w:p>
  </w:footnote>
  <w:footnote w:id="11">
    <w:p w:rsidR="007C5575" w:rsidRPr="00D95386" w:rsidRDefault="007C5575" w:rsidP="005C0C40">
      <w:pPr>
        <w:pStyle w:val="FootnoteText"/>
        <w:rPr>
          <w:lang w:val="en-US"/>
        </w:rPr>
      </w:pPr>
      <w:r>
        <w:rPr>
          <w:rStyle w:val="FootnoteReference"/>
        </w:rPr>
        <w:footnoteRef/>
      </w:r>
      <w:r>
        <w:t xml:space="preserve"> </w:t>
      </w:r>
      <w:r w:rsidRPr="00E56225">
        <w:t xml:space="preserve">National Comprehensive Cancer Network (NCCN). </w:t>
      </w:r>
      <w:proofErr w:type="gramStart"/>
      <w:r w:rsidRPr="00E56225">
        <w:t>NCCN Clinical Practice Guidelines in Oncology – Pancreatic Adenocarcinoma.</w:t>
      </w:r>
      <w:proofErr w:type="gramEnd"/>
      <w:r w:rsidRPr="00E56225">
        <w:t xml:space="preserve"> </w:t>
      </w:r>
      <w:proofErr w:type="gramStart"/>
      <w:r w:rsidRPr="00E56225">
        <w:t>Version 2.2015.</w:t>
      </w:r>
      <w:proofErr w:type="gramEnd"/>
      <w:r w:rsidRPr="00E56225">
        <w:t xml:space="preserve"> </w:t>
      </w:r>
      <w:proofErr w:type="gramStart"/>
      <w:r w:rsidRPr="00E56225">
        <w:t>Accessed 11 January 2016.</w:t>
      </w:r>
      <w:proofErr w:type="gramEnd"/>
    </w:p>
  </w:footnote>
  <w:footnote w:id="12">
    <w:p w:rsidR="007C5575" w:rsidRPr="00D95386" w:rsidRDefault="007C5575" w:rsidP="005C0C40">
      <w:pPr>
        <w:pStyle w:val="FootnoteText"/>
        <w:rPr>
          <w:lang w:val="en-US"/>
        </w:rPr>
      </w:pPr>
      <w:r>
        <w:rPr>
          <w:rStyle w:val="FootnoteReference"/>
        </w:rPr>
        <w:footnoteRef/>
      </w:r>
      <w:r>
        <w:t xml:space="preserve"> </w:t>
      </w:r>
      <w:proofErr w:type="spellStart"/>
      <w:r w:rsidRPr="00A47A04">
        <w:t>Ducreux</w:t>
      </w:r>
      <w:proofErr w:type="spellEnd"/>
      <w:r w:rsidRPr="00A47A04">
        <w:t xml:space="preserve"> M</w:t>
      </w:r>
      <w:r>
        <w:t xml:space="preserve">, et al. </w:t>
      </w:r>
      <w:r w:rsidRPr="00A47A04">
        <w:t>Cancer of the pancreas: ESMO Clinical Practice Guidelines for diag</w:t>
      </w:r>
      <w:r>
        <w:t xml:space="preserve">nosis, treatment and follow-up. </w:t>
      </w:r>
      <w:r w:rsidRPr="00FB3E58">
        <w:rPr>
          <w:i/>
        </w:rPr>
        <w:t xml:space="preserve">Ann </w:t>
      </w:r>
      <w:proofErr w:type="spellStart"/>
      <w:r w:rsidRPr="00FB3E58">
        <w:rPr>
          <w:i/>
        </w:rPr>
        <w:t>Oncol</w:t>
      </w:r>
      <w:proofErr w:type="spellEnd"/>
      <w:r w:rsidRPr="00FB3E58">
        <w:rPr>
          <w:i/>
        </w:rPr>
        <w:t>.</w:t>
      </w:r>
      <w:r w:rsidRPr="00A47A04">
        <w:t xml:space="preserve"> 26 </w:t>
      </w:r>
      <w:proofErr w:type="spellStart"/>
      <w:r w:rsidRPr="00A47A04">
        <w:t>Suppl</w:t>
      </w:r>
      <w:proofErr w:type="spellEnd"/>
      <w:r w:rsidRPr="00A47A04">
        <w:t xml:space="preserve"> 5:</w:t>
      </w:r>
      <w:r>
        <w:t xml:space="preserve"> </w:t>
      </w:r>
      <w:r w:rsidRPr="00A47A04">
        <w:t>v56-68</w:t>
      </w:r>
      <w:r>
        <w:t xml:space="preserve"> (2015).</w:t>
      </w:r>
    </w:p>
  </w:footnote>
  <w:footnote w:id="13">
    <w:p w:rsidR="007C5575" w:rsidRPr="00704C16" w:rsidRDefault="007C5575" w:rsidP="005C0C40">
      <w:pPr>
        <w:pStyle w:val="FootnoteText"/>
        <w:rPr>
          <w:lang w:val="en-US"/>
        </w:rPr>
      </w:pPr>
      <w:r>
        <w:rPr>
          <w:rStyle w:val="FootnoteReference"/>
        </w:rPr>
        <w:footnoteRef/>
      </w:r>
      <w:r>
        <w:t xml:space="preserve"> </w:t>
      </w:r>
      <w:proofErr w:type="spellStart"/>
      <w:r w:rsidRPr="00704C16">
        <w:t>Oettle</w:t>
      </w:r>
      <w:proofErr w:type="spellEnd"/>
      <w:r w:rsidRPr="00704C16">
        <w:t xml:space="preserve"> H, et al. Second-line </w:t>
      </w:r>
      <w:proofErr w:type="spellStart"/>
      <w:r w:rsidRPr="00704C16">
        <w:t>oxaliplatin</w:t>
      </w:r>
      <w:proofErr w:type="spellEnd"/>
      <w:r w:rsidRPr="00704C16">
        <w:t xml:space="preserve">, </w:t>
      </w:r>
      <w:proofErr w:type="spellStart"/>
      <w:r w:rsidRPr="00704C16">
        <w:t>folinic</w:t>
      </w:r>
      <w:proofErr w:type="spellEnd"/>
      <w:r w:rsidRPr="00704C16">
        <w:t xml:space="preserve"> acid, and fluorouracil versus </w:t>
      </w:r>
      <w:proofErr w:type="spellStart"/>
      <w:r w:rsidRPr="00704C16">
        <w:t>folinic</w:t>
      </w:r>
      <w:proofErr w:type="spellEnd"/>
      <w:r w:rsidRPr="00704C16">
        <w:t xml:space="preserve"> acid and fluorouracil alone for gemcitabine-refractory pancreatic cancer: outcomes from the CONKO-003 trial. </w:t>
      </w:r>
      <w:proofErr w:type="gramStart"/>
      <w:r w:rsidRPr="006206C1">
        <w:rPr>
          <w:i/>
        </w:rPr>
        <w:t xml:space="preserve">J </w:t>
      </w:r>
      <w:proofErr w:type="spellStart"/>
      <w:r w:rsidRPr="006206C1">
        <w:rPr>
          <w:i/>
        </w:rPr>
        <w:t>Clin</w:t>
      </w:r>
      <w:proofErr w:type="spellEnd"/>
      <w:r w:rsidRPr="006206C1">
        <w:rPr>
          <w:i/>
        </w:rPr>
        <w:t xml:space="preserve"> </w:t>
      </w:r>
      <w:proofErr w:type="spellStart"/>
      <w:r w:rsidRPr="006206C1">
        <w:rPr>
          <w:i/>
        </w:rPr>
        <w:t>Oncol</w:t>
      </w:r>
      <w:proofErr w:type="spellEnd"/>
      <w:r w:rsidRPr="006206C1">
        <w:rPr>
          <w:i/>
        </w:rPr>
        <w:t>.</w:t>
      </w:r>
      <w:proofErr w:type="gramEnd"/>
      <w:r>
        <w:t xml:space="preserve"> 32: 2423-2429 (2014).</w:t>
      </w:r>
    </w:p>
  </w:footnote>
  <w:footnote w:id="14">
    <w:p w:rsidR="007C5575" w:rsidRPr="00AB0102" w:rsidRDefault="007C5575" w:rsidP="005C0C40">
      <w:pPr>
        <w:pStyle w:val="FootnoteText"/>
        <w:rPr>
          <w:lang w:val="en-US"/>
        </w:rPr>
      </w:pPr>
      <w:r>
        <w:rPr>
          <w:rStyle w:val="FootnoteReference"/>
        </w:rPr>
        <w:footnoteRef/>
      </w:r>
      <w:r>
        <w:t xml:space="preserve"> </w:t>
      </w:r>
      <w:r w:rsidRPr="006376A9">
        <w:t xml:space="preserve">Gill S, et al. PANCREOX: A randomized phase 3 study of 5FU/LV with or without </w:t>
      </w:r>
      <w:proofErr w:type="spellStart"/>
      <w:r w:rsidRPr="006376A9">
        <w:t>oxaliplatin</w:t>
      </w:r>
      <w:proofErr w:type="spellEnd"/>
      <w:r w:rsidRPr="006376A9">
        <w:t xml:space="preserve"> for second-line advanced pancreatic cancer in patients who have received gemcitabine-based chemotherapy. </w:t>
      </w:r>
      <w:r w:rsidRPr="0026488A">
        <w:rPr>
          <w:i/>
        </w:rPr>
        <w:t xml:space="preserve">ASCO Meeting Abstracts </w:t>
      </w:r>
      <w:r>
        <w:t>32: 4022 (2014).</w:t>
      </w:r>
    </w:p>
  </w:footnote>
  <w:footnote w:id="15">
    <w:p w:rsidR="007C5575" w:rsidRPr="00EA763F" w:rsidRDefault="007C5575" w:rsidP="005C0C40">
      <w:pPr>
        <w:pStyle w:val="FootnoteText"/>
        <w:rPr>
          <w:lang w:val="en-US"/>
        </w:rPr>
      </w:pPr>
      <w:r>
        <w:rPr>
          <w:rStyle w:val="FootnoteReference"/>
        </w:rPr>
        <w:footnoteRef/>
      </w:r>
      <w:r>
        <w:t xml:space="preserve"> </w:t>
      </w:r>
      <w:proofErr w:type="gramStart"/>
      <w:r w:rsidRPr="00EA763F">
        <w:t>Cancer Institute of NSW.</w:t>
      </w:r>
      <w:proofErr w:type="gramEnd"/>
      <w:r w:rsidRPr="00EA763F">
        <w:t xml:space="preserve"> </w:t>
      </w:r>
      <w:proofErr w:type="spellStart"/>
      <w:r w:rsidRPr="00EA763F">
        <w:t>EviQ</w:t>
      </w:r>
      <w:proofErr w:type="spellEnd"/>
      <w:r w:rsidRPr="00EA763F">
        <w:t xml:space="preserve"> – Protocols – Medical Oncology – Upper Gastrointestinal - Pancreas Metastatic FOLFOX6 (Modified) (Fluorouracil </w:t>
      </w:r>
      <w:proofErr w:type="spellStart"/>
      <w:r w:rsidRPr="00EA763F">
        <w:t>Leucovorin</w:t>
      </w:r>
      <w:proofErr w:type="spellEnd"/>
      <w:r w:rsidRPr="00EA763F">
        <w:t xml:space="preserve"> </w:t>
      </w:r>
      <w:proofErr w:type="spellStart"/>
      <w:r w:rsidRPr="00EA763F">
        <w:t>Oxaliplatin</w:t>
      </w:r>
      <w:proofErr w:type="spellEnd"/>
      <w:r w:rsidRPr="00EA763F">
        <w:t xml:space="preserve">). </w:t>
      </w:r>
      <w:proofErr w:type="gramStart"/>
      <w:r w:rsidRPr="00EA763F">
        <w:t>Accessed 12 January 2016.</w:t>
      </w:r>
      <w:proofErr w:type="gramEnd"/>
    </w:p>
  </w:footnote>
  <w:footnote w:id="16">
    <w:p w:rsidR="007C5575" w:rsidRPr="00775098" w:rsidRDefault="007C5575">
      <w:pPr>
        <w:pStyle w:val="FootnoteText"/>
        <w:rPr>
          <w:lang w:val="en-US"/>
        </w:rPr>
      </w:pPr>
      <w:r>
        <w:rPr>
          <w:rStyle w:val="FootnoteReference"/>
        </w:rPr>
        <w:footnoteRef/>
      </w:r>
      <w:r>
        <w:t xml:space="preserve"> </w:t>
      </w:r>
      <w:proofErr w:type="spellStart"/>
      <w:r w:rsidRPr="00775098">
        <w:rPr>
          <w:sz w:val="18"/>
          <w:szCs w:val="18"/>
        </w:rPr>
        <w:t>Mathijssen</w:t>
      </w:r>
      <w:proofErr w:type="spellEnd"/>
      <w:r w:rsidRPr="00775098">
        <w:rPr>
          <w:sz w:val="18"/>
          <w:szCs w:val="18"/>
        </w:rPr>
        <w:t xml:space="preserve"> RH, et al. Clinical pharmacokinetics and metabolism of irinotecan (CPT-11). </w:t>
      </w:r>
      <w:proofErr w:type="spellStart"/>
      <w:r w:rsidRPr="00775098">
        <w:rPr>
          <w:i/>
          <w:sz w:val="18"/>
          <w:szCs w:val="18"/>
        </w:rPr>
        <w:t>Clin</w:t>
      </w:r>
      <w:proofErr w:type="spellEnd"/>
      <w:r w:rsidRPr="00775098">
        <w:rPr>
          <w:i/>
          <w:sz w:val="18"/>
          <w:szCs w:val="18"/>
        </w:rPr>
        <w:t xml:space="preserve"> Cancer Res.</w:t>
      </w:r>
      <w:r>
        <w:rPr>
          <w:sz w:val="18"/>
          <w:szCs w:val="18"/>
        </w:rPr>
        <w:t xml:space="preserve"> 7: 2182-94 (2001).</w:t>
      </w:r>
    </w:p>
  </w:footnote>
  <w:footnote w:id="17">
    <w:p w:rsidR="007C5575" w:rsidRPr="00D346EE" w:rsidRDefault="007C5575" w:rsidP="00597C15">
      <w:pPr>
        <w:pStyle w:val="FootnoteText"/>
        <w:rPr>
          <w:lang w:val="en-US"/>
        </w:rPr>
      </w:pPr>
      <w:r>
        <w:rPr>
          <w:rStyle w:val="FootnoteReference"/>
        </w:rPr>
        <w:footnoteRef/>
      </w:r>
      <w:r>
        <w:t xml:space="preserve"> </w:t>
      </w:r>
      <w:r w:rsidRPr="00D346EE">
        <w:t xml:space="preserve">Wang-Gillam A, et al. </w:t>
      </w:r>
      <w:proofErr w:type="spellStart"/>
      <w:r w:rsidRPr="00D346EE">
        <w:t>Nanoliposomal</w:t>
      </w:r>
      <w:proofErr w:type="spellEnd"/>
      <w:r w:rsidRPr="00D346EE">
        <w:t xml:space="preserve"> irinotecan with fluorouracil and </w:t>
      </w:r>
      <w:proofErr w:type="spellStart"/>
      <w:r w:rsidRPr="00D346EE">
        <w:t>folinic</w:t>
      </w:r>
      <w:proofErr w:type="spellEnd"/>
      <w:r w:rsidRPr="00D346EE">
        <w:t xml:space="preserve"> acid in metastatic pancreatic cancer after previous gemcitabine-based therapy (NAPOLI-1): a global, randomised, open-label, phase </w:t>
      </w:r>
      <w:r>
        <w:t xml:space="preserve">3 trial. </w:t>
      </w:r>
      <w:r w:rsidRPr="004F18EA">
        <w:rPr>
          <w:i/>
        </w:rPr>
        <w:t xml:space="preserve">Lancet </w:t>
      </w:r>
      <w:r>
        <w:t>387: 545-</w:t>
      </w:r>
      <w:r w:rsidRPr="00D346EE">
        <w:t>557</w:t>
      </w:r>
      <w:r>
        <w:t xml:space="preserve"> (2016).</w:t>
      </w:r>
    </w:p>
  </w:footnote>
  <w:footnote w:id="18">
    <w:p w:rsidR="007C5575" w:rsidRPr="004B75F0" w:rsidRDefault="007C5575">
      <w:pPr>
        <w:pStyle w:val="FootnoteText"/>
        <w:rPr>
          <w:lang w:val="en-US"/>
        </w:rPr>
      </w:pPr>
      <w:r>
        <w:rPr>
          <w:rStyle w:val="FootnoteReference"/>
        </w:rPr>
        <w:footnoteRef/>
      </w:r>
      <w:r>
        <w:t xml:space="preserve"> </w:t>
      </w:r>
      <w:proofErr w:type="gramStart"/>
      <w:r w:rsidRPr="00AA4FA6">
        <w:rPr>
          <w:sz w:val="18"/>
          <w:szCs w:val="18"/>
        </w:rPr>
        <w:t>Hidalgo M. Pancreatic cancer</w:t>
      </w:r>
      <w:r w:rsidRPr="00AA4FA6">
        <w:rPr>
          <w:i/>
          <w:sz w:val="18"/>
          <w:szCs w:val="18"/>
        </w:rPr>
        <w:t>.</w:t>
      </w:r>
      <w:proofErr w:type="gramEnd"/>
      <w:r w:rsidRPr="00AA4FA6">
        <w:rPr>
          <w:i/>
          <w:sz w:val="18"/>
          <w:szCs w:val="18"/>
        </w:rPr>
        <w:t xml:space="preserve"> N </w:t>
      </w:r>
      <w:proofErr w:type="spellStart"/>
      <w:r w:rsidRPr="00AA4FA6">
        <w:rPr>
          <w:i/>
          <w:sz w:val="18"/>
          <w:szCs w:val="18"/>
        </w:rPr>
        <w:t>Engl</w:t>
      </w:r>
      <w:proofErr w:type="spellEnd"/>
      <w:r w:rsidRPr="00AA4FA6">
        <w:rPr>
          <w:i/>
          <w:sz w:val="18"/>
          <w:szCs w:val="18"/>
        </w:rPr>
        <w:t xml:space="preserve"> J Med.</w:t>
      </w:r>
      <w:r w:rsidRPr="00AA4FA6">
        <w:rPr>
          <w:sz w:val="18"/>
          <w:szCs w:val="18"/>
        </w:rPr>
        <w:t xml:space="preserve"> 362: 1605-17 (2010); Vincent A, et al. Pancreatic cancer. </w:t>
      </w:r>
      <w:proofErr w:type="gramStart"/>
      <w:r w:rsidRPr="00AA4FA6">
        <w:rPr>
          <w:i/>
          <w:sz w:val="18"/>
          <w:szCs w:val="18"/>
        </w:rPr>
        <w:t xml:space="preserve">Lancet </w:t>
      </w:r>
      <w:r w:rsidRPr="00AA4FA6">
        <w:rPr>
          <w:sz w:val="18"/>
          <w:szCs w:val="18"/>
        </w:rPr>
        <w:t>378: 607-20 (2011).</w:t>
      </w:r>
      <w:proofErr w:type="gramEnd"/>
    </w:p>
  </w:footnote>
  <w:footnote w:id="19">
    <w:p w:rsidR="007C5575" w:rsidRPr="0043592A" w:rsidRDefault="007C5575">
      <w:pPr>
        <w:pStyle w:val="FootnoteText"/>
        <w:rPr>
          <w:lang w:val="en-US"/>
        </w:rPr>
      </w:pPr>
      <w:r>
        <w:rPr>
          <w:rStyle w:val="FootnoteReference"/>
        </w:rPr>
        <w:footnoteRef/>
      </w:r>
      <w:r>
        <w:t xml:space="preserve"> </w:t>
      </w:r>
      <w:r w:rsidRPr="0043592A">
        <w:rPr>
          <w:sz w:val="18"/>
          <w:szCs w:val="18"/>
        </w:rPr>
        <w:t xml:space="preserve">National Comprehensive Cancer Network (NCCN). </w:t>
      </w:r>
      <w:proofErr w:type="gramStart"/>
      <w:r w:rsidRPr="0043592A">
        <w:rPr>
          <w:sz w:val="18"/>
          <w:szCs w:val="18"/>
        </w:rPr>
        <w:t>NCCN Clinical Practice Guidelines in Oncology – Pancreatic Adenocarcinoma.</w:t>
      </w:r>
      <w:proofErr w:type="gramEnd"/>
      <w:r w:rsidRPr="0043592A">
        <w:rPr>
          <w:sz w:val="18"/>
          <w:szCs w:val="18"/>
        </w:rPr>
        <w:t xml:space="preserve"> </w:t>
      </w:r>
      <w:proofErr w:type="gramStart"/>
      <w:r w:rsidRPr="0043592A">
        <w:rPr>
          <w:sz w:val="18"/>
          <w:szCs w:val="18"/>
        </w:rPr>
        <w:t>Version 2.2015.</w:t>
      </w:r>
      <w:proofErr w:type="gramEnd"/>
    </w:p>
  </w:footnote>
  <w:footnote w:id="20">
    <w:p w:rsidR="007C5575" w:rsidRPr="003E1173" w:rsidRDefault="007C5575">
      <w:pPr>
        <w:pStyle w:val="FootnoteText"/>
        <w:rPr>
          <w:lang w:val="en-US"/>
        </w:rPr>
      </w:pPr>
      <w:r>
        <w:rPr>
          <w:rStyle w:val="FootnoteReference"/>
        </w:rPr>
        <w:footnoteRef/>
      </w:r>
      <w:r>
        <w:t xml:space="preserve"> </w:t>
      </w:r>
      <w:proofErr w:type="spellStart"/>
      <w:r w:rsidRPr="00E0465E">
        <w:rPr>
          <w:sz w:val="18"/>
          <w:szCs w:val="18"/>
        </w:rPr>
        <w:t>Oettle</w:t>
      </w:r>
      <w:proofErr w:type="spellEnd"/>
      <w:r w:rsidRPr="00E0465E">
        <w:rPr>
          <w:sz w:val="18"/>
          <w:szCs w:val="18"/>
        </w:rPr>
        <w:t xml:space="preserve"> H, et al. Second-line </w:t>
      </w:r>
      <w:proofErr w:type="spellStart"/>
      <w:r w:rsidRPr="00E0465E">
        <w:rPr>
          <w:sz w:val="18"/>
          <w:szCs w:val="18"/>
        </w:rPr>
        <w:t>oxaliplatin</w:t>
      </w:r>
      <w:proofErr w:type="spellEnd"/>
      <w:r w:rsidRPr="00E0465E">
        <w:rPr>
          <w:sz w:val="18"/>
          <w:szCs w:val="18"/>
        </w:rPr>
        <w:t xml:space="preserve">, </w:t>
      </w:r>
      <w:proofErr w:type="spellStart"/>
      <w:r w:rsidRPr="00E0465E">
        <w:rPr>
          <w:sz w:val="18"/>
          <w:szCs w:val="18"/>
        </w:rPr>
        <w:t>folinic</w:t>
      </w:r>
      <w:proofErr w:type="spellEnd"/>
      <w:r w:rsidRPr="00E0465E">
        <w:rPr>
          <w:sz w:val="18"/>
          <w:szCs w:val="18"/>
        </w:rPr>
        <w:t xml:space="preserve"> acid, and fluorouracil versus </w:t>
      </w:r>
      <w:proofErr w:type="spellStart"/>
      <w:r w:rsidRPr="00E0465E">
        <w:rPr>
          <w:sz w:val="18"/>
          <w:szCs w:val="18"/>
        </w:rPr>
        <w:t>folinic</w:t>
      </w:r>
      <w:proofErr w:type="spellEnd"/>
      <w:r w:rsidRPr="00E0465E">
        <w:rPr>
          <w:sz w:val="18"/>
          <w:szCs w:val="18"/>
        </w:rPr>
        <w:t xml:space="preserve"> acid and fluorouracil alone for gemcitabine-refractory pancreatic cancer: outcomes from the CONKO-003 trial. </w:t>
      </w:r>
      <w:proofErr w:type="gramStart"/>
      <w:r w:rsidRPr="00CC181B">
        <w:rPr>
          <w:i/>
          <w:sz w:val="18"/>
          <w:szCs w:val="18"/>
        </w:rPr>
        <w:t xml:space="preserve">J </w:t>
      </w:r>
      <w:proofErr w:type="spellStart"/>
      <w:r w:rsidRPr="00CC181B">
        <w:rPr>
          <w:i/>
          <w:sz w:val="18"/>
          <w:szCs w:val="18"/>
        </w:rPr>
        <w:t>Clin</w:t>
      </w:r>
      <w:proofErr w:type="spellEnd"/>
      <w:r w:rsidRPr="00CC181B">
        <w:rPr>
          <w:i/>
          <w:sz w:val="18"/>
          <w:szCs w:val="18"/>
        </w:rPr>
        <w:t xml:space="preserve"> </w:t>
      </w:r>
      <w:proofErr w:type="spellStart"/>
      <w:r w:rsidRPr="00CC181B">
        <w:rPr>
          <w:i/>
          <w:sz w:val="18"/>
          <w:szCs w:val="18"/>
        </w:rPr>
        <w:t>Oncol</w:t>
      </w:r>
      <w:proofErr w:type="spellEnd"/>
      <w:r w:rsidRPr="00CC181B">
        <w:rPr>
          <w:i/>
          <w:sz w:val="18"/>
          <w:szCs w:val="18"/>
        </w:rPr>
        <w:t>.</w:t>
      </w:r>
      <w:proofErr w:type="gramEnd"/>
      <w:r>
        <w:rPr>
          <w:sz w:val="18"/>
          <w:szCs w:val="18"/>
        </w:rPr>
        <w:t xml:space="preserve"> </w:t>
      </w:r>
      <w:proofErr w:type="gramStart"/>
      <w:r>
        <w:rPr>
          <w:sz w:val="18"/>
          <w:szCs w:val="18"/>
        </w:rPr>
        <w:t xml:space="preserve">32 </w:t>
      </w:r>
      <w:r w:rsidRPr="00E0465E">
        <w:rPr>
          <w:sz w:val="18"/>
          <w:szCs w:val="18"/>
        </w:rPr>
        <w:t>:</w:t>
      </w:r>
      <w:proofErr w:type="gramEnd"/>
      <w:r w:rsidRPr="00E0465E">
        <w:rPr>
          <w:sz w:val="18"/>
          <w:szCs w:val="18"/>
        </w:rPr>
        <w:t xml:space="preserve"> 2423-9</w:t>
      </w:r>
      <w:r>
        <w:rPr>
          <w:sz w:val="18"/>
          <w:szCs w:val="18"/>
        </w:rPr>
        <w:t xml:space="preserve"> (2014)</w:t>
      </w:r>
      <w:r w:rsidRPr="00E0465E">
        <w:rPr>
          <w:sz w:val="18"/>
          <w:szCs w:val="18"/>
        </w:rPr>
        <w:t xml:space="preserve">; Gill S, et al. PANCREOX: A randomized phase 3 study of 5FU/LV with or without </w:t>
      </w:r>
      <w:proofErr w:type="spellStart"/>
      <w:r w:rsidRPr="00E0465E">
        <w:rPr>
          <w:sz w:val="18"/>
          <w:szCs w:val="18"/>
        </w:rPr>
        <w:t>oxaliplatin</w:t>
      </w:r>
      <w:proofErr w:type="spellEnd"/>
      <w:r w:rsidRPr="00E0465E">
        <w:rPr>
          <w:sz w:val="18"/>
          <w:szCs w:val="18"/>
        </w:rPr>
        <w:t xml:space="preserve"> for second-line advanced pancreatic cancer in patients who have received gemcitabine-based chemotherapy. </w:t>
      </w:r>
      <w:r w:rsidRPr="00E83C03">
        <w:rPr>
          <w:i/>
          <w:sz w:val="18"/>
          <w:szCs w:val="18"/>
        </w:rPr>
        <w:t>ASCO Meeting Abstracts</w:t>
      </w:r>
      <w:r>
        <w:rPr>
          <w:sz w:val="18"/>
          <w:szCs w:val="18"/>
        </w:rPr>
        <w:t xml:space="preserve"> 32: 4022 (2014).</w:t>
      </w:r>
    </w:p>
  </w:footnote>
  <w:footnote w:id="21">
    <w:p w:rsidR="007C5575" w:rsidRPr="00DC2949" w:rsidRDefault="007C5575" w:rsidP="00524CAE">
      <w:pPr>
        <w:pStyle w:val="FootnoteText"/>
        <w:rPr>
          <w:lang w:val="en-US"/>
        </w:rPr>
      </w:pPr>
      <w:r>
        <w:rPr>
          <w:rStyle w:val="FootnoteReference"/>
        </w:rPr>
        <w:footnoteRef/>
      </w:r>
      <w:r>
        <w:t xml:space="preserve"> </w:t>
      </w:r>
      <w:proofErr w:type="gramStart"/>
      <w:r>
        <w:t>European Medicines Agency, “</w:t>
      </w:r>
      <w:r w:rsidRPr="00EA763F">
        <w:t>Guideline on the evaluation of antica</w:t>
      </w:r>
      <w:r>
        <w:t>ncer medicinal products in man (EMA/CHMP/205/95/Rev.4</w:t>
      </w:r>
      <w:r w:rsidRPr="00EA763F">
        <w:t>)</w:t>
      </w:r>
      <w:r>
        <w:t xml:space="preserve">”, </w:t>
      </w:r>
      <w:r w:rsidRPr="002A4A3A">
        <w:t>13 December 2012</w:t>
      </w:r>
      <w:r w:rsidRPr="00EA763F">
        <w:t>.</w:t>
      </w:r>
      <w:proofErr w:type="gramEnd"/>
    </w:p>
  </w:footnote>
  <w:footnote w:id="22">
    <w:p w:rsidR="007C5575" w:rsidRPr="00E03459" w:rsidRDefault="007C5575" w:rsidP="00524CAE">
      <w:pPr>
        <w:pStyle w:val="FootnoteText"/>
        <w:rPr>
          <w:lang w:val="en-US"/>
        </w:rPr>
      </w:pPr>
      <w:r>
        <w:rPr>
          <w:rStyle w:val="FootnoteReference"/>
        </w:rPr>
        <w:footnoteRef/>
      </w:r>
      <w:r>
        <w:t xml:space="preserve"> European Medicines Agency, “</w:t>
      </w:r>
      <w:r w:rsidRPr="00523D33">
        <w:t xml:space="preserve">Points to consider on application with 1. </w:t>
      </w:r>
      <w:proofErr w:type="gramStart"/>
      <w:r w:rsidRPr="00523D33">
        <w:t>Meta-analyses; 2.</w:t>
      </w:r>
      <w:proofErr w:type="gramEnd"/>
      <w:r w:rsidRPr="00523D33">
        <w:t xml:space="preserve"> </w:t>
      </w:r>
      <w:proofErr w:type="gramStart"/>
      <w:r w:rsidRPr="00523D33">
        <w:t>One pivotal</w:t>
      </w:r>
      <w:r>
        <w:t xml:space="preserve"> study; (CPMP/EWP/2330/99)”, 31 May 2001.</w:t>
      </w:r>
      <w:proofErr w:type="gramEnd"/>
    </w:p>
  </w:footnote>
  <w:footnote w:id="23">
    <w:p w:rsidR="009B0763" w:rsidRPr="0079601E" w:rsidRDefault="009B0763" w:rsidP="009B0763">
      <w:pPr>
        <w:pStyle w:val="FootnoteText"/>
        <w:rPr>
          <w:lang w:val="en-US"/>
        </w:rPr>
      </w:pPr>
      <w:r>
        <w:rPr>
          <w:rStyle w:val="FootnoteReference"/>
        </w:rPr>
        <w:footnoteRef/>
      </w:r>
      <w:r>
        <w:t xml:space="preserve"> PI</w:t>
      </w:r>
      <w:r w:rsidRPr="0079601E">
        <w:t xml:space="preserve"> for irinotecan hydrochloride (CAMPTOSAR).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575" w:rsidRDefault="007C55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575" w:rsidRDefault="007C5575"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575" w:rsidRDefault="007C5575">
    <w:pPr>
      <w:rPr>
        <w:noProof/>
        <w:lang w:eastAsia="en-AU"/>
      </w:rPr>
    </w:pPr>
    <w:r w:rsidRPr="002D545C">
      <w:rPr>
        <w:noProof/>
        <w:lang w:eastAsia="en-AU"/>
      </w:rPr>
      <w:drawing>
        <wp:anchor distT="0" distB="0" distL="114300" distR="114300" simplePos="0" relativeHeight="251659264" behindDoc="1" locked="0" layoutInCell="1" allowOverlap="1" wp14:anchorId="7C5C6C66" wp14:editId="00B77228">
          <wp:simplePos x="0" y="0"/>
          <wp:positionH relativeFrom="column">
            <wp:posOffset>-1089660</wp:posOffset>
          </wp:positionH>
          <wp:positionV relativeFrom="paragraph">
            <wp:posOffset>-585470</wp:posOffset>
          </wp:positionV>
          <wp:extent cx="7572375" cy="10706100"/>
          <wp:effectExtent l="19050" t="0" r="0" b="0"/>
          <wp:wrapNone/>
          <wp:docPr id="12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7C5575" w:rsidRDefault="007C5575" w:rsidP="00593AD1">
    <w:pPr>
      <w:pStyle w:val="HeaderNoLine"/>
    </w:pPr>
    <w:r>
      <w:rPr>
        <w:noProof/>
        <w:lang w:eastAsia="en-AU"/>
      </w:rPr>
      <w:drawing>
        <wp:inline distT="0" distB="0" distL="0" distR="0" wp14:anchorId="18A307A1" wp14:editId="41686D94">
          <wp:extent cx="5400675" cy="7639050"/>
          <wp:effectExtent l="0" t="0" r="9525" b="0"/>
          <wp:docPr id="127" name="Picture 127"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575" w:rsidRDefault="007C5575">
    <w:pPr>
      <w:pStyle w:val="Header"/>
    </w:pPr>
  </w:p>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575" w:rsidRDefault="007C5575" w:rsidP="00CE46E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575" w:rsidRDefault="007C5575">
    <w:pPr>
      <w:pStyle w:val="Header"/>
    </w:pPr>
    <w:r>
      <w:t>Therapeutic Goods Administration</w:t>
    </w:r>
  </w:p>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p w:rsidR="007C5575" w:rsidRDefault="007C557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575" w:rsidRDefault="007C557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575" w:rsidRDefault="007C5575" w:rsidP="008D770F">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575" w:rsidRDefault="007C5575" w:rsidP="006E08B3">
    <w:r>
      <w:t>Therapeutic Goods Administration</w:t>
    </w:r>
  </w:p>
  <w:p w:rsidR="007C5575" w:rsidRDefault="007C557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abstractNum w:abstractNumId="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1">
    <w:nsid w:val="FFFFFF89"/>
    <w:multiLevelType w:val="singleLevel"/>
    <w:tmpl w:val="F4085A32"/>
    <w:lvl w:ilvl="0">
      <w:start w:val="1"/>
      <w:numFmt w:val="bullet"/>
      <w:pStyle w:val="Style1"/>
      <w:lvlText w:val=""/>
      <w:lvlJc w:val="left"/>
      <w:pPr>
        <w:tabs>
          <w:tab w:val="num" w:pos="360"/>
        </w:tabs>
        <w:ind w:left="360" w:hanging="360"/>
      </w:pPr>
      <w:rPr>
        <w:rFonts w:ascii="Symbol" w:hAnsi="Symbol" w:hint="default"/>
      </w:rPr>
    </w:lvl>
  </w:abstractNum>
  <w:abstractNum w:abstractNumId="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1A1D0C35"/>
    <w:multiLevelType w:val="hybridMultilevel"/>
    <w:tmpl w:val="C1CA126A"/>
    <w:lvl w:ilvl="0" w:tplc="5E80C596">
      <w:start w:val="27"/>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B3007E"/>
    <w:multiLevelType w:val="hybridMultilevel"/>
    <w:tmpl w:val="2F2288A6"/>
    <w:lvl w:ilvl="0" w:tplc="FB883FBA">
      <w:start w:val="1"/>
      <w:numFmt w:val="bullet"/>
      <w:lvlText w:val=""/>
      <w:lvlJc w:val="left"/>
      <w:pPr>
        <w:ind w:left="1724" w:hanging="360"/>
      </w:pPr>
      <w:rPr>
        <w:rFonts w:ascii="Cambria" w:hAnsi="Cambria" w:hint="default"/>
        <w:sz w:val="22"/>
        <w:szCs w:val="22"/>
      </w:rPr>
    </w:lvl>
    <w:lvl w:ilvl="1" w:tplc="04090003" w:tentative="1">
      <w:start w:val="1"/>
      <w:numFmt w:val="bullet"/>
      <w:lvlText w:val="o"/>
      <w:lvlJc w:val="left"/>
      <w:pPr>
        <w:ind w:left="2444" w:hanging="360"/>
      </w:pPr>
      <w:rPr>
        <w:rFonts w:ascii="Courier New" w:hAnsi="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7">
    <w:nsid w:val="2A3734B2"/>
    <w:multiLevelType w:val="hybridMultilevel"/>
    <w:tmpl w:val="C624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DE24CCF"/>
    <w:multiLevelType w:val="hybridMultilevel"/>
    <w:tmpl w:val="551EF36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3BF0B33"/>
    <w:multiLevelType w:val="hybridMultilevel"/>
    <w:tmpl w:val="D0B40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3">
    <w:nsid w:val="62A35802"/>
    <w:multiLevelType w:val="hybridMultilevel"/>
    <w:tmpl w:val="59DCCFE2"/>
    <w:lvl w:ilvl="0" w:tplc="9D7C2A72">
      <w:start w:val="1"/>
      <w:numFmt w:val="bullet"/>
      <w:lvlText w:val="•"/>
      <w:lvlJc w:val="left"/>
      <w:pPr>
        <w:ind w:left="72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5">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6">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74CB4FCF"/>
    <w:multiLevelType w:val="hybridMultilevel"/>
    <w:tmpl w:val="1346C85E"/>
    <w:lvl w:ilvl="0" w:tplc="14D0AFD6">
      <w:start w:val="1"/>
      <w:numFmt w:val="decimal"/>
      <w:lvlText w:val="%1."/>
      <w:lvlJc w:val="left"/>
      <w:pPr>
        <w:tabs>
          <w:tab w:val="num" w:pos="284"/>
        </w:tabs>
        <w:ind w:left="284" w:hanging="284"/>
      </w:pPr>
      <w:rPr>
        <w:rFonts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8">
    <w:nsid w:val="75AF099E"/>
    <w:multiLevelType w:val="hybridMultilevel"/>
    <w:tmpl w:val="46324B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76E92287"/>
    <w:multiLevelType w:val="hybridMultilevel"/>
    <w:tmpl w:val="689A70B2"/>
    <w:lvl w:ilvl="0" w:tplc="E8025B96">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4"/>
  </w:num>
  <w:num w:numId="5">
    <w:abstractNumId w:val="3"/>
  </w:num>
  <w:num w:numId="6">
    <w:abstractNumId w:val="4"/>
  </w:num>
  <w:num w:numId="7">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8">
    <w:abstractNumId w:val="15"/>
  </w:num>
  <w:num w:numId="9">
    <w:abstractNumId w:val="12"/>
  </w:num>
  <w:num w:numId="10">
    <w:abstractNumId w:val="8"/>
  </w:num>
  <w:num w:numId="11">
    <w:abstractNumId w:val="9"/>
  </w:num>
  <w:num w:numId="12">
    <w:abstractNumId w:val="16"/>
  </w:num>
  <w:num w:numId="13">
    <w:abstractNumId w:val="2"/>
  </w:num>
  <w:num w:numId="14">
    <w:abstractNumId w:val="14"/>
  </w:num>
  <w:num w:numId="15">
    <w:abstractNumId w:val="17"/>
  </w:num>
  <w:num w:numId="16">
    <w:abstractNumId w:val="18"/>
  </w:num>
  <w:num w:numId="17">
    <w:abstractNumId w:val="11"/>
  </w:num>
  <w:num w:numId="18">
    <w:abstractNumId w:val="10"/>
  </w:num>
  <w:num w:numId="19">
    <w:abstractNumId w:val="13"/>
  </w:num>
  <w:num w:numId="20">
    <w:abstractNumId w:val="7"/>
  </w:num>
  <w:num w:numId="21">
    <w:abstractNumId w:val="19"/>
  </w:num>
  <w:num w:numId="22">
    <w:abstractNumId w:val="6"/>
  </w:num>
  <w:num w:numId="23">
    <w:abstractNumId w:val="5"/>
  </w:num>
  <w:num w:numId="24">
    <w:abstractNumId w:val="1"/>
  </w:num>
  <w:num w:numId="25">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A4D"/>
    <w:rsid w:val="00002031"/>
    <w:rsid w:val="00002DC8"/>
    <w:rsid w:val="00004734"/>
    <w:rsid w:val="00004D58"/>
    <w:rsid w:val="00006B22"/>
    <w:rsid w:val="00010694"/>
    <w:rsid w:val="0001276A"/>
    <w:rsid w:val="000142FD"/>
    <w:rsid w:val="0001458C"/>
    <w:rsid w:val="00017585"/>
    <w:rsid w:val="00021EC4"/>
    <w:rsid w:val="000246AE"/>
    <w:rsid w:val="000252E7"/>
    <w:rsid w:val="00025C67"/>
    <w:rsid w:val="00033C52"/>
    <w:rsid w:val="00040ACB"/>
    <w:rsid w:val="00041D5A"/>
    <w:rsid w:val="00042D6A"/>
    <w:rsid w:val="000513E3"/>
    <w:rsid w:val="00051CF4"/>
    <w:rsid w:val="000528EA"/>
    <w:rsid w:val="0005559E"/>
    <w:rsid w:val="00056A91"/>
    <w:rsid w:val="000603AB"/>
    <w:rsid w:val="00066827"/>
    <w:rsid w:val="00066B24"/>
    <w:rsid w:val="0007086C"/>
    <w:rsid w:val="0007174C"/>
    <w:rsid w:val="00073212"/>
    <w:rsid w:val="0007331E"/>
    <w:rsid w:val="0007635C"/>
    <w:rsid w:val="000771AD"/>
    <w:rsid w:val="00077775"/>
    <w:rsid w:val="00086428"/>
    <w:rsid w:val="00090471"/>
    <w:rsid w:val="000964D3"/>
    <w:rsid w:val="00097B5E"/>
    <w:rsid w:val="000A3AED"/>
    <w:rsid w:val="000A3EAA"/>
    <w:rsid w:val="000A4528"/>
    <w:rsid w:val="000A63AF"/>
    <w:rsid w:val="000A67A3"/>
    <w:rsid w:val="000A76D1"/>
    <w:rsid w:val="000B3532"/>
    <w:rsid w:val="000B3A75"/>
    <w:rsid w:val="000B3AB3"/>
    <w:rsid w:val="000B7CBC"/>
    <w:rsid w:val="000C4D24"/>
    <w:rsid w:val="000C690F"/>
    <w:rsid w:val="000D1295"/>
    <w:rsid w:val="000D382B"/>
    <w:rsid w:val="000D391B"/>
    <w:rsid w:val="000D3D6D"/>
    <w:rsid w:val="000D4008"/>
    <w:rsid w:val="000D4FC7"/>
    <w:rsid w:val="000D635A"/>
    <w:rsid w:val="000D69EF"/>
    <w:rsid w:val="000E2E29"/>
    <w:rsid w:val="000E6838"/>
    <w:rsid w:val="000E71F1"/>
    <w:rsid w:val="000F02F9"/>
    <w:rsid w:val="000F0C1F"/>
    <w:rsid w:val="000F4869"/>
    <w:rsid w:val="000F4BAE"/>
    <w:rsid w:val="000F4BF7"/>
    <w:rsid w:val="000F4F8C"/>
    <w:rsid w:val="000F5B42"/>
    <w:rsid w:val="000F6E6F"/>
    <w:rsid w:val="000F6FAB"/>
    <w:rsid w:val="0010193C"/>
    <w:rsid w:val="00104613"/>
    <w:rsid w:val="0010601F"/>
    <w:rsid w:val="0010788A"/>
    <w:rsid w:val="00107A31"/>
    <w:rsid w:val="00110419"/>
    <w:rsid w:val="00110EA5"/>
    <w:rsid w:val="0011104D"/>
    <w:rsid w:val="001111C5"/>
    <w:rsid w:val="00112F56"/>
    <w:rsid w:val="001132CB"/>
    <w:rsid w:val="0011710C"/>
    <w:rsid w:val="00117F9E"/>
    <w:rsid w:val="001243B3"/>
    <w:rsid w:val="00125318"/>
    <w:rsid w:val="001278AC"/>
    <w:rsid w:val="001305A2"/>
    <w:rsid w:val="00133238"/>
    <w:rsid w:val="00134970"/>
    <w:rsid w:val="0013553A"/>
    <w:rsid w:val="00136E00"/>
    <w:rsid w:val="0014197B"/>
    <w:rsid w:val="00144770"/>
    <w:rsid w:val="001447CD"/>
    <w:rsid w:val="00145C75"/>
    <w:rsid w:val="001516B1"/>
    <w:rsid w:val="001534C9"/>
    <w:rsid w:val="00153F35"/>
    <w:rsid w:val="00154EBB"/>
    <w:rsid w:val="00156316"/>
    <w:rsid w:val="001641DB"/>
    <w:rsid w:val="00164784"/>
    <w:rsid w:val="00165389"/>
    <w:rsid w:val="00166DA5"/>
    <w:rsid w:val="0017078F"/>
    <w:rsid w:val="00170E51"/>
    <w:rsid w:val="00172AB6"/>
    <w:rsid w:val="00173A78"/>
    <w:rsid w:val="0017693F"/>
    <w:rsid w:val="00180048"/>
    <w:rsid w:val="0018110E"/>
    <w:rsid w:val="00181684"/>
    <w:rsid w:val="001843C6"/>
    <w:rsid w:val="00184C7D"/>
    <w:rsid w:val="001850E0"/>
    <w:rsid w:val="00190DFC"/>
    <w:rsid w:val="00191417"/>
    <w:rsid w:val="00197E0F"/>
    <w:rsid w:val="00197FA7"/>
    <w:rsid w:val="001A2158"/>
    <w:rsid w:val="001A525F"/>
    <w:rsid w:val="001A6CF1"/>
    <w:rsid w:val="001A7A4D"/>
    <w:rsid w:val="001B02A1"/>
    <w:rsid w:val="001B09F9"/>
    <w:rsid w:val="001B2555"/>
    <w:rsid w:val="001B333D"/>
    <w:rsid w:val="001B5D98"/>
    <w:rsid w:val="001B6448"/>
    <w:rsid w:val="001C0996"/>
    <w:rsid w:val="001C409D"/>
    <w:rsid w:val="001C657B"/>
    <w:rsid w:val="001C77BD"/>
    <w:rsid w:val="001C7C11"/>
    <w:rsid w:val="001D048F"/>
    <w:rsid w:val="001D5B09"/>
    <w:rsid w:val="001D6441"/>
    <w:rsid w:val="001D6DF0"/>
    <w:rsid w:val="001E07CF"/>
    <w:rsid w:val="001E2CB3"/>
    <w:rsid w:val="001E59F1"/>
    <w:rsid w:val="001F2B84"/>
    <w:rsid w:val="001F497A"/>
    <w:rsid w:val="001F49EB"/>
    <w:rsid w:val="001F6CBA"/>
    <w:rsid w:val="00201D4E"/>
    <w:rsid w:val="0020560E"/>
    <w:rsid w:val="002076C9"/>
    <w:rsid w:val="00211797"/>
    <w:rsid w:val="00212720"/>
    <w:rsid w:val="00215B0F"/>
    <w:rsid w:val="00220B8A"/>
    <w:rsid w:val="00223595"/>
    <w:rsid w:val="002257F3"/>
    <w:rsid w:val="00230DB7"/>
    <w:rsid w:val="0023188E"/>
    <w:rsid w:val="00233456"/>
    <w:rsid w:val="002339A5"/>
    <w:rsid w:val="00243A2F"/>
    <w:rsid w:val="002462D3"/>
    <w:rsid w:val="00256002"/>
    <w:rsid w:val="002564D9"/>
    <w:rsid w:val="00256D80"/>
    <w:rsid w:val="00257329"/>
    <w:rsid w:val="00257848"/>
    <w:rsid w:val="002608C6"/>
    <w:rsid w:val="00261552"/>
    <w:rsid w:val="00264580"/>
    <w:rsid w:val="002646E6"/>
    <w:rsid w:val="00264F16"/>
    <w:rsid w:val="002666AC"/>
    <w:rsid w:val="0027084A"/>
    <w:rsid w:val="0027708E"/>
    <w:rsid w:val="002832BB"/>
    <w:rsid w:val="00286434"/>
    <w:rsid w:val="00286C59"/>
    <w:rsid w:val="002901F4"/>
    <w:rsid w:val="00292113"/>
    <w:rsid w:val="002942D1"/>
    <w:rsid w:val="0029501A"/>
    <w:rsid w:val="0029517C"/>
    <w:rsid w:val="00295C34"/>
    <w:rsid w:val="00296CD6"/>
    <w:rsid w:val="0029756D"/>
    <w:rsid w:val="002A23D9"/>
    <w:rsid w:val="002A5D9D"/>
    <w:rsid w:val="002A6A6E"/>
    <w:rsid w:val="002B1638"/>
    <w:rsid w:val="002B5366"/>
    <w:rsid w:val="002C03EC"/>
    <w:rsid w:val="002C0BE5"/>
    <w:rsid w:val="002C3314"/>
    <w:rsid w:val="002C63ED"/>
    <w:rsid w:val="002D3FD1"/>
    <w:rsid w:val="002D545C"/>
    <w:rsid w:val="002D6161"/>
    <w:rsid w:val="002E2DBD"/>
    <w:rsid w:val="002E4C9A"/>
    <w:rsid w:val="002E6BC0"/>
    <w:rsid w:val="002F11F8"/>
    <w:rsid w:val="002F3F56"/>
    <w:rsid w:val="002F44B5"/>
    <w:rsid w:val="00301A4D"/>
    <w:rsid w:val="00305C83"/>
    <w:rsid w:val="00311AC0"/>
    <w:rsid w:val="00314D2F"/>
    <w:rsid w:val="00315D29"/>
    <w:rsid w:val="0032583B"/>
    <w:rsid w:val="00326BFE"/>
    <w:rsid w:val="00327883"/>
    <w:rsid w:val="003353DF"/>
    <w:rsid w:val="00335504"/>
    <w:rsid w:val="0033645C"/>
    <w:rsid w:val="00341788"/>
    <w:rsid w:val="0034419A"/>
    <w:rsid w:val="00344879"/>
    <w:rsid w:val="00345DA7"/>
    <w:rsid w:val="003521E8"/>
    <w:rsid w:val="00354BDB"/>
    <w:rsid w:val="0036029B"/>
    <w:rsid w:val="00365AFE"/>
    <w:rsid w:val="003728F3"/>
    <w:rsid w:val="00373A6F"/>
    <w:rsid w:val="0037496E"/>
    <w:rsid w:val="0037623D"/>
    <w:rsid w:val="00376824"/>
    <w:rsid w:val="0038087A"/>
    <w:rsid w:val="00380FD6"/>
    <w:rsid w:val="003825E8"/>
    <w:rsid w:val="00386150"/>
    <w:rsid w:val="003874CE"/>
    <w:rsid w:val="00390900"/>
    <w:rsid w:val="0039691C"/>
    <w:rsid w:val="00396C92"/>
    <w:rsid w:val="003A26A8"/>
    <w:rsid w:val="003A7F6C"/>
    <w:rsid w:val="003B0849"/>
    <w:rsid w:val="003B1113"/>
    <w:rsid w:val="003B236D"/>
    <w:rsid w:val="003B4D60"/>
    <w:rsid w:val="003B634F"/>
    <w:rsid w:val="003B7E39"/>
    <w:rsid w:val="003C0DEE"/>
    <w:rsid w:val="003C1743"/>
    <w:rsid w:val="003C39EF"/>
    <w:rsid w:val="003C43AE"/>
    <w:rsid w:val="003C58DC"/>
    <w:rsid w:val="003C7180"/>
    <w:rsid w:val="003D0582"/>
    <w:rsid w:val="003D0712"/>
    <w:rsid w:val="003D0A18"/>
    <w:rsid w:val="003D0A3B"/>
    <w:rsid w:val="003D1255"/>
    <w:rsid w:val="003D1513"/>
    <w:rsid w:val="003D1E62"/>
    <w:rsid w:val="003E1173"/>
    <w:rsid w:val="003E2486"/>
    <w:rsid w:val="003E3208"/>
    <w:rsid w:val="003E5D1C"/>
    <w:rsid w:val="003E77FB"/>
    <w:rsid w:val="003F0B04"/>
    <w:rsid w:val="003F4A57"/>
    <w:rsid w:val="0040134E"/>
    <w:rsid w:val="00403E6C"/>
    <w:rsid w:val="00415D59"/>
    <w:rsid w:val="0041712E"/>
    <w:rsid w:val="0042301C"/>
    <w:rsid w:val="004251FF"/>
    <w:rsid w:val="00425863"/>
    <w:rsid w:val="004258C3"/>
    <w:rsid w:val="00430EEA"/>
    <w:rsid w:val="00431DF4"/>
    <w:rsid w:val="0043592A"/>
    <w:rsid w:val="0043797D"/>
    <w:rsid w:val="00440A2D"/>
    <w:rsid w:val="00440F1F"/>
    <w:rsid w:val="004446C4"/>
    <w:rsid w:val="00445AAA"/>
    <w:rsid w:val="004564A7"/>
    <w:rsid w:val="004617BF"/>
    <w:rsid w:val="004635F4"/>
    <w:rsid w:val="00463658"/>
    <w:rsid w:val="004642D3"/>
    <w:rsid w:val="00466059"/>
    <w:rsid w:val="004722CC"/>
    <w:rsid w:val="00472608"/>
    <w:rsid w:val="00474B25"/>
    <w:rsid w:val="004764BB"/>
    <w:rsid w:val="004806C6"/>
    <w:rsid w:val="00480A5B"/>
    <w:rsid w:val="00482C2F"/>
    <w:rsid w:val="0048569B"/>
    <w:rsid w:val="00486E28"/>
    <w:rsid w:val="004910B2"/>
    <w:rsid w:val="004936E4"/>
    <w:rsid w:val="00494E60"/>
    <w:rsid w:val="004950D9"/>
    <w:rsid w:val="00497487"/>
    <w:rsid w:val="004A1D4B"/>
    <w:rsid w:val="004A232A"/>
    <w:rsid w:val="004A270C"/>
    <w:rsid w:val="004A3C55"/>
    <w:rsid w:val="004A5EBC"/>
    <w:rsid w:val="004A7E13"/>
    <w:rsid w:val="004B0A27"/>
    <w:rsid w:val="004B3C07"/>
    <w:rsid w:val="004B75F0"/>
    <w:rsid w:val="004B7B76"/>
    <w:rsid w:val="004C160E"/>
    <w:rsid w:val="004C1D75"/>
    <w:rsid w:val="004C2DCA"/>
    <w:rsid w:val="004C3EC7"/>
    <w:rsid w:val="004D00E8"/>
    <w:rsid w:val="004D44AE"/>
    <w:rsid w:val="004D57B0"/>
    <w:rsid w:val="004D6564"/>
    <w:rsid w:val="004E1F38"/>
    <w:rsid w:val="004E4E6F"/>
    <w:rsid w:val="004E5E30"/>
    <w:rsid w:val="004E6227"/>
    <w:rsid w:val="004F0F38"/>
    <w:rsid w:val="004F4AF5"/>
    <w:rsid w:val="004F4F56"/>
    <w:rsid w:val="00501921"/>
    <w:rsid w:val="00506026"/>
    <w:rsid w:val="00507897"/>
    <w:rsid w:val="00514F29"/>
    <w:rsid w:val="00522831"/>
    <w:rsid w:val="00524CAE"/>
    <w:rsid w:val="00530354"/>
    <w:rsid w:val="00530957"/>
    <w:rsid w:val="0053625B"/>
    <w:rsid w:val="0054127A"/>
    <w:rsid w:val="005419D3"/>
    <w:rsid w:val="005434C6"/>
    <w:rsid w:val="00543B39"/>
    <w:rsid w:val="005448CC"/>
    <w:rsid w:val="005457EF"/>
    <w:rsid w:val="00546F4F"/>
    <w:rsid w:val="00547601"/>
    <w:rsid w:val="00550096"/>
    <w:rsid w:val="00550F30"/>
    <w:rsid w:val="00557FF9"/>
    <w:rsid w:val="0056452C"/>
    <w:rsid w:val="00565748"/>
    <w:rsid w:val="0057256B"/>
    <w:rsid w:val="00576378"/>
    <w:rsid w:val="00577945"/>
    <w:rsid w:val="00577E38"/>
    <w:rsid w:val="00581D36"/>
    <w:rsid w:val="00584489"/>
    <w:rsid w:val="00584F1D"/>
    <w:rsid w:val="00585322"/>
    <w:rsid w:val="005857C6"/>
    <w:rsid w:val="0058580C"/>
    <w:rsid w:val="00586F98"/>
    <w:rsid w:val="005873F4"/>
    <w:rsid w:val="00590AE2"/>
    <w:rsid w:val="0059284C"/>
    <w:rsid w:val="00592F6E"/>
    <w:rsid w:val="00593AD1"/>
    <w:rsid w:val="00595B0C"/>
    <w:rsid w:val="00595BD5"/>
    <w:rsid w:val="00597B38"/>
    <w:rsid w:val="00597C15"/>
    <w:rsid w:val="005A05BC"/>
    <w:rsid w:val="005A146A"/>
    <w:rsid w:val="005A3A46"/>
    <w:rsid w:val="005A68B6"/>
    <w:rsid w:val="005A7B91"/>
    <w:rsid w:val="005B3372"/>
    <w:rsid w:val="005B6120"/>
    <w:rsid w:val="005B6918"/>
    <w:rsid w:val="005C0C40"/>
    <w:rsid w:val="005C5570"/>
    <w:rsid w:val="005C64E1"/>
    <w:rsid w:val="005C79A4"/>
    <w:rsid w:val="005D2B97"/>
    <w:rsid w:val="005D3290"/>
    <w:rsid w:val="005D3D6C"/>
    <w:rsid w:val="005D5442"/>
    <w:rsid w:val="005D6F72"/>
    <w:rsid w:val="005E02ED"/>
    <w:rsid w:val="005E056A"/>
    <w:rsid w:val="005E1326"/>
    <w:rsid w:val="005F0849"/>
    <w:rsid w:val="005F34B0"/>
    <w:rsid w:val="005F3C81"/>
    <w:rsid w:val="005F4483"/>
    <w:rsid w:val="005F790F"/>
    <w:rsid w:val="005F7D28"/>
    <w:rsid w:val="00601377"/>
    <w:rsid w:val="00602CC5"/>
    <w:rsid w:val="00603F32"/>
    <w:rsid w:val="00605611"/>
    <w:rsid w:val="0061214C"/>
    <w:rsid w:val="006154B3"/>
    <w:rsid w:val="006170F0"/>
    <w:rsid w:val="00620406"/>
    <w:rsid w:val="00620CD3"/>
    <w:rsid w:val="00621139"/>
    <w:rsid w:val="006303C1"/>
    <w:rsid w:val="00632398"/>
    <w:rsid w:val="006336EF"/>
    <w:rsid w:val="006354AD"/>
    <w:rsid w:val="00636E45"/>
    <w:rsid w:val="00640FC3"/>
    <w:rsid w:val="0064112E"/>
    <w:rsid w:val="00642020"/>
    <w:rsid w:val="00646206"/>
    <w:rsid w:val="0065102C"/>
    <w:rsid w:val="0065337B"/>
    <w:rsid w:val="006538BF"/>
    <w:rsid w:val="0065419D"/>
    <w:rsid w:val="00656D19"/>
    <w:rsid w:val="006604D8"/>
    <w:rsid w:val="006605C5"/>
    <w:rsid w:val="0066222F"/>
    <w:rsid w:val="00663EC7"/>
    <w:rsid w:val="00664A5B"/>
    <w:rsid w:val="006712AE"/>
    <w:rsid w:val="006717EC"/>
    <w:rsid w:val="006718BB"/>
    <w:rsid w:val="00673819"/>
    <w:rsid w:val="0067397A"/>
    <w:rsid w:val="00674D51"/>
    <w:rsid w:val="006763D2"/>
    <w:rsid w:val="006767CA"/>
    <w:rsid w:val="00677D80"/>
    <w:rsid w:val="00680C08"/>
    <w:rsid w:val="00680DCD"/>
    <w:rsid w:val="006931B1"/>
    <w:rsid w:val="006A15C0"/>
    <w:rsid w:val="006A2097"/>
    <w:rsid w:val="006A2830"/>
    <w:rsid w:val="006A3B00"/>
    <w:rsid w:val="006B24FD"/>
    <w:rsid w:val="006B4C50"/>
    <w:rsid w:val="006B6288"/>
    <w:rsid w:val="006C130C"/>
    <w:rsid w:val="006C17D1"/>
    <w:rsid w:val="006C3733"/>
    <w:rsid w:val="006C3E2A"/>
    <w:rsid w:val="006C4853"/>
    <w:rsid w:val="006C4B74"/>
    <w:rsid w:val="006C5FF3"/>
    <w:rsid w:val="006C642F"/>
    <w:rsid w:val="006D03E5"/>
    <w:rsid w:val="006D19FE"/>
    <w:rsid w:val="006D5D3E"/>
    <w:rsid w:val="006D6919"/>
    <w:rsid w:val="006E08B3"/>
    <w:rsid w:val="006E1752"/>
    <w:rsid w:val="006E4779"/>
    <w:rsid w:val="006F17AC"/>
    <w:rsid w:val="006F1D37"/>
    <w:rsid w:val="006F26D0"/>
    <w:rsid w:val="006F2796"/>
    <w:rsid w:val="006F572E"/>
    <w:rsid w:val="006F6067"/>
    <w:rsid w:val="006F7CDC"/>
    <w:rsid w:val="00702530"/>
    <w:rsid w:val="00702C40"/>
    <w:rsid w:val="007046D6"/>
    <w:rsid w:val="00705DB0"/>
    <w:rsid w:val="0070629B"/>
    <w:rsid w:val="007129EC"/>
    <w:rsid w:val="00720731"/>
    <w:rsid w:val="00721E92"/>
    <w:rsid w:val="00721FD7"/>
    <w:rsid w:val="00722B57"/>
    <w:rsid w:val="00726A2C"/>
    <w:rsid w:val="00727081"/>
    <w:rsid w:val="00730E9B"/>
    <w:rsid w:val="0073458D"/>
    <w:rsid w:val="007366B7"/>
    <w:rsid w:val="00736956"/>
    <w:rsid w:val="007419F8"/>
    <w:rsid w:val="0074253D"/>
    <w:rsid w:val="0074429B"/>
    <w:rsid w:val="007513B4"/>
    <w:rsid w:val="0075195F"/>
    <w:rsid w:val="00752E5D"/>
    <w:rsid w:val="007615BC"/>
    <w:rsid w:val="00762DE4"/>
    <w:rsid w:val="00762F05"/>
    <w:rsid w:val="007652FF"/>
    <w:rsid w:val="00770EF1"/>
    <w:rsid w:val="007715BA"/>
    <w:rsid w:val="00773EF7"/>
    <w:rsid w:val="00774E1D"/>
    <w:rsid w:val="00775098"/>
    <w:rsid w:val="007760AE"/>
    <w:rsid w:val="0077675A"/>
    <w:rsid w:val="00780355"/>
    <w:rsid w:val="00780A89"/>
    <w:rsid w:val="00785721"/>
    <w:rsid w:val="00787410"/>
    <w:rsid w:val="00791C25"/>
    <w:rsid w:val="0079223C"/>
    <w:rsid w:val="00792286"/>
    <w:rsid w:val="00793A59"/>
    <w:rsid w:val="00793E91"/>
    <w:rsid w:val="007A077C"/>
    <w:rsid w:val="007A1665"/>
    <w:rsid w:val="007A1D7E"/>
    <w:rsid w:val="007A1EF9"/>
    <w:rsid w:val="007A323C"/>
    <w:rsid w:val="007A5DE5"/>
    <w:rsid w:val="007A6953"/>
    <w:rsid w:val="007B24DF"/>
    <w:rsid w:val="007B2962"/>
    <w:rsid w:val="007B2B8D"/>
    <w:rsid w:val="007B43DB"/>
    <w:rsid w:val="007B4B81"/>
    <w:rsid w:val="007B532D"/>
    <w:rsid w:val="007B6E9F"/>
    <w:rsid w:val="007C1216"/>
    <w:rsid w:val="007C1AF7"/>
    <w:rsid w:val="007C3E2E"/>
    <w:rsid w:val="007C5575"/>
    <w:rsid w:val="007C58DE"/>
    <w:rsid w:val="007D0C25"/>
    <w:rsid w:val="007D1300"/>
    <w:rsid w:val="007D5FCA"/>
    <w:rsid w:val="007D61A0"/>
    <w:rsid w:val="007E0D2F"/>
    <w:rsid w:val="007E401A"/>
    <w:rsid w:val="007E6E27"/>
    <w:rsid w:val="007E7176"/>
    <w:rsid w:val="007F22AF"/>
    <w:rsid w:val="007F3E00"/>
    <w:rsid w:val="007F4C35"/>
    <w:rsid w:val="007F53E0"/>
    <w:rsid w:val="008052BA"/>
    <w:rsid w:val="00805D27"/>
    <w:rsid w:val="00810D5B"/>
    <w:rsid w:val="008127D7"/>
    <w:rsid w:val="008134C8"/>
    <w:rsid w:val="00814740"/>
    <w:rsid w:val="00815AB5"/>
    <w:rsid w:val="00821776"/>
    <w:rsid w:val="00821C1D"/>
    <w:rsid w:val="00823048"/>
    <w:rsid w:val="00826AA6"/>
    <w:rsid w:val="008321F5"/>
    <w:rsid w:val="00832369"/>
    <w:rsid w:val="00834660"/>
    <w:rsid w:val="0083524C"/>
    <w:rsid w:val="00836BC2"/>
    <w:rsid w:val="00836CE0"/>
    <w:rsid w:val="008414A0"/>
    <w:rsid w:val="008435FD"/>
    <w:rsid w:val="00843981"/>
    <w:rsid w:val="00844289"/>
    <w:rsid w:val="008448BF"/>
    <w:rsid w:val="00844BB4"/>
    <w:rsid w:val="008461E7"/>
    <w:rsid w:val="00850113"/>
    <w:rsid w:val="0085068D"/>
    <w:rsid w:val="0085641B"/>
    <w:rsid w:val="0085684A"/>
    <w:rsid w:val="0085702F"/>
    <w:rsid w:val="00857136"/>
    <w:rsid w:val="00863ABC"/>
    <w:rsid w:val="00875618"/>
    <w:rsid w:val="00877585"/>
    <w:rsid w:val="00880372"/>
    <w:rsid w:val="00886893"/>
    <w:rsid w:val="00886D15"/>
    <w:rsid w:val="0088727F"/>
    <w:rsid w:val="00887DD8"/>
    <w:rsid w:val="008911A1"/>
    <w:rsid w:val="00896018"/>
    <w:rsid w:val="008960DD"/>
    <w:rsid w:val="0089635C"/>
    <w:rsid w:val="008A2B9D"/>
    <w:rsid w:val="008A39A8"/>
    <w:rsid w:val="008A5458"/>
    <w:rsid w:val="008A5C7C"/>
    <w:rsid w:val="008A5E0B"/>
    <w:rsid w:val="008A6D59"/>
    <w:rsid w:val="008A79FA"/>
    <w:rsid w:val="008B2C45"/>
    <w:rsid w:val="008B4B03"/>
    <w:rsid w:val="008B596F"/>
    <w:rsid w:val="008B5A3E"/>
    <w:rsid w:val="008B77F5"/>
    <w:rsid w:val="008C04E9"/>
    <w:rsid w:val="008C0EE3"/>
    <w:rsid w:val="008C159F"/>
    <w:rsid w:val="008C1623"/>
    <w:rsid w:val="008C1850"/>
    <w:rsid w:val="008C220A"/>
    <w:rsid w:val="008C3672"/>
    <w:rsid w:val="008C4012"/>
    <w:rsid w:val="008C51A9"/>
    <w:rsid w:val="008D63EC"/>
    <w:rsid w:val="008D770F"/>
    <w:rsid w:val="008E6F12"/>
    <w:rsid w:val="008E7846"/>
    <w:rsid w:val="008F052A"/>
    <w:rsid w:val="008F1CCC"/>
    <w:rsid w:val="008F2967"/>
    <w:rsid w:val="008F6943"/>
    <w:rsid w:val="008F69AF"/>
    <w:rsid w:val="008F6AA9"/>
    <w:rsid w:val="009021F5"/>
    <w:rsid w:val="00902447"/>
    <w:rsid w:val="00902A21"/>
    <w:rsid w:val="00906445"/>
    <w:rsid w:val="00911D8C"/>
    <w:rsid w:val="00913DB1"/>
    <w:rsid w:val="00916B5E"/>
    <w:rsid w:val="00920330"/>
    <w:rsid w:val="009219D7"/>
    <w:rsid w:val="00922D53"/>
    <w:rsid w:val="00923B70"/>
    <w:rsid w:val="00924482"/>
    <w:rsid w:val="00924D13"/>
    <w:rsid w:val="00925759"/>
    <w:rsid w:val="009269FE"/>
    <w:rsid w:val="00927D2A"/>
    <w:rsid w:val="00930237"/>
    <w:rsid w:val="0093094F"/>
    <w:rsid w:val="00933D2E"/>
    <w:rsid w:val="009438E8"/>
    <w:rsid w:val="00944227"/>
    <w:rsid w:val="00944E3C"/>
    <w:rsid w:val="0094614A"/>
    <w:rsid w:val="00946EA5"/>
    <w:rsid w:val="00950827"/>
    <w:rsid w:val="00950D0D"/>
    <w:rsid w:val="0095160F"/>
    <w:rsid w:val="009553BE"/>
    <w:rsid w:val="00963C08"/>
    <w:rsid w:val="00966BEA"/>
    <w:rsid w:val="0096796D"/>
    <w:rsid w:val="00967C91"/>
    <w:rsid w:val="00970403"/>
    <w:rsid w:val="0097284F"/>
    <w:rsid w:val="00973683"/>
    <w:rsid w:val="00974D04"/>
    <w:rsid w:val="00977A4F"/>
    <w:rsid w:val="00981D66"/>
    <w:rsid w:val="00982A0E"/>
    <w:rsid w:val="00985033"/>
    <w:rsid w:val="0098585A"/>
    <w:rsid w:val="0098669D"/>
    <w:rsid w:val="0098763C"/>
    <w:rsid w:val="00990250"/>
    <w:rsid w:val="00994C95"/>
    <w:rsid w:val="009961F4"/>
    <w:rsid w:val="009A25F9"/>
    <w:rsid w:val="009A497E"/>
    <w:rsid w:val="009A4C16"/>
    <w:rsid w:val="009A4CED"/>
    <w:rsid w:val="009A690D"/>
    <w:rsid w:val="009B0426"/>
    <w:rsid w:val="009B0763"/>
    <w:rsid w:val="009B1D12"/>
    <w:rsid w:val="009B3100"/>
    <w:rsid w:val="009B416B"/>
    <w:rsid w:val="009B4488"/>
    <w:rsid w:val="009B49D4"/>
    <w:rsid w:val="009C4BD5"/>
    <w:rsid w:val="009C5C72"/>
    <w:rsid w:val="009C6216"/>
    <w:rsid w:val="009C6230"/>
    <w:rsid w:val="009C740E"/>
    <w:rsid w:val="009D25A2"/>
    <w:rsid w:val="009D2CA4"/>
    <w:rsid w:val="009D4DCD"/>
    <w:rsid w:val="009D54B8"/>
    <w:rsid w:val="009D7B77"/>
    <w:rsid w:val="009E0BB0"/>
    <w:rsid w:val="009E1DEF"/>
    <w:rsid w:val="009E3FBB"/>
    <w:rsid w:val="009F278F"/>
    <w:rsid w:val="009F2C7A"/>
    <w:rsid w:val="009F62A7"/>
    <w:rsid w:val="00A02401"/>
    <w:rsid w:val="00A102E4"/>
    <w:rsid w:val="00A10F09"/>
    <w:rsid w:val="00A12018"/>
    <w:rsid w:val="00A12C42"/>
    <w:rsid w:val="00A13E3E"/>
    <w:rsid w:val="00A14DF7"/>
    <w:rsid w:val="00A177F9"/>
    <w:rsid w:val="00A2006A"/>
    <w:rsid w:val="00A2171E"/>
    <w:rsid w:val="00A235D9"/>
    <w:rsid w:val="00A2590C"/>
    <w:rsid w:val="00A2680A"/>
    <w:rsid w:val="00A3246D"/>
    <w:rsid w:val="00A33FB4"/>
    <w:rsid w:val="00A36FA7"/>
    <w:rsid w:val="00A4521E"/>
    <w:rsid w:val="00A46801"/>
    <w:rsid w:val="00A475B7"/>
    <w:rsid w:val="00A47AF7"/>
    <w:rsid w:val="00A47C3E"/>
    <w:rsid w:val="00A50226"/>
    <w:rsid w:val="00A562C2"/>
    <w:rsid w:val="00A56AC0"/>
    <w:rsid w:val="00A6065C"/>
    <w:rsid w:val="00A60BAD"/>
    <w:rsid w:val="00A74D8A"/>
    <w:rsid w:val="00A7593F"/>
    <w:rsid w:val="00A80A5B"/>
    <w:rsid w:val="00A827BB"/>
    <w:rsid w:val="00A8332D"/>
    <w:rsid w:val="00A84BC9"/>
    <w:rsid w:val="00A93B04"/>
    <w:rsid w:val="00A954DA"/>
    <w:rsid w:val="00A96444"/>
    <w:rsid w:val="00A964D1"/>
    <w:rsid w:val="00A966C6"/>
    <w:rsid w:val="00AA0ED0"/>
    <w:rsid w:val="00AA3499"/>
    <w:rsid w:val="00AA42DD"/>
    <w:rsid w:val="00AA4FA6"/>
    <w:rsid w:val="00AA51A7"/>
    <w:rsid w:val="00AA52D5"/>
    <w:rsid w:val="00AB465B"/>
    <w:rsid w:val="00AB5983"/>
    <w:rsid w:val="00AB5AF9"/>
    <w:rsid w:val="00AB70CA"/>
    <w:rsid w:val="00AC04F6"/>
    <w:rsid w:val="00AC2B40"/>
    <w:rsid w:val="00AC2BB2"/>
    <w:rsid w:val="00AC2C3C"/>
    <w:rsid w:val="00AC2E8D"/>
    <w:rsid w:val="00AC340D"/>
    <w:rsid w:val="00AC512D"/>
    <w:rsid w:val="00AD34FE"/>
    <w:rsid w:val="00AD5B03"/>
    <w:rsid w:val="00AD6F54"/>
    <w:rsid w:val="00AD7815"/>
    <w:rsid w:val="00AE01C2"/>
    <w:rsid w:val="00AE52DB"/>
    <w:rsid w:val="00AE6165"/>
    <w:rsid w:val="00AE65EB"/>
    <w:rsid w:val="00AE67A7"/>
    <w:rsid w:val="00AE716B"/>
    <w:rsid w:val="00AF08B9"/>
    <w:rsid w:val="00AF11CA"/>
    <w:rsid w:val="00AF1D94"/>
    <w:rsid w:val="00AF2299"/>
    <w:rsid w:val="00AF2A3B"/>
    <w:rsid w:val="00AF4531"/>
    <w:rsid w:val="00AF60C5"/>
    <w:rsid w:val="00B009C6"/>
    <w:rsid w:val="00B01548"/>
    <w:rsid w:val="00B02208"/>
    <w:rsid w:val="00B115BD"/>
    <w:rsid w:val="00B1228A"/>
    <w:rsid w:val="00B122AD"/>
    <w:rsid w:val="00B12BEC"/>
    <w:rsid w:val="00B1425E"/>
    <w:rsid w:val="00B1523F"/>
    <w:rsid w:val="00B21D29"/>
    <w:rsid w:val="00B23CBC"/>
    <w:rsid w:val="00B24F0B"/>
    <w:rsid w:val="00B25034"/>
    <w:rsid w:val="00B27195"/>
    <w:rsid w:val="00B275F4"/>
    <w:rsid w:val="00B27A1A"/>
    <w:rsid w:val="00B30181"/>
    <w:rsid w:val="00B33588"/>
    <w:rsid w:val="00B33863"/>
    <w:rsid w:val="00B3428C"/>
    <w:rsid w:val="00B3567E"/>
    <w:rsid w:val="00B37D17"/>
    <w:rsid w:val="00B4175E"/>
    <w:rsid w:val="00B44550"/>
    <w:rsid w:val="00B452CE"/>
    <w:rsid w:val="00B46316"/>
    <w:rsid w:val="00B50545"/>
    <w:rsid w:val="00B5078B"/>
    <w:rsid w:val="00B542FB"/>
    <w:rsid w:val="00B54C25"/>
    <w:rsid w:val="00B55DAF"/>
    <w:rsid w:val="00B63962"/>
    <w:rsid w:val="00B66EA5"/>
    <w:rsid w:val="00B6730B"/>
    <w:rsid w:val="00B72334"/>
    <w:rsid w:val="00B748B6"/>
    <w:rsid w:val="00B74A82"/>
    <w:rsid w:val="00B74CC4"/>
    <w:rsid w:val="00B75355"/>
    <w:rsid w:val="00B75A7B"/>
    <w:rsid w:val="00B76B91"/>
    <w:rsid w:val="00B77BE0"/>
    <w:rsid w:val="00B77EB1"/>
    <w:rsid w:val="00B80A4E"/>
    <w:rsid w:val="00B811C6"/>
    <w:rsid w:val="00B85914"/>
    <w:rsid w:val="00B85A87"/>
    <w:rsid w:val="00B9189F"/>
    <w:rsid w:val="00B92E08"/>
    <w:rsid w:val="00B93B96"/>
    <w:rsid w:val="00B96EBE"/>
    <w:rsid w:val="00BA2C62"/>
    <w:rsid w:val="00BB2B65"/>
    <w:rsid w:val="00BC00DE"/>
    <w:rsid w:val="00BC1ED0"/>
    <w:rsid w:val="00BC4666"/>
    <w:rsid w:val="00BC622A"/>
    <w:rsid w:val="00BC6738"/>
    <w:rsid w:val="00BD02D6"/>
    <w:rsid w:val="00BD45E3"/>
    <w:rsid w:val="00BE05B2"/>
    <w:rsid w:val="00BE0A78"/>
    <w:rsid w:val="00BE254B"/>
    <w:rsid w:val="00BE32A6"/>
    <w:rsid w:val="00BE50EB"/>
    <w:rsid w:val="00BE55F6"/>
    <w:rsid w:val="00BE5B4E"/>
    <w:rsid w:val="00BE6252"/>
    <w:rsid w:val="00BE6F94"/>
    <w:rsid w:val="00BE79F0"/>
    <w:rsid w:val="00BF046D"/>
    <w:rsid w:val="00BF1190"/>
    <w:rsid w:val="00BF39D2"/>
    <w:rsid w:val="00BF4FAD"/>
    <w:rsid w:val="00BF54F4"/>
    <w:rsid w:val="00BF5D04"/>
    <w:rsid w:val="00BF6B48"/>
    <w:rsid w:val="00BF6F1F"/>
    <w:rsid w:val="00C00746"/>
    <w:rsid w:val="00C02533"/>
    <w:rsid w:val="00C0507C"/>
    <w:rsid w:val="00C05A68"/>
    <w:rsid w:val="00C07B6F"/>
    <w:rsid w:val="00C1164D"/>
    <w:rsid w:val="00C12832"/>
    <w:rsid w:val="00C12C76"/>
    <w:rsid w:val="00C137CE"/>
    <w:rsid w:val="00C16762"/>
    <w:rsid w:val="00C16861"/>
    <w:rsid w:val="00C1687C"/>
    <w:rsid w:val="00C2102B"/>
    <w:rsid w:val="00C21955"/>
    <w:rsid w:val="00C22678"/>
    <w:rsid w:val="00C23AC2"/>
    <w:rsid w:val="00C24259"/>
    <w:rsid w:val="00C24BF9"/>
    <w:rsid w:val="00C26F4F"/>
    <w:rsid w:val="00C31B4E"/>
    <w:rsid w:val="00C37C5C"/>
    <w:rsid w:val="00C404A6"/>
    <w:rsid w:val="00C40A36"/>
    <w:rsid w:val="00C42ED0"/>
    <w:rsid w:val="00C44419"/>
    <w:rsid w:val="00C45E7B"/>
    <w:rsid w:val="00C4625F"/>
    <w:rsid w:val="00C471B1"/>
    <w:rsid w:val="00C61364"/>
    <w:rsid w:val="00C618F7"/>
    <w:rsid w:val="00C620F5"/>
    <w:rsid w:val="00C62E61"/>
    <w:rsid w:val="00C6316B"/>
    <w:rsid w:val="00C634A9"/>
    <w:rsid w:val="00C64586"/>
    <w:rsid w:val="00C66B0C"/>
    <w:rsid w:val="00C70D53"/>
    <w:rsid w:val="00C72D19"/>
    <w:rsid w:val="00C738DB"/>
    <w:rsid w:val="00C73D0B"/>
    <w:rsid w:val="00C766FC"/>
    <w:rsid w:val="00C772FF"/>
    <w:rsid w:val="00C801AF"/>
    <w:rsid w:val="00C80256"/>
    <w:rsid w:val="00C811C0"/>
    <w:rsid w:val="00C81CA2"/>
    <w:rsid w:val="00C825C0"/>
    <w:rsid w:val="00C83D84"/>
    <w:rsid w:val="00C8445C"/>
    <w:rsid w:val="00C86003"/>
    <w:rsid w:val="00C87E20"/>
    <w:rsid w:val="00C91437"/>
    <w:rsid w:val="00C94C92"/>
    <w:rsid w:val="00CA0420"/>
    <w:rsid w:val="00CA3D86"/>
    <w:rsid w:val="00CA6FA2"/>
    <w:rsid w:val="00CB2D7E"/>
    <w:rsid w:val="00CB57AC"/>
    <w:rsid w:val="00CB6BC0"/>
    <w:rsid w:val="00CC181B"/>
    <w:rsid w:val="00CC1B7C"/>
    <w:rsid w:val="00CC6492"/>
    <w:rsid w:val="00CC727F"/>
    <w:rsid w:val="00CD2BC9"/>
    <w:rsid w:val="00CD47E7"/>
    <w:rsid w:val="00CD5AB6"/>
    <w:rsid w:val="00CD5AC0"/>
    <w:rsid w:val="00CD74AB"/>
    <w:rsid w:val="00CE10F4"/>
    <w:rsid w:val="00CE46EB"/>
    <w:rsid w:val="00CE4894"/>
    <w:rsid w:val="00CF031C"/>
    <w:rsid w:val="00CF078D"/>
    <w:rsid w:val="00CF095C"/>
    <w:rsid w:val="00CF15C3"/>
    <w:rsid w:val="00CF2B6F"/>
    <w:rsid w:val="00CF30E5"/>
    <w:rsid w:val="00CF58B6"/>
    <w:rsid w:val="00D00520"/>
    <w:rsid w:val="00D017ED"/>
    <w:rsid w:val="00D0231E"/>
    <w:rsid w:val="00D040D3"/>
    <w:rsid w:val="00D04C65"/>
    <w:rsid w:val="00D070DB"/>
    <w:rsid w:val="00D10524"/>
    <w:rsid w:val="00D109BF"/>
    <w:rsid w:val="00D12929"/>
    <w:rsid w:val="00D16DD2"/>
    <w:rsid w:val="00D1733A"/>
    <w:rsid w:val="00D224FE"/>
    <w:rsid w:val="00D22AB5"/>
    <w:rsid w:val="00D24F95"/>
    <w:rsid w:val="00D256D3"/>
    <w:rsid w:val="00D364F5"/>
    <w:rsid w:val="00D41EFE"/>
    <w:rsid w:val="00D50F9D"/>
    <w:rsid w:val="00D53A31"/>
    <w:rsid w:val="00D56418"/>
    <w:rsid w:val="00D60751"/>
    <w:rsid w:val="00D645C7"/>
    <w:rsid w:val="00D6493E"/>
    <w:rsid w:val="00D64E7B"/>
    <w:rsid w:val="00D7301E"/>
    <w:rsid w:val="00D82798"/>
    <w:rsid w:val="00D83AE1"/>
    <w:rsid w:val="00D855D4"/>
    <w:rsid w:val="00D862B3"/>
    <w:rsid w:val="00D86547"/>
    <w:rsid w:val="00D87961"/>
    <w:rsid w:val="00D9009F"/>
    <w:rsid w:val="00D93466"/>
    <w:rsid w:val="00DA1124"/>
    <w:rsid w:val="00DA4016"/>
    <w:rsid w:val="00DA6D51"/>
    <w:rsid w:val="00DA71CC"/>
    <w:rsid w:val="00DB1790"/>
    <w:rsid w:val="00DB31CD"/>
    <w:rsid w:val="00DB4914"/>
    <w:rsid w:val="00DB4C17"/>
    <w:rsid w:val="00DB6CFB"/>
    <w:rsid w:val="00DB75B7"/>
    <w:rsid w:val="00DC156B"/>
    <w:rsid w:val="00DC19C1"/>
    <w:rsid w:val="00DC2B5F"/>
    <w:rsid w:val="00DC5361"/>
    <w:rsid w:val="00DC6E02"/>
    <w:rsid w:val="00DD0AD2"/>
    <w:rsid w:val="00DD12FB"/>
    <w:rsid w:val="00DD553F"/>
    <w:rsid w:val="00DE02AE"/>
    <w:rsid w:val="00DE255F"/>
    <w:rsid w:val="00DE45BC"/>
    <w:rsid w:val="00DE4967"/>
    <w:rsid w:val="00DF1D7F"/>
    <w:rsid w:val="00DF1DD2"/>
    <w:rsid w:val="00DF3396"/>
    <w:rsid w:val="00DF3DFC"/>
    <w:rsid w:val="00DF4BE4"/>
    <w:rsid w:val="00DF5C2C"/>
    <w:rsid w:val="00DF763E"/>
    <w:rsid w:val="00E02FB4"/>
    <w:rsid w:val="00E03394"/>
    <w:rsid w:val="00E0465E"/>
    <w:rsid w:val="00E07F15"/>
    <w:rsid w:val="00E10B9E"/>
    <w:rsid w:val="00E131C1"/>
    <w:rsid w:val="00E149C8"/>
    <w:rsid w:val="00E202DE"/>
    <w:rsid w:val="00E20571"/>
    <w:rsid w:val="00E235F7"/>
    <w:rsid w:val="00E23659"/>
    <w:rsid w:val="00E239D4"/>
    <w:rsid w:val="00E2424F"/>
    <w:rsid w:val="00E242B7"/>
    <w:rsid w:val="00E243A4"/>
    <w:rsid w:val="00E245D0"/>
    <w:rsid w:val="00E25C48"/>
    <w:rsid w:val="00E26130"/>
    <w:rsid w:val="00E2729C"/>
    <w:rsid w:val="00E2741C"/>
    <w:rsid w:val="00E31AFA"/>
    <w:rsid w:val="00E35488"/>
    <w:rsid w:val="00E407A3"/>
    <w:rsid w:val="00E40B22"/>
    <w:rsid w:val="00E426F9"/>
    <w:rsid w:val="00E45619"/>
    <w:rsid w:val="00E4588F"/>
    <w:rsid w:val="00E461C2"/>
    <w:rsid w:val="00E46DA3"/>
    <w:rsid w:val="00E51857"/>
    <w:rsid w:val="00E51BB1"/>
    <w:rsid w:val="00E60D18"/>
    <w:rsid w:val="00E6213A"/>
    <w:rsid w:val="00E624A5"/>
    <w:rsid w:val="00E6492D"/>
    <w:rsid w:val="00E64CC5"/>
    <w:rsid w:val="00E709F7"/>
    <w:rsid w:val="00E71111"/>
    <w:rsid w:val="00E7344E"/>
    <w:rsid w:val="00E76E3D"/>
    <w:rsid w:val="00E77B22"/>
    <w:rsid w:val="00E83C03"/>
    <w:rsid w:val="00E912FA"/>
    <w:rsid w:val="00E936E3"/>
    <w:rsid w:val="00E979F4"/>
    <w:rsid w:val="00E97D7C"/>
    <w:rsid w:val="00EB0798"/>
    <w:rsid w:val="00EB23FC"/>
    <w:rsid w:val="00EB27C6"/>
    <w:rsid w:val="00EB2B60"/>
    <w:rsid w:val="00EB30D2"/>
    <w:rsid w:val="00EB40AD"/>
    <w:rsid w:val="00EB4658"/>
    <w:rsid w:val="00EB586E"/>
    <w:rsid w:val="00EB5FC8"/>
    <w:rsid w:val="00EB7086"/>
    <w:rsid w:val="00EC3EC8"/>
    <w:rsid w:val="00EC7215"/>
    <w:rsid w:val="00ED35B5"/>
    <w:rsid w:val="00ED3CAD"/>
    <w:rsid w:val="00ED5A41"/>
    <w:rsid w:val="00ED7B07"/>
    <w:rsid w:val="00EE1DE8"/>
    <w:rsid w:val="00EE24C5"/>
    <w:rsid w:val="00EE47DB"/>
    <w:rsid w:val="00EF0DEE"/>
    <w:rsid w:val="00EF2434"/>
    <w:rsid w:val="00EF4038"/>
    <w:rsid w:val="00EF7198"/>
    <w:rsid w:val="00F01007"/>
    <w:rsid w:val="00F013DA"/>
    <w:rsid w:val="00F02A54"/>
    <w:rsid w:val="00F03297"/>
    <w:rsid w:val="00F033EC"/>
    <w:rsid w:val="00F03F60"/>
    <w:rsid w:val="00F04F68"/>
    <w:rsid w:val="00F0668F"/>
    <w:rsid w:val="00F12670"/>
    <w:rsid w:val="00F14B27"/>
    <w:rsid w:val="00F17DA3"/>
    <w:rsid w:val="00F207B3"/>
    <w:rsid w:val="00F2256C"/>
    <w:rsid w:val="00F242EE"/>
    <w:rsid w:val="00F24FBD"/>
    <w:rsid w:val="00F3148D"/>
    <w:rsid w:val="00F325C5"/>
    <w:rsid w:val="00F32FE0"/>
    <w:rsid w:val="00F35298"/>
    <w:rsid w:val="00F35B51"/>
    <w:rsid w:val="00F40A1E"/>
    <w:rsid w:val="00F40D0B"/>
    <w:rsid w:val="00F413F7"/>
    <w:rsid w:val="00F4267E"/>
    <w:rsid w:val="00F458EC"/>
    <w:rsid w:val="00F47333"/>
    <w:rsid w:val="00F47E37"/>
    <w:rsid w:val="00F508EA"/>
    <w:rsid w:val="00F53C07"/>
    <w:rsid w:val="00F54B65"/>
    <w:rsid w:val="00F555AA"/>
    <w:rsid w:val="00F562B2"/>
    <w:rsid w:val="00F57D39"/>
    <w:rsid w:val="00F62307"/>
    <w:rsid w:val="00F624FE"/>
    <w:rsid w:val="00F63152"/>
    <w:rsid w:val="00F63744"/>
    <w:rsid w:val="00F640B6"/>
    <w:rsid w:val="00F716B9"/>
    <w:rsid w:val="00F72108"/>
    <w:rsid w:val="00F7213E"/>
    <w:rsid w:val="00F75831"/>
    <w:rsid w:val="00F75B73"/>
    <w:rsid w:val="00F80E40"/>
    <w:rsid w:val="00F8171B"/>
    <w:rsid w:val="00F81E90"/>
    <w:rsid w:val="00F822F2"/>
    <w:rsid w:val="00F848D9"/>
    <w:rsid w:val="00F85BFE"/>
    <w:rsid w:val="00F87E50"/>
    <w:rsid w:val="00F905A6"/>
    <w:rsid w:val="00F93C9C"/>
    <w:rsid w:val="00F94110"/>
    <w:rsid w:val="00F948E8"/>
    <w:rsid w:val="00F96131"/>
    <w:rsid w:val="00FA5B82"/>
    <w:rsid w:val="00FA5CFB"/>
    <w:rsid w:val="00FA639E"/>
    <w:rsid w:val="00FA692D"/>
    <w:rsid w:val="00FB047B"/>
    <w:rsid w:val="00FB6063"/>
    <w:rsid w:val="00FC25E4"/>
    <w:rsid w:val="00FC4EF7"/>
    <w:rsid w:val="00FD5C92"/>
    <w:rsid w:val="00FD791C"/>
    <w:rsid w:val="00FE0CE6"/>
    <w:rsid w:val="00FE1DEE"/>
    <w:rsid w:val="00FE25A7"/>
    <w:rsid w:val="00FE3A3D"/>
    <w:rsid w:val="00FF2126"/>
    <w:rsid w:val="00FF403E"/>
    <w:rsid w:val="00FF5755"/>
    <w:rsid w:val="00FF5F83"/>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6"/>
      </w:numPr>
    </w:pPr>
  </w:style>
  <w:style w:type="paragraph" w:styleId="ListBullet2">
    <w:name w:val="List Bullet 2"/>
    <w:basedOn w:val="Normal"/>
    <w:uiPriority w:val="2"/>
    <w:qFormat/>
    <w:rsid w:val="004C2DCA"/>
    <w:pPr>
      <w:numPr>
        <w:ilvl w:val="1"/>
        <w:numId w:val="6"/>
      </w:numPr>
    </w:pPr>
  </w:style>
  <w:style w:type="paragraph" w:styleId="ListBullet3">
    <w:name w:val="List Bullet 3"/>
    <w:basedOn w:val="Normal"/>
    <w:uiPriority w:val="2"/>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34"/>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10"/>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11"/>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uiPriority w:val="99"/>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9C740E"/>
    <w:rPr>
      <w:rFonts w:ascii="Cambria" w:eastAsia="Times New Roman" w:hAnsi="Cambria" w:cs="Times New Roman"/>
      <w:kern w:val="16"/>
      <w:sz w:val="20"/>
      <w:szCs w:val="20"/>
      <w:lang w:eastAsia="en-AU"/>
    </w:rPr>
  </w:style>
  <w:style w:type="character" w:styleId="FootnoteReference">
    <w:name w:val="footnote reference"/>
    <w:uiPriority w:val="99"/>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3"/>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6"/>
      </w:numPr>
    </w:pPr>
  </w:style>
  <w:style w:type="paragraph" w:styleId="ListBullet2">
    <w:name w:val="List Bullet 2"/>
    <w:basedOn w:val="Normal"/>
    <w:uiPriority w:val="2"/>
    <w:qFormat/>
    <w:rsid w:val="004C2DCA"/>
    <w:pPr>
      <w:numPr>
        <w:ilvl w:val="1"/>
        <w:numId w:val="6"/>
      </w:numPr>
    </w:pPr>
  </w:style>
  <w:style w:type="paragraph" w:styleId="ListBullet3">
    <w:name w:val="List Bullet 3"/>
    <w:basedOn w:val="Normal"/>
    <w:uiPriority w:val="2"/>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34"/>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10"/>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11"/>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uiPriority w:val="99"/>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9C740E"/>
    <w:rPr>
      <w:rFonts w:ascii="Cambria" w:eastAsia="Times New Roman" w:hAnsi="Cambria" w:cs="Times New Roman"/>
      <w:kern w:val="16"/>
      <w:sz w:val="20"/>
      <w:szCs w:val="20"/>
      <w:lang w:eastAsia="en-AU"/>
    </w:rPr>
  </w:style>
  <w:style w:type="character" w:styleId="FootnoteReference">
    <w:name w:val="footnote reference"/>
    <w:uiPriority w:val="99"/>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3"/>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s://www.tga.gov.au"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5.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4.xml"/><Relationship Id="rId40" Type="http://schemas.openxmlformats.org/officeDocument/2006/relationships/footer" Target="footer4.xml"/><Relationship Id="rId45"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s://www.tga.gov.au/product-information-pi"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7.xm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nac\AppData\Local\Hewlett-Packard\HP%20TRIM\TEMP\HPTRIM.5792\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9FA0D-988A-4490-B1E0-40A04DEE1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Template>
  <TotalTime>230</TotalTime>
  <Pages>49</Pages>
  <Words>12900</Words>
  <Characters>73532</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Extract from the Clinical Evaluation Report foririnotecan (as sucrosofate) </vt:lpstr>
    </vt:vector>
  </TitlesOfParts>
  <Company/>
  <LinksUpToDate>false</LinksUpToDate>
  <CharactersWithSpaces>86260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irinotecan (as sucrosofate) </dc:title>
  <dc:subject>prescription medicines</dc:subject>
  <dc:creator>Therapeutic Goods Administration</dc:creator>
  <cp:keywords>AusPARs</cp:keywords>
  <cp:lastModifiedBy>THOMPSON, Lynette</cp:lastModifiedBy>
  <cp:revision>219</cp:revision>
  <cp:lastPrinted>2015-09-22T23:53:00Z</cp:lastPrinted>
  <dcterms:created xsi:type="dcterms:W3CDTF">2017-08-10T02:18:00Z</dcterms:created>
  <dcterms:modified xsi:type="dcterms:W3CDTF">2017-10-17T03:45:00Z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1380527818</vt:i4>
  </property>
</Properties>
</file>