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DF1973">
        <w:trPr>
          <w:trHeight w:val="1863"/>
        </w:trPr>
        <w:tc>
          <w:tcPr>
            <w:tcW w:w="7905" w:type="dxa"/>
            <w:tcBorders>
              <w:top w:val="nil"/>
              <w:left w:val="nil"/>
              <w:bottom w:val="nil"/>
              <w:right w:val="nil"/>
            </w:tcBorders>
          </w:tcPr>
          <w:p w:rsidR="008E7846" w:rsidRDefault="0086487F" w:rsidP="0017078F">
            <w:pPr>
              <w:rPr>
                <w:rFonts w:ascii="Arial" w:hAnsi="Arial" w:cs="Arial"/>
                <w:b/>
                <w:color w:val="002C47"/>
                <w:sz w:val="36"/>
                <w:szCs w:val="36"/>
              </w:rPr>
            </w:pPr>
            <w:r>
              <w:rPr>
                <w:rFonts w:ascii="Arial" w:hAnsi="Arial" w:cs="Arial"/>
                <w:b/>
                <w:color w:val="002C47"/>
                <w:sz w:val="36"/>
                <w:szCs w:val="36"/>
              </w:rPr>
              <w:t xml:space="preserve">First round </w:t>
            </w:r>
            <w:r w:rsidR="00DF1973">
              <w:rPr>
                <w:rFonts w:ascii="Arial" w:hAnsi="Arial" w:cs="Arial"/>
                <w:b/>
                <w:color w:val="002C47"/>
                <w:sz w:val="36"/>
                <w:szCs w:val="36"/>
              </w:rPr>
              <w:t xml:space="preserve">evaluation </w:t>
            </w:r>
            <w:r>
              <w:rPr>
                <w:rFonts w:ascii="Arial" w:hAnsi="Arial" w:cs="Arial"/>
                <w:b/>
                <w:color w:val="002C47"/>
                <w:sz w:val="36"/>
                <w:szCs w:val="36"/>
              </w:rPr>
              <w:t>June 2014</w:t>
            </w:r>
          </w:p>
          <w:p w:rsidR="00DF1973" w:rsidRPr="0017078F" w:rsidRDefault="00DF1973" w:rsidP="0017078F">
            <w:pPr>
              <w:rPr>
                <w:rFonts w:ascii="Arial" w:hAnsi="Arial" w:cs="Arial"/>
                <w:b/>
                <w:color w:val="002C47"/>
                <w:sz w:val="36"/>
                <w:szCs w:val="36"/>
              </w:rPr>
            </w:pPr>
            <w:r>
              <w:rPr>
                <w:rFonts w:ascii="Arial" w:hAnsi="Arial" w:cs="Arial"/>
                <w:b/>
                <w:color w:val="002C47"/>
                <w:sz w:val="36"/>
                <w:szCs w:val="36"/>
              </w:rPr>
              <w:t xml:space="preserve">Second round </w:t>
            </w:r>
            <w:r w:rsidRPr="00DF1973">
              <w:rPr>
                <w:rFonts w:ascii="Arial" w:hAnsi="Arial" w:cs="Arial"/>
                <w:b/>
                <w:color w:val="002C47"/>
                <w:sz w:val="36"/>
                <w:szCs w:val="36"/>
              </w:rPr>
              <w:t xml:space="preserve">evaluation </w:t>
            </w:r>
            <w:r w:rsidR="00FD5C8C">
              <w:rPr>
                <w:rFonts w:ascii="Arial" w:hAnsi="Arial" w:cs="Arial"/>
                <w:b/>
                <w:color w:val="002C47"/>
                <w:sz w:val="36"/>
                <w:szCs w:val="36"/>
              </w:rPr>
              <w:t>Dece</w:t>
            </w:r>
            <w:r>
              <w:rPr>
                <w:rFonts w:ascii="Arial" w:hAnsi="Arial" w:cs="Arial"/>
                <w:b/>
                <w:color w:val="002C47"/>
                <w:sz w:val="36"/>
                <w:szCs w:val="36"/>
              </w:rPr>
              <w:t>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F186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bookmarkStart w:id="0" w:name="_GoBack"/>
            <w:r w:rsidR="005F186B">
              <w:rPr>
                <w:color w:val="FFFFFF" w:themeColor="background1"/>
              </w:rPr>
              <w:t>Ipilimumab</w:t>
            </w:r>
            <w:r w:rsidR="00BA3B04">
              <w:rPr>
                <w:color w:val="FFFFFF" w:themeColor="background1"/>
              </w:rPr>
              <w:t xml:space="preserve"> (rch)</w:t>
            </w:r>
            <w:bookmarkEnd w:id="0"/>
          </w:p>
        </w:tc>
      </w:tr>
      <w:tr w:rsidR="00E07F15" w:rsidRPr="00B64760" w:rsidTr="00E07F15">
        <w:tc>
          <w:tcPr>
            <w:tcW w:w="9079" w:type="dxa"/>
          </w:tcPr>
          <w:p w:rsidR="00E07F15" w:rsidRPr="008E7846" w:rsidRDefault="00E07F15" w:rsidP="005F186B">
            <w:pPr>
              <w:pStyle w:val="Subtitle"/>
              <w:rPr>
                <w:color w:val="FFFFFF" w:themeColor="background1"/>
              </w:rPr>
            </w:pPr>
            <w:r w:rsidRPr="008E7846">
              <w:rPr>
                <w:color w:val="FFFFFF" w:themeColor="background1"/>
              </w:rPr>
              <w:t xml:space="preserve">Proprietary Product Name: </w:t>
            </w:r>
            <w:r w:rsidR="005F186B">
              <w:rPr>
                <w:color w:val="FFFFFF" w:themeColor="background1"/>
              </w:rPr>
              <w:t>Yervoy</w:t>
            </w:r>
            <w:r w:rsidR="00780411">
              <w:rPr>
                <w:color w:val="FFFFFF" w:themeColor="background1"/>
              </w:rPr>
              <w:t xml:space="preserve"> </w:t>
            </w:r>
            <w:r w:rsidR="005F186B">
              <w:rPr>
                <w:color w:val="FFFFFF" w:themeColor="background1"/>
              </w:rPr>
              <w:t>/</w:t>
            </w:r>
            <w:r w:rsidR="00780411">
              <w:rPr>
                <w:color w:val="FFFFFF" w:themeColor="background1"/>
              </w:rPr>
              <w:t xml:space="preserve"> </w:t>
            </w:r>
            <w:r w:rsidR="005F186B">
              <w:rPr>
                <w:color w:val="FFFFFF" w:themeColor="background1"/>
              </w:rPr>
              <w:t>Winglore</w:t>
            </w:r>
          </w:p>
        </w:tc>
      </w:tr>
      <w:tr w:rsidR="00E07F15" w:rsidRPr="00B64760" w:rsidTr="00E07F15">
        <w:trPr>
          <w:trHeight w:val="486"/>
        </w:trPr>
        <w:tc>
          <w:tcPr>
            <w:tcW w:w="9079" w:type="dxa"/>
          </w:tcPr>
          <w:p w:rsidR="00E07F15" w:rsidRPr="008E7846" w:rsidRDefault="00E07F15" w:rsidP="005F186B">
            <w:pPr>
              <w:pStyle w:val="Subtitle"/>
              <w:rPr>
                <w:color w:val="FFFFFF" w:themeColor="background1"/>
              </w:rPr>
            </w:pPr>
            <w:r w:rsidRPr="008E7846">
              <w:rPr>
                <w:color w:val="FFFFFF" w:themeColor="background1"/>
              </w:rPr>
              <w:t xml:space="preserve">Sponsor: </w:t>
            </w:r>
            <w:r w:rsidR="005F186B">
              <w:rPr>
                <w:color w:val="FFFFFF" w:themeColor="background1"/>
              </w:rPr>
              <w:t>Bristol-Myers Squibb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9742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9742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9742D">
      <w:pPr>
        <w:pStyle w:val="ListBullet"/>
        <w:numPr>
          <w:ilvl w:val="0"/>
          <w:numId w:val="1"/>
        </w:numPr>
        <w:ind w:left="357" w:hanging="357"/>
      </w:pPr>
      <w:r>
        <w:t xml:space="preserve">The work of the TGA is based on applying scientific and clinical expertise to </w:t>
      </w:r>
      <w:r w:rsidR="00661517">
        <w:t>December</w:t>
      </w:r>
      <w:r>
        <w:t>ision-making, to ensure that the benefits to consumers outweigh any risks associated with the use of medicines and medical devices.</w:t>
      </w:r>
    </w:p>
    <w:p w:rsidR="008E7846" w:rsidRDefault="008E7846" w:rsidP="0049742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9742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BE4457">
        <w:t>(</w:t>
      </w:r>
      <w:r w:rsidRPr="003D0A3B">
        <w:t>Information redacted</w:t>
      </w:r>
      <w:r w:rsidR="00BE4457">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030DA6">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06C6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F377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5616195" w:history="1">
            <w:r w:rsidR="002F3779" w:rsidRPr="00317915">
              <w:rPr>
                <w:rStyle w:val="Hyperlink"/>
                <w:noProof/>
              </w:rPr>
              <w:t>List of abbreviations</w:t>
            </w:r>
            <w:r w:rsidR="002F3779">
              <w:rPr>
                <w:noProof/>
                <w:webHidden/>
              </w:rPr>
              <w:tab/>
            </w:r>
            <w:r w:rsidR="002F3779">
              <w:rPr>
                <w:noProof/>
                <w:webHidden/>
              </w:rPr>
              <w:fldChar w:fldCharType="begin"/>
            </w:r>
            <w:r w:rsidR="002F3779">
              <w:rPr>
                <w:noProof/>
                <w:webHidden/>
              </w:rPr>
              <w:instrText xml:space="preserve"> PAGEREF _Toc475616195 \h </w:instrText>
            </w:r>
            <w:r w:rsidR="002F3779">
              <w:rPr>
                <w:noProof/>
                <w:webHidden/>
              </w:rPr>
            </w:r>
            <w:r w:rsidR="002F3779">
              <w:rPr>
                <w:noProof/>
                <w:webHidden/>
              </w:rPr>
              <w:fldChar w:fldCharType="separate"/>
            </w:r>
            <w:r w:rsidR="002F3779">
              <w:rPr>
                <w:noProof/>
                <w:webHidden/>
              </w:rPr>
              <w:t>5</w:t>
            </w:r>
            <w:r w:rsidR="002F3779">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196" w:history="1">
            <w:r w:rsidRPr="00317915">
              <w:rPr>
                <w:rStyle w:val="Hyperlink"/>
                <w:noProof/>
                <w:lang w:eastAsia="en-AU"/>
              </w:rPr>
              <w:t>1.</w:t>
            </w:r>
            <w:r>
              <w:rPr>
                <w:rFonts w:asciiTheme="minorHAnsi" w:eastAsiaTheme="minorEastAsia" w:hAnsiTheme="minorHAnsi" w:cstheme="minorBidi"/>
                <w:b w:val="0"/>
                <w:noProof/>
                <w:sz w:val="22"/>
                <w:lang w:eastAsia="en-AU"/>
              </w:rPr>
              <w:tab/>
            </w:r>
            <w:r w:rsidRPr="00317915">
              <w:rPr>
                <w:rStyle w:val="Hyperlink"/>
                <w:noProof/>
                <w:lang w:eastAsia="en-AU"/>
              </w:rPr>
              <w:t>Background</w:t>
            </w:r>
            <w:r>
              <w:rPr>
                <w:noProof/>
                <w:webHidden/>
              </w:rPr>
              <w:tab/>
            </w:r>
            <w:r>
              <w:rPr>
                <w:noProof/>
                <w:webHidden/>
              </w:rPr>
              <w:fldChar w:fldCharType="begin"/>
            </w:r>
            <w:r>
              <w:rPr>
                <w:noProof/>
                <w:webHidden/>
              </w:rPr>
              <w:instrText xml:space="preserve"> PAGEREF _Toc475616196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197" w:history="1">
            <w:r w:rsidRPr="00317915">
              <w:rPr>
                <w:rStyle w:val="Hyperlink"/>
                <w:noProof/>
              </w:rPr>
              <w:t>1.1.</w:t>
            </w:r>
            <w:r>
              <w:rPr>
                <w:rFonts w:asciiTheme="minorHAnsi" w:eastAsiaTheme="minorEastAsia" w:hAnsiTheme="minorHAnsi" w:cstheme="minorBidi"/>
                <w:noProof/>
                <w:lang w:eastAsia="en-AU"/>
              </w:rPr>
              <w:tab/>
            </w:r>
            <w:r w:rsidRPr="00317915">
              <w:rPr>
                <w:rStyle w:val="Hyperlink"/>
                <w:noProof/>
              </w:rPr>
              <w:t>Submission type</w:t>
            </w:r>
            <w:r>
              <w:rPr>
                <w:noProof/>
                <w:webHidden/>
              </w:rPr>
              <w:tab/>
            </w:r>
            <w:r>
              <w:rPr>
                <w:noProof/>
                <w:webHidden/>
              </w:rPr>
              <w:fldChar w:fldCharType="begin"/>
            </w:r>
            <w:r>
              <w:rPr>
                <w:noProof/>
                <w:webHidden/>
              </w:rPr>
              <w:instrText xml:space="preserve"> PAGEREF _Toc475616197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198" w:history="1">
            <w:r w:rsidRPr="00317915">
              <w:rPr>
                <w:rStyle w:val="Hyperlink"/>
                <w:noProof/>
              </w:rPr>
              <w:t>1.2.</w:t>
            </w:r>
            <w:r>
              <w:rPr>
                <w:rFonts w:asciiTheme="minorHAnsi" w:eastAsiaTheme="minorEastAsia" w:hAnsiTheme="minorHAnsi" w:cstheme="minorBidi"/>
                <w:noProof/>
                <w:lang w:eastAsia="en-AU"/>
              </w:rPr>
              <w:tab/>
            </w:r>
            <w:r w:rsidRPr="00317915">
              <w:rPr>
                <w:rStyle w:val="Hyperlink"/>
                <w:noProof/>
              </w:rPr>
              <w:t>Drug class and therapeutic indication</w:t>
            </w:r>
            <w:r>
              <w:rPr>
                <w:noProof/>
                <w:webHidden/>
              </w:rPr>
              <w:tab/>
            </w:r>
            <w:r>
              <w:rPr>
                <w:noProof/>
                <w:webHidden/>
              </w:rPr>
              <w:fldChar w:fldCharType="begin"/>
            </w:r>
            <w:r>
              <w:rPr>
                <w:noProof/>
                <w:webHidden/>
              </w:rPr>
              <w:instrText xml:space="preserve"> PAGEREF _Toc475616198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199" w:history="1">
            <w:r w:rsidRPr="00317915">
              <w:rPr>
                <w:rStyle w:val="Hyperlink"/>
                <w:noProof/>
              </w:rPr>
              <w:t>1.3.</w:t>
            </w:r>
            <w:r>
              <w:rPr>
                <w:rFonts w:asciiTheme="minorHAnsi" w:eastAsiaTheme="minorEastAsia" w:hAnsiTheme="minorHAnsi" w:cstheme="minorBidi"/>
                <w:noProof/>
                <w:lang w:eastAsia="en-AU"/>
              </w:rPr>
              <w:tab/>
            </w:r>
            <w:r w:rsidRPr="00317915">
              <w:rPr>
                <w:rStyle w:val="Hyperlink"/>
                <w:noProof/>
              </w:rPr>
              <w:t>Dosage forms and strengths</w:t>
            </w:r>
            <w:r>
              <w:rPr>
                <w:noProof/>
                <w:webHidden/>
              </w:rPr>
              <w:tab/>
            </w:r>
            <w:r>
              <w:rPr>
                <w:noProof/>
                <w:webHidden/>
              </w:rPr>
              <w:fldChar w:fldCharType="begin"/>
            </w:r>
            <w:r>
              <w:rPr>
                <w:noProof/>
                <w:webHidden/>
              </w:rPr>
              <w:instrText xml:space="preserve"> PAGEREF _Toc475616199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0" w:history="1">
            <w:r w:rsidRPr="00317915">
              <w:rPr>
                <w:rStyle w:val="Hyperlink"/>
                <w:noProof/>
              </w:rPr>
              <w:t>1.4.</w:t>
            </w:r>
            <w:r>
              <w:rPr>
                <w:rFonts w:asciiTheme="minorHAnsi" w:eastAsiaTheme="minorEastAsia" w:hAnsiTheme="minorHAnsi" w:cstheme="minorBidi"/>
                <w:noProof/>
                <w:lang w:eastAsia="en-AU"/>
              </w:rPr>
              <w:tab/>
            </w:r>
            <w:r w:rsidRPr="00317915">
              <w:rPr>
                <w:rStyle w:val="Hyperlink"/>
                <w:noProof/>
              </w:rPr>
              <w:t>Dosage and administration</w:t>
            </w:r>
            <w:r>
              <w:rPr>
                <w:noProof/>
                <w:webHidden/>
              </w:rPr>
              <w:tab/>
            </w:r>
            <w:r>
              <w:rPr>
                <w:noProof/>
                <w:webHidden/>
              </w:rPr>
              <w:fldChar w:fldCharType="begin"/>
            </w:r>
            <w:r>
              <w:rPr>
                <w:noProof/>
                <w:webHidden/>
              </w:rPr>
              <w:instrText xml:space="preserve"> PAGEREF _Toc475616200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01" w:history="1">
            <w:r w:rsidRPr="00317915">
              <w:rPr>
                <w:rStyle w:val="Hyperlink"/>
                <w:noProof/>
              </w:rPr>
              <w:t>2.</w:t>
            </w:r>
            <w:r>
              <w:rPr>
                <w:rFonts w:asciiTheme="minorHAnsi" w:eastAsiaTheme="minorEastAsia" w:hAnsiTheme="minorHAnsi" w:cstheme="minorBidi"/>
                <w:b w:val="0"/>
                <w:noProof/>
                <w:sz w:val="22"/>
                <w:lang w:eastAsia="en-AU"/>
              </w:rPr>
              <w:tab/>
            </w:r>
            <w:r w:rsidRPr="00317915">
              <w:rPr>
                <w:rStyle w:val="Hyperlink"/>
                <w:noProof/>
              </w:rPr>
              <w:t>Clinical rationale</w:t>
            </w:r>
            <w:r>
              <w:rPr>
                <w:noProof/>
                <w:webHidden/>
              </w:rPr>
              <w:tab/>
            </w:r>
            <w:r>
              <w:rPr>
                <w:noProof/>
                <w:webHidden/>
              </w:rPr>
              <w:fldChar w:fldCharType="begin"/>
            </w:r>
            <w:r>
              <w:rPr>
                <w:noProof/>
                <w:webHidden/>
              </w:rPr>
              <w:instrText xml:space="preserve"> PAGEREF _Toc475616201 \h </w:instrText>
            </w:r>
            <w:r>
              <w:rPr>
                <w:noProof/>
                <w:webHidden/>
              </w:rPr>
            </w:r>
            <w:r>
              <w:rPr>
                <w:noProof/>
                <w:webHidden/>
              </w:rPr>
              <w:fldChar w:fldCharType="separate"/>
            </w:r>
            <w:r>
              <w:rPr>
                <w:noProof/>
                <w:webHidden/>
              </w:rPr>
              <w:t>7</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02" w:history="1">
            <w:r w:rsidRPr="00317915">
              <w:rPr>
                <w:rStyle w:val="Hyperlink"/>
                <w:noProof/>
                <w:lang w:eastAsia="en-AU"/>
              </w:rPr>
              <w:t>3.</w:t>
            </w:r>
            <w:r>
              <w:rPr>
                <w:rFonts w:asciiTheme="minorHAnsi" w:eastAsiaTheme="minorEastAsia" w:hAnsiTheme="minorHAnsi" w:cstheme="minorBidi"/>
                <w:b w:val="0"/>
                <w:noProof/>
                <w:sz w:val="22"/>
                <w:lang w:eastAsia="en-AU"/>
              </w:rPr>
              <w:tab/>
            </w:r>
            <w:r w:rsidRPr="0031791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_Toc475616202 \h </w:instrText>
            </w:r>
            <w:r>
              <w:rPr>
                <w:noProof/>
                <w:webHidden/>
              </w:rPr>
            </w:r>
            <w:r>
              <w:rPr>
                <w:noProof/>
                <w:webHidden/>
              </w:rPr>
              <w:fldChar w:fldCharType="separate"/>
            </w:r>
            <w:r>
              <w:rPr>
                <w:noProof/>
                <w:webHidden/>
              </w:rPr>
              <w:t>8</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3" w:history="1">
            <w:r w:rsidRPr="00317915">
              <w:rPr>
                <w:rStyle w:val="Hyperlink"/>
                <w:noProof/>
              </w:rPr>
              <w:t>3.1.</w:t>
            </w:r>
            <w:r>
              <w:rPr>
                <w:rFonts w:asciiTheme="minorHAnsi" w:eastAsiaTheme="minorEastAsia" w:hAnsiTheme="minorHAnsi" w:cstheme="minorBidi"/>
                <w:noProof/>
                <w:lang w:eastAsia="en-AU"/>
              </w:rPr>
              <w:tab/>
            </w:r>
            <w:r w:rsidRPr="00317915">
              <w:rPr>
                <w:rStyle w:val="Hyperlink"/>
                <w:noProof/>
              </w:rPr>
              <w:t>Scope of the clinical dossier</w:t>
            </w:r>
            <w:r>
              <w:rPr>
                <w:noProof/>
                <w:webHidden/>
              </w:rPr>
              <w:tab/>
            </w:r>
            <w:r>
              <w:rPr>
                <w:noProof/>
                <w:webHidden/>
              </w:rPr>
              <w:fldChar w:fldCharType="begin"/>
            </w:r>
            <w:r>
              <w:rPr>
                <w:noProof/>
                <w:webHidden/>
              </w:rPr>
              <w:instrText xml:space="preserve"> PAGEREF _Toc475616203 \h </w:instrText>
            </w:r>
            <w:r>
              <w:rPr>
                <w:noProof/>
                <w:webHidden/>
              </w:rPr>
            </w:r>
            <w:r>
              <w:rPr>
                <w:noProof/>
                <w:webHidden/>
              </w:rPr>
              <w:fldChar w:fldCharType="separate"/>
            </w:r>
            <w:r>
              <w:rPr>
                <w:noProof/>
                <w:webHidden/>
              </w:rPr>
              <w:t>8</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4" w:history="1">
            <w:r w:rsidRPr="00317915">
              <w:rPr>
                <w:rStyle w:val="Hyperlink"/>
                <w:noProof/>
              </w:rPr>
              <w:t>3.2.</w:t>
            </w:r>
            <w:r>
              <w:rPr>
                <w:rFonts w:asciiTheme="minorHAnsi" w:eastAsiaTheme="minorEastAsia" w:hAnsiTheme="minorHAnsi" w:cstheme="minorBidi"/>
                <w:noProof/>
                <w:lang w:eastAsia="en-AU"/>
              </w:rPr>
              <w:tab/>
            </w:r>
            <w:r w:rsidRPr="00317915">
              <w:rPr>
                <w:rStyle w:val="Hyperlink"/>
                <w:noProof/>
              </w:rPr>
              <w:t>Paediatric data</w:t>
            </w:r>
            <w:r>
              <w:rPr>
                <w:noProof/>
                <w:webHidden/>
              </w:rPr>
              <w:tab/>
            </w:r>
            <w:r>
              <w:rPr>
                <w:noProof/>
                <w:webHidden/>
              </w:rPr>
              <w:fldChar w:fldCharType="begin"/>
            </w:r>
            <w:r>
              <w:rPr>
                <w:noProof/>
                <w:webHidden/>
              </w:rPr>
              <w:instrText xml:space="preserve"> PAGEREF _Toc475616204 \h </w:instrText>
            </w:r>
            <w:r>
              <w:rPr>
                <w:noProof/>
                <w:webHidden/>
              </w:rPr>
            </w:r>
            <w:r>
              <w:rPr>
                <w:noProof/>
                <w:webHidden/>
              </w:rPr>
              <w:fldChar w:fldCharType="separate"/>
            </w:r>
            <w:r>
              <w:rPr>
                <w:noProof/>
                <w:webHidden/>
              </w:rPr>
              <w:t>10</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5" w:history="1">
            <w:r w:rsidRPr="00317915">
              <w:rPr>
                <w:rStyle w:val="Hyperlink"/>
                <w:noProof/>
              </w:rPr>
              <w:t>3.3.</w:t>
            </w:r>
            <w:r>
              <w:rPr>
                <w:rFonts w:asciiTheme="minorHAnsi" w:eastAsiaTheme="minorEastAsia" w:hAnsiTheme="minorHAnsi" w:cstheme="minorBidi"/>
                <w:noProof/>
                <w:lang w:eastAsia="en-AU"/>
              </w:rPr>
              <w:tab/>
            </w:r>
            <w:r w:rsidRPr="00317915">
              <w:rPr>
                <w:rStyle w:val="Hyperlink"/>
                <w:noProof/>
              </w:rPr>
              <w:t>Good clinical practice</w:t>
            </w:r>
            <w:r>
              <w:rPr>
                <w:noProof/>
                <w:webHidden/>
              </w:rPr>
              <w:tab/>
            </w:r>
            <w:r>
              <w:rPr>
                <w:noProof/>
                <w:webHidden/>
              </w:rPr>
              <w:fldChar w:fldCharType="begin"/>
            </w:r>
            <w:r>
              <w:rPr>
                <w:noProof/>
                <w:webHidden/>
              </w:rPr>
              <w:instrText xml:space="preserve"> PAGEREF _Toc475616205 \h </w:instrText>
            </w:r>
            <w:r>
              <w:rPr>
                <w:noProof/>
                <w:webHidden/>
              </w:rPr>
            </w:r>
            <w:r>
              <w:rPr>
                <w:noProof/>
                <w:webHidden/>
              </w:rPr>
              <w:fldChar w:fldCharType="separate"/>
            </w:r>
            <w:r>
              <w:rPr>
                <w:noProof/>
                <w:webHidden/>
              </w:rPr>
              <w:t>10</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06" w:history="1">
            <w:r w:rsidRPr="00317915">
              <w:rPr>
                <w:rStyle w:val="Hyperlink"/>
                <w:noProof/>
              </w:rPr>
              <w:t>4.</w:t>
            </w:r>
            <w:r>
              <w:rPr>
                <w:rFonts w:asciiTheme="minorHAnsi" w:eastAsiaTheme="minorEastAsia" w:hAnsiTheme="minorHAnsi" w:cstheme="minorBidi"/>
                <w:b w:val="0"/>
                <w:noProof/>
                <w:sz w:val="22"/>
                <w:lang w:eastAsia="en-AU"/>
              </w:rPr>
              <w:tab/>
            </w:r>
            <w:r w:rsidRPr="00317915">
              <w:rPr>
                <w:rStyle w:val="Hyperlink"/>
                <w:noProof/>
              </w:rPr>
              <w:t>Pharmacokinetics</w:t>
            </w:r>
            <w:r>
              <w:rPr>
                <w:noProof/>
                <w:webHidden/>
              </w:rPr>
              <w:tab/>
            </w:r>
            <w:r>
              <w:rPr>
                <w:noProof/>
                <w:webHidden/>
              </w:rPr>
              <w:fldChar w:fldCharType="begin"/>
            </w:r>
            <w:r>
              <w:rPr>
                <w:noProof/>
                <w:webHidden/>
              </w:rPr>
              <w:instrText xml:space="preserve"> PAGEREF _Toc475616206 \h </w:instrText>
            </w:r>
            <w:r>
              <w:rPr>
                <w:noProof/>
                <w:webHidden/>
              </w:rPr>
            </w:r>
            <w:r>
              <w:rPr>
                <w:noProof/>
                <w:webHidden/>
              </w:rPr>
              <w:fldChar w:fldCharType="separate"/>
            </w:r>
            <w:r>
              <w:rPr>
                <w:noProof/>
                <w:webHidden/>
              </w:rPr>
              <w:t>10</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7" w:history="1">
            <w:r w:rsidRPr="00317915">
              <w:rPr>
                <w:rStyle w:val="Hyperlink"/>
                <w:noProof/>
              </w:rPr>
              <w:t>4.1.</w:t>
            </w:r>
            <w:r>
              <w:rPr>
                <w:rFonts w:asciiTheme="minorHAnsi" w:eastAsiaTheme="minorEastAsia" w:hAnsiTheme="minorHAnsi" w:cstheme="minorBidi"/>
                <w:noProof/>
                <w:lang w:eastAsia="en-AU"/>
              </w:rPr>
              <w:tab/>
            </w:r>
            <w:r w:rsidRPr="00317915">
              <w:rPr>
                <w:rStyle w:val="Hyperlink"/>
                <w:noProof/>
              </w:rPr>
              <w:t>Studies providing pharmacokinetic data</w:t>
            </w:r>
            <w:r>
              <w:rPr>
                <w:noProof/>
                <w:webHidden/>
              </w:rPr>
              <w:tab/>
            </w:r>
            <w:r>
              <w:rPr>
                <w:noProof/>
                <w:webHidden/>
              </w:rPr>
              <w:fldChar w:fldCharType="begin"/>
            </w:r>
            <w:r>
              <w:rPr>
                <w:noProof/>
                <w:webHidden/>
              </w:rPr>
              <w:instrText xml:space="preserve"> PAGEREF _Toc475616207 \h </w:instrText>
            </w:r>
            <w:r>
              <w:rPr>
                <w:noProof/>
                <w:webHidden/>
              </w:rPr>
            </w:r>
            <w:r>
              <w:rPr>
                <w:noProof/>
                <w:webHidden/>
              </w:rPr>
              <w:fldChar w:fldCharType="separate"/>
            </w:r>
            <w:r>
              <w:rPr>
                <w:noProof/>
                <w:webHidden/>
              </w:rPr>
              <w:t>10</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8" w:history="1">
            <w:r w:rsidRPr="00317915">
              <w:rPr>
                <w:rStyle w:val="Hyperlink"/>
                <w:noProof/>
              </w:rPr>
              <w:t>4.2.</w:t>
            </w:r>
            <w:r>
              <w:rPr>
                <w:rFonts w:asciiTheme="minorHAnsi" w:eastAsiaTheme="minorEastAsia" w:hAnsiTheme="minorHAnsi" w:cstheme="minorBidi"/>
                <w:noProof/>
                <w:lang w:eastAsia="en-AU"/>
              </w:rPr>
              <w:tab/>
            </w:r>
            <w:r w:rsidRPr="00317915">
              <w:rPr>
                <w:rStyle w:val="Hyperlink"/>
                <w:noProof/>
              </w:rPr>
              <w:t>Overall Summary of pharmacokinetics</w:t>
            </w:r>
            <w:r>
              <w:rPr>
                <w:noProof/>
                <w:webHidden/>
              </w:rPr>
              <w:tab/>
            </w:r>
            <w:r>
              <w:rPr>
                <w:noProof/>
                <w:webHidden/>
              </w:rPr>
              <w:fldChar w:fldCharType="begin"/>
            </w:r>
            <w:r>
              <w:rPr>
                <w:noProof/>
                <w:webHidden/>
              </w:rPr>
              <w:instrText xml:space="preserve"> PAGEREF _Toc475616208 \h </w:instrText>
            </w:r>
            <w:r>
              <w:rPr>
                <w:noProof/>
                <w:webHidden/>
              </w:rPr>
            </w:r>
            <w:r>
              <w:rPr>
                <w:noProof/>
                <w:webHidden/>
              </w:rPr>
              <w:fldChar w:fldCharType="separate"/>
            </w:r>
            <w:r>
              <w:rPr>
                <w:noProof/>
                <w:webHidden/>
              </w:rPr>
              <w:t>12</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09" w:history="1">
            <w:r w:rsidRPr="00317915">
              <w:rPr>
                <w:rStyle w:val="Hyperlink"/>
                <w:noProof/>
              </w:rPr>
              <w:t>4.3.</w:t>
            </w:r>
            <w:r>
              <w:rPr>
                <w:rFonts w:asciiTheme="minorHAnsi" w:eastAsiaTheme="minorEastAsia" w:hAnsiTheme="minorHAnsi" w:cstheme="minorBidi"/>
                <w:noProof/>
                <w:lang w:eastAsia="en-AU"/>
              </w:rPr>
              <w:tab/>
            </w:r>
            <w:r w:rsidRPr="00317915">
              <w:rPr>
                <w:rStyle w:val="Hyperlink"/>
                <w:noProof/>
              </w:rPr>
              <w:t>Summary of pharmacokinetic studies</w:t>
            </w:r>
            <w:r>
              <w:rPr>
                <w:noProof/>
                <w:webHidden/>
              </w:rPr>
              <w:tab/>
            </w:r>
            <w:r>
              <w:rPr>
                <w:noProof/>
                <w:webHidden/>
              </w:rPr>
              <w:fldChar w:fldCharType="begin"/>
            </w:r>
            <w:r>
              <w:rPr>
                <w:noProof/>
                <w:webHidden/>
              </w:rPr>
              <w:instrText xml:space="preserve"> PAGEREF _Toc475616209 \h </w:instrText>
            </w:r>
            <w:r>
              <w:rPr>
                <w:noProof/>
                <w:webHidden/>
              </w:rPr>
            </w:r>
            <w:r>
              <w:rPr>
                <w:noProof/>
                <w:webHidden/>
              </w:rPr>
              <w:fldChar w:fldCharType="separate"/>
            </w:r>
            <w:r>
              <w:rPr>
                <w:noProof/>
                <w:webHidden/>
              </w:rPr>
              <w:t>13</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0" w:history="1">
            <w:r w:rsidRPr="00317915">
              <w:rPr>
                <w:rStyle w:val="Hyperlink"/>
                <w:noProof/>
              </w:rPr>
              <w:t>4.4.</w:t>
            </w:r>
            <w:r>
              <w:rPr>
                <w:rFonts w:asciiTheme="minorHAnsi" w:eastAsiaTheme="minorEastAsia" w:hAnsiTheme="minorHAnsi" w:cstheme="minorBidi"/>
                <w:noProof/>
                <w:lang w:eastAsia="en-AU"/>
              </w:rPr>
              <w:tab/>
            </w:r>
            <w:r w:rsidRPr="00317915">
              <w:rPr>
                <w:rStyle w:val="Hyperlink"/>
                <w:noProof/>
              </w:rPr>
              <w:t>Pharmacokinetics in the target population</w:t>
            </w:r>
            <w:r>
              <w:rPr>
                <w:noProof/>
                <w:webHidden/>
              </w:rPr>
              <w:tab/>
            </w:r>
            <w:r>
              <w:rPr>
                <w:noProof/>
                <w:webHidden/>
              </w:rPr>
              <w:fldChar w:fldCharType="begin"/>
            </w:r>
            <w:r>
              <w:rPr>
                <w:noProof/>
                <w:webHidden/>
              </w:rPr>
              <w:instrText xml:space="preserve"> PAGEREF _Toc475616210 \h </w:instrText>
            </w:r>
            <w:r>
              <w:rPr>
                <w:noProof/>
                <w:webHidden/>
              </w:rPr>
            </w:r>
            <w:r>
              <w:rPr>
                <w:noProof/>
                <w:webHidden/>
              </w:rPr>
              <w:fldChar w:fldCharType="separate"/>
            </w:r>
            <w:r>
              <w:rPr>
                <w:noProof/>
                <w:webHidden/>
              </w:rPr>
              <w:t>27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1" w:history="1">
            <w:r w:rsidRPr="00317915">
              <w:rPr>
                <w:rStyle w:val="Hyperlink"/>
                <w:noProof/>
              </w:rPr>
              <w:t>4.5.</w:t>
            </w:r>
            <w:r>
              <w:rPr>
                <w:rFonts w:asciiTheme="minorHAnsi" w:eastAsiaTheme="minorEastAsia" w:hAnsiTheme="minorHAnsi" w:cstheme="minorBidi"/>
                <w:noProof/>
                <w:lang w:eastAsia="en-AU"/>
              </w:rPr>
              <w:tab/>
            </w:r>
            <w:r w:rsidRPr="00317915">
              <w:rPr>
                <w:rStyle w:val="Hyperlink"/>
                <w:noProof/>
              </w:rPr>
              <w:t>Evaluator’s overall conclusions on pharmacokinetics</w:t>
            </w:r>
            <w:r>
              <w:rPr>
                <w:noProof/>
                <w:webHidden/>
              </w:rPr>
              <w:tab/>
            </w:r>
            <w:r>
              <w:rPr>
                <w:noProof/>
                <w:webHidden/>
              </w:rPr>
              <w:fldChar w:fldCharType="begin"/>
            </w:r>
            <w:r>
              <w:rPr>
                <w:noProof/>
                <w:webHidden/>
              </w:rPr>
              <w:instrText xml:space="preserve"> PAGEREF _Toc475616211 \h </w:instrText>
            </w:r>
            <w:r>
              <w:rPr>
                <w:noProof/>
                <w:webHidden/>
              </w:rPr>
            </w:r>
            <w:r>
              <w:rPr>
                <w:noProof/>
                <w:webHidden/>
              </w:rPr>
              <w:fldChar w:fldCharType="separate"/>
            </w:r>
            <w:r>
              <w:rPr>
                <w:noProof/>
                <w:webHidden/>
              </w:rPr>
              <w:t>33</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12" w:history="1">
            <w:r w:rsidRPr="00317915">
              <w:rPr>
                <w:rStyle w:val="Hyperlink"/>
                <w:noProof/>
              </w:rPr>
              <w:t>5.</w:t>
            </w:r>
            <w:r>
              <w:rPr>
                <w:rFonts w:asciiTheme="minorHAnsi" w:eastAsiaTheme="minorEastAsia" w:hAnsiTheme="minorHAnsi" w:cstheme="minorBidi"/>
                <w:b w:val="0"/>
                <w:noProof/>
                <w:sz w:val="22"/>
                <w:lang w:eastAsia="en-AU"/>
              </w:rPr>
              <w:tab/>
            </w:r>
            <w:r w:rsidRPr="00317915">
              <w:rPr>
                <w:rStyle w:val="Hyperlink"/>
                <w:noProof/>
              </w:rPr>
              <w:t>Pharmacodynamics</w:t>
            </w:r>
            <w:r>
              <w:rPr>
                <w:noProof/>
                <w:webHidden/>
              </w:rPr>
              <w:tab/>
            </w:r>
            <w:r>
              <w:rPr>
                <w:noProof/>
                <w:webHidden/>
              </w:rPr>
              <w:fldChar w:fldCharType="begin"/>
            </w:r>
            <w:r>
              <w:rPr>
                <w:noProof/>
                <w:webHidden/>
              </w:rPr>
              <w:instrText xml:space="preserve"> PAGEREF _Toc475616212 \h </w:instrText>
            </w:r>
            <w:r>
              <w:rPr>
                <w:noProof/>
                <w:webHidden/>
              </w:rPr>
            </w:r>
            <w:r>
              <w:rPr>
                <w:noProof/>
                <w:webHidden/>
              </w:rPr>
              <w:fldChar w:fldCharType="separate"/>
            </w:r>
            <w:r>
              <w:rPr>
                <w:noProof/>
                <w:webHidden/>
              </w:rPr>
              <w:t>34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3" w:history="1">
            <w:r w:rsidRPr="00317915">
              <w:rPr>
                <w:rStyle w:val="Hyperlink"/>
                <w:noProof/>
              </w:rPr>
              <w:t>5.1.</w:t>
            </w:r>
            <w:r>
              <w:rPr>
                <w:rFonts w:asciiTheme="minorHAnsi" w:eastAsiaTheme="minorEastAsia" w:hAnsiTheme="minorHAnsi" w:cstheme="minorBidi"/>
                <w:noProof/>
                <w:lang w:eastAsia="en-AU"/>
              </w:rPr>
              <w:tab/>
            </w:r>
            <w:r w:rsidRPr="00317915">
              <w:rPr>
                <w:rStyle w:val="Hyperlink"/>
                <w:noProof/>
              </w:rPr>
              <w:t>Studies providing pharmacodynamic data</w:t>
            </w:r>
            <w:r>
              <w:rPr>
                <w:noProof/>
                <w:webHidden/>
              </w:rPr>
              <w:tab/>
            </w:r>
            <w:r>
              <w:rPr>
                <w:noProof/>
                <w:webHidden/>
              </w:rPr>
              <w:fldChar w:fldCharType="begin"/>
            </w:r>
            <w:r>
              <w:rPr>
                <w:noProof/>
                <w:webHidden/>
              </w:rPr>
              <w:instrText xml:space="preserve"> PAGEREF _Toc475616213 \h </w:instrText>
            </w:r>
            <w:r>
              <w:rPr>
                <w:noProof/>
                <w:webHidden/>
              </w:rPr>
            </w:r>
            <w:r>
              <w:rPr>
                <w:noProof/>
                <w:webHidden/>
              </w:rPr>
              <w:fldChar w:fldCharType="separate"/>
            </w:r>
            <w:r>
              <w:rPr>
                <w:noProof/>
                <w:webHidden/>
              </w:rPr>
              <w:t>34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4" w:history="1">
            <w:r w:rsidRPr="00317915">
              <w:rPr>
                <w:rStyle w:val="Hyperlink"/>
                <w:noProof/>
              </w:rPr>
              <w:t>5.2.</w:t>
            </w:r>
            <w:r>
              <w:rPr>
                <w:rFonts w:asciiTheme="minorHAnsi" w:eastAsiaTheme="minorEastAsia" w:hAnsiTheme="minorHAnsi" w:cstheme="minorBidi"/>
                <w:noProof/>
                <w:lang w:eastAsia="en-AU"/>
              </w:rPr>
              <w:tab/>
            </w:r>
            <w:r w:rsidRPr="00317915">
              <w:rPr>
                <w:rStyle w:val="Hyperlink"/>
                <w:noProof/>
              </w:rPr>
              <w:t>Summary of pharmacodynamics</w:t>
            </w:r>
            <w:r>
              <w:rPr>
                <w:noProof/>
                <w:webHidden/>
              </w:rPr>
              <w:tab/>
            </w:r>
            <w:r>
              <w:rPr>
                <w:noProof/>
                <w:webHidden/>
              </w:rPr>
              <w:fldChar w:fldCharType="begin"/>
            </w:r>
            <w:r>
              <w:rPr>
                <w:noProof/>
                <w:webHidden/>
              </w:rPr>
              <w:instrText xml:space="preserve"> PAGEREF _Toc475616214 \h </w:instrText>
            </w:r>
            <w:r>
              <w:rPr>
                <w:noProof/>
                <w:webHidden/>
              </w:rPr>
            </w:r>
            <w:r>
              <w:rPr>
                <w:noProof/>
                <w:webHidden/>
              </w:rPr>
              <w:fldChar w:fldCharType="separate"/>
            </w:r>
            <w:r>
              <w:rPr>
                <w:noProof/>
                <w:webHidden/>
              </w:rPr>
              <w:t>34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5" w:history="1">
            <w:r w:rsidRPr="00317915">
              <w:rPr>
                <w:rStyle w:val="Hyperlink"/>
                <w:noProof/>
              </w:rPr>
              <w:t>5.3.</w:t>
            </w:r>
            <w:r>
              <w:rPr>
                <w:rFonts w:asciiTheme="minorHAnsi" w:eastAsiaTheme="minorEastAsia" w:hAnsiTheme="minorHAnsi" w:cstheme="minorBidi"/>
                <w:noProof/>
                <w:lang w:eastAsia="en-AU"/>
              </w:rPr>
              <w:tab/>
            </w:r>
            <w:r w:rsidRPr="00317915">
              <w:rPr>
                <w:rStyle w:val="Hyperlink"/>
                <w:noProof/>
              </w:rPr>
              <w:t>Evaluator’s overall conclusions on pharmacodynamics</w:t>
            </w:r>
            <w:r>
              <w:rPr>
                <w:noProof/>
                <w:webHidden/>
              </w:rPr>
              <w:tab/>
            </w:r>
            <w:r>
              <w:rPr>
                <w:noProof/>
                <w:webHidden/>
              </w:rPr>
              <w:fldChar w:fldCharType="begin"/>
            </w:r>
            <w:r>
              <w:rPr>
                <w:noProof/>
                <w:webHidden/>
              </w:rPr>
              <w:instrText xml:space="preserve"> PAGEREF _Toc475616215 \h </w:instrText>
            </w:r>
            <w:r>
              <w:rPr>
                <w:noProof/>
                <w:webHidden/>
              </w:rPr>
            </w:r>
            <w:r>
              <w:rPr>
                <w:noProof/>
                <w:webHidden/>
              </w:rPr>
              <w:fldChar w:fldCharType="separate"/>
            </w:r>
            <w:r>
              <w:rPr>
                <w:noProof/>
                <w:webHidden/>
              </w:rPr>
              <w:t>37</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6" w:history="1">
            <w:r w:rsidRPr="00317915">
              <w:rPr>
                <w:rStyle w:val="Hyperlink"/>
                <w:noProof/>
              </w:rPr>
              <w:t>5.4.</w:t>
            </w:r>
            <w:r>
              <w:rPr>
                <w:rFonts w:asciiTheme="minorHAnsi" w:eastAsiaTheme="minorEastAsia" w:hAnsiTheme="minorHAnsi" w:cstheme="minorBidi"/>
                <w:noProof/>
                <w:lang w:eastAsia="en-AU"/>
              </w:rPr>
              <w:tab/>
            </w:r>
            <w:r w:rsidRPr="00317915">
              <w:rPr>
                <w:rStyle w:val="Hyperlink"/>
                <w:noProof/>
              </w:rPr>
              <w:t>Population Pharmacokinetic report</w:t>
            </w:r>
            <w:r>
              <w:rPr>
                <w:noProof/>
                <w:webHidden/>
              </w:rPr>
              <w:tab/>
            </w:r>
            <w:r>
              <w:rPr>
                <w:noProof/>
                <w:webHidden/>
              </w:rPr>
              <w:fldChar w:fldCharType="begin"/>
            </w:r>
            <w:r>
              <w:rPr>
                <w:noProof/>
                <w:webHidden/>
              </w:rPr>
              <w:instrText xml:space="preserve"> PAGEREF _Toc475616216 \h </w:instrText>
            </w:r>
            <w:r>
              <w:rPr>
                <w:noProof/>
                <w:webHidden/>
              </w:rPr>
            </w:r>
            <w:r>
              <w:rPr>
                <w:noProof/>
                <w:webHidden/>
              </w:rPr>
              <w:fldChar w:fldCharType="separate"/>
            </w:r>
            <w:r>
              <w:rPr>
                <w:noProof/>
                <w:webHidden/>
              </w:rPr>
              <w:t>37</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17" w:history="1">
            <w:r w:rsidRPr="00317915">
              <w:rPr>
                <w:rStyle w:val="Hyperlink"/>
                <w:noProof/>
              </w:rPr>
              <w:t>6.</w:t>
            </w:r>
            <w:r>
              <w:rPr>
                <w:rFonts w:asciiTheme="minorHAnsi" w:eastAsiaTheme="minorEastAsia" w:hAnsiTheme="minorHAnsi" w:cstheme="minorBidi"/>
                <w:b w:val="0"/>
                <w:noProof/>
                <w:sz w:val="22"/>
                <w:lang w:eastAsia="en-AU"/>
              </w:rPr>
              <w:tab/>
            </w:r>
            <w:r w:rsidRPr="00317915">
              <w:rPr>
                <w:rStyle w:val="Hyperlink"/>
                <w:noProof/>
              </w:rPr>
              <w:t>Dosage selection for the pivotal studies</w:t>
            </w:r>
            <w:r>
              <w:rPr>
                <w:noProof/>
                <w:webHidden/>
              </w:rPr>
              <w:tab/>
            </w:r>
            <w:r>
              <w:rPr>
                <w:noProof/>
                <w:webHidden/>
              </w:rPr>
              <w:fldChar w:fldCharType="begin"/>
            </w:r>
            <w:r>
              <w:rPr>
                <w:noProof/>
                <w:webHidden/>
              </w:rPr>
              <w:instrText xml:space="preserve"> PAGEREF _Toc475616217 \h </w:instrText>
            </w:r>
            <w:r>
              <w:rPr>
                <w:noProof/>
                <w:webHidden/>
              </w:rPr>
            </w:r>
            <w:r>
              <w:rPr>
                <w:noProof/>
                <w:webHidden/>
              </w:rPr>
              <w:fldChar w:fldCharType="separate"/>
            </w:r>
            <w:r>
              <w:rPr>
                <w:noProof/>
                <w:webHidden/>
              </w:rPr>
              <w:t>51</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18" w:history="1">
            <w:r w:rsidRPr="00317915">
              <w:rPr>
                <w:rStyle w:val="Hyperlink"/>
                <w:noProof/>
              </w:rPr>
              <w:t>6.1.</w:t>
            </w:r>
            <w:r>
              <w:rPr>
                <w:rFonts w:asciiTheme="minorHAnsi" w:eastAsiaTheme="minorEastAsia" w:hAnsiTheme="minorHAnsi" w:cstheme="minorBidi"/>
                <w:noProof/>
                <w:lang w:eastAsia="en-AU"/>
              </w:rPr>
              <w:tab/>
            </w:r>
            <w:r w:rsidRPr="00317915">
              <w:rPr>
                <w:rStyle w:val="Hyperlink"/>
                <w:noProof/>
              </w:rPr>
              <w:t>Comments regarding the dosage selection for the current application</w:t>
            </w:r>
            <w:r>
              <w:rPr>
                <w:noProof/>
                <w:webHidden/>
              </w:rPr>
              <w:tab/>
            </w:r>
            <w:r>
              <w:rPr>
                <w:noProof/>
                <w:webHidden/>
              </w:rPr>
              <w:fldChar w:fldCharType="begin"/>
            </w:r>
            <w:r>
              <w:rPr>
                <w:noProof/>
                <w:webHidden/>
              </w:rPr>
              <w:instrText xml:space="preserve"> PAGEREF _Toc475616218 \h </w:instrText>
            </w:r>
            <w:r>
              <w:rPr>
                <w:noProof/>
                <w:webHidden/>
              </w:rPr>
            </w:r>
            <w:r>
              <w:rPr>
                <w:noProof/>
                <w:webHidden/>
              </w:rPr>
              <w:fldChar w:fldCharType="separate"/>
            </w:r>
            <w:r>
              <w:rPr>
                <w:noProof/>
                <w:webHidden/>
              </w:rPr>
              <w:t>52</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19" w:history="1">
            <w:r w:rsidRPr="00317915">
              <w:rPr>
                <w:rStyle w:val="Hyperlink"/>
                <w:noProof/>
              </w:rPr>
              <w:t>7.</w:t>
            </w:r>
            <w:r>
              <w:rPr>
                <w:rFonts w:asciiTheme="minorHAnsi" w:eastAsiaTheme="minorEastAsia" w:hAnsiTheme="minorHAnsi" w:cstheme="minorBidi"/>
                <w:b w:val="0"/>
                <w:noProof/>
                <w:sz w:val="22"/>
                <w:lang w:eastAsia="en-AU"/>
              </w:rPr>
              <w:tab/>
            </w:r>
            <w:r w:rsidRPr="00317915">
              <w:rPr>
                <w:rStyle w:val="Hyperlink"/>
                <w:noProof/>
              </w:rPr>
              <w:t>Clinical efficacy</w:t>
            </w:r>
            <w:r>
              <w:rPr>
                <w:noProof/>
                <w:webHidden/>
              </w:rPr>
              <w:tab/>
            </w:r>
            <w:r>
              <w:rPr>
                <w:noProof/>
                <w:webHidden/>
              </w:rPr>
              <w:fldChar w:fldCharType="begin"/>
            </w:r>
            <w:r>
              <w:rPr>
                <w:noProof/>
                <w:webHidden/>
              </w:rPr>
              <w:instrText xml:space="preserve"> PAGEREF _Toc475616219 \h </w:instrText>
            </w:r>
            <w:r>
              <w:rPr>
                <w:noProof/>
                <w:webHidden/>
              </w:rPr>
            </w:r>
            <w:r>
              <w:rPr>
                <w:noProof/>
                <w:webHidden/>
              </w:rPr>
              <w:fldChar w:fldCharType="separate"/>
            </w:r>
            <w:r>
              <w:rPr>
                <w:noProof/>
                <w:webHidden/>
              </w:rPr>
              <w:t>55</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0" w:history="1">
            <w:r w:rsidRPr="00317915">
              <w:rPr>
                <w:rStyle w:val="Hyperlink"/>
                <w:noProof/>
              </w:rPr>
              <w:t>7.1.</w:t>
            </w:r>
            <w:r>
              <w:rPr>
                <w:rFonts w:asciiTheme="minorHAnsi" w:eastAsiaTheme="minorEastAsia" w:hAnsiTheme="minorHAnsi" w:cstheme="minorBidi"/>
                <w:noProof/>
                <w:lang w:eastAsia="en-AU"/>
              </w:rPr>
              <w:tab/>
            </w:r>
            <w:r w:rsidRPr="00317915">
              <w:rPr>
                <w:rStyle w:val="Hyperlink"/>
                <w:noProof/>
              </w:rPr>
              <w:t>For overall survival benefit</w:t>
            </w:r>
            <w:r>
              <w:rPr>
                <w:noProof/>
                <w:webHidden/>
              </w:rPr>
              <w:tab/>
            </w:r>
            <w:r>
              <w:rPr>
                <w:noProof/>
                <w:webHidden/>
              </w:rPr>
              <w:fldChar w:fldCharType="begin"/>
            </w:r>
            <w:r>
              <w:rPr>
                <w:noProof/>
                <w:webHidden/>
              </w:rPr>
              <w:instrText xml:space="preserve"> PAGEREF _Toc475616220 \h </w:instrText>
            </w:r>
            <w:r>
              <w:rPr>
                <w:noProof/>
                <w:webHidden/>
              </w:rPr>
            </w:r>
            <w:r>
              <w:rPr>
                <w:noProof/>
                <w:webHidden/>
              </w:rPr>
              <w:fldChar w:fldCharType="separate"/>
            </w:r>
            <w:r>
              <w:rPr>
                <w:noProof/>
                <w:webHidden/>
              </w:rPr>
              <w:t>55</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1" w:history="1">
            <w:r w:rsidRPr="00317915">
              <w:rPr>
                <w:rStyle w:val="Hyperlink"/>
                <w:noProof/>
              </w:rPr>
              <w:t>7.2.</w:t>
            </w:r>
            <w:r>
              <w:rPr>
                <w:rFonts w:asciiTheme="minorHAnsi" w:eastAsiaTheme="minorEastAsia" w:hAnsiTheme="minorHAnsi" w:cstheme="minorBidi"/>
                <w:noProof/>
                <w:lang w:eastAsia="en-AU"/>
              </w:rPr>
              <w:tab/>
            </w:r>
            <w:r w:rsidRPr="00317915">
              <w:rPr>
                <w:rStyle w:val="Hyperlink"/>
                <w:noProof/>
              </w:rPr>
              <w:t>Other supportive studies</w:t>
            </w:r>
            <w:r>
              <w:rPr>
                <w:noProof/>
                <w:webHidden/>
              </w:rPr>
              <w:tab/>
            </w:r>
            <w:r>
              <w:rPr>
                <w:noProof/>
                <w:webHidden/>
              </w:rPr>
              <w:fldChar w:fldCharType="begin"/>
            </w:r>
            <w:r>
              <w:rPr>
                <w:noProof/>
                <w:webHidden/>
              </w:rPr>
              <w:instrText xml:space="preserve"> PAGEREF _Toc475616221 \h </w:instrText>
            </w:r>
            <w:r>
              <w:rPr>
                <w:noProof/>
                <w:webHidden/>
              </w:rPr>
            </w:r>
            <w:r>
              <w:rPr>
                <w:noProof/>
                <w:webHidden/>
              </w:rPr>
              <w:fldChar w:fldCharType="separate"/>
            </w:r>
            <w:r>
              <w:rPr>
                <w:noProof/>
                <w:webHidden/>
              </w:rPr>
              <w:t>69</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2" w:history="1">
            <w:r w:rsidRPr="00317915">
              <w:rPr>
                <w:rStyle w:val="Hyperlink"/>
                <w:noProof/>
              </w:rPr>
              <w:t>7.3.</w:t>
            </w:r>
            <w:r>
              <w:rPr>
                <w:rFonts w:asciiTheme="minorHAnsi" w:eastAsiaTheme="minorEastAsia" w:hAnsiTheme="minorHAnsi" w:cstheme="minorBidi"/>
                <w:noProof/>
                <w:lang w:eastAsia="en-AU"/>
              </w:rPr>
              <w:tab/>
            </w:r>
            <w:r w:rsidRPr="00317915">
              <w:rPr>
                <w:rStyle w:val="Hyperlink"/>
                <w:noProof/>
              </w:rPr>
              <w:t>Observational studies (interim reports)</w:t>
            </w:r>
            <w:r>
              <w:rPr>
                <w:noProof/>
                <w:webHidden/>
              </w:rPr>
              <w:tab/>
            </w:r>
            <w:r>
              <w:rPr>
                <w:noProof/>
                <w:webHidden/>
              </w:rPr>
              <w:fldChar w:fldCharType="begin"/>
            </w:r>
            <w:r>
              <w:rPr>
                <w:noProof/>
                <w:webHidden/>
              </w:rPr>
              <w:instrText xml:space="preserve"> PAGEREF _Toc475616222 \h </w:instrText>
            </w:r>
            <w:r>
              <w:rPr>
                <w:noProof/>
                <w:webHidden/>
              </w:rPr>
            </w:r>
            <w:r>
              <w:rPr>
                <w:noProof/>
                <w:webHidden/>
              </w:rPr>
              <w:fldChar w:fldCharType="separate"/>
            </w:r>
            <w:r>
              <w:rPr>
                <w:noProof/>
                <w:webHidden/>
              </w:rPr>
              <w:t>74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3" w:history="1">
            <w:r w:rsidRPr="00317915">
              <w:rPr>
                <w:rStyle w:val="Hyperlink"/>
                <w:noProof/>
              </w:rPr>
              <w:t>7.4.</w:t>
            </w:r>
            <w:r>
              <w:rPr>
                <w:rFonts w:asciiTheme="minorHAnsi" w:eastAsiaTheme="minorEastAsia" w:hAnsiTheme="minorHAnsi" w:cstheme="minorBidi"/>
                <w:noProof/>
                <w:lang w:eastAsia="en-AU"/>
              </w:rPr>
              <w:tab/>
            </w:r>
            <w:r w:rsidRPr="00317915">
              <w:rPr>
                <w:rStyle w:val="Hyperlink"/>
                <w:noProof/>
              </w:rPr>
              <w:t>Pooled analyses</w:t>
            </w:r>
            <w:r>
              <w:rPr>
                <w:noProof/>
                <w:webHidden/>
              </w:rPr>
              <w:tab/>
            </w:r>
            <w:r>
              <w:rPr>
                <w:noProof/>
                <w:webHidden/>
              </w:rPr>
              <w:fldChar w:fldCharType="begin"/>
            </w:r>
            <w:r>
              <w:rPr>
                <w:noProof/>
                <w:webHidden/>
              </w:rPr>
              <w:instrText xml:space="preserve"> PAGEREF _Toc475616223 \h </w:instrText>
            </w:r>
            <w:r>
              <w:rPr>
                <w:noProof/>
                <w:webHidden/>
              </w:rPr>
            </w:r>
            <w:r>
              <w:rPr>
                <w:noProof/>
                <w:webHidden/>
              </w:rPr>
              <w:fldChar w:fldCharType="separate"/>
            </w:r>
            <w:r>
              <w:rPr>
                <w:noProof/>
                <w:webHidden/>
              </w:rPr>
              <w:t>79</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4" w:history="1">
            <w:r w:rsidRPr="00317915">
              <w:rPr>
                <w:rStyle w:val="Hyperlink"/>
                <w:noProof/>
              </w:rPr>
              <w:t>7.5.</w:t>
            </w:r>
            <w:r>
              <w:rPr>
                <w:rFonts w:asciiTheme="minorHAnsi" w:eastAsiaTheme="minorEastAsia" w:hAnsiTheme="minorHAnsi" w:cstheme="minorBidi"/>
                <w:noProof/>
                <w:lang w:eastAsia="en-AU"/>
              </w:rPr>
              <w:tab/>
            </w:r>
            <w:r w:rsidRPr="00317915">
              <w:rPr>
                <w:rStyle w:val="Hyperlink"/>
                <w:noProof/>
              </w:rPr>
              <w:t>For overall survival benefit in patients with BRAFV600E mutation positive tumours</w:t>
            </w:r>
            <w:r>
              <w:rPr>
                <w:noProof/>
                <w:webHidden/>
              </w:rPr>
              <w:tab/>
            </w:r>
            <w:r>
              <w:rPr>
                <w:noProof/>
                <w:webHidden/>
              </w:rPr>
              <w:fldChar w:fldCharType="begin"/>
            </w:r>
            <w:r>
              <w:rPr>
                <w:noProof/>
                <w:webHidden/>
              </w:rPr>
              <w:instrText xml:space="preserve"> PAGEREF _Toc475616224 \h </w:instrText>
            </w:r>
            <w:r>
              <w:rPr>
                <w:noProof/>
                <w:webHidden/>
              </w:rPr>
            </w:r>
            <w:r>
              <w:rPr>
                <w:noProof/>
                <w:webHidden/>
              </w:rPr>
              <w:fldChar w:fldCharType="separate"/>
            </w:r>
            <w:r>
              <w:rPr>
                <w:noProof/>
                <w:webHidden/>
              </w:rPr>
              <w:t>92</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25" w:history="1">
            <w:r w:rsidRPr="00317915">
              <w:rPr>
                <w:rStyle w:val="Hyperlink"/>
                <w:noProof/>
              </w:rPr>
              <w:t>8.</w:t>
            </w:r>
            <w:r>
              <w:rPr>
                <w:rFonts w:asciiTheme="minorHAnsi" w:eastAsiaTheme="minorEastAsia" w:hAnsiTheme="minorHAnsi" w:cstheme="minorBidi"/>
                <w:b w:val="0"/>
                <w:noProof/>
                <w:sz w:val="22"/>
                <w:lang w:eastAsia="en-AU"/>
              </w:rPr>
              <w:tab/>
            </w:r>
            <w:r w:rsidRPr="00317915">
              <w:rPr>
                <w:rStyle w:val="Hyperlink"/>
                <w:noProof/>
              </w:rPr>
              <w:t>Clinical safety</w:t>
            </w:r>
            <w:r>
              <w:rPr>
                <w:noProof/>
                <w:webHidden/>
              </w:rPr>
              <w:tab/>
            </w:r>
            <w:r>
              <w:rPr>
                <w:noProof/>
                <w:webHidden/>
              </w:rPr>
              <w:fldChar w:fldCharType="begin"/>
            </w:r>
            <w:r>
              <w:rPr>
                <w:noProof/>
                <w:webHidden/>
              </w:rPr>
              <w:instrText xml:space="preserve"> PAGEREF _Toc475616225 \h </w:instrText>
            </w:r>
            <w:r>
              <w:rPr>
                <w:noProof/>
                <w:webHidden/>
              </w:rPr>
            </w:r>
            <w:r>
              <w:rPr>
                <w:noProof/>
                <w:webHidden/>
              </w:rPr>
              <w:fldChar w:fldCharType="separate"/>
            </w:r>
            <w:r>
              <w:rPr>
                <w:noProof/>
                <w:webHidden/>
              </w:rPr>
              <w:t>94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6" w:history="1">
            <w:r w:rsidRPr="00317915">
              <w:rPr>
                <w:rStyle w:val="Hyperlink"/>
                <w:noProof/>
              </w:rPr>
              <w:t>8.1.</w:t>
            </w:r>
            <w:r>
              <w:rPr>
                <w:rFonts w:asciiTheme="minorHAnsi" w:eastAsiaTheme="minorEastAsia" w:hAnsiTheme="minorHAnsi" w:cstheme="minorBidi"/>
                <w:noProof/>
                <w:lang w:eastAsia="en-AU"/>
              </w:rPr>
              <w:tab/>
            </w:r>
            <w:r w:rsidRPr="00317915">
              <w:rPr>
                <w:rStyle w:val="Hyperlink"/>
                <w:noProof/>
              </w:rPr>
              <w:t>Studies providing evaluable safety data</w:t>
            </w:r>
            <w:r>
              <w:rPr>
                <w:noProof/>
                <w:webHidden/>
              </w:rPr>
              <w:tab/>
            </w:r>
            <w:r>
              <w:rPr>
                <w:noProof/>
                <w:webHidden/>
              </w:rPr>
              <w:fldChar w:fldCharType="begin"/>
            </w:r>
            <w:r>
              <w:rPr>
                <w:noProof/>
                <w:webHidden/>
              </w:rPr>
              <w:instrText xml:space="preserve"> PAGEREF _Toc475616226 \h </w:instrText>
            </w:r>
            <w:r>
              <w:rPr>
                <w:noProof/>
                <w:webHidden/>
              </w:rPr>
            </w:r>
            <w:r>
              <w:rPr>
                <w:noProof/>
                <w:webHidden/>
              </w:rPr>
              <w:fldChar w:fldCharType="separate"/>
            </w:r>
            <w:r>
              <w:rPr>
                <w:noProof/>
                <w:webHidden/>
              </w:rPr>
              <w:t>94</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7" w:history="1">
            <w:r w:rsidRPr="00317915">
              <w:rPr>
                <w:rStyle w:val="Hyperlink"/>
                <w:noProof/>
              </w:rPr>
              <w:t>8.2.</w:t>
            </w:r>
            <w:r>
              <w:rPr>
                <w:rFonts w:asciiTheme="minorHAnsi" w:eastAsiaTheme="minorEastAsia" w:hAnsiTheme="minorHAnsi" w:cstheme="minorBidi"/>
                <w:noProof/>
                <w:lang w:eastAsia="en-AU"/>
              </w:rPr>
              <w:tab/>
            </w:r>
            <w:r w:rsidRPr="0031791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_Toc475616227 \h </w:instrText>
            </w:r>
            <w:r>
              <w:rPr>
                <w:noProof/>
                <w:webHidden/>
              </w:rPr>
            </w:r>
            <w:r>
              <w:rPr>
                <w:noProof/>
                <w:webHidden/>
              </w:rPr>
              <w:fldChar w:fldCharType="separate"/>
            </w:r>
            <w:r>
              <w:rPr>
                <w:noProof/>
                <w:webHidden/>
              </w:rPr>
              <w:t>110</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8" w:history="1">
            <w:r w:rsidRPr="00317915">
              <w:rPr>
                <w:rStyle w:val="Hyperlink"/>
                <w:noProof/>
              </w:rPr>
              <w:t>8.3.</w:t>
            </w:r>
            <w:r>
              <w:rPr>
                <w:rFonts w:asciiTheme="minorHAnsi" w:eastAsiaTheme="minorEastAsia" w:hAnsiTheme="minorHAnsi" w:cstheme="minorBidi"/>
                <w:noProof/>
                <w:lang w:eastAsia="en-AU"/>
              </w:rPr>
              <w:tab/>
            </w:r>
            <w:r w:rsidRPr="00317915">
              <w:rPr>
                <w:rStyle w:val="Hyperlink"/>
                <w:noProof/>
              </w:rPr>
              <w:t>Patient exposure</w:t>
            </w:r>
            <w:r>
              <w:rPr>
                <w:noProof/>
                <w:webHidden/>
              </w:rPr>
              <w:tab/>
            </w:r>
            <w:r>
              <w:rPr>
                <w:noProof/>
                <w:webHidden/>
              </w:rPr>
              <w:fldChar w:fldCharType="begin"/>
            </w:r>
            <w:r>
              <w:rPr>
                <w:noProof/>
                <w:webHidden/>
              </w:rPr>
              <w:instrText xml:space="preserve"> PAGEREF _Toc475616228 \h </w:instrText>
            </w:r>
            <w:r>
              <w:rPr>
                <w:noProof/>
                <w:webHidden/>
              </w:rPr>
            </w:r>
            <w:r>
              <w:rPr>
                <w:noProof/>
                <w:webHidden/>
              </w:rPr>
              <w:fldChar w:fldCharType="separate"/>
            </w:r>
            <w:r>
              <w:rPr>
                <w:noProof/>
                <w:webHidden/>
              </w:rPr>
              <w:t>110</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29" w:history="1">
            <w:r w:rsidRPr="00317915">
              <w:rPr>
                <w:rStyle w:val="Hyperlink"/>
                <w:noProof/>
              </w:rPr>
              <w:t>8.4.</w:t>
            </w:r>
            <w:r>
              <w:rPr>
                <w:rFonts w:asciiTheme="minorHAnsi" w:eastAsiaTheme="minorEastAsia" w:hAnsiTheme="minorHAnsi" w:cstheme="minorBidi"/>
                <w:noProof/>
                <w:lang w:eastAsia="en-AU"/>
              </w:rPr>
              <w:tab/>
            </w:r>
            <w:r w:rsidRPr="00317915">
              <w:rPr>
                <w:rStyle w:val="Hyperlink"/>
                <w:noProof/>
              </w:rPr>
              <w:t>Adverse events</w:t>
            </w:r>
            <w:r>
              <w:rPr>
                <w:noProof/>
                <w:webHidden/>
              </w:rPr>
              <w:tab/>
            </w:r>
            <w:r>
              <w:rPr>
                <w:noProof/>
                <w:webHidden/>
              </w:rPr>
              <w:fldChar w:fldCharType="begin"/>
            </w:r>
            <w:r>
              <w:rPr>
                <w:noProof/>
                <w:webHidden/>
              </w:rPr>
              <w:instrText xml:space="preserve"> PAGEREF _Toc475616229 \h </w:instrText>
            </w:r>
            <w:r>
              <w:rPr>
                <w:noProof/>
                <w:webHidden/>
              </w:rPr>
            </w:r>
            <w:r>
              <w:rPr>
                <w:noProof/>
                <w:webHidden/>
              </w:rPr>
              <w:fldChar w:fldCharType="separate"/>
            </w:r>
            <w:r>
              <w:rPr>
                <w:noProof/>
                <w:webHidden/>
              </w:rPr>
              <w:t>112</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0" w:history="1">
            <w:r w:rsidRPr="00317915">
              <w:rPr>
                <w:rStyle w:val="Hyperlink"/>
                <w:noProof/>
              </w:rPr>
              <w:t>8.5.</w:t>
            </w:r>
            <w:r>
              <w:rPr>
                <w:rFonts w:asciiTheme="minorHAnsi" w:eastAsiaTheme="minorEastAsia" w:hAnsiTheme="minorHAnsi" w:cstheme="minorBidi"/>
                <w:noProof/>
                <w:lang w:eastAsia="en-AU"/>
              </w:rPr>
              <w:tab/>
            </w:r>
            <w:r w:rsidRPr="00317915">
              <w:rPr>
                <w:rStyle w:val="Hyperlink"/>
                <w:noProof/>
              </w:rPr>
              <w:t>Treatment-related adverse events (adverse drug reactions)</w:t>
            </w:r>
            <w:r>
              <w:rPr>
                <w:noProof/>
                <w:webHidden/>
              </w:rPr>
              <w:tab/>
            </w:r>
            <w:r>
              <w:rPr>
                <w:noProof/>
                <w:webHidden/>
              </w:rPr>
              <w:fldChar w:fldCharType="begin"/>
            </w:r>
            <w:r>
              <w:rPr>
                <w:noProof/>
                <w:webHidden/>
              </w:rPr>
              <w:instrText xml:space="preserve"> PAGEREF _Toc475616230 \h </w:instrText>
            </w:r>
            <w:r>
              <w:rPr>
                <w:noProof/>
                <w:webHidden/>
              </w:rPr>
            </w:r>
            <w:r>
              <w:rPr>
                <w:noProof/>
                <w:webHidden/>
              </w:rPr>
              <w:fldChar w:fldCharType="separate"/>
            </w:r>
            <w:r>
              <w:rPr>
                <w:noProof/>
                <w:webHidden/>
              </w:rPr>
              <w:t>132</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1" w:history="1">
            <w:r w:rsidRPr="00317915">
              <w:rPr>
                <w:rStyle w:val="Hyperlink"/>
                <w:noProof/>
              </w:rPr>
              <w:t>8.6.</w:t>
            </w:r>
            <w:r>
              <w:rPr>
                <w:rFonts w:asciiTheme="minorHAnsi" w:eastAsiaTheme="minorEastAsia" w:hAnsiTheme="minorHAnsi" w:cstheme="minorBidi"/>
                <w:noProof/>
                <w:lang w:eastAsia="en-AU"/>
              </w:rPr>
              <w:tab/>
            </w:r>
            <w:r w:rsidRPr="00317915">
              <w:rPr>
                <w:rStyle w:val="Hyperlink"/>
                <w:noProof/>
              </w:rPr>
              <w:t>Deaths and other serious adverse event</w:t>
            </w:r>
            <w:r>
              <w:rPr>
                <w:noProof/>
                <w:webHidden/>
              </w:rPr>
              <w:tab/>
            </w:r>
            <w:r>
              <w:rPr>
                <w:noProof/>
                <w:webHidden/>
              </w:rPr>
              <w:fldChar w:fldCharType="begin"/>
            </w:r>
            <w:r>
              <w:rPr>
                <w:noProof/>
                <w:webHidden/>
              </w:rPr>
              <w:instrText xml:space="preserve"> PAGEREF _Toc475616231 \h </w:instrText>
            </w:r>
            <w:r>
              <w:rPr>
                <w:noProof/>
                <w:webHidden/>
              </w:rPr>
            </w:r>
            <w:r>
              <w:rPr>
                <w:noProof/>
                <w:webHidden/>
              </w:rPr>
              <w:fldChar w:fldCharType="separate"/>
            </w:r>
            <w:r>
              <w:rPr>
                <w:noProof/>
                <w:webHidden/>
              </w:rPr>
              <w:t>132</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2" w:history="1">
            <w:r w:rsidRPr="00317915">
              <w:rPr>
                <w:rStyle w:val="Hyperlink"/>
                <w:noProof/>
              </w:rPr>
              <w:t>8.7.</w:t>
            </w:r>
            <w:r>
              <w:rPr>
                <w:rFonts w:asciiTheme="minorHAnsi" w:eastAsiaTheme="minorEastAsia" w:hAnsiTheme="minorHAnsi" w:cstheme="minorBidi"/>
                <w:noProof/>
                <w:lang w:eastAsia="en-AU"/>
              </w:rPr>
              <w:tab/>
            </w:r>
            <w:r w:rsidRPr="00317915">
              <w:rPr>
                <w:rStyle w:val="Hyperlink"/>
                <w:noProof/>
              </w:rPr>
              <w:t>Immune related adverse events</w:t>
            </w:r>
            <w:r>
              <w:rPr>
                <w:noProof/>
                <w:webHidden/>
              </w:rPr>
              <w:tab/>
            </w:r>
            <w:r>
              <w:rPr>
                <w:noProof/>
                <w:webHidden/>
              </w:rPr>
              <w:fldChar w:fldCharType="begin"/>
            </w:r>
            <w:r>
              <w:rPr>
                <w:noProof/>
                <w:webHidden/>
              </w:rPr>
              <w:instrText xml:space="preserve"> PAGEREF _Toc475616232 \h </w:instrText>
            </w:r>
            <w:r>
              <w:rPr>
                <w:noProof/>
                <w:webHidden/>
              </w:rPr>
            </w:r>
            <w:r>
              <w:rPr>
                <w:noProof/>
                <w:webHidden/>
              </w:rPr>
              <w:fldChar w:fldCharType="separate"/>
            </w:r>
            <w:r>
              <w:rPr>
                <w:noProof/>
                <w:webHidden/>
              </w:rPr>
              <w:t>138</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3" w:history="1">
            <w:r w:rsidRPr="00317915">
              <w:rPr>
                <w:rStyle w:val="Hyperlink"/>
                <w:noProof/>
              </w:rPr>
              <w:t>8.8.</w:t>
            </w:r>
            <w:r>
              <w:rPr>
                <w:rFonts w:asciiTheme="minorHAnsi" w:eastAsiaTheme="minorEastAsia" w:hAnsiTheme="minorHAnsi" w:cstheme="minorBidi"/>
                <w:noProof/>
                <w:lang w:eastAsia="en-AU"/>
              </w:rPr>
              <w:tab/>
            </w:r>
            <w:r w:rsidRPr="00317915">
              <w:rPr>
                <w:rStyle w:val="Hyperlink"/>
                <w:noProof/>
              </w:rPr>
              <w:t>Laboratory tests</w:t>
            </w:r>
            <w:r>
              <w:rPr>
                <w:noProof/>
                <w:webHidden/>
              </w:rPr>
              <w:tab/>
            </w:r>
            <w:r>
              <w:rPr>
                <w:noProof/>
                <w:webHidden/>
              </w:rPr>
              <w:fldChar w:fldCharType="begin"/>
            </w:r>
            <w:r>
              <w:rPr>
                <w:noProof/>
                <w:webHidden/>
              </w:rPr>
              <w:instrText xml:space="preserve"> PAGEREF _Toc475616233 \h </w:instrText>
            </w:r>
            <w:r>
              <w:rPr>
                <w:noProof/>
                <w:webHidden/>
              </w:rPr>
            </w:r>
            <w:r>
              <w:rPr>
                <w:noProof/>
                <w:webHidden/>
              </w:rPr>
              <w:fldChar w:fldCharType="separate"/>
            </w:r>
            <w:r>
              <w:rPr>
                <w:noProof/>
                <w:webHidden/>
              </w:rPr>
              <w:t>138</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4" w:history="1">
            <w:r w:rsidRPr="00317915">
              <w:rPr>
                <w:rStyle w:val="Hyperlink"/>
                <w:noProof/>
              </w:rPr>
              <w:t>8.9.</w:t>
            </w:r>
            <w:r>
              <w:rPr>
                <w:rFonts w:asciiTheme="minorHAnsi" w:eastAsiaTheme="minorEastAsia" w:hAnsiTheme="minorHAnsi" w:cstheme="minorBidi"/>
                <w:noProof/>
                <w:lang w:eastAsia="en-AU"/>
              </w:rPr>
              <w:tab/>
            </w:r>
            <w:r w:rsidRPr="00317915">
              <w:rPr>
                <w:rStyle w:val="Hyperlink"/>
                <w:noProof/>
              </w:rPr>
              <w:t>Post-marketing experience</w:t>
            </w:r>
            <w:r>
              <w:rPr>
                <w:noProof/>
                <w:webHidden/>
              </w:rPr>
              <w:tab/>
            </w:r>
            <w:r>
              <w:rPr>
                <w:noProof/>
                <w:webHidden/>
              </w:rPr>
              <w:fldChar w:fldCharType="begin"/>
            </w:r>
            <w:r>
              <w:rPr>
                <w:noProof/>
                <w:webHidden/>
              </w:rPr>
              <w:instrText xml:space="preserve"> PAGEREF _Toc475616234 \h </w:instrText>
            </w:r>
            <w:r>
              <w:rPr>
                <w:noProof/>
                <w:webHidden/>
              </w:rPr>
            </w:r>
            <w:r>
              <w:rPr>
                <w:noProof/>
                <w:webHidden/>
              </w:rPr>
              <w:fldChar w:fldCharType="separate"/>
            </w:r>
            <w:r>
              <w:rPr>
                <w:noProof/>
                <w:webHidden/>
              </w:rPr>
              <w:t>138</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35" w:history="1">
            <w:r w:rsidRPr="00317915">
              <w:rPr>
                <w:rStyle w:val="Hyperlink"/>
                <w:noProof/>
              </w:rPr>
              <w:t>8.10.</w:t>
            </w:r>
            <w:r>
              <w:rPr>
                <w:rFonts w:asciiTheme="minorHAnsi" w:eastAsiaTheme="minorEastAsia" w:hAnsiTheme="minorHAnsi" w:cstheme="minorBidi"/>
                <w:noProof/>
                <w:lang w:eastAsia="en-AU"/>
              </w:rPr>
              <w:tab/>
            </w:r>
            <w:r w:rsidRPr="0031791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_Toc475616235 \h </w:instrText>
            </w:r>
            <w:r>
              <w:rPr>
                <w:noProof/>
                <w:webHidden/>
              </w:rPr>
            </w:r>
            <w:r>
              <w:rPr>
                <w:noProof/>
                <w:webHidden/>
              </w:rPr>
              <w:fldChar w:fldCharType="separate"/>
            </w:r>
            <w:r>
              <w:rPr>
                <w:noProof/>
                <w:webHidden/>
              </w:rPr>
              <w:t>139</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36" w:history="1">
            <w:r w:rsidRPr="00317915">
              <w:rPr>
                <w:rStyle w:val="Hyperlink"/>
                <w:noProof/>
              </w:rPr>
              <w:t>8.11.</w:t>
            </w:r>
            <w:r>
              <w:rPr>
                <w:rFonts w:asciiTheme="minorHAnsi" w:eastAsiaTheme="minorEastAsia" w:hAnsiTheme="minorHAnsi" w:cstheme="minorBidi"/>
                <w:noProof/>
                <w:lang w:eastAsia="en-AU"/>
              </w:rPr>
              <w:tab/>
            </w:r>
            <w:r w:rsidRPr="00317915">
              <w:rPr>
                <w:rStyle w:val="Hyperlink"/>
                <w:noProof/>
              </w:rPr>
              <w:t>Relevant new data not submitted by the sponsor</w:t>
            </w:r>
            <w:r>
              <w:rPr>
                <w:noProof/>
                <w:webHidden/>
              </w:rPr>
              <w:tab/>
            </w:r>
            <w:r>
              <w:rPr>
                <w:noProof/>
                <w:webHidden/>
              </w:rPr>
              <w:fldChar w:fldCharType="begin"/>
            </w:r>
            <w:r>
              <w:rPr>
                <w:noProof/>
                <w:webHidden/>
              </w:rPr>
              <w:instrText xml:space="preserve"> PAGEREF _Toc475616236 \h </w:instrText>
            </w:r>
            <w:r>
              <w:rPr>
                <w:noProof/>
                <w:webHidden/>
              </w:rPr>
            </w:r>
            <w:r>
              <w:rPr>
                <w:noProof/>
                <w:webHidden/>
              </w:rPr>
              <w:fldChar w:fldCharType="separate"/>
            </w:r>
            <w:r>
              <w:rPr>
                <w:noProof/>
                <w:webHidden/>
              </w:rPr>
              <w:t>139</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37" w:history="1">
            <w:r w:rsidRPr="00317915">
              <w:rPr>
                <w:rStyle w:val="Hyperlink"/>
                <w:noProof/>
              </w:rPr>
              <w:t>8.12.</w:t>
            </w:r>
            <w:r>
              <w:rPr>
                <w:rFonts w:asciiTheme="minorHAnsi" w:eastAsiaTheme="minorEastAsia" w:hAnsiTheme="minorHAnsi" w:cstheme="minorBidi"/>
                <w:noProof/>
                <w:lang w:eastAsia="en-AU"/>
              </w:rPr>
              <w:tab/>
            </w:r>
            <w:r w:rsidRPr="00317915">
              <w:rPr>
                <w:rStyle w:val="Hyperlink"/>
                <w:noProof/>
              </w:rPr>
              <w:t>Evaluator’s overall conclusions on clinical safety</w:t>
            </w:r>
            <w:r>
              <w:rPr>
                <w:noProof/>
                <w:webHidden/>
              </w:rPr>
              <w:tab/>
            </w:r>
            <w:r>
              <w:rPr>
                <w:noProof/>
                <w:webHidden/>
              </w:rPr>
              <w:fldChar w:fldCharType="begin"/>
            </w:r>
            <w:r>
              <w:rPr>
                <w:noProof/>
                <w:webHidden/>
              </w:rPr>
              <w:instrText xml:space="preserve"> PAGEREF _Toc475616237 \h </w:instrText>
            </w:r>
            <w:r>
              <w:rPr>
                <w:noProof/>
                <w:webHidden/>
              </w:rPr>
            </w:r>
            <w:r>
              <w:rPr>
                <w:noProof/>
                <w:webHidden/>
              </w:rPr>
              <w:fldChar w:fldCharType="separate"/>
            </w:r>
            <w:r>
              <w:rPr>
                <w:noProof/>
                <w:webHidden/>
              </w:rPr>
              <w:t>144</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38" w:history="1">
            <w:r w:rsidRPr="00317915">
              <w:rPr>
                <w:rStyle w:val="Hyperlink"/>
                <w:noProof/>
              </w:rPr>
              <w:t>9.</w:t>
            </w:r>
            <w:r>
              <w:rPr>
                <w:rFonts w:asciiTheme="minorHAnsi" w:eastAsiaTheme="minorEastAsia" w:hAnsiTheme="minorHAnsi" w:cstheme="minorBidi"/>
                <w:b w:val="0"/>
                <w:noProof/>
                <w:sz w:val="22"/>
                <w:lang w:eastAsia="en-AU"/>
              </w:rPr>
              <w:tab/>
            </w:r>
            <w:r w:rsidRPr="00317915">
              <w:rPr>
                <w:rStyle w:val="Hyperlink"/>
                <w:noProof/>
              </w:rPr>
              <w:t>First round benefit-risk assessment</w:t>
            </w:r>
            <w:r>
              <w:rPr>
                <w:noProof/>
                <w:webHidden/>
              </w:rPr>
              <w:tab/>
            </w:r>
            <w:r>
              <w:rPr>
                <w:noProof/>
                <w:webHidden/>
              </w:rPr>
              <w:fldChar w:fldCharType="begin"/>
            </w:r>
            <w:r>
              <w:rPr>
                <w:noProof/>
                <w:webHidden/>
              </w:rPr>
              <w:instrText xml:space="preserve"> PAGEREF _Toc475616238 \h </w:instrText>
            </w:r>
            <w:r>
              <w:rPr>
                <w:noProof/>
                <w:webHidden/>
              </w:rPr>
            </w:r>
            <w:r>
              <w:rPr>
                <w:noProof/>
                <w:webHidden/>
              </w:rPr>
              <w:fldChar w:fldCharType="separate"/>
            </w:r>
            <w:r>
              <w:rPr>
                <w:noProof/>
                <w:webHidden/>
              </w:rPr>
              <w:t>145</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39" w:history="1">
            <w:r w:rsidRPr="00317915">
              <w:rPr>
                <w:rStyle w:val="Hyperlink"/>
                <w:noProof/>
              </w:rPr>
              <w:t>9.1.</w:t>
            </w:r>
            <w:r>
              <w:rPr>
                <w:rFonts w:asciiTheme="minorHAnsi" w:eastAsiaTheme="minorEastAsia" w:hAnsiTheme="minorHAnsi" w:cstheme="minorBidi"/>
                <w:noProof/>
                <w:lang w:eastAsia="en-AU"/>
              </w:rPr>
              <w:tab/>
            </w:r>
            <w:r w:rsidRPr="00317915">
              <w:rPr>
                <w:rStyle w:val="Hyperlink"/>
                <w:noProof/>
              </w:rPr>
              <w:t>First round assessment of benefits</w:t>
            </w:r>
            <w:r>
              <w:rPr>
                <w:noProof/>
                <w:webHidden/>
              </w:rPr>
              <w:tab/>
            </w:r>
            <w:r>
              <w:rPr>
                <w:noProof/>
                <w:webHidden/>
              </w:rPr>
              <w:fldChar w:fldCharType="begin"/>
            </w:r>
            <w:r>
              <w:rPr>
                <w:noProof/>
                <w:webHidden/>
              </w:rPr>
              <w:instrText xml:space="preserve"> PAGEREF _Toc475616239 \h </w:instrText>
            </w:r>
            <w:r>
              <w:rPr>
                <w:noProof/>
                <w:webHidden/>
              </w:rPr>
            </w:r>
            <w:r>
              <w:rPr>
                <w:noProof/>
                <w:webHidden/>
              </w:rPr>
              <w:fldChar w:fldCharType="separate"/>
            </w:r>
            <w:r>
              <w:rPr>
                <w:noProof/>
                <w:webHidden/>
              </w:rPr>
              <w:t>145</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40" w:history="1">
            <w:r w:rsidRPr="00317915">
              <w:rPr>
                <w:rStyle w:val="Hyperlink"/>
                <w:noProof/>
              </w:rPr>
              <w:t>9.2.</w:t>
            </w:r>
            <w:r>
              <w:rPr>
                <w:rFonts w:asciiTheme="minorHAnsi" w:eastAsiaTheme="minorEastAsia" w:hAnsiTheme="minorHAnsi" w:cstheme="minorBidi"/>
                <w:noProof/>
                <w:lang w:eastAsia="en-AU"/>
              </w:rPr>
              <w:tab/>
            </w:r>
            <w:r w:rsidRPr="00317915">
              <w:rPr>
                <w:rStyle w:val="Hyperlink"/>
                <w:noProof/>
              </w:rPr>
              <w:t>First round assessment of risks</w:t>
            </w:r>
            <w:r>
              <w:rPr>
                <w:noProof/>
                <w:webHidden/>
              </w:rPr>
              <w:tab/>
            </w:r>
            <w:r>
              <w:rPr>
                <w:noProof/>
                <w:webHidden/>
              </w:rPr>
              <w:fldChar w:fldCharType="begin"/>
            </w:r>
            <w:r>
              <w:rPr>
                <w:noProof/>
                <w:webHidden/>
              </w:rPr>
              <w:instrText xml:space="preserve"> PAGEREF _Toc475616240 \h </w:instrText>
            </w:r>
            <w:r>
              <w:rPr>
                <w:noProof/>
                <w:webHidden/>
              </w:rPr>
            </w:r>
            <w:r>
              <w:rPr>
                <w:noProof/>
                <w:webHidden/>
              </w:rPr>
              <w:fldChar w:fldCharType="separate"/>
            </w:r>
            <w:r>
              <w:rPr>
                <w:noProof/>
                <w:webHidden/>
              </w:rPr>
              <w:t>145</w:t>
            </w:r>
            <w:r>
              <w:rPr>
                <w:noProof/>
                <w:webHidden/>
              </w:rPr>
              <w:fldChar w:fldCharType="end"/>
            </w:r>
          </w:hyperlink>
        </w:p>
        <w:p w:rsidR="002F3779" w:rsidRDefault="002F3779">
          <w:pPr>
            <w:pStyle w:val="TOC3"/>
            <w:tabs>
              <w:tab w:val="left" w:pos="1575"/>
            </w:tabs>
            <w:rPr>
              <w:rFonts w:asciiTheme="minorHAnsi" w:eastAsiaTheme="minorEastAsia" w:hAnsiTheme="minorHAnsi" w:cstheme="minorBidi"/>
              <w:noProof/>
              <w:lang w:eastAsia="en-AU"/>
            </w:rPr>
          </w:pPr>
          <w:hyperlink w:anchor="_Toc475616241" w:history="1">
            <w:r w:rsidRPr="00317915">
              <w:rPr>
                <w:rStyle w:val="Hyperlink"/>
                <w:noProof/>
              </w:rPr>
              <w:t>9.3.</w:t>
            </w:r>
            <w:r>
              <w:rPr>
                <w:rFonts w:asciiTheme="minorHAnsi" w:eastAsiaTheme="minorEastAsia" w:hAnsiTheme="minorHAnsi" w:cstheme="minorBidi"/>
                <w:noProof/>
                <w:lang w:eastAsia="en-AU"/>
              </w:rPr>
              <w:tab/>
            </w:r>
            <w:r w:rsidRPr="00317915">
              <w:rPr>
                <w:rStyle w:val="Hyperlink"/>
                <w:noProof/>
              </w:rPr>
              <w:t>First round assessment of benefit-risk balance</w:t>
            </w:r>
            <w:r>
              <w:rPr>
                <w:noProof/>
                <w:webHidden/>
              </w:rPr>
              <w:tab/>
            </w:r>
            <w:r>
              <w:rPr>
                <w:noProof/>
                <w:webHidden/>
              </w:rPr>
              <w:fldChar w:fldCharType="begin"/>
            </w:r>
            <w:r>
              <w:rPr>
                <w:noProof/>
                <w:webHidden/>
              </w:rPr>
              <w:instrText xml:space="preserve"> PAGEREF _Toc475616241 \h </w:instrText>
            </w:r>
            <w:r>
              <w:rPr>
                <w:noProof/>
                <w:webHidden/>
              </w:rPr>
            </w:r>
            <w:r>
              <w:rPr>
                <w:noProof/>
                <w:webHidden/>
              </w:rPr>
              <w:fldChar w:fldCharType="separate"/>
            </w:r>
            <w:r>
              <w:rPr>
                <w:noProof/>
                <w:webHidden/>
              </w:rPr>
              <w:t>145</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42" w:history="1">
            <w:r w:rsidRPr="00317915">
              <w:rPr>
                <w:rStyle w:val="Hyperlink"/>
                <w:noProof/>
              </w:rPr>
              <w:t>10.</w:t>
            </w:r>
            <w:r>
              <w:rPr>
                <w:rFonts w:asciiTheme="minorHAnsi" w:eastAsiaTheme="minorEastAsia" w:hAnsiTheme="minorHAnsi" w:cstheme="minorBidi"/>
                <w:b w:val="0"/>
                <w:noProof/>
                <w:sz w:val="22"/>
                <w:lang w:eastAsia="en-AU"/>
              </w:rPr>
              <w:tab/>
            </w:r>
            <w:r w:rsidRPr="00317915">
              <w:rPr>
                <w:rStyle w:val="Hyperlink"/>
                <w:noProof/>
              </w:rPr>
              <w:t>First round recommendation regarding authorisation</w:t>
            </w:r>
            <w:r>
              <w:rPr>
                <w:noProof/>
                <w:webHidden/>
              </w:rPr>
              <w:tab/>
            </w:r>
            <w:r>
              <w:rPr>
                <w:noProof/>
                <w:webHidden/>
              </w:rPr>
              <w:fldChar w:fldCharType="begin"/>
            </w:r>
            <w:r>
              <w:rPr>
                <w:noProof/>
                <w:webHidden/>
              </w:rPr>
              <w:instrText xml:space="preserve"> PAGEREF _Toc475616242 \h </w:instrText>
            </w:r>
            <w:r>
              <w:rPr>
                <w:noProof/>
                <w:webHidden/>
              </w:rPr>
            </w:r>
            <w:r>
              <w:rPr>
                <w:noProof/>
                <w:webHidden/>
              </w:rPr>
              <w:fldChar w:fldCharType="separate"/>
            </w:r>
            <w:r>
              <w:rPr>
                <w:noProof/>
                <w:webHidden/>
              </w:rPr>
              <w:t>146</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43" w:history="1">
            <w:r w:rsidRPr="00317915">
              <w:rPr>
                <w:rStyle w:val="Hyperlink"/>
                <w:noProof/>
              </w:rPr>
              <w:t>11.</w:t>
            </w:r>
            <w:r>
              <w:rPr>
                <w:rFonts w:asciiTheme="minorHAnsi" w:eastAsiaTheme="minorEastAsia" w:hAnsiTheme="minorHAnsi" w:cstheme="minorBidi"/>
                <w:b w:val="0"/>
                <w:noProof/>
                <w:sz w:val="22"/>
                <w:lang w:eastAsia="en-AU"/>
              </w:rPr>
              <w:tab/>
            </w:r>
            <w:r w:rsidRPr="00317915">
              <w:rPr>
                <w:rStyle w:val="Hyperlink"/>
                <w:noProof/>
              </w:rPr>
              <w:t>Clinical questions</w:t>
            </w:r>
            <w:r>
              <w:rPr>
                <w:noProof/>
                <w:webHidden/>
              </w:rPr>
              <w:tab/>
            </w:r>
            <w:r>
              <w:rPr>
                <w:noProof/>
                <w:webHidden/>
              </w:rPr>
              <w:fldChar w:fldCharType="begin"/>
            </w:r>
            <w:r>
              <w:rPr>
                <w:noProof/>
                <w:webHidden/>
              </w:rPr>
              <w:instrText xml:space="preserve"> PAGEREF _Toc475616243 \h </w:instrText>
            </w:r>
            <w:r>
              <w:rPr>
                <w:noProof/>
                <w:webHidden/>
              </w:rPr>
            </w:r>
            <w:r>
              <w:rPr>
                <w:noProof/>
                <w:webHidden/>
              </w:rPr>
              <w:fldChar w:fldCharType="separate"/>
            </w:r>
            <w:r>
              <w:rPr>
                <w:noProof/>
                <w:webHidden/>
              </w:rPr>
              <w:t>146</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44" w:history="1">
            <w:r w:rsidRPr="00317915">
              <w:rPr>
                <w:rStyle w:val="Hyperlink"/>
                <w:noProof/>
              </w:rPr>
              <w:t>11.1.</w:t>
            </w:r>
            <w:r>
              <w:rPr>
                <w:rFonts w:asciiTheme="minorHAnsi" w:eastAsiaTheme="minorEastAsia" w:hAnsiTheme="minorHAnsi" w:cstheme="minorBidi"/>
                <w:noProof/>
                <w:lang w:eastAsia="en-AU"/>
              </w:rPr>
              <w:tab/>
            </w:r>
            <w:r w:rsidRPr="00317915">
              <w:rPr>
                <w:rStyle w:val="Hyperlink"/>
                <w:noProof/>
              </w:rPr>
              <w:t>Pharmacokinetics</w:t>
            </w:r>
            <w:r>
              <w:rPr>
                <w:noProof/>
                <w:webHidden/>
              </w:rPr>
              <w:tab/>
            </w:r>
            <w:r>
              <w:rPr>
                <w:noProof/>
                <w:webHidden/>
              </w:rPr>
              <w:fldChar w:fldCharType="begin"/>
            </w:r>
            <w:r>
              <w:rPr>
                <w:noProof/>
                <w:webHidden/>
              </w:rPr>
              <w:instrText xml:space="preserve"> PAGEREF _Toc475616244 \h </w:instrText>
            </w:r>
            <w:r>
              <w:rPr>
                <w:noProof/>
                <w:webHidden/>
              </w:rPr>
            </w:r>
            <w:r>
              <w:rPr>
                <w:noProof/>
                <w:webHidden/>
              </w:rPr>
              <w:fldChar w:fldCharType="separate"/>
            </w:r>
            <w:r>
              <w:rPr>
                <w:noProof/>
                <w:webHidden/>
              </w:rPr>
              <w:t>146</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45" w:history="1">
            <w:r w:rsidRPr="00317915">
              <w:rPr>
                <w:rStyle w:val="Hyperlink"/>
                <w:noProof/>
              </w:rPr>
              <w:t>11.2.</w:t>
            </w:r>
            <w:r>
              <w:rPr>
                <w:rFonts w:asciiTheme="minorHAnsi" w:eastAsiaTheme="minorEastAsia" w:hAnsiTheme="minorHAnsi" w:cstheme="minorBidi"/>
                <w:noProof/>
                <w:lang w:eastAsia="en-AU"/>
              </w:rPr>
              <w:tab/>
            </w:r>
            <w:r w:rsidRPr="00317915">
              <w:rPr>
                <w:rStyle w:val="Hyperlink"/>
                <w:noProof/>
              </w:rPr>
              <w:t>Pharmacodynamics</w:t>
            </w:r>
            <w:r>
              <w:rPr>
                <w:noProof/>
                <w:webHidden/>
              </w:rPr>
              <w:tab/>
            </w:r>
            <w:r>
              <w:rPr>
                <w:noProof/>
                <w:webHidden/>
              </w:rPr>
              <w:fldChar w:fldCharType="begin"/>
            </w:r>
            <w:r>
              <w:rPr>
                <w:noProof/>
                <w:webHidden/>
              </w:rPr>
              <w:instrText xml:space="preserve"> PAGEREF _Toc475616245 \h </w:instrText>
            </w:r>
            <w:r>
              <w:rPr>
                <w:noProof/>
                <w:webHidden/>
              </w:rPr>
            </w:r>
            <w:r>
              <w:rPr>
                <w:noProof/>
                <w:webHidden/>
              </w:rPr>
              <w:fldChar w:fldCharType="separate"/>
            </w:r>
            <w:r>
              <w:rPr>
                <w:noProof/>
                <w:webHidden/>
              </w:rPr>
              <w:t>147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46" w:history="1">
            <w:r w:rsidRPr="00317915">
              <w:rPr>
                <w:rStyle w:val="Hyperlink"/>
                <w:noProof/>
              </w:rPr>
              <w:t>11.3.</w:t>
            </w:r>
            <w:r>
              <w:rPr>
                <w:rFonts w:asciiTheme="minorHAnsi" w:eastAsiaTheme="minorEastAsia" w:hAnsiTheme="minorHAnsi" w:cstheme="minorBidi"/>
                <w:noProof/>
                <w:lang w:eastAsia="en-AU"/>
              </w:rPr>
              <w:tab/>
            </w:r>
            <w:r w:rsidRPr="00317915">
              <w:rPr>
                <w:rStyle w:val="Hyperlink"/>
                <w:noProof/>
              </w:rPr>
              <w:t>Efficacy</w:t>
            </w:r>
            <w:r>
              <w:rPr>
                <w:noProof/>
                <w:webHidden/>
              </w:rPr>
              <w:tab/>
            </w:r>
            <w:r>
              <w:rPr>
                <w:noProof/>
                <w:webHidden/>
              </w:rPr>
              <w:fldChar w:fldCharType="begin"/>
            </w:r>
            <w:r>
              <w:rPr>
                <w:noProof/>
                <w:webHidden/>
              </w:rPr>
              <w:instrText xml:space="preserve"> PAGEREF _Toc475616246 \h </w:instrText>
            </w:r>
            <w:r>
              <w:rPr>
                <w:noProof/>
                <w:webHidden/>
              </w:rPr>
            </w:r>
            <w:r>
              <w:rPr>
                <w:noProof/>
                <w:webHidden/>
              </w:rPr>
              <w:fldChar w:fldCharType="separate"/>
            </w:r>
            <w:r>
              <w:rPr>
                <w:noProof/>
                <w:webHidden/>
              </w:rPr>
              <w:t>147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47" w:history="1">
            <w:r w:rsidRPr="00317915">
              <w:rPr>
                <w:rStyle w:val="Hyperlink"/>
                <w:noProof/>
              </w:rPr>
              <w:t>11.4.</w:t>
            </w:r>
            <w:r>
              <w:rPr>
                <w:rFonts w:asciiTheme="minorHAnsi" w:eastAsiaTheme="minorEastAsia" w:hAnsiTheme="minorHAnsi" w:cstheme="minorBidi"/>
                <w:noProof/>
                <w:lang w:eastAsia="en-AU"/>
              </w:rPr>
              <w:tab/>
            </w:r>
            <w:r w:rsidRPr="00317915">
              <w:rPr>
                <w:rStyle w:val="Hyperlink"/>
                <w:noProof/>
              </w:rPr>
              <w:t>Safety</w:t>
            </w:r>
            <w:r>
              <w:rPr>
                <w:noProof/>
                <w:webHidden/>
              </w:rPr>
              <w:tab/>
            </w:r>
            <w:r>
              <w:rPr>
                <w:noProof/>
                <w:webHidden/>
              </w:rPr>
              <w:fldChar w:fldCharType="begin"/>
            </w:r>
            <w:r>
              <w:rPr>
                <w:noProof/>
                <w:webHidden/>
              </w:rPr>
              <w:instrText xml:space="preserve"> PAGEREF _Toc475616247 \h </w:instrText>
            </w:r>
            <w:r>
              <w:rPr>
                <w:noProof/>
                <w:webHidden/>
              </w:rPr>
            </w:r>
            <w:r>
              <w:rPr>
                <w:noProof/>
                <w:webHidden/>
              </w:rPr>
              <w:fldChar w:fldCharType="separate"/>
            </w:r>
            <w:r>
              <w:rPr>
                <w:noProof/>
                <w:webHidden/>
              </w:rPr>
              <w:t>147</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48" w:history="1">
            <w:r w:rsidRPr="00317915">
              <w:rPr>
                <w:rStyle w:val="Hyperlink"/>
                <w:noProof/>
              </w:rPr>
              <w:t>12.</w:t>
            </w:r>
            <w:r>
              <w:rPr>
                <w:rFonts w:asciiTheme="minorHAnsi" w:eastAsiaTheme="minorEastAsia" w:hAnsiTheme="minorHAnsi" w:cstheme="minorBidi"/>
                <w:b w:val="0"/>
                <w:noProof/>
                <w:sz w:val="22"/>
                <w:lang w:eastAsia="en-AU"/>
              </w:rPr>
              <w:tab/>
            </w:r>
            <w:r w:rsidRPr="0031791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_Toc475616248 \h </w:instrText>
            </w:r>
            <w:r>
              <w:rPr>
                <w:noProof/>
                <w:webHidden/>
              </w:rPr>
            </w:r>
            <w:r>
              <w:rPr>
                <w:noProof/>
                <w:webHidden/>
              </w:rPr>
              <w:fldChar w:fldCharType="separate"/>
            </w:r>
            <w:r>
              <w:rPr>
                <w:noProof/>
                <w:webHidden/>
              </w:rPr>
              <w:t>160</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49" w:history="1">
            <w:r w:rsidRPr="00317915">
              <w:rPr>
                <w:rStyle w:val="Hyperlink"/>
                <w:noProof/>
              </w:rPr>
              <w:t>12.1.</w:t>
            </w:r>
            <w:r>
              <w:rPr>
                <w:rFonts w:asciiTheme="minorHAnsi" w:eastAsiaTheme="minorEastAsia" w:hAnsiTheme="minorHAnsi" w:cstheme="minorBidi"/>
                <w:noProof/>
                <w:lang w:eastAsia="en-AU"/>
              </w:rPr>
              <w:tab/>
            </w:r>
            <w:r w:rsidRPr="00317915">
              <w:rPr>
                <w:rStyle w:val="Hyperlink"/>
                <w:noProof/>
              </w:rPr>
              <w:t>Overview of populations</w:t>
            </w:r>
            <w:r>
              <w:rPr>
                <w:noProof/>
                <w:webHidden/>
              </w:rPr>
              <w:tab/>
            </w:r>
            <w:r>
              <w:rPr>
                <w:noProof/>
                <w:webHidden/>
              </w:rPr>
              <w:fldChar w:fldCharType="begin"/>
            </w:r>
            <w:r>
              <w:rPr>
                <w:noProof/>
                <w:webHidden/>
              </w:rPr>
              <w:instrText xml:space="preserve"> PAGEREF _Toc475616249 \h </w:instrText>
            </w:r>
            <w:r>
              <w:rPr>
                <w:noProof/>
                <w:webHidden/>
              </w:rPr>
            </w:r>
            <w:r>
              <w:rPr>
                <w:noProof/>
                <w:webHidden/>
              </w:rPr>
              <w:fldChar w:fldCharType="separate"/>
            </w:r>
            <w:r>
              <w:rPr>
                <w:noProof/>
                <w:webHidden/>
              </w:rPr>
              <w:t>161</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0" w:history="1">
            <w:r w:rsidRPr="00317915">
              <w:rPr>
                <w:rStyle w:val="Hyperlink"/>
                <w:noProof/>
              </w:rPr>
              <w:t>12.2.</w:t>
            </w:r>
            <w:r>
              <w:rPr>
                <w:rFonts w:asciiTheme="minorHAnsi" w:eastAsiaTheme="minorEastAsia" w:hAnsiTheme="minorHAnsi" w:cstheme="minorBidi"/>
                <w:noProof/>
                <w:lang w:eastAsia="en-AU"/>
              </w:rPr>
              <w:tab/>
            </w:r>
            <w:r w:rsidRPr="00317915">
              <w:rPr>
                <w:rStyle w:val="Hyperlink"/>
                <w:noProof/>
              </w:rPr>
              <w:t>Evaluation relevant to pharmacology</w:t>
            </w:r>
            <w:r>
              <w:rPr>
                <w:noProof/>
                <w:webHidden/>
              </w:rPr>
              <w:tab/>
            </w:r>
            <w:r>
              <w:rPr>
                <w:noProof/>
                <w:webHidden/>
              </w:rPr>
              <w:fldChar w:fldCharType="begin"/>
            </w:r>
            <w:r>
              <w:rPr>
                <w:noProof/>
                <w:webHidden/>
              </w:rPr>
              <w:instrText xml:space="preserve"> PAGEREF _Toc475616250 \h </w:instrText>
            </w:r>
            <w:r>
              <w:rPr>
                <w:noProof/>
                <w:webHidden/>
              </w:rPr>
            </w:r>
            <w:r>
              <w:rPr>
                <w:noProof/>
                <w:webHidden/>
              </w:rPr>
              <w:fldChar w:fldCharType="separate"/>
            </w:r>
            <w:r>
              <w:rPr>
                <w:noProof/>
                <w:webHidden/>
              </w:rPr>
              <w:t>162</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1" w:history="1">
            <w:r w:rsidRPr="00317915">
              <w:rPr>
                <w:rStyle w:val="Hyperlink"/>
                <w:noProof/>
              </w:rPr>
              <w:t>12.3.</w:t>
            </w:r>
            <w:r>
              <w:rPr>
                <w:rFonts w:asciiTheme="minorHAnsi" w:eastAsiaTheme="minorEastAsia" w:hAnsiTheme="minorHAnsi" w:cstheme="minorBidi"/>
                <w:noProof/>
                <w:lang w:eastAsia="en-AU"/>
              </w:rPr>
              <w:tab/>
            </w:r>
            <w:r w:rsidRPr="00317915">
              <w:rPr>
                <w:rStyle w:val="Hyperlink"/>
                <w:noProof/>
              </w:rPr>
              <w:t>Evaluation relevant to efficacy</w:t>
            </w:r>
            <w:r>
              <w:rPr>
                <w:noProof/>
                <w:webHidden/>
              </w:rPr>
              <w:tab/>
            </w:r>
            <w:r>
              <w:rPr>
                <w:noProof/>
                <w:webHidden/>
              </w:rPr>
              <w:fldChar w:fldCharType="begin"/>
            </w:r>
            <w:r>
              <w:rPr>
                <w:noProof/>
                <w:webHidden/>
              </w:rPr>
              <w:instrText xml:space="preserve"> PAGEREF _Toc475616251 \h </w:instrText>
            </w:r>
            <w:r>
              <w:rPr>
                <w:noProof/>
                <w:webHidden/>
              </w:rPr>
            </w:r>
            <w:r>
              <w:rPr>
                <w:noProof/>
                <w:webHidden/>
              </w:rPr>
              <w:fldChar w:fldCharType="separate"/>
            </w:r>
            <w:r>
              <w:rPr>
                <w:noProof/>
                <w:webHidden/>
              </w:rPr>
              <w:t>167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2" w:history="1">
            <w:r w:rsidRPr="00317915">
              <w:rPr>
                <w:rStyle w:val="Hyperlink"/>
                <w:noProof/>
              </w:rPr>
              <w:t>12.4.</w:t>
            </w:r>
            <w:r>
              <w:rPr>
                <w:rFonts w:asciiTheme="minorHAnsi" w:eastAsiaTheme="minorEastAsia" w:hAnsiTheme="minorHAnsi" w:cstheme="minorBidi"/>
                <w:noProof/>
                <w:lang w:eastAsia="en-AU"/>
              </w:rPr>
              <w:tab/>
            </w:r>
            <w:r w:rsidRPr="00317915">
              <w:rPr>
                <w:rStyle w:val="Hyperlink"/>
                <w:noProof/>
              </w:rPr>
              <w:t>Evaluation relevant to safety</w:t>
            </w:r>
            <w:r>
              <w:rPr>
                <w:noProof/>
                <w:webHidden/>
              </w:rPr>
              <w:tab/>
            </w:r>
            <w:r>
              <w:rPr>
                <w:noProof/>
                <w:webHidden/>
              </w:rPr>
              <w:fldChar w:fldCharType="begin"/>
            </w:r>
            <w:r>
              <w:rPr>
                <w:noProof/>
                <w:webHidden/>
              </w:rPr>
              <w:instrText xml:space="preserve"> PAGEREF _Toc475616252 \h </w:instrText>
            </w:r>
            <w:r>
              <w:rPr>
                <w:noProof/>
                <w:webHidden/>
              </w:rPr>
            </w:r>
            <w:r>
              <w:rPr>
                <w:noProof/>
                <w:webHidden/>
              </w:rPr>
              <w:fldChar w:fldCharType="separate"/>
            </w:r>
            <w:r>
              <w:rPr>
                <w:noProof/>
                <w:webHidden/>
              </w:rPr>
              <w:t>171</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53" w:history="1">
            <w:r w:rsidRPr="00317915">
              <w:rPr>
                <w:rStyle w:val="Hyperlink"/>
                <w:noProof/>
              </w:rPr>
              <w:t>13.</w:t>
            </w:r>
            <w:r>
              <w:rPr>
                <w:rFonts w:asciiTheme="minorHAnsi" w:eastAsiaTheme="minorEastAsia" w:hAnsiTheme="minorHAnsi" w:cstheme="minorBidi"/>
                <w:b w:val="0"/>
                <w:noProof/>
                <w:sz w:val="22"/>
                <w:lang w:eastAsia="en-AU"/>
              </w:rPr>
              <w:tab/>
            </w:r>
            <w:r w:rsidRPr="00317915">
              <w:rPr>
                <w:rStyle w:val="Hyperlink"/>
                <w:noProof/>
              </w:rPr>
              <w:t>Second round benefit-risk assessment</w:t>
            </w:r>
            <w:r>
              <w:rPr>
                <w:noProof/>
                <w:webHidden/>
              </w:rPr>
              <w:tab/>
            </w:r>
            <w:r>
              <w:rPr>
                <w:noProof/>
                <w:webHidden/>
              </w:rPr>
              <w:fldChar w:fldCharType="begin"/>
            </w:r>
            <w:r>
              <w:rPr>
                <w:noProof/>
                <w:webHidden/>
              </w:rPr>
              <w:instrText xml:space="preserve"> PAGEREF _Toc475616253 \h </w:instrText>
            </w:r>
            <w:r>
              <w:rPr>
                <w:noProof/>
                <w:webHidden/>
              </w:rPr>
            </w:r>
            <w:r>
              <w:rPr>
                <w:noProof/>
                <w:webHidden/>
              </w:rPr>
              <w:fldChar w:fldCharType="separate"/>
            </w:r>
            <w:r>
              <w:rPr>
                <w:noProof/>
                <w:webHidden/>
              </w:rPr>
              <w:t>177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4" w:history="1">
            <w:r w:rsidRPr="00317915">
              <w:rPr>
                <w:rStyle w:val="Hyperlink"/>
                <w:noProof/>
              </w:rPr>
              <w:t>13.1.</w:t>
            </w:r>
            <w:r>
              <w:rPr>
                <w:rFonts w:asciiTheme="minorHAnsi" w:eastAsiaTheme="minorEastAsia" w:hAnsiTheme="minorHAnsi" w:cstheme="minorBidi"/>
                <w:noProof/>
                <w:lang w:eastAsia="en-AU"/>
              </w:rPr>
              <w:tab/>
            </w:r>
            <w:r w:rsidRPr="00317915">
              <w:rPr>
                <w:rStyle w:val="Hyperlink"/>
                <w:noProof/>
              </w:rPr>
              <w:t>Second round assessment of benefits</w:t>
            </w:r>
            <w:r>
              <w:rPr>
                <w:noProof/>
                <w:webHidden/>
              </w:rPr>
              <w:tab/>
            </w:r>
            <w:r>
              <w:rPr>
                <w:noProof/>
                <w:webHidden/>
              </w:rPr>
              <w:fldChar w:fldCharType="begin"/>
            </w:r>
            <w:r>
              <w:rPr>
                <w:noProof/>
                <w:webHidden/>
              </w:rPr>
              <w:instrText xml:space="preserve"> PAGEREF _Toc475616254 \h </w:instrText>
            </w:r>
            <w:r>
              <w:rPr>
                <w:noProof/>
                <w:webHidden/>
              </w:rPr>
            </w:r>
            <w:r>
              <w:rPr>
                <w:noProof/>
                <w:webHidden/>
              </w:rPr>
              <w:fldChar w:fldCharType="separate"/>
            </w:r>
            <w:r>
              <w:rPr>
                <w:noProof/>
                <w:webHidden/>
              </w:rPr>
              <w:t>177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5" w:history="1">
            <w:r w:rsidRPr="00317915">
              <w:rPr>
                <w:rStyle w:val="Hyperlink"/>
                <w:noProof/>
              </w:rPr>
              <w:t>13.2.</w:t>
            </w:r>
            <w:r>
              <w:rPr>
                <w:rFonts w:asciiTheme="minorHAnsi" w:eastAsiaTheme="minorEastAsia" w:hAnsiTheme="minorHAnsi" w:cstheme="minorBidi"/>
                <w:noProof/>
                <w:lang w:eastAsia="en-AU"/>
              </w:rPr>
              <w:tab/>
            </w:r>
            <w:r w:rsidRPr="00317915">
              <w:rPr>
                <w:rStyle w:val="Hyperlink"/>
                <w:noProof/>
              </w:rPr>
              <w:t>Second round assessment of risks</w:t>
            </w:r>
            <w:r>
              <w:rPr>
                <w:noProof/>
                <w:webHidden/>
              </w:rPr>
              <w:tab/>
            </w:r>
            <w:r>
              <w:rPr>
                <w:noProof/>
                <w:webHidden/>
              </w:rPr>
              <w:fldChar w:fldCharType="begin"/>
            </w:r>
            <w:r>
              <w:rPr>
                <w:noProof/>
                <w:webHidden/>
              </w:rPr>
              <w:instrText xml:space="preserve"> PAGEREF _Toc475616255 \h </w:instrText>
            </w:r>
            <w:r>
              <w:rPr>
                <w:noProof/>
                <w:webHidden/>
              </w:rPr>
            </w:r>
            <w:r>
              <w:rPr>
                <w:noProof/>
                <w:webHidden/>
              </w:rPr>
              <w:fldChar w:fldCharType="separate"/>
            </w:r>
            <w:r>
              <w:rPr>
                <w:noProof/>
                <w:webHidden/>
              </w:rPr>
              <w:t>177</w:t>
            </w:r>
            <w:r>
              <w:rPr>
                <w:noProof/>
                <w:webHidden/>
              </w:rPr>
              <w:fldChar w:fldCharType="end"/>
            </w:r>
          </w:hyperlink>
        </w:p>
        <w:p w:rsidR="002F3779" w:rsidRDefault="002F3779">
          <w:pPr>
            <w:pStyle w:val="TOC3"/>
            <w:tabs>
              <w:tab w:val="left" w:pos="1697"/>
            </w:tabs>
            <w:rPr>
              <w:rFonts w:asciiTheme="minorHAnsi" w:eastAsiaTheme="minorEastAsia" w:hAnsiTheme="minorHAnsi" w:cstheme="minorBidi"/>
              <w:noProof/>
              <w:lang w:eastAsia="en-AU"/>
            </w:rPr>
          </w:pPr>
          <w:hyperlink w:anchor="_Toc475616256" w:history="1">
            <w:r w:rsidRPr="00317915">
              <w:rPr>
                <w:rStyle w:val="Hyperlink"/>
                <w:noProof/>
              </w:rPr>
              <w:t>13.3.</w:t>
            </w:r>
            <w:r>
              <w:rPr>
                <w:rFonts w:asciiTheme="minorHAnsi" w:eastAsiaTheme="minorEastAsia" w:hAnsiTheme="minorHAnsi" w:cstheme="minorBidi"/>
                <w:noProof/>
                <w:lang w:eastAsia="en-AU"/>
              </w:rPr>
              <w:tab/>
            </w:r>
            <w:r w:rsidRPr="00317915">
              <w:rPr>
                <w:rStyle w:val="Hyperlink"/>
                <w:noProof/>
              </w:rPr>
              <w:t>Second round assessment of benefit-risk balance</w:t>
            </w:r>
            <w:r>
              <w:rPr>
                <w:noProof/>
                <w:webHidden/>
              </w:rPr>
              <w:tab/>
            </w:r>
            <w:r>
              <w:rPr>
                <w:noProof/>
                <w:webHidden/>
              </w:rPr>
              <w:fldChar w:fldCharType="begin"/>
            </w:r>
            <w:r>
              <w:rPr>
                <w:noProof/>
                <w:webHidden/>
              </w:rPr>
              <w:instrText xml:space="preserve"> PAGEREF _Toc475616256 \h </w:instrText>
            </w:r>
            <w:r>
              <w:rPr>
                <w:noProof/>
                <w:webHidden/>
              </w:rPr>
            </w:r>
            <w:r>
              <w:rPr>
                <w:noProof/>
                <w:webHidden/>
              </w:rPr>
              <w:fldChar w:fldCharType="separate"/>
            </w:r>
            <w:r>
              <w:rPr>
                <w:noProof/>
                <w:webHidden/>
              </w:rPr>
              <w:t>177</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57" w:history="1">
            <w:r w:rsidRPr="00317915">
              <w:rPr>
                <w:rStyle w:val="Hyperlink"/>
                <w:noProof/>
              </w:rPr>
              <w:t>14.</w:t>
            </w:r>
            <w:r>
              <w:rPr>
                <w:rFonts w:asciiTheme="minorHAnsi" w:eastAsiaTheme="minorEastAsia" w:hAnsiTheme="minorHAnsi" w:cstheme="minorBidi"/>
                <w:b w:val="0"/>
                <w:noProof/>
                <w:sz w:val="22"/>
                <w:lang w:eastAsia="en-AU"/>
              </w:rPr>
              <w:tab/>
            </w:r>
            <w:r w:rsidRPr="0031791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_Toc475616257 \h </w:instrText>
            </w:r>
            <w:r>
              <w:rPr>
                <w:noProof/>
                <w:webHidden/>
              </w:rPr>
            </w:r>
            <w:r>
              <w:rPr>
                <w:noProof/>
                <w:webHidden/>
              </w:rPr>
              <w:fldChar w:fldCharType="separate"/>
            </w:r>
            <w:r>
              <w:rPr>
                <w:noProof/>
                <w:webHidden/>
              </w:rPr>
              <w:t>178</w:t>
            </w:r>
            <w:r>
              <w:rPr>
                <w:noProof/>
                <w:webHidden/>
              </w:rPr>
              <w:fldChar w:fldCharType="end"/>
            </w:r>
          </w:hyperlink>
        </w:p>
        <w:p w:rsidR="002F3779" w:rsidRDefault="002F3779">
          <w:pPr>
            <w:pStyle w:val="TOC2"/>
            <w:tabs>
              <w:tab w:val="left" w:pos="1247"/>
            </w:tabs>
            <w:rPr>
              <w:rFonts w:asciiTheme="minorHAnsi" w:eastAsiaTheme="minorEastAsia" w:hAnsiTheme="minorHAnsi" w:cstheme="minorBidi"/>
              <w:b w:val="0"/>
              <w:noProof/>
              <w:sz w:val="22"/>
              <w:lang w:eastAsia="en-AU"/>
            </w:rPr>
          </w:pPr>
          <w:hyperlink w:anchor="_Toc475616258" w:history="1">
            <w:r w:rsidRPr="00317915">
              <w:rPr>
                <w:rStyle w:val="Hyperlink"/>
                <w:noProof/>
              </w:rPr>
              <w:t>15.</w:t>
            </w:r>
            <w:r>
              <w:rPr>
                <w:rFonts w:asciiTheme="minorHAnsi" w:eastAsiaTheme="minorEastAsia" w:hAnsiTheme="minorHAnsi" w:cstheme="minorBidi"/>
                <w:b w:val="0"/>
                <w:noProof/>
                <w:sz w:val="22"/>
                <w:lang w:eastAsia="en-AU"/>
              </w:rPr>
              <w:tab/>
            </w:r>
            <w:r w:rsidRPr="00317915">
              <w:rPr>
                <w:rStyle w:val="Hyperlink"/>
                <w:noProof/>
              </w:rPr>
              <w:t>References</w:t>
            </w:r>
            <w:r>
              <w:rPr>
                <w:noProof/>
                <w:webHidden/>
              </w:rPr>
              <w:tab/>
            </w:r>
            <w:r>
              <w:rPr>
                <w:noProof/>
                <w:webHidden/>
              </w:rPr>
              <w:fldChar w:fldCharType="begin"/>
            </w:r>
            <w:r>
              <w:rPr>
                <w:noProof/>
                <w:webHidden/>
              </w:rPr>
              <w:instrText xml:space="preserve"> PAGEREF _Toc475616258 \h </w:instrText>
            </w:r>
            <w:r>
              <w:rPr>
                <w:noProof/>
                <w:webHidden/>
              </w:rPr>
            </w:r>
            <w:r>
              <w:rPr>
                <w:noProof/>
                <w:webHidden/>
              </w:rPr>
              <w:fldChar w:fldCharType="separate"/>
            </w:r>
            <w:r>
              <w:rPr>
                <w:noProof/>
                <w:webHidden/>
              </w:rPr>
              <w:t>178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DF1973" w:rsidRDefault="00DF1973">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561619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7804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AE</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adverse event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ASCO</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American Society of Clinical Oncology</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Pr="00780411" w:rsidRDefault="00A9457F" w:rsidP="00780411">
            <w:r>
              <w:t>BALB</w:t>
            </w:r>
          </w:p>
        </w:tc>
        <w:tc>
          <w:tcPr>
            <w:tcW w:w="6911" w:type="dxa"/>
          </w:tcPr>
          <w:p w:rsidR="00A9457F" w:rsidRPr="00780411" w:rsidRDefault="00A9457F" w:rsidP="00780411">
            <w:pPr>
              <w:cnfStyle w:val="000000000000" w:firstRow="0" w:lastRow="0" w:firstColumn="0" w:lastColumn="0" w:oddVBand="0" w:evenVBand="0" w:oddHBand="0" w:evenHBand="0" w:firstRowFirstColumn="0" w:firstRowLastColumn="0" w:lastRowFirstColumn="0" w:lastRowLastColumn="0"/>
            </w:pPr>
            <w:r w:rsidRPr="00140EA8">
              <w:rPr>
                <w:rFonts w:eastAsiaTheme="minorHAnsi"/>
              </w:rPr>
              <w:t>Baseline serum albumin</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Default="00A9457F" w:rsidP="00780411">
            <w:r w:rsidRPr="00140EA8">
              <w:t>BALT</w:t>
            </w:r>
          </w:p>
        </w:tc>
        <w:tc>
          <w:tcPr>
            <w:tcW w:w="6911" w:type="dxa"/>
          </w:tcPr>
          <w:p w:rsidR="00A9457F" w:rsidRPr="00140EA8" w:rsidRDefault="00A9457F" w:rsidP="00780411">
            <w:pPr>
              <w:cnfStyle w:val="000000000000" w:firstRow="0" w:lastRow="0" w:firstColumn="0" w:lastColumn="0" w:oddVBand="0" w:evenVBand="0" w:oddHBand="0" w:evenHBand="0" w:firstRowFirstColumn="0" w:firstRowLastColumn="0" w:lastRowFirstColumn="0" w:lastRowLastColumn="0"/>
              <w:rPr>
                <w:rFonts w:eastAsiaTheme="minorHAnsi"/>
              </w:rPr>
            </w:pPr>
            <w:r w:rsidRPr="00140EA8">
              <w:rPr>
                <w:rFonts w:eastAsiaTheme="minorHAnsi"/>
              </w:rPr>
              <w:t>Baseline alanine aminotransferase</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Pr="00780411" w:rsidRDefault="00A9457F" w:rsidP="00780411">
            <w:r>
              <w:t>BBSA</w:t>
            </w:r>
          </w:p>
        </w:tc>
        <w:tc>
          <w:tcPr>
            <w:tcW w:w="6911" w:type="dxa"/>
          </w:tcPr>
          <w:p w:rsidR="00A9457F" w:rsidRPr="00780411" w:rsidRDefault="00A9457F" w:rsidP="00780411">
            <w:pPr>
              <w:cnfStyle w:val="000000000000" w:firstRow="0" w:lastRow="0" w:firstColumn="0" w:lastColumn="0" w:oddVBand="0" w:evenVBand="0" w:oddHBand="0" w:evenHBand="0" w:firstRowFirstColumn="0" w:firstRowLastColumn="0" w:lastRowFirstColumn="0" w:lastRowLastColumn="0"/>
            </w:pPr>
            <w:r w:rsidRPr="00140EA8">
              <w:rPr>
                <w:rFonts w:eastAsiaTheme="minorHAnsi"/>
              </w:rPr>
              <w:t>Baseline body surface area</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Default="00A9457F" w:rsidP="00780411">
            <w:r>
              <w:t>BIBW</w:t>
            </w:r>
          </w:p>
        </w:tc>
        <w:tc>
          <w:tcPr>
            <w:tcW w:w="6911" w:type="dxa"/>
          </w:tcPr>
          <w:p w:rsidR="00A9457F" w:rsidRPr="00140EA8" w:rsidRDefault="00A9457F" w:rsidP="00780411">
            <w:pPr>
              <w:cnfStyle w:val="000000000000" w:firstRow="0" w:lastRow="0" w:firstColumn="0" w:lastColumn="0" w:oddVBand="0" w:evenVBand="0" w:oddHBand="0" w:evenHBand="0" w:firstRowFirstColumn="0" w:firstRowLastColumn="0" w:lastRowFirstColumn="0" w:lastRowLastColumn="0"/>
              <w:rPr>
                <w:rFonts w:eastAsiaTheme="minorHAnsi"/>
              </w:rPr>
            </w:pPr>
            <w:r w:rsidRPr="00140EA8">
              <w:rPr>
                <w:rFonts w:eastAsiaTheme="minorHAnsi"/>
              </w:rPr>
              <w:t>Baseline ideal body weight</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Default="00A9457F" w:rsidP="00780411">
            <w:r w:rsidRPr="00FA355C">
              <w:t>BHT</w:t>
            </w:r>
          </w:p>
        </w:tc>
        <w:tc>
          <w:tcPr>
            <w:tcW w:w="6911" w:type="dxa"/>
          </w:tcPr>
          <w:p w:rsidR="00A9457F" w:rsidRPr="00140EA8" w:rsidRDefault="00A9457F" w:rsidP="00780411">
            <w:pPr>
              <w:cnfStyle w:val="000000000000" w:firstRow="0" w:lastRow="0" w:firstColumn="0" w:lastColumn="0" w:oddVBand="0" w:evenVBand="0" w:oddHBand="0" w:evenHBand="0" w:firstRowFirstColumn="0" w:firstRowLastColumn="0" w:lastRowFirstColumn="0" w:lastRowLastColumn="0"/>
              <w:rPr>
                <w:rFonts w:eastAsiaTheme="minorHAnsi"/>
              </w:rPr>
            </w:pPr>
            <w:r w:rsidRPr="00140EA8">
              <w:rPr>
                <w:rFonts w:eastAsiaTheme="minorHAnsi"/>
              </w:rPr>
              <w:t>Baseline height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 xml:space="preserve">BRAFmt </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BRAF mutant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BRAFwt</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BRAF wild-type (not mutated)</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Pr="00780411" w:rsidRDefault="00A9457F" w:rsidP="00780411">
            <w:r w:rsidRPr="00140EA8">
              <w:t>BUDEN</w:t>
            </w:r>
          </w:p>
        </w:tc>
        <w:tc>
          <w:tcPr>
            <w:tcW w:w="6911" w:type="dxa"/>
          </w:tcPr>
          <w:p w:rsidR="00A9457F" w:rsidRPr="00780411" w:rsidRDefault="00A9457F" w:rsidP="00A9457F">
            <w:pPr>
              <w:cnfStyle w:val="000000000000" w:firstRow="0" w:lastRow="0" w:firstColumn="0" w:lastColumn="0" w:oddVBand="0" w:evenVBand="0" w:oddHBand="0" w:evenHBand="0" w:firstRowFirstColumn="0" w:firstRowLastColumn="0" w:lastRowFirstColumn="0" w:lastRowLastColumn="0"/>
            </w:pPr>
            <w:r w:rsidRPr="00140EA8">
              <w:rPr>
                <w:rFonts w:eastAsiaTheme="minorHAnsi"/>
              </w:rPr>
              <w:t>Concomitant</w:t>
            </w:r>
            <w:r>
              <w:rPr>
                <w:rFonts w:ascii="Arial" w:eastAsiaTheme="minorHAnsi" w:hAnsi="Arial" w:cs="Arial"/>
                <w:sz w:val="24"/>
                <w:szCs w:val="24"/>
              </w:rPr>
              <w:t xml:space="preserve"> </w:t>
            </w:r>
            <w:r w:rsidRPr="00140EA8">
              <w:rPr>
                <w:rFonts w:eastAsiaTheme="minorHAnsi"/>
              </w:rPr>
              <w:t>budesonide</w:t>
            </w:r>
            <w:r>
              <w:rPr>
                <w:rFonts w:eastAsiaTheme="minorHAnsi"/>
              </w:rPr>
              <w: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CI</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confidence interval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CSR</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clinical study report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 xml:space="preserve">DTIC </w:t>
            </w:r>
          </w:p>
        </w:tc>
        <w:tc>
          <w:tcPr>
            <w:tcW w:w="6911" w:type="dxa"/>
          </w:tcPr>
          <w:p w:rsidR="00780411" w:rsidRPr="00780411" w:rsidRDefault="00851B52" w:rsidP="00780411">
            <w:pPr>
              <w:cnfStyle w:val="000000000000" w:firstRow="0" w:lastRow="0" w:firstColumn="0" w:lastColumn="0" w:oddVBand="0" w:evenVBand="0" w:oddHBand="0" w:evenHBand="0" w:firstRowFirstColumn="0" w:firstRowLastColumn="0" w:lastRowFirstColumn="0" w:lastRowLastColumn="0"/>
            </w:pPr>
            <w:r>
              <w:t>dacarbazine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EMA</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European Medicines Agency</w:t>
            </w:r>
          </w:p>
        </w:tc>
      </w:tr>
      <w:tr w:rsidR="0039038B" w:rsidTr="00780411">
        <w:tc>
          <w:tcPr>
            <w:cnfStyle w:val="001000000000" w:firstRow="0" w:lastRow="0" w:firstColumn="1" w:lastColumn="0" w:oddVBand="0" w:evenVBand="0" w:oddHBand="0" w:evenHBand="0" w:firstRowFirstColumn="0" w:firstRowLastColumn="0" w:lastRowFirstColumn="0" w:lastRowLastColumn="0"/>
            <w:tcW w:w="1890" w:type="dxa"/>
          </w:tcPr>
          <w:p w:rsidR="0039038B" w:rsidRPr="00780411" w:rsidRDefault="0039038B" w:rsidP="00780411">
            <w:r>
              <w:t>ER</w:t>
            </w:r>
          </w:p>
        </w:tc>
        <w:tc>
          <w:tcPr>
            <w:tcW w:w="6911" w:type="dxa"/>
          </w:tcPr>
          <w:p w:rsidR="0039038B" w:rsidRPr="00780411" w:rsidRDefault="0039038B" w:rsidP="00780411">
            <w:pPr>
              <w:cnfStyle w:val="000000000000" w:firstRow="0" w:lastRow="0" w:firstColumn="0" w:lastColumn="0" w:oddVBand="0" w:evenVBand="0" w:oddHBand="0" w:evenHBand="0" w:firstRowFirstColumn="0" w:firstRowLastColumn="0" w:lastRowFirstColumn="0" w:lastRowLastColumn="0"/>
            </w:pPr>
            <w:r w:rsidRPr="00780411">
              <w:t>exposure-response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ER-OS</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exposure-response overall survival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ER-irAE</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exposure-response immune related adverse event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EU</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European Union</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GCP</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good clinical practice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GI</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gastrointestinal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GIT</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gastrointestinal tract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HR</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hazards ratio</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hr</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hour</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IBE</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Immune Breakthrough Events</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lastRenderedPageBreak/>
              <w:t>irAE</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immune related adverse event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IRC</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independent review committee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irCA</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immune related clinical activity</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OS</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overall survival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PD</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pharmacodynamics</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PFS</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progression free survival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pg</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page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PI</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product information</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PK</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pharmacokinetics</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PopPK</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population pharmacokinetics</w:t>
            </w:r>
          </w:p>
        </w:tc>
      </w:tr>
      <w:tr w:rsidR="00A9457F" w:rsidTr="00780411">
        <w:tc>
          <w:tcPr>
            <w:cnfStyle w:val="001000000000" w:firstRow="0" w:lastRow="0" w:firstColumn="1" w:lastColumn="0" w:oddVBand="0" w:evenVBand="0" w:oddHBand="0" w:evenHBand="0" w:firstRowFirstColumn="0" w:firstRowLastColumn="0" w:lastRowFirstColumn="0" w:lastRowLastColumn="0"/>
            <w:tcW w:w="1890" w:type="dxa"/>
          </w:tcPr>
          <w:p w:rsidR="00A9457F" w:rsidRPr="00780411" w:rsidRDefault="00A9457F" w:rsidP="00780411">
            <w:r>
              <w:t>RACE</w:t>
            </w:r>
          </w:p>
        </w:tc>
        <w:tc>
          <w:tcPr>
            <w:tcW w:w="6911" w:type="dxa"/>
          </w:tcPr>
          <w:p w:rsidR="00A9457F" w:rsidRPr="00780411" w:rsidRDefault="00A9457F" w:rsidP="00780411">
            <w:pPr>
              <w:cnfStyle w:val="000000000000" w:firstRow="0" w:lastRow="0" w:firstColumn="0" w:lastColumn="0" w:oddVBand="0" w:evenVBand="0" w:oddHBand="0" w:evenHBand="0" w:firstRowFirstColumn="0" w:firstRowLastColumn="0" w:lastRowFirstColumn="0" w:lastRowLastColumn="0"/>
            </w:pPr>
            <w:r>
              <w:rPr>
                <w:rFonts w:eastAsiaTheme="minorHAnsi"/>
              </w:rPr>
              <w:t>Race</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SAE</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serious adverse event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TA</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tumour assessment</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ULN</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upper limit of normal</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US</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United States (of America)</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046414" w:rsidP="00780411">
            <w:r>
              <w:t>versus</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versus</w:t>
            </w:r>
          </w:p>
        </w:tc>
      </w:tr>
      <w:tr w:rsidR="00780411" w:rsidTr="00780411">
        <w:tc>
          <w:tcPr>
            <w:cnfStyle w:val="001000000000" w:firstRow="0" w:lastRow="0" w:firstColumn="1" w:lastColumn="0" w:oddVBand="0" w:evenVBand="0" w:oddHBand="0" w:evenHBand="0" w:firstRowFirstColumn="0" w:firstRowLastColumn="0" w:lastRowFirstColumn="0" w:lastRowLastColumn="0"/>
            <w:tcW w:w="1890" w:type="dxa"/>
          </w:tcPr>
          <w:p w:rsidR="00780411" w:rsidRPr="00780411" w:rsidRDefault="00780411" w:rsidP="00780411">
            <w:r w:rsidRPr="00780411">
              <w:t>wk</w:t>
            </w:r>
          </w:p>
        </w:tc>
        <w:tc>
          <w:tcPr>
            <w:tcW w:w="6911" w:type="dxa"/>
          </w:tcPr>
          <w:p w:rsidR="00780411" w:rsidRPr="00780411" w:rsidRDefault="00780411" w:rsidP="00780411">
            <w:pPr>
              <w:cnfStyle w:val="000000000000" w:firstRow="0" w:lastRow="0" w:firstColumn="0" w:lastColumn="0" w:oddVBand="0" w:evenVBand="0" w:oddHBand="0" w:evenHBand="0" w:firstRowFirstColumn="0" w:firstRowLastColumn="0" w:lastRowFirstColumn="0" w:lastRowLastColumn="0"/>
            </w:pPr>
            <w:r w:rsidRPr="00780411">
              <w:t>week</w:t>
            </w:r>
          </w:p>
        </w:tc>
      </w:tr>
    </w:tbl>
    <w:p w:rsidR="00780411" w:rsidRDefault="00780411" w:rsidP="0043797D">
      <w:pPr>
        <w:pStyle w:val="Heading2"/>
        <w:pageBreakBefore/>
        <w:rPr>
          <w:lang w:eastAsia="en-AU"/>
        </w:rPr>
      </w:pPr>
      <w:bookmarkStart w:id="8" w:name="_Toc351718900"/>
      <w:bookmarkStart w:id="9" w:name="_Toc355338635"/>
      <w:bookmarkStart w:id="10" w:name="_Toc475616196"/>
      <w:r>
        <w:rPr>
          <w:lang w:eastAsia="en-AU"/>
        </w:rPr>
        <w:lastRenderedPageBreak/>
        <w:t>Background</w:t>
      </w:r>
      <w:bookmarkEnd w:id="10"/>
    </w:p>
    <w:p w:rsidR="00780411" w:rsidRPr="00DF1973" w:rsidRDefault="00780411" w:rsidP="00DF1973">
      <w:pPr>
        <w:pStyle w:val="Heading3"/>
      </w:pPr>
      <w:bookmarkStart w:id="11" w:name="_Toc272414595"/>
      <w:bookmarkStart w:id="12" w:name="_Toc290846217"/>
      <w:bookmarkStart w:id="13" w:name="_Toc390676161"/>
      <w:bookmarkStart w:id="14" w:name="_Toc475616197"/>
      <w:r w:rsidRPr="00DF1973">
        <w:t>Submission type</w:t>
      </w:r>
      <w:bookmarkEnd w:id="11"/>
      <w:bookmarkEnd w:id="12"/>
      <w:bookmarkEnd w:id="13"/>
      <w:bookmarkEnd w:id="14"/>
    </w:p>
    <w:p w:rsidR="00780411" w:rsidRPr="00DF1973" w:rsidRDefault="00780411" w:rsidP="00DF1973">
      <w:r w:rsidRPr="00DF1973">
        <w:t xml:space="preserve">This application is for the extension of indication for </w:t>
      </w:r>
      <w:r w:rsidR="00F22D76">
        <w:t>ipilimumab</w:t>
      </w:r>
      <w:r w:rsidRPr="00DF1973">
        <w:t xml:space="preserve"> </w:t>
      </w:r>
      <w:r w:rsidR="00C108F1">
        <w:t>3 mg</w:t>
      </w:r>
      <w:r w:rsidRPr="00DF1973">
        <w:t>/kg monotherapy as second line therapy in previously treated patients with advanced melanoma, to the first line setting in previously untreated patients.</w:t>
      </w:r>
    </w:p>
    <w:p w:rsidR="00780411" w:rsidRPr="00DF1973" w:rsidRDefault="00780411" w:rsidP="00DF1973">
      <w:pPr>
        <w:pStyle w:val="Heading3"/>
      </w:pPr>
      <w:bookmarkStart w:id="15" w:name="_Toc272414596"/>
      <w:bookmarkStart w:id="16" w:name="_Toc290846218"/>
      <w:bookmarkStart w:id="17" w:name="_Toc390676162"/>
      <w:bookmarkStart w:id="18" w:name="_Toc475616198"/>
      <w:r w:rsidRPr="00DF1973">
        <w:t>Drug class and therapeutic indication</w:t>
      </w:r>
      <w:bookmarkEnd w:id="15"/>
      <w:bookmarkEnd w:id="16"/>
      <w:bookmarkEnd w:id="17"/>
      <w:bookmarkEnd w:id="18"/>
    </w:p>
    <w:p w:rsidR="00780411" w:rsidRPr="00DF1973" w:rsidRDefault="00780411" w:rsidP="00DF1973">
      <w:r w:rsidRPr="00DF1973">
        <w:t>The drug is a fully human anti-human IgG1-</w:t>
      </w:r>
      <w:r w:rsidR="00050C3A">
        <w:t>ϗ</w:t>
      </w:r>
      <w:r w:rsidRPr="00DF1973">
        <w:t xml:space="preserve"> monoclonal</w:t>
      </w:r>
      <w:r w:rsidR="00770DD1">
        <w:t xml:space="preserve"> antibody targeting cytotoxic T</w:t>
      </w:r>
      <w:r w:rsidR="00770DD1">
        <w:noBreakHyphen/>
      </w:r>
      <w:r w:rsidRPr="00DF1973">
        <w:t>lymphocyt</w:t>
      </w:r>
      <w:r w:rsidR="00547588" w:rsidRPr="00DF1973">
        <w:t xml:space="preserve">e antigen 4 (CTLA-4 or CD152). </w:t>
      </w:r>
      <w:r w:rsidRPr="00DF1973">
        <w:t>The proposed mechanism of action is through removal of inhibitory signals mediated through interaction between CTLA-4 on T-lymphocytes and B7 molecules (CD80 and CD86) on antigen presenting cells, with subsequent activation and potentiation of anti-tumour immune response.</w:t>
      </w:r>
    </w:p>
    <w:p w:rsidR="00780411" w:rsidRPr="00DF1973" w:rsidRDefault="00780411" w:rsidP="00DF1973">
      <w:r w:rsidRPr="00DF1973">
        <w:t xml:space="preserve">The proposed indication is to include use as first line therapy for patients </w:t>
      </w:r>
      <w:r w:rsidR="00C108F1">
        <w:t>‘</w:t>
      </w:r>
      <w:r w:rsidRPr="00DF1973">
        <w:t>who have not been previously treated with prior therapies</w:t>
      </w:r>
      <w:r w:rsidR="00C108F1">
        <w:t>’</w:t>
      </w:r>
      <w:r w:rsidRPr="00DF1973">
        <w:t>.</w:t>
      </w:r>
    </w:p>
    <w:p w:rsidR="00780411" w:rsidRPr="00DF1973" w:rsidRDefault="00780411" w:rsidP="00DF1973">
      <w:pPr>
        <w:pStyle w:val="Heading3"/>
      </w:pPr>
      <w:bookmarkStart w:id="19" w:name="_Toc272414597"/>
      <w:bookmarkStart w:id="20" w:name="_Toc290846219"/>
      <w:bookmarkStart w:id="21" w:name="_Toc390676163"/>
      <w:bookmarkStart w:id="22" w:name="_Toc475616199"/>
      <w:r w:rsidRPr="00DF1973">
        <w:t>Dosage forms and strengths</w:t>
      </w:r>
      <w:bookmarkEnd w:id="19"/>
      <w:bookmarkEnd w:id="20"/>
      <w:bookmarkEnd w:id="21"/>
      <w:bookmarkEnd w:id="22"/>
    </w:p>
    <w:p w:rsidR="00050C3A" w:rsidRDefault="00050C3A" w:rsidP="00DF1973">
      <w:r w:rsidRPr="00DF1973">
        <w:t>No new dosage forms or strengths are proposed</w:t>
      </w:r>
      <w:r>
        <w:t>.</w:t>
      </w:r>
    </w:p>
    <w:p w:rsidR="00780411" w:rsidRPr="00DF1973" w:rsidRDefault="00780411" w:rsidP="00DF1973">
      <w:r w:rsidRPr="00DF1973">
        <w:t>The following dosage forms and strengths are currently registered:</w:t>
      </w:r>
    </w:p>
    <w:p w:rsidR="00780411" w:rsidRPr="00DF1973" w:rsidRDefault="00C108F1" w:rsidP="00DF1973">
      <w:r>
        <w:t>3 mg</w:t>
      </w:r>
      <w:r w:rsidR="00780411" w:rsidRPr="00DF1973">
        <w:t>/kg for a maximum of 4 doses of Yervoy/Winglore (</w:t>
      </w:r>
      <w:r w:rsidR="00F22D76">
        <w:t>ipilimumab</w:t>
      </w:r>
      <w:r w:rsidR="00780411" w:rsidRPr="00DF1973">
        <w:t>) in the form of 200</w:t>
      </w:r>
      <w:r w:rsidR="00770DD1">
        <w:t xml:space="preserve"> </w:t>
      </w:r>
      <w:r w:rsidR="00780411" w:rsidRPr="00DF1973">
        <w:t>mg in 40</w:t>
      </w:r>
      <w:r w:rsidR="00277C6F">
        <w:t xml:space="preserve"> ml</w:t>
      </w:r>
      <w:r w:rsidR="00780411" w:rsidRPr="00DF1973">
        <w:t xml:space="preserve"> and 50</w:t>
      </w:r>
      <w:r w:rsidR="00770DD1">
        <w:t xml:space="preserve"> </w:t>
      </w:r>
      <w:r w:rsidR="00780411" w:rsidRPr="00DF1973">
        <w:t>mg in 10</w:t>
      </w:r>
      <w:r w:rsidR="00277C6F">
        <w:t xml:space="preserve"> ml</w:t>
      </w:r>
      <w:r w:rsidR="00780411" w:rsidRPr="00DF1973">
        <w:t>, intravenously.</w:t>
      </w:r>
      <w:r w:rsidR="00050C3A">
        <w:t xml:space="preserve"> </w:t>
      </w:r>
      <w:r w:rsidR="00780411" w:rsidRPr="00DF1973">
        <w:t>Winglore is not marketed in Australia.</w:t>
      </w:r>
    </w:p>
    <w:p w:rsidR="00780411" w:rsidRPr="00DF1973" w:rsidRDefault="00780411" w:rsidP="00DF1973">
      <w:pPr>
        <w:pStyle w:val="Heading3"/>
      </w:pPr>
      <w:bookmarkStart w:id="23" w:name="_Toc272414598"/>
      <w:bookmarkStart w:id="24" w:name="_Toc290846220"/>
      <w:bookmarkStart w:id="25" w:name="_Toc390676164"/>
      <w:bookmarkStart w:id="26" w:name="_Toc475616200"/>
      <w:r w:rsidRPr="00DF1973">
        <w:t>Dosage and administration</w:t>
      </w:r>
      <w:bookmarkEnd w:id="23"/>
      <w:bookmarkEnd w:id="24"/>
      <w:bookmarkEnd w:id="25"/>
      <w:bookmarkEnd w:id="26"/>
    </w:p>
    <w:p w:rsidR="00780411" w:rsidRPr="00DF1973" w:rsidRDefault="00780411" w:rsidP="00DF1973">
      <w:r w:rsidRPr="00DF1973">
        <w:t>The dosage and administration are unchanged to previous.</w:t>
      </w:r>
    </w:p>
    <w:p w:rsidR="00780411" w:rsidRDefault="00586F98" w:rsidP="00780411">
      <w:pPr>
        <w:pStyle w:val="Heading2"/>
      </w:pPr>
      <w:bookmarkStart w:id="27" w:name="_Toc475616201"/>
      <w:r>
        <w:t>Clinical rationale</w:t>
      </w:r>
      <w:bookmarkEnd w:id="27"/>
    </w:p>
    <w:p w:rsidR="00780411" w:rsidRPr="00DF1973" w:rsidRDefault="00780411" w:rsidP="00DF1973">
      <w:r w:rsidRPr="00DF1973">
        <w:t xml:space="preserve">Metastatic melanoma is a disease that has previously lacked therapeutic options which provide meaningful survival benefit, with a median overall survival (OS) of 6 </w:t>
      </w:r>
      <w:r w:rsidR="00547588" w:rsidRPr="00DF1973">
        <w:t xml:space="preserve">to 9 months without treatment. </w:t>
      </w:r>
      <w:r w:rsidRPr="00DF1973">
        <w:t>The global incidence and mortality</w:t>
      </w:r>
      <w:r w:rsidR="00547588" w:rsidRPr="00DF1973">
        <w:t xml:space="preserve"> of the disease is increasing. </w:t>
      </w:r>
      <w:r w:rsidRPr="00DF1973">
        <w:t xml:space="preserve">The standard of care for systemic therapy has included </w:t>
      </w:r>
      <w:r w:rsidR="00851B52">
        <w:t>dacarbazine</w:t>
      </w:r>
      <w:r w:rsidRPr="00DF1973">
        <w:t xml:space="preserve"> (DTIC), Fotemustine, or interleukin-2 (IL-2), none of which p</w:t>
      </w:r>
      <w:r w:rsidR="00547588" w:rsidRPr="00DF1973">
        <w:t xml:space="preserve">rovide any survival advantage. </w:t>
      </w:r>
      <w:r w:rsidRPr="00DF1973">
        <w:t>Identification of defining BRAF mutant (BRAFmt) molecular subtype in approximately 50% of melanomas has permitted successful development of targeted therapeutic options.</w:t>
      </w:r>
    </w:p>
    <w:p w:rsidR="00780411" w:rsidRPr="00DF1973" w:rsidRDefault="00780411" w:rsidP="00DF1973">
      <w:r w:rsidRPr="00DF1973">
        <w:t>Recently both targeted (BRAF/MEK inhibitors) and immunomodulatory (</w:t>
      </w:r>
      <w:r w:rsidR="00F22D76">
        <w:t>ipilimumab</w:t>
      </w:r>
      <w:r w:rsidRPr="00DF1973">
        <w:t>) therapies have been approved in the US and EU for the treatment of patients with advanced disease, on the basis of significantly impr</w:t>
      </w:r>
      <w:r w:rsidR="00547588" w:rsidRPr="00DF1973">
        <w:t xml:space="preserve">oved overall survival benefit. </w:t>
      </w:r>
      <w:r w:rsidRPr="00DF1973">
        <w:t xml:space="preserve">In MDX010-20, </w:t>
      </w:r>
      <w:r w:rsidR="00F22D76">
        <w:t>ipilimumab</w:t>
      </w:r>
      <w:r w:rsidRPr="00DF1973">
        <w:t xml:space="preserve"> improved OS by 32 to 34% (HRs 0.68 and 0.66) and median OS by approximately 4 months for the two </w:t>
      </w:r>
      <w:r w:rsidR="00F22D76">
        <w:t>ipilimumab</w:t>
      </w:r>
      <w:r w:rsidR="00F02419">
        <w:t xml:space="preserve"> </w:t>
      </w:r>
      <w:r w:rsidRPr="00DF1973">
        <w:t xml:space="preserve">containing groups compared with the gp100 control group. The long-term survival effect of </w:t>
      </w:r>
      <w:r w:rsidR="00F22D76">
        <w:t>ipilimumab</w:t>
      </w:r>
      <w:r w:rsidRPr="00DF1973">
        <w:t xml:space="preserve"> was reflected in the estimated </w:t>
      </w:r>
      <w:r w:rsidR="009730D1">
        <w:t>1 year</w:t>
      </w:r>
      <w:r w:rsidRPr="00DF1973">
        <w:t xml:space="preserve"> and </w:t>
      </w:r>
      <w:r w:rsidR="00864309">
        <w:t>2 year</w:t>
      </w:r>
      <w:r w:rsidRPr="00DF1973">
        <w:t xml:space="preserve"> survival rates, which were consistently higher for the </w:t>
      </w:r>
      <w:r w:rsidR="00F22D76">
        <w:t>ipilimumab</w:t>
      </w:r>
      <w:r w:rsidRPr="00DF1973">
        <w:t xml:space="preserve">-containing treatment groups relative to the gp100 group. The estimated </w:t>
      </w:r>
      <w:r w:rsidR="00864309">
        <w:t>2 year</w:t>
      </w:r>
      <w:r w:rsidRPr="00DF1973">
        <w:t xml:space="preserve"> survival rate was 24% among subjects in the 3 mg/kg </w:t>
      </w:r>
      <w:r w:rsidR="00F22D76">
        <w:t>ipilimumab</w:t>
      </w:r>
      <w:r w:rsidRPr="00DF1973">
        <w:t xml:space="preserve"> group, compared with 14% in the control group. Furthermore, with respect to therapy targeting BRAFmt, the development of resistance is common. Currently in Australia, </w:t>
      </w:r>
      <w:r w:rsidR="00F22D76">
        <w:lastRenderedPageBreak/>
        <w:t>ipilimumab</w:t>
      </w:r>
      <w:r w:rsidRPr="00DF1973">
        <w:t xml:space="preserve"> is approved for use as monotherapy at a </w:t>
      </w:r>
      <w:r w:rsidR="00C108F1">
        <w:t>3 mg</w:t>
      </w:r>
      <w:r w:rsidRPr="00DF1973">
        <w:t xml:space="preserve">/kg dosing for a maximum of 4 doses for use in patients who have </w:t>
      </w:r>
      <w:r w:rsidR="009730D1">
        <w:t>un-resectable</w:t>
      </w:r>
      <w:r w:rsidRPr="00DF1973">
        <w:t xml:space="preserve"> stage III or IV melanoma.</w:t>
      </w:r>
    </w:p>
    <w:p w:rsidR="00780411" w:rsidRPr="00DF1973" w:rsidRDefault="00780411" w:rsidP="00DF1973">
      <w:r w:rsidRPr="00DF1973">
        <w:t xml:space="preserve">The current application seeks to extend the indication for treatment of metastatic melanoma with </w:t>
      </w:r>
      <w:r w:rsidR="00F22D76">
        <w:t>ipilimumab</w:t>
      </w:r>
      <w:r w:rsidRPr="00DF1973">
        <w:t xml:space="preserve"> from the second line setting (after prior therapy), to the first line setting (treatment naive patients), </w:t>
      </w:r>
      <w:r w:rsidR="00C108F1">
        <w:t>‘</w:t>
      </w:r>
      <w:r w:rsidRPr="00F02419">
        <w:rPr>
          <w:i/>
        </w:rPr>
        <w:t>for the treatment of advanced (</w:t>
      </w:r>
      <w:r w:rsidR="009730D1" w:rsidRPr="00F02419">
        <w:rPr>
          <w:i/>
        </w:rPr>
        <w:t>un-resectable</w:t>
      </w:r>
      <w:r w:rsidRPr="00F02419">
        <w:rPr>
          <w:i/>
        </w:rPr>
        <w:t xml:space="preserve"> or metastatic) melanoma in adults</w:t>
      </w:r>
      <w:r w:rsidR="00C108F1">
        <w:t>’</w:t>
      </w:r>
      <w:r w:rsidRPr="00DF1973">
        <w:t xml:space="preserve"> at the </w:t>
      </w:r>
      <w:r w:rsidR="00C108F1">
        <w:t>3 mg</w:t>
      </w:r>
      <w:r w:rsidRPr="00DF1973">
        <w:t>/kg posology.</w:t>
      </w:r>
    </w:p>
    <w:p w:rsidR="00780411" w:rsidRPr="00DF1973" w:rsidRDefault="00780411" w:rsidP="00DF1973">
      <w:r w:rsidRPr="00DF1973">
        <w:t xml:space="preserve">The application has been made on the basis of the unmet need for effective therapeutic options for previously untreated patients with advanced melanoma. The rationale proposed by the </w:t>
      </w:r>
      <w:r w:rsidR="005F5E22">
        <w:t>sponsor</w:t>
      </w:r>
      <w:r w:rsidRPr="00DF1973">
        <w:t xml:space="preserve"> in support of this application includes; the provision of durable survival advantage provided by the drug f</w:t>
      </w:r>
      <w:r w:rsidR="00284E81">
        <w:t>or untreated patients in one P</w:t>
      </w:r>
      <w:r w:rsidRPr="00DF1973">
        <w:t xml:space="preserve">hase III study using a </w:t>
      </w:r>
      <w:r w:rsidR="00C108F1">
        <w:t>10 mg</w:t>
      </w:r>
      <w:r w:rsidRPr="00DF1973">
        <w:t xml:space="preserve">/kg dosing administered concurrently with </w:t>
      </w:r>
      <w:r w:rsidR="00851B52">
        <w:t>dacarbazine</w:t>
      </w:r>
      <w:r w:rsidRPr="00DF1973">
        <w:t xml:space="preserve"> (DTIC), the survival advantage provided for previously t</w:t>
      </w:r>
      <w:r w:rsidR="00284E81">
        <w:t>reated patients in one pivotal P</w:t>
      </w:r>
      <w:r w:rsidRPr="00DF1973">
        <w:t xml:space="preserve">hase III study using a </w:t>
      </w:r>
      <w:r w:rsidR="00C108F1">
        <w:t>3 mg</w:t>
      </w:r>
      <w:r w:rsidRPr="00DF1973">
        <w:t xml:space="preserve">/kg posology (MDX010-20, previously evaluated), the survival benefit provided by the </w:t>
      </w:r>
      <w:r w:rsidR="00C108F1">
        <w:t>3 mg</w:t>
      </w:r>
      <w:r w:rsidRPr="00DF1973">
        <w:t>/kg dosing schedule for previously treated and untreated patients from pooled analyses, the propensity for resistance development for targeted therapies, and the ongoing need for therapeutic options for patients with BRAF wild-type (BRAFwt, not mutated) tumours.</w:t>
      </w:r>
    </w:p>
    <w:p w:rsidR="00780411" w:rsidRPr="00F02419" w:rsidRDefault="00050C3A" w:rsidP="00050C3A">
      <w:pPr>
        <w:pStyle w:val="Comment"/>
        <w:ind w:left="1134" w:hanging="1134"/>
      </w:pPr>
      <w:r>
        <w:rPr>
          <w:b/>
        </w:rPr>
        <w:t>C</w:t>
      </w:r>
      <w:r w:rsidR="006E15A4" w:rsidRPr="00F02419">
        <w:rPr>
          <w:b/>
        </w:rPr>
        <w:t>omment</w:t>
      </w:r>
      <w:r w:rsidR="00780411" w:rsidRPr="00050C3A">
        <w:rPr>
          <w:b/>
        </w:rPr>
        <w:t>:</w:t>
      </w:r>
      <w:r w:rsidR="00780411" w:rsidRPr="00F02419">
        <w:t xml:space="preserve"> With respect to the </w:t>
      </w:r>
      <w:r w:rsidR="005F5E22" w:rsidRPr="00F02419">
        <w:t>sponsor</w:t>
      </w:r>
      <w:r w:rsidR="00780411" w:rsidRPr="00F02419">
        <w:t>’s rationale for the application described above, whilst the clinical need does exist for more effective therapeutic options for previously treated and untreated patients with advanced melanoma (irrespective of mutational status), the majority of submitted data reference in support of the rationale is not directly relevant to the proposed usage in the application. The referenced studies described above include those with a different posology (</w:t>
      </w:r>
      <w:r w:rsidR="00F02419">
        <w:t>10 </w:t>
      </w:r>
      <w:r w:rsidR="00C108F1" w:rsidRPr="00F02419">
        <w:t>mg</w:t>
      </w:r>
      <w:r w:rsidR="00780411" w:rsidRPr="00F02419">
        <w:t>/kg), different treatment schedule (combination therapy), include maintenance treatment (compared to monotherapy) and evaluates a population that differs from that in the application. Thus, the submitted data does not meet the guidelines of good statistical principles of clinical trial conduct with limited external validity.</w:t>
      </w:r>
    </w:p>
    <w:p w:rsidR="00780411" w:rsidRPr="00DF1973" w:rsidRDefault="00780411" w:rsidP="00050C3A">
      <w:pPr>
        <w:ind w:left="1134"/>
      </w:pPr>
      <w:r w:rsidRPr="00DF1973">
        <w:t>However, this inclusion of data is in line with t</w:t>
      </w:r>
      <w:r w:rsidR="00050C3A">
        <w:t>he pre-submission meeting notes.</w:t>
      </w:r>
    </w:p>
    <w:p w:rsidR="00586F98" w:rsidRDefault="00586F98" w:rsidP="00586F98">
      <w:pPr>
        <w:pStyle w:val="Heading2"/>
        <w:rPr>
          <w:lang w:eastAsia="en-AU"/>
        </w:rPr>
      </w:pPr>
      <w:bookmarkStart w:id="28" w:name="_Toc475616202"/>
      <w:r>
        <w:rPr>
          <w:lang w:eastAsia="en-AU"/>
        </w:rPr>
        <w:t>Contents of the clinical dossier</w:t>
      </w:r>
      <w:bookmarkEnd w:id="8"/>
      <w:bookmarkEnd w:id="9"/>
      <w:bookmarkEnd w:id="28"/>
    </w:p>
    <w:p w:rsidR="00586F98" w:rsidRDefault="00586F98" w:rsidP="00586F98">
      <w:pPr>
        <w:pStyle w:val="Heading3"/>
      </w:pPr>
      <w:bookmarkStart w:id="29" w:name="_Toc475616203"/>
      <w:r>
        <w:t>Scope of the clinical dossier</w:t>
      </w:r>
      <w:bookmarkEnd w:id="29"/>
    </w:p>
    <w:p w:rsidR="00C43604" w:rsidRPr="00DF1973" w:rsidRDefault="00C43604" w:rsidP="00DF1973">
      <w:r w:rsidRPr="00DF1973">
        <w:t>There were no studies included in the dossier that investigated the treatment schedule of the proposed usage in the appropriate population for the current application.</w:t>
      </w:r>
    </w:p>
    <w:p w:rsidR="00C43604" w:rsidRPr="00DF1973" w:rsidRDefault="00C43604" w:rsidP="00DF1973">
      <w:r w:rsidRPr="00DF1973">
        <w:t xml:space="preserve">The clinical dossier focused on the provision of new and collated data supportive of the efficacy of the drug in the treated and untreated population, at both the </w:t>
      </w:r>
      <w:r w:rsidR="00C108F1">
        <w:t>3 mg</w:t>
      </w:r>
      <w:r w:rsidRPr="00DF1973">
        <w:t xml:space="preserve">/kg and </w:t>
      </w:r>
      <w:r w:rsidR="00C108F1">
        <w:t>10 mg</w:t>
      </w:r>
      <w:r w:rsidRPr="00DF1973">
        <w:t>/kg dosing, as combination therapy and as monotherapy, with other additional information in support of proposed changes to the PI.</w:t>
      </w:r>
    </w:p>
    <w:p w:rsidR="00C43604" w:rsidRPr="00DF1973" w:rsidRDefault="00C43604" w:rsidP="00DF1973">
      <w:r w:rsidRPr="00DF1973">
        <w:t xml:space="preserve">The majority of the new data submitted is summarised in </w:t>
      </w:r>
      <w:r w:rsidRPr="00F02419">
        <w:t>Table 1</w:t>
      </w:r>
      <w:r w:rsidRPr="00DF1973">
        <w:t xml:space="preserve"> according to relevance to pharmacokinetics, pharmacodynamics, efficacy, and safety.</w:t>
      </w:r>
    </w:p>
    <w:p w:rsidR="00C43604" w:rsidRPr="00C43604" w:rsidRDefault="00C43604" w:rsidP="00C43604">
      <w:pPr>
        <w:pStyle w:val="Tabletitle"/>
      </w:pPr>
      <w:bookmarkStart w:id="30" w:name="_Toc390676285"/>
      <w:r w:rsidRPr="00C43604">
        <w:lastRenderedPageBreak/>
        <w:t xml:space="preserve">Table </w:t>
      </w:r>
      <w:r w:rsidR="00CF0E37">
        <w:t>1:</w:t>
      </w:r>
      <w:r w:rsidR="00F02419">
        <w:t xml:space="preserve"> </w:t>
      </w:r>
      <w:r w:rsidRPr="00C43604">
        <w:t>Summary of major individual data sources subm</w:t>
      </w:r>
      <w:r w:rsidR="00F02419">
        <w:t>itted for clinical evaluation</w:t>
      </w:r>
      <w:bookmarkEnd w:id="30"/>
    </w:p>
    <w:p w:rsidR="00C43604" w:rsidRDefault="00C43604" w:rsidP="00770DD1">
      <w:pPr>
        <w:tabs>
          <w:tab w:val="left" w:pos="3969"/>
        </w:tabs>
      </w:pPr>
      <w:r w:rsidRPr="00F02419">
        <w:rPr>
          <w:noProof/>
          <w:lang w:eastAsia="en-AU"/>
        </w:rPr>
        <w:drawing>
          <wp:inline distT="0" distB="0" distL="0" distR="0" wp14:anchorId="5AC21C4C" wp14:editId="63C464CD">
            <wp:extent cx="5532120" cy="2918460"/>
            <wp:effectExtent l="0" t="0" r="0" b="0"/>
            <wp:docPr id="1" name="Picture 1" descr="Table 1: Summary of major individual data sources submitted for clinic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2120" cy="2918460"/>
                    </a:xfrm>
                    <a:prstGeom prst="rect">
                      <a:avLst/>
                    </a:prstGeom>
                  </pic:spPr>
                </pic:pic>
              </a:graphicData>
            </a:graphic>
          </wp:inline>
        </w:drawing>
      </w:r>
    </w:p>
    <w:p w:rsidR="00C43604" w:rsidRPr="00BA1CF5" w:rsidRDefault="00C108F1" w:rsidP="00F02419">
      <w:pPr>
        <w:pStyle w:val="TableDescription"/>
      </w:pPr>
      <w:r>
        <w:t>‘</w:t>
      </w:r>
      <w:proofErr w:type="gramStart"/>
      <w:r w:rsidR="00C43604" w:rsidRPr="00BA1CF5">
        <w:t>x</w:t>
      </w:r>
      <w:proofErr w:type="gramEnd"/>
      <w:r>
        <w:t>’</w:t>
      </w:r>
      <w:r w:rsidR="00C43604" w:rsidRPr="00BA1CF5">
        <w:t xml:space="preserve"> indicates relevant data is present; </w:t>
      </w:r>
      <w:r>
        <w:t>‘</w:t>
      </w:r>
      <w:r w:rsidR="00C43604" w:rsidRPr="00BA1CF5">
        <w:t>-</w:t>
      </w:r>
      <w:r>
        <w:t>’</w:t>
      </w:r>
      <w:r w:rsidR="00C43604" w:rsidRPr="00BA1CF5">
        <w:t xml:space="preserve"> no data is present.</w:t>
      </w:r>
      <w:r w:rsidR="00BA1CF5">
        <w:t xml:space="preserve"> </w:t>
      </w:r>
      <w:r w:rsidR="00C43604" w:rsidRPr="00BA1CF5">
        <w:t>Combination (C) Extended Access Program (EAP) Monotherapy (M) Observational (Ob) Pharmacokinetics (PK) Pharmacodynamics (PD) Population PK (PopPK)</w:t>
      </w:r>
    </w:p>
    <w:p w:rsidR="00C43604" w:rsidRPr="00BA1CF5" w:rsidRDefault="00C43604" w:rsidP="00C43604">
      <w:r w:rsidRPr="00BA1CF5">
        <w:t xml:space="preserve">Three </w:t>
      </w:r>
      <w:r w:rsidR="00770DD1" w:rsidRPr="00BA1CF5">
        <w:t>completed clinical study reports</w:t>
      </w:r>
      <w:r w:rsidR="00BA1CF5">
        <w:t>;</w:t>
      </w:r>
    </w:p>
    <w:p w:rsidR="00C43604" w:rsidRPr="00C43604" w:rsidRDefault="00C43604" w:rsidP="00BA1CF5">
      <w:pPr>
        <w:pStyle w:val="ListBullet"/>
      </w:pPr>
      <w:r w:rsidRPr="00C43604">
        <w:t xml:space="preserve">Phase III CA184024 (Mod5351) for efficacy, safety and pharmacokinetic data for </w:t>
      </w:r>
      <w:r w:rsidR="00F22D76">
        <w:t>ipilimumab</w:t>
      </w:r>
      <w:r w:rsidRPr="00C43604">
        <w:t xml:space="preserve"> 10</w:t>
      </w:r>
      <w:r w:rsidR="00BA1CF5">
        <w:t xml:space="preserve"> </w:t>
      </w:r>
      <w:r w:rsidRPr="00C43604">
        <w:t>mg/kg in combination with DTIC, with a maintenance phase.</w:t>
      </w:r>
    </w:p>
    <w:p w:rsidR="00C43604" w:rsidRPr="00C43604" w:rsidRDefault="00C43604" w:rsidP="00BA1CF5">
      <w:pPr>
        <w:pStyle w:val="ListBullet"/>
      </w:pPr>
      <w:r w:rsidRPr="00C43604">
        <w:t xml:space="preserve">Phase II CA184042 (Mod 5352) for efficacy, and safety for </w:t>
      </w:r>
      <w:r w:rsidR="00F22D76">
        <w:t>ipilimumab</w:t>
      </w:r>
      <w:r w:rsidRPr="00C43604">
        <w:t xml:space="preserve"> 10</w:t>
      </w:r>
      <w:r w:rsidR="00BA1CF5">
        <w:t xml:space="preserve"> </w:t>
      </w:r>
      <w:r w:rsidRPr="00C43604">
        <w:t>mg/kg monotherapy (with a maintenance phase) for patients with brain metastases with or without concurrent steroid use.</w:t>
      </w:r>
    </w:p>
    <w:p w:rsidR="00C43604" w:rsidRPr="00C43604" w:rsidRDefault="00C43604" w:rsidP="00BA1CF5">
      <w:pPr>
        <w:pStyle w:val="ListBullet"/>
      </w:pPr>
      <w:r w:rsidRPr="00C43604">
        <w:t xml:space="preserve">Phase I CA184078 (Mod 5342) pharmacokinetic, pharmacodynamic, safety data and secondary efficacy data of </w:t>
      </w:r>
      <w:r w:rsidR="00F22D76">
        <w:t>ipilimumab</w:t>
      </w:r>
      <w:r w:rsidRPr="00C43604">
        <w:t xml:space="preserve"> 10</w:t>
      </w:r>
      <w:r w:rsidR="00BA1CF5">
        <w:t xml:space="preserve"> </w:t>
      </w:r>
      <w:r w:rsidRPr="00C43604">
        <w:t>mg/kg monotherapy and as combination therapy (all with a maintenance phase).</w:t>
      </w:r>
    </w:p>
    <w:p w:rsidR="00C43604" w:rsidRPr="00F02419" w:rsidRDefault="00050C3A" w:rsidP="00050C3A">
      <w:pPr>
        <w:pStyle w:val="Comment"/>
        <w:ind w:left="1134" w:hanging="1134"/>
      </w:pPr>
      <w:r>
        <w:rPr>
          <w:b/>
        </w:rPr>
        <w:t>C</w:t>
      </w:r>
      <w:r w:rsidR="006E15A4" w:rsidRPr="00F02419">
        <w:rPr>
          <w:b/>
        </w:rPr>
        <w:t>omment</w:t>
      </w:r>
      <w:r w:rsidR="00BA1CF5" w:rsidRPr="00050C3A">
        <w:rPr>
          <w:b/>
        </w:rPr>
        <w:t>:</w:t>
      </w:r>
      <w:r w:rsidR="00BA1CF5" w:rsidRPr="00F02419">
        <w:t xml:space="preserve"> The s</w:t>
      </w:r>
      <w:r w:rsidR="00C43604" w:rsidRPr="00F02419">
        <w:t xml:space="preserve">ponsor indicates that CA184024 and CA184078 are </w:t>
      </w:r>
      <w:r w:rsidR="00C108F1" w:rsidRPr="00F02419">
        <w:t>‘</w:t>
      </w:r>
      <w:r w:rsidR="00C43604" w:rsidRPr="00F02419">
        <w:t>pertinent</w:t>
      </w:r>
      <w:r w:rsidR="00C108F1" w:rsidRPr="00F02419">
        <w:t>’</w:t>
      </w:r>
      <w:r w:rsidR="00C43604" w:rsidRPr="00F02419">
        <w:t xml:space="preserve"> to the claimed indication. However these studies utilise a different posology, combination therapy and a maintenance schedule in contrast to the current application. Furthermore, the latter study has small numbers (n = 59) and has a Phase I design. Thus, these studies provide limited relevant evidence.</w:t>
      </w:r>
    </w:p>
    <w:p w:rsidR="00C43604" w:rsidRPr="00BA1CF5" w:rsidRDefault="00C43604" w:rsidP="00C43604">
      <w:r w:rsidRPr="00BA1CF5">
        <w:t xml:space="preserve">Three </w:t>
      </w:r>
      <w:r w:rsidR="00050C3A" w:rsidRPr="00BA1CF5">
        <w:t xml:space="preserve">abbreviated clinical study reports </w:t>
      </w:r>
      <w:r w:rsidRPr="00BA1CF5">
        <w:t>(synopses)</w:t>
      </w:r>
      <w:r w:rsidR="00BA1CF5">
        <w:t>;</w:t>
      </w:r>
    </w:p>
    <w:p w:rsidR="00C43604" w:rsidRPr="00C43604" w:rsidRDefault="00C43604" w:rsidP="00BA1CF5">
      <w:pPr>
        <w:pStyle w:val="ListBullet"/>
      </w:pPr>
      <w:r w:rsidRPr="00C43604">
        <w:t xml:space="preserve">MDX010-16 provides safety, and early efficacy data for use of </w:t>
      </w:r>
      <w:r w:rsidR="00F22D76">
        <w:t>ipilimumab</w:t>
      </w:r>
      <w:r w:rsidRPr="00C43604">
        <w:t xml:space="preserve"> in the adjuvant setting in a prematur</w:t>
      </w:r>
      <w:r w:rsidR="00BA1CF5">
        <w:t>ely terminated study (Mod 5353)</w:t>
      </w:r>
      <w:r w:rsidRPr="00C43604">
        <w:t xml:space="preserve">. This study was terminated early following the </w:t>
      </w:r>
      <w:r w:rsidR="005F5E22">
        <w:t>sponsor</w:t>
      </w:r>
      <w:r w:rsidRPr="00C43604">
        <w:t xml:space="preserve">’s acquisition of Medarex, where the clinical development program had evolved to use of a different </w:t>
      </w:r>
      <w:r w:rsidR="00F22D76">
        <w:t>ipilimumab</w:t>
      </w:r>
      <w:r w:rsidRPr="00C43604">
        <w:t xml:space="preserve"> treatment schedule and focused on monotherapy rather than concomitant administration </w:t>
      </w:r>
      <w:r w:rsidRPr="00BA1CF5">
        <w:t>with gp100.</w:t>
      </w:r>
    </w:p>
    <w:p w:rsidR="00C43604" w:rsidRPr="00C43604" w:rsidRDefault="00C43604" w:rsidP="00BA1CF5">
      <w:pPr>
        <w:pStyle w:val="ListBullet"/>
      </w:pPr>
      <w:r w:rsidRPr="00C43604">
        <w:t xml:space="preserve">Retrospective observational studies in the first line setting </w:t>
      </w:r>
      <w:r w:rsidR="00770DD1">
        <w:t>CA184332 and CA184338 (Mod </w:t>
      </w:r>
      <w:r w:rsidR="003B4A27">
        <w:t>536)</w:t>
      </w:r>
      <w:r w:rsidR="00BA3B04">
        <w:t>.</w:t>
      </w:r>
    </w:p>
    <w:p w:rsidR="00C43604" w:rsidRPr="00BA1CF5" w:rsidRDefault="00BA1CF5" w:rsidP="00C43604">
      <w:r>
        <w:t>One i</w:t>
      </w:r>
      <w:r w:rsidR="00C43604" w:rsidRPr="00BA1CF5">
        <w:t>nterim summary</w:t>
      </w:r>
    </w:p>
    <w:p w:rsidR="00C43604" w:rsidRPr="00C43604" w:rsidRDefault="00C43604" w:rsidP="00BA1CF5">
      <w:pPr>
        <w:pStyle w:val="ListBullet"/>
      </w:pPr>
      <w:r w:rsidRPr="00C43604">
        <w:t xml:space="preserve">CA184045 safety and efficacy of expanded access program (EAP) using </w:t>
      </w:r>
      <w:r w:rsidR="00F22D76">
        <w:t>ipilimumab</w:t>
      </w:r>
      <w:r w:rsidRPr="00C43604">
        <w:t xml:space="preserve"> 10</w:t>
      </w:r>
      <w:r w:rsidR="00BA1CF5">
        <w:t> </w:t>
      </w:r>
      <w:r w:rsidRPr="00C43604">
        <w:t>mg/kg (Mod 5352)</w:t>
      </w:r>
      <w:r w:rsidR="00BA3B04">
        <w:t>.</w:t>
      </w:r>
    </w:p>
    <w:p w:rsidR="00C43604" w:rsidRPr="00BA1CF5" w:rsidRDefault="00C43604" w:rsidP="003B35CB">
      <w:pPr>
        <w:pageBreakBefore/>
      </w:pPr>
      <w:r w:rsidRPr="00BA1CF5">
        <w:lastRenderedPageBreak/>
        <w:t>One Population PK (PopPK) report</w:t>
      </w:r>
    </w:p>
    <w:p w:rsidR="00C43604" w:rsidRDefault="00C43604" w:rsidP="00BA1CF5">
      <w:pPr>
        <w:pStyle w:val="ListBullet"/>
      </w:pPr>
      <w:r>
        <w:t xml:space="preserve">Population pharmacokinetic analysis of combined </w:t>
      </w:r>
      <w:r w:rsidR="007F1683">
        <w:t>Studies</w:t>
      </w:r>
      <w:r>
        <w:t xml:space="preserve"> (CA184004, CA184007, CA184008, CA184022, CA184024, CA184078), with investigation of exp</w:t>
      </w:r>
      <w:r w:rsidR="00BA1CF5">
        <w:t xml:space="preserve">osure </w:t>
      </w:r>
      <w:r>
        <w:t>response (</w:t>
      </w:r>
      <w:r w:rsidR="0039038B">
        <w:t>ER</w:t>
      </w:r>
      <w:r>
        <w:t xml:space="preserve">) in the untreated and treated patients (Mod 5335, report named as </w:t>
      </w:r>
      <w:r w:rsidR="00C108F1">
        <w:t>‘</w:t>
      </w:r>
      <w:r>
        <w:t>930057648</w:t>
      </w:r>
      <w:r w:rsidR="00C108F1">
        <w:t>’</w:t>
      </w:r>
      <w:r>
        <w:t>).</w:t>
      </w:r>
    </w:p>
    <w:p w:rsidR="00C43604" w:rsidRPr="00BA1CF5" w:rsidRDefault="00C43604" w:rsidP="00C43604">
      <w:r w:rsidRPr="00BA1CF5">
        <w:t>Others reports with data</w:t>
      </w:r>
    </w:p>
    <w:p w:rsidR="00C43604" w:rsidRPr="00C43604" w:rsidRDefault="00C43604" w:rsidP="00BA1CF5">
      <w:pPr>
        <w:pStyle w:val="ListBullet"/>
      </w:pPr>
      <w:r w:rsidRPr="00C43604">
        <w:t>Line listing of cumu</w:t>
      </w:r>
      <w:r w:rsidR="00547588">
        <w:t xml:space="preserve">lative serious adverse events. </w:t>
      </w:r>
      <w:r w:rsidRPr="00C43604">
        <w:t>The report indicates that the key (legend for abbreviations) is provided on the final page of the report but is not found there, or in the Clinical O</w:t>
      </w:r>
      <w:r w:rsidR="003B4A27">
        <w:t>verview documents</w:t>
      </w:r>
      <w:r w:rsidR="00BA3B04">
        <w:t>.</w:t>
      </w:r>
    </w:p>
    <w:p w:rsidR="00C43604" w:rsidRPr="00C43604" w:rsidRDefault="00C43604" w:rsidP="00BA1CF5">
      <w:pPr>
        <w:pStyle w:val="ListBullet"/>
      </w:pPr>
      <w:r w:rsidRPr="00C43604">
        <w:t xml:space="preserve"> Supportive data for of immune-mediated adverse event analysis for </w:t>
      </w:r>
      <w:r w:rsidR="003B4A27">
        <w:t>US</w:t>
      </w:r>
      <w:r w:rsidRPr="00C43604">
        <w:t xml:space="preserve"> PI for previously evaluated </w:t>
      </w:r>
      <w:r w:rsidR="007F1683">
        <w:t>Studies</w:t>
      </w:r>
      <w:r w:rsidRPr="00C43604">
        <w:t xml:space="preserve"> MDX010-20, CA184004, CA184022 (5353 supportive data)</w:t>
      </w:r>
      <w:r w:rsidR="00BA3B04">
        <w:t>.</w:t>
      </w:r>
    </w:p>
    <w:p w:rsidR="00C43604" w:rsidRPr="00BA1CF5" w:rsidRDefault="00C43604" w:rsidP="00C43604">
      <w:r w:rsidRPr="00BA1CF5">
        <w:t>Protocols included without clinical data</w:t>
      </w:r>
    </w:p>
    <w:p w:rsidR="00C43604" w:rsidRDefault="00C43604" w:rsidP="00BA1CF5">
      <w:pPr>
        <w:pStyle w:val="ListBullet"/>
      </w:pPr>
      <w:r w:rsidRPr="00C43604">
        <w:t>CA184029 protocol (5351), CA184025 revised protocol (5352), CA184089 EU guidelines for the expanded access (Mod 5352).</w:t>
      </w:r>
    </w:p>
    <w:p w:rsidR="003B4A27" w:rsidRPr="00C43604" w:rsidRDefault="00050C3A" w:rsidP="003B4A27">
      <w:r>
        <w:t xml:space="preserve">The dossier also </w:t>
      </w:r>
      <w:r w:rsidR="00770DD1">
        <w:t xml:space="preserve">included a </w:t>
      </w:r>
      <w:r w:rsidR="00770DD1" w:rsidRPr="003B4A27">
        <w:t>clinical overview, clinical summaries (clinical pharmacology, clinical efficacy, clinical safety), synopsis of</w:t>
      </w:r>
      <w:r w:rsidR="00770DD1">
        <w:t xml:space="preserve"> individual stu</w:t>
      </w:r>
      <w:r w:rsidR="003B4A27">
        <w:t xml:space="preserve">dies </w:t>
      </w:r>
      <w:r w:rsidR="003B4A27" w:rsidRPr="003B4A27">
        <w:t>and literature references.</w:t>
      </w:r>
    </w:p>
    <w:p w:rsidR="00586F98" w:rsidRDefault="00586F98" w:rsidP="00586F98">
      <w:pPr>
        <w:pStyle w:val="Heading3"/>
      </w:pPr>
      <w:bookmarkStart w:id="31" w:name="_Toc475616204"/>
      <w:r>
        <w:t>Paediatric data</w:t>
      </w:r>
      <w:bookmarkEnd w:id="31"/>
    </w:p>
    <w:p w:rsidR="00C43604" w:rsidRPr="00C43604" w:rsidRDefault="00C43604" w:rsidP="00C43604">
      <w:r w:rsidRPr="00C43604">
        <w:t>The submission did not include paediatric data.</w:t>
      </w:r>
    </w:p>
    <w:p w:rsidR="00586F98" w:rsidRDefault="00586F98" w:rsidP="00586F98">
      <w:pPr>
        <w:pStyle w:val="Heading3"/>
      </w:pPr>
      <w:bookmarkStart w:id="32" w:name="_Toc475616205"/>
      <w:r>
        <w:t>Good clinical practice</w:t>
      </w:r>
      <w:bookmarkEnd w:id="32"/>
    </w:p>
    <w:p w:rsidR="00C43604" w:rsidRPr="00C43604" w:rsidRDefault="00661517" w:rsidP="00C43604">
      <w:bookmarkStart w:id="33" w:name="_Toc355338639"/>
      <w:r>
        <w:t>Dec</w:t>
      </w:r>
      <w:r w:rsidR="00C43604" w:rsidRPr="00C43604">
        <w:t>laration of the study being performed in accordance to GCP with ethics approval is included in the report of CA184024, CA184042, CA184078, MDX10-16, CA184045 and for all studies referred to within this submission that were previously evaluated.</w:t>
      </w:r>
    </w:p>
    <w:p w:rsidR="00C43604" w:rsidRPr="00C43604" w:rsidRDefault="00C43604" w:rsidP="00C43604">
      <w:r w:rsidRPr="00C43604">
        <w:t xml:space="preserve">The two observational </w:t>
      </w:r>
      <w:r w:rsidR="007F1683">
        <w:t>Studies</w:t>
      </w:r>
      <w:r w:rsidRPr="00C43604">
        <w:t xml:space="preserve"> CA184332 and CA184338 did not require patient consent for treatment. The reports included the following </w:t>
      </w:r>
      <w:r w:rsidR="00050C3A">
        <w:t>d</w:t>
      </w:r>
      <w:r w:rsidR="00661517">
        <w:t>ec</w:t>
      </w:r>
      <w:r w:rsidRPr="00C43604">
        <w:t xml:space="preserve">laration of compliance with the </w:t>
      </w:r>
      <w:r w:rsidR="00C108F1">
        <w:t>‘</w:t>
      </w:r>
      <w:r w:rsidRPr="003B4A27">
        <w:t>International Society for Pharmacoepidemiology (ISPE) Guidelines for Good Pharmacoepidemiology Practices (GPP) and applicable regulatory requirements</w:t>
      </w:r>
      <w:r w:rsidR="00C108F1" w:rsidRPr="003B4A27">
        <w:t>’</w:t>
      </w:r>
      <w:r w:rsidRPr="003B4A27">
        <w:t>.</w:t>
      </w:r>
    </w:p>
    <w:p w:rsidR="00C43604" w:rsidRPr="00C43604" w:rsidRDefault="00C43604" w:rsidP="00C43604">
      <w:r w:rsidRPr="00C43604">
        <w:t>CA184089 EU expanded access program requires patient consent consistent with institutional requirements.</w:t>
      </w:r>
    </w:p>
    <w:p w:rsidR="00712559" w:rsidRDefault="00586F98" w:rsidP="00586F98">
      <w:pPr>
        <w:pStyle w:val="Heading2"/>
      </w:pPr>
      <w:bookmarkStart w:id="34" w:name="_Toc475616206"/>
      <w:r>
        <w:t>Pharmacokinetics</w:t>
      </w:r>
      <w:bookmarkEnd w:id="33"/>
      <w:bookmarkEnd w:id="34"/>
    </w:p>
    <w:p w:rsidR="00547588" w:rsidRPr="00547588" w:rsidRDefault="00547588" w:rsidP="00547588">
      <w:pPr>
        <w:pStyle w:val="Heading3"/>
      </w:pPr>
      <w:bookmarkStart w:id="35" w:name="_Ref271017296"/>
      <w:bookmarkStart w:id="36" w:name="_Ref271018924"/>
      <w:bookmarkStart w:id="37" w:name="_Ref271018934"/>
      <w:bookmarkStart w:id="38" w:name="_Toc272414614"/>
      <w:bookmarkStart w:id="39" w:name="_Toc290846238"/>
      <w:bookmarkStart w:id="40" w:name="_Toc390676179"/>
      <w:bookmarkStart w:id="41" w:name="_Toc475616207"/>
      <w:r w:rsidRPr="00547588">
        <w:t>Studies</w:t>
      </w:r>
      <w:bookmarkEnd w:id="35"/>
      <w:bookmarkEnd w:id="36"/>
      <w:bookmarkEnd w:id="37"/>
      <w:r w:rsidRPr="00547588">
        <w:t xml:space="preserve"> providing pharmacokinetic data</w:t>
      </w:r>
      <w:bookmarkEnd w:id="38"/>
      <w:bookmarkEnd w:id="39"/>
      <w:bookmarkEnd w:id="40"/>
      <w:bookmarkEnd w:id="41"/>
    </w:p>
    <w:p w:rsidR="00547588" w:rsidRDefault="00547588" w:rsidP="00547588">
      <w:r w:rsidRPr="00547588">
        <w:t xml:space="preserve">Summaries of the new pharmacokinetic studies are presented </w:t>
      </w:r>
      <w:r w:rsidRPr="00030DA6">
        <w:t xml:space="preserve">in Section </w:t>
      </w:r>
      <w:r w:rsidR="003B4A27" w:rsidRPr="00030DA6">
        <w:t>4.3</w:t>
      </w:r>
      <w:r w:rsidRPr="00547588">
        <w:t xml:space="preserve">. The ER-OS data from the PopPK report which assessed patient data from CA184024 is also reproduced in </w:t>
      </w:r>
      <w:r w:rsidRPr="00030DA6">
        <w:t>Section</w:t>
      </w:r>
      <w:r w:rsidR="00030DA6" w:rsidRPr="00030DA6">
        <w:t xml:space="preserve"> </w:t>
      </w:r>
      <w:r w:rsidR="003B4A27" w:rsidRPr="00030DA6">
        <w:t>7</w:t>
      </w:r>
      <w:r w:rsidR="00030DA6" w:rsidRPr="00030DA6">
        <w:t>.</w:t>
      </w:r>
    </w:p>
    <w:p w:rsidR="00547588" w:rsidRPr="003B4A27" w:rsidRDefault="00547588" w:rsidP="003B4A27">
      <w:r w:rsidRPr="003B4A27">
        <w:t>Table 2 shows the studies relating to each pharmacokinetic topic and the location of each study summary. The summary of studies with data used in the PopPK analysis presented in Table 3.</w:t>
      </w:r>
    </w:p>
    <w:p w:rsidR="00547588" w:rsidRDefault="00CF0E37" w:rsidP="003B35CB">
      <w:pPr>
        <w:pStyle w:val="Tabletitle"/>
        <w:pageBreakBefore/>
      </w:pPr>
      <w:bookmarkStart w:id="42" w:name="_Toc390676286"/>
      <w:r>
        <w:lastRenderedPageBreak/>
        <w:t>Table2:</w:t>
      </w:r>
      <w:r w:rsidR="00547588" w:rsidRPr="00547588">
        <w:t xml:space="preserve"> Submitted pharmacokinetic studies</w:t>
      </w:r>
      <w:bookmarkEnd w:id="42"/>
    </w:p>
    <w:tbl>
      <w:tblPr>
        <w:tblStyle w:val="TableTGAblue"/>
        <w:tblW w:w="8179" w:type="dxa"/>
        <w:tblLayout w:type="fixed"/>
        <w:tblLook w:val="04A0" w:firstRow="1" w:lastRow="0" w:firstColumn="1" w:lastColumn="0" w:noHBand="0" w:noVBand="1"/>
      </w:tblPr>
      <w:tblGrid>
        <w:gridCol w:w="1824"/>
        <w:gridCol w:w="4030"/>
        <w:gridCol w:w="2325"/>
      </w:tblGrid>
      <w:tr w:rsidR="00640BF5" w:rsidRPr="003B4A27" w:rsidTr="003B35CB">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1824" w:type="dxa"/>
          </w:tcPr>
          <w:p w:rsidR="00640BF5" w:rsidRPr="003B4A27" w:rsidRDefault="00640BF5" w:rsidP="003B35CB">
            <w:r w:rsidRPr="003B4A27">
              <w:t>PK topic</w:t>
            </w:r>
          </w:p>
        </w:tc>
        <w:tc>
          <w:tcPr>
            <w:tcW w:w="4030" w:type="dxa"/>
          </w:tcPr>
          <w:p w:rsidR="00640BF5" w:rsidRPr="003B4A27" w:rsidRDefault="00640BF5" w:rsidP="003B35CB">
            <w:pPr>
              <w:cnfStyle w:val="100000000000" w:firstRow="1" w:lastRow="0" w:firstColumn="0" w:lastColumn="0" w:oddVBand="0" w:evenVBand="0" w:oddHBand="0" w:evenHBand="0" w:firstRowFirstColumn="0" w:firstRowLastColumn="0" w:lastRowFirstColumn="0" w:lastRowLastColumn="0"/>
            </w:pPr>
            <w:r w:rsidRPr="003B4A27">
              <w:t>Subtopic</w:t>
            </w:r>
          </w:p>
        </w:tc>
        <w:tc>
          <w:tcPr>
            <w:tcW w:w="2325" w:type="dxa"/>
          </w:tcPr>
          <w:p w:rsidR="00640BF5" w:rsidRPr="003B4A27" w:rsidRDefault="00640BF5" w:rsidP="003B35CB">
            <w:pPr>
              <w:cnfStyle w:val="100000000000" w:firstRow="1" w:lastRow="0" w:firstColumn="0" w:lastColumn="0" w:oddVBand="0" w:evenVBand="0" w:oddHBand="0" w:evenHBand="0" w:firstRowFirstColumn="0" w:firstRowLastColumn="0" w:lastRowFirstColumn="0" w:lastRowLastColumn="0"/>
            </w:pPr>
            <w:r w:rsidRPr="003B4A27">
              <w:t>Study ID</w:t>
            </w:r>
          </w:p>
        </w:tc>
      </w:tr>
      <w:tr w:rsidR="00640BF5" w:rsidRPr="003B4A27" w:rsidTr="005F5E22">
        <w:trPr>
          <w:trHeight w:val="476"/>
        </w:trPr>
        <w:tc>
          <w:tcPr>
            <w:cnfStyle w:val="001000000000" w:firstRow="0" w:lastRow="0" w:firstColumn="1" w:lastColumn="0" w:oddVBand="0" w:evenVBand="0" w:oddHBand="0" w:evenHBand="0" w:firstRowFirstColumn="0" w:firstRowLastColumn="0" w:lastRowFirstColumn="0" w:lastRowLastColumn="0"/>
            <w:tcW w:w="1824" w:type="dxa"/>
            <w:vMerge w:val="restart"/>
          </w:tcPr>
          <w:p w:rsidR="00640BF5" w:rsidRPr="003B4A27" w:rsidRDefault="00640BF5" w:rsidP="003B35CB">
            <w:r w:rsidRPr="003B4A27">
              <w:t xml:space="preserve">PK in healthy </w:t>
            </w:r>
            <w:r w:rsidR="003B4A27">
              <w:t>adults</w:t>
            </w:r>
          </w:p>
        </w:tc>
        <w:tc>
          <w:tcPr>
            <w:tcW w:w="4030" w:type="dxa"/>
          </w:tcPr>
          <w:p w:rsidR="00D342EA" w:rsidRDefault="00640BF5" w:rsidP="003B35CB">
            <w:pPr>
              <w:cnfStyle w:val="000000000000" w:firstRow="0" w:lastRow="0" w:firstColumn="0" w:lastColumn="0" w:oddVBand="0" w:evenVBand="0" w:oddHBand="0" w:evenHBand="0" w:firstRowFirstColumn="0" w:firstRowLastColumn="0" w:lastRowFirstColumn="0" w:lastRowLastColumn="0"/>
            </w:pPr>
            <w:r w:rsidRPr="003B4A27">
              <w:t>General PK</w:t>
            </w:r>
          </w:p>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 Single dose</w:t>
            </w:r>
          </w:p>
        </w:tc>
        <w:tc>
          <w:tcPr>
            <w:tcW w:w="2325" w:type="dxa"/>
          </w:tcPr>
          <w:p w:rsidR="00640BF5" w:rsidRPr="003B4A27" w:rsidRDefault="005F5E22"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 Multi-dose</w:t>
            </w:r>
          </w:p>
        </w:tc>
        <w:tc>
          <w:tcPr>
            <w:tcW w:w="2325" w:type="dxa"/>
          </w:tcPr>
          <w:p w:rsidR="00640BF5" w:rsidRPr="003B4A27" w:rsidRDefault="005F5E22"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Bioequivalence</w:t>
            </w:r>
            <w:r w:rsidRPr="00030DA6">
              <w:rPr>
                <w:vertAlign w:val="superscript"/>
              </w:rPr>
              <w:t>†</w:t>
            </w:r>
            <w:r w:rsidRPr="003B4A27">
              <w:t xml:space="preserve"> - Single dose</w:t>
            </w:r>
          </w:p>
        </w:tc>
        <w:tc>
          <w:tcPr>
            <w:tcW w:w="2325" w:type="dxa"/>
          </w:tcPr>
          <w:p w:rsidR="00640BF5" w:rsidRPr="003B4A27" w:rsidRDefault="005F5E22"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Multi-dose</w:t>
            </w:r>
          </w:p>
        </w:tc>
        <w:tc>
          <w:tcPr>
            <w:tcW w:w="2325" w:type="dxa"/>
          </w:tcPr>
          <w:p w:rsidR="00640BF5" w:rsidRPr="003B4A27" w:rsidRDefault="005F5E22"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Food effect</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714"/>
        </w:trPr>
        <w:tc>
          <w:tcPr>
            <w:cnfStyle w:val="001000000000" w:firstRow="0" w:lastRow="0" w:firstColumn="1" w:lastColumn="0" w:oddVBand="0" w:evenVBand="0" w:oddHBand="0" w:evenHBand="0" w:firstRowFirstColumn="0" w:firstRowLastColumn="0" w:lastRowFirstColumn="0" w:lastRowLastColumn="0"/>
            <w:tcW w:w="1824" w:type="dxa"/>
            <w:vMerge w:val="restart"/>
          </w:tcPr>
          <w:p w:rsidR="00640BF5" w:rsidRPr="003B4A27" w:rsidRDefault="00640BF5" w:rsidP="003B35CB">
            <w:r w:rsidRPr="003B4A27">
              <w:t>PK i</w:t>
            </w:r>
            <w:r w:rsidR="003B4A27">
              <w:t>n special populations</w:t>
            </w:r>
          </w:p>
        </w:tc>
        <w:tc>
          <w:tcPr>
            <w:tcW w:w="4030" w:type="dxa"/>
          </w:tcPr>
          <w:p w:rsidR="005F5E22" w:rsidRPr="003B4A27" w:rsidRDefault="00030DA6" w:rsidP="003B35CB">
            <w:pPr>
              <w:cnfStyle w:val="000000000000" w:firstRow="0" w:lastRow="0" w:firstColumn="0" w:lastColumn="0" w:oddVBand="0" w:evenVBand="0" w:oddHBand="0" w:evenHBand="0" w:firstRowFirstColumn="0" w:firstRowLastColumn="0" w:lastRowFirstColumn="0" w:lastRowLastColumn="0"/>
            </w:pPr>
            <w:r>
              <w:t>Target population</w:t>
            </w:r>
            <w:r w:rsidR="00640BF5" w:rsidRPr="00030DA6">
              <w:rPr>
                <w:vertAlign w:val="superscript"/>
              </w:rPr>
              <w:t>§</w:t>
            </w:r>
          </w:p>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 Single dose</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 Multi-dose</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CA184078</w:t>
            </w:r>
          </w:p>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PopPK</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Hepatic impairment</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CA184078 (mild)</w:t>
            </w:r>
            <w:r w:rsidRPr="00030DA6">
              <w:rPr>
                <w:vertAlign w:val="superscript"/>
              </w:rPr>
              <w:t>#</w:t>
            </w:r>
          </w:p>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PopPK (mild)</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Renal impairment</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CA184078 (mild)</w:t>
            </w:r>
            <w:r w:rsidRPr="00030DA6">
              <w:rPr>
                <w:vertAlign w:val="superscript"/>
              </w:rPr>
              <w:t>~</w:t>
            </w:r>
          </w:p>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PopPK (mild to mod)</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Neonates/infants/children/adolescents</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Elderly</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714"/>
        </w:trPr>
        <w:tc>
          <w:tcPr>
            <w:cnfStyle w:val="001000000000" w:firstRow="0" w:lastRow="0" w:firstColumn="1" w:lastColumn="0" w:oddVBand="0" w:evenVBand="0" w:oddHBand="0" w:evenHBand="0" w:firstRowFirstColumn="0" w:firstRowLastColumn="0" w:lastRowFirstColumn="0" w:lastRowLastColumn="0"/>
            <w:tcW w:w="1824" w:type="dxa"/>
          </w:tcPr>
          <w:p w:rsidR="00640BF5" w:rsidRPr="003B4A27" w:rsidRDefault="00640BF5" w:rsidP="003B35CB">
            <w:r w:rsidRPr="003B4A27">
              <w:t>Genetic/gender-related PK</w:t>
            </w:r>
          </w:p>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Males versus females</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PopPK</w:t>
            </w:r>
          </w:p>
        </w:tc>
      </w:tr>
      <w:tr w:rsidR="00640BF5" w:rsidRPr="003B4A27" w:rsidTr="005F5E22">
        <w:trPr>
          <w:trHeight w:val="476"/>
        </w:trPr>
        <w:tc>
          <w:tcPr>
            <w:cnfStyle w:val="001000000000" w:firstRow="0" w:lastRow="0" w:firstColumn="1" w:lastColumn="0" w:oddVBand="0" w:evenVBand="0" w:oddHBand="0" w:evenHBand="0" w:firstRowFirstColumn="0" w:firstRowLastColumn="0" w:lastRowFirstColumn="0" w:lastRowLastColumn="0"/>
            <w:tcW w:w="1824" w:type="dxa"/>
            <w:vMerge w:val="restart"/>
          </w:tcPr>
          <w:p w:rsidR="00640BF5" w:rsidRPr="003B4A27" w:rsidRDefault="00640BF5" w:rsidP="003B35CB">
            <w:r w:rsidRPr="003B4A27">
              <w:t>PK interactions</w:t>
            </w:r>
          </w:p>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Carboplatin/paclitaxel</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CA184078</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Dacarbazine</w:t>
            </w:r>
          </w:p>
        </w:tc>
        <w:tc>
          <w:tcPr>
            <w:tcW w:w="2325" w:type="dxa"/>
          </w:tcPr>
          <w:p w:rsidR="00640BF5" w:rsidRPr="003B4A27" w:rsidRDefault="00030DA6" w:rsidP="003B35CB">
            <w:pPr>
              <w:cnfStyle w:val="000000000000" w:firstRow="0" w:lastRow="0" w:firstColumn="0" w:lastColumn="0" w:oddVBand="0" w:evenVBand="0" w:oddHBand="0" w:evenHBand="0" w:firstRowFirstColumn="0" w:firstRowLastColumn="0" w:lastRowFirstColumn="0" w:lastRowLastColumn="0"/>
            </w:pPr>
            <w:r>
              <w:t xml:space="preserve">CA184078 </w:t>
            </w:r>
            <w:r w:rsidR="00640BF5" w:rsidRPr="003B4A27">
              <w:t>PopPK</w:t>
            </w:r>
          </w:p>
        </w:tc>
      </w:tr>
      <w:tr w:rsidR="00640BF5" w:rsidRPr="003B4A27" w:rsidTr="005F5E22">
        <w:trPr>
          <w:trHeight w:val="476"/>
        </w:trPr>
        <w:tc>
          <w:tcPr>
            <w:cnfStyle w:val="001000000000" w:firstRow="0" w:lastRow="0" w:firstColumn="1" w:lastColumn="0" w:oddVBand="0" w:evenVBand="0" w:oddHBand="0" w:evenHBand="0" w:firstRowFirstColumn="0" w:firstRowLastColumn="0" w:lastRowFirstColumn="0" w:lastRowLastColumn="0"/>
            <w:tcW w:w="1824" w:type="dxa"/>
            <w:vMerge w:val="restart"/>
          </w:tcPr>
          <w:p w:rsidR="00640BF5" w:rsidRPr="003B4A27" w:rsidRDefault="00640BF5" w:rsidP="003B35CB">
            <w:r w:rsidRPr="003B4A27">
              <w:t>Population PK analyses</w:t>
            </w:r>
          </w:p>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Healthy subjects</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NA</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Target population</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CA184078</w:t>
            </w:r>
            <w:r w:rsidR="00030DA6">
              <w:t xml:space="preserve"> PopPK</w:t>
            </w:r>
          </w:p>
        </w:tc>
      </w:tr>
      <w:tr w:rsidR="00640BF5" w:rsidRPr="003B4A27" w:rsidTr="005F5E22">
        <w:trPr>
          <w:trHeight w:val="144"/>
        </w:trPr>
        <w:tc>
          <w:tcPr>
            <w:cnfStyle w:val="001000000000" w:firstRow="0" w:lastRow="0" w:firstColumn="1" w:lastColumn="0" w:oddVBand="0" w:evenVBand="0" w:oddHBand="0" w:evenHBand="0" w:firstRowFirstColumn="0" w:firstRowLastColumn="0" w:lastRowFirstColumn="0" w:lastRowLastColumn="0"/>
            <w:tcW w:w="1824" w:type="dxa"/>
            <w:vMerge/>
          </w:tcPr>
          <w:p w:rsidR="00640BF5" w:rsidRPr="003B4A27" w:rsidRDefault="00640BF5" w:rsidP="003B35CB"/>
        </w:tc>
        <w:tc>
          <w:tcPr>
            <w:tcW w:w="4030"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Other</w:t>
            </w:r>
          </w:p>
        </w:tc>
        <w:tc>
          <w:tcPr>
            <w:tcW w:w="2325" w:type="dxa"/>
          </w:tcPr>
          <w:p w:rsidR="00640BF5" w:rsidRPr="003B4A27" w:rsidRDefault="00640BF5" w:rsidP="003B35CB">
            <w:pPr>
              <w:cnfStyle w:val="000000000000" w:firstRow="0" w:lastRow="0" w:firstColumn="0" w:lastColumn="0" w:oddVBand="0" w:evenVBand="0" w:oddHBand="0" w:evenHBand="0" w:firstRowFirstColumn="0" w:firstRowLastColumn="0" w:lastRowFirstColumn="0" w:lastRowLastColumn="0"/>
            </w:pPr>
            <w:r w:rsidRPr="003B4A27">
              <w:t>NA</w:t>
            </w:r>
          </w:p>
        </w:tc>
      </w:tr>
    </w:tbl>
    <w:p w:rsidR="00547588" w:rsidRDefault="00547588" w:rsidP="00D342EA">
      <w:pPr>
        <w:pStyle w:val="TableDescription"/>
      </w:pPr>
      <w:r w:rsidRPr="00547588">
        <w:t>* Indicate</w:t>
      </w:r>
      <w:r w:rsidR="005F5E22">
        <w:t xml:space="preserve">s the primary aim of the study. </w:t>
      </w:r>
      <w:r w:rsidRPr="00547588">
        <w:t>† Bioequival</w:t>
      </w:r>
      <w:r w:rsidR="005F5E22">
        <w:t xml:space="preserve">ence of different formulations. </w:t>
      </w:r>
      <w:r w:rsidRPr="00547588">
        <w:t>§ Subjects who would be eligible to receive the drug if approv</w:t>
      </w:r>
      <w:r w:rsidR="005F5E22">
        <w:t xml:space="preserve">ed for the proposed indication. </w:t>
      </w:r>
      <w:r w:rsidRPr="00547588">
        <w:t xml:space="preserve"># </w:t>
      </w:r>
      <w:proofErr w:type="gramStart"/>
      <w:r w:rsidRPr="00547588">
        <w:t>total</w:t>
      </w:r>
      <w:proofErr w:type="gramEnd"/>
      <w:r w:rsidRPr="00547588">
        <w:t xml:space="preserve"> bilirubin 1.0 to 1.5 times ULN or AST</w:t>
      </w:r>
      <w:r w:rsidR="00030DA6">
        <w:t> </w:t>
      </w:r>
      <w:r w:rsidRPr="00547588">
        <w:t>&gt;</w:t>
      </w:r>
      <w:r w:rsidR="00030DA6">
        <w:t xml:space="preserve"> </w:t>
      </w:r>
      <w:r w:rsidRPr="00547588">
        <w:t xml:space="preserve">ULN as defined using the National Cancer Institute </w:t>
      </w:r>
      <w:r w:rsidR="005F5E22">
        <w:t xml:space="preserve">criteria of hepatic dysfunction </w:t>
      </w:r>
      <w:r w:rsidRPr="00547588">
        <w:t xml:space="preserve">~ GFR: mild (GFR </w:t>
      </w:r>
      <w:r w:rsidR="00912E7E">
        <w:t xml:space="preserve">&lt; </w:t>
      </w:r>
      <w:r w:rsidRPr="00547588">
        <w:t>90 and &gt;</w:t>
      </w:r>
      <w:r w:rsidR="00030DA6">
        <w:t xml:space="preserve"> </w:t>
      </w:r>
      <w:r w:rsidRPr="00547588">
        <w:t>60 mL/min/1.73 m2; n</w:t>
      </w:r>
      <w:r w:rsidR="000E73B0">
        <w:t xml:space="preserve"> </w:t>
      </w:r>
      <w:r w:rsidRPr="00547588">
        <w:t>=</w:t>
      </w:r>
      <w:r w:rsidR="000E73B0">
        <w:t xml:space="preserve"> </w:t>
      </w:r>
      <w:r w:rsidRPr="00547588">
        <w:t xml:space="preserve">349), moderate (GFR </w:t>
      </w:r>
      <w:r w:rsidR="00912E7E">
        <w:t xml:space="preserve">&lt; </w:t>
      </w:r>
      <w:r w:rsidRPr="00547588">
        <w:t>60 and &gt;</w:t>
      </w:r>
      <w:r w:rsidR="00030DA6">
        <w:t xml:space="preserve"> </w:t>
      </w:r>
      <w:r w:rsidRPr="00547588">
        <w:t>30 mL/min/1.73 m</w:t>
      </w:r>
      <w:r w:rsidRPr="00030DA6">
        <w:rPr>
          <w:vertAlign w:val="superscript"/>
        </w:rPr>
        <w:t>2</w:t>
      </w:r>
      <w:r w:rsidRPr="00547588">
        <w:t>; n</w:t>
      </w:r>
      <w:r w:rsidR="000E73B0">
        <w:t xml:space="preserve"> </w:t>
      </w:r>
      <w:r w:rsidRPr="00547588">
        <w:t>=</w:t>
      </w:r>
      <w:r w:rsidR="000E73B0">
        <w:t xml:space="preserve"> </w:t>
      </w:r>
      <w:r w:rsidRPr="00547588">
        <w:t>82)</w:t>
      </w:r>
    </w:p>
    <w:p w:rsidR="00547588" w:rsidRPr="00D342EA" w:rsidRDefault="00547588" w:rsidP="00D342EA">
      <w:r w:rsidRPr="00D342EA">
        <w:lastRenderedPageBreak/>
        <w:t>None of the pharmacokinetic studies had deficiencies that excluded their results from consideration.</w:t>
      </w:r>
    </w:p>
    <w:p w:rsidR="00547588" w:rsidRPr="00547588" w:rsidRDefault="00547588" w:rsidP="00547588">
      <w:pPr>
        <w:pStyle w:val="Heading3"/>
      </w:pPr>
      <w:bookmarkStart w:id="43" w:name="_Ref269118175"/>
      <w:bookmarkStart w:id="44" w:name="_Toc272414616"/>
      <w:bookmarkStart w:id="45" w:name="_Toc290846239"/>
      <w:bookmarkStart w:id="46" w:name="_Toc390676180"/>
      <w:bookmarkStart w:id="47" w:name="_Toc475616208"/>
      <w:r w:rsidRPr="00547588">
        <w:t>Overall Summary of pharmacokinetics</w:t>
      </w:r>
      <w:bookmarkEnd w:id="43"/>
      <w:bookmarkEnd w:id="44"/>
      <w:bookmarkEnd w:id="45"/>
      <w:bookmarkEnd w:id="46"/>
      <w:bookmarkEnd w:id="47"/>
    </w:p>
    <w:p w:rsidR="00547588" w:rsidRPr="00547588" w:rsidRDefault="00547588" w:rsidP="00547588">
      <w:r w:rsidRPr="00547588">
        <w:t>There were no studies included in the dossier that investigated the treatment schedule of the proposed usage in the appropriate populat</w:t>
      </w:r>
      <w:r>
        <w:t>ion for the current application.</w:t>
      </w:r>
    </w:p>
    <w:p w:rsidR="00547588" w:rsidRDefault="00547588" w:rsidP="00E56650">
      <w:r w:rsidRPr="00547588">
        <w:t xml:space="preserve">The PopPK analysis was performed by the </w:t>
      </w:r>
      <w:r w:rsidR="005F5E22">
        <w:t>sponsor</w:t>
      </w:r>
      <w:r w:rsidR="00C108F1">
        <w:t xml:space="preserve"> to provide PK data for i</w:t>
      </w:r>
      <w:r w:rsidRPr="00547588">
        <w:t>pilimumab monotherapy at 3</w:t>
      </w:r>
      <w:r w:rsidR="00C108F1">
        <w:t xml:space="preserve"> </w:t>
      </w:r>
      <w:r w:rsidRPr="00547588">
        <w:t xml:space="preserve">mg/kg dose in untreated patients. There were no studies analysed or submitted in the dossier that included randomised data utilising the treatment schedule of the proposed usage in the relevant population for the current application. In contrast to the current application, studies analysed in the PopPK report included pre-treated patients, those </w:t>
      </w:r>
      <w:r>
        <w:t>administered</w:t>
      </w:r>
      <w:r w:rsidRPr="00C67A4F">
        <w:t xml:space="preserve"> </w:t>
      </w:r>
      <w:r w:rsidR="00C108F1">
        <w:t>10 mg</w:t>
      </w:r>
      <w:r w:rsidRPr="00C67A4F">
        <w:t>/kg and those t</w:t>
      </w:r>
      <w:r>
        <w:t>reated with combination therapy</w:t>
      </w:r>
      <w:r w:rsidRPr="008D1B08">
        <w:t>.</w:t>
      </w:r>
      <w:r>
        <w:t xml:space="preserve"> Furthermore, all studies </w:t>
      </w:r>
      <w:r w:rsidRPr="00E56650">
        <w:t>included a maintenance phase (</w:t>
      </w:r>
      <w:proofErr w:type="gramStart"/>
      <w:r w:rsidRPr="00E56650">
        <w:t xml:space="preserve">or </w:t>
      </w:r>
      <w:r w:rsidR="00C108F1">
        <w:t>‘</w:t>
      </w:r>
      <w:r w:rsidRPr="00D342EA">
        <w:rPr>
          <w:i/>
        </w:rPr>
        <w:t>re</w:t>
      </w:r>
      <w:proofErr w:type="gramEnd"/>
      <w:r w:rsidRPr="00D342EA">
        <w:rPr>
          <w:i/>
        </w:rPr>
        <w:t>-induction</w:t>
      </w:r>
      <w:r w:rsidR="00C108F1" w:rsidRPr="00D342EA">
        <w:rPr>
          <w:i/>
        </w:rPr>
        <w:t>’</w:t>
      </w:r>
      <w:r w:rsidRPr="00E56650">
        <w:t xml:space="preserve"> phase) in contrast to the proposed usage. The PopPK analysis collated data from the newly submitted studies and previously evaluated </w:t>
      </w:r>
      <w:r w:rsidR="007F1683">
        <w:t>Studies</w:t>
      </w:r>
      <w:r w:rsidRPr="00E56650">
        <w:t xml:space="preserve"> (CA184004, CA184007, CA184008, CA184022, CA184024, and CA184078). The summary of studies utilised in the PopPK analysis are summarised </w:t>
      </w:r>
      <w:r w:rsidRPr="005F5E22">
        <w:t xml:space="preserve">in Table </w:t>
      </w:r>
      <w:r w:rsidR="005F5E22" w:rsidRPr="005F5E22">
        <w:t>3</w:t>
      </w:r>
      <w:r w:rsidRPr="005F5E22">
        <w:t>.</w:t>
      </w:r>
    </w:p>
    <w:p w:rsidR="00C108F1" w:rsidRPr="00C108F1" w:rsidRDefault="00CF0E37" w:rsidP="00C108F1">
      <w:pPr>
        <w:rPr>
          <w:b/>
        </w:rPr>
      </w:pPr>
      <w:bookmarkStart w:id="48" w:name="_Toc390676287"/>
      <w:r>
        <w:rPr>
          <w:b/>
        </w:rPr>
        <w:t>Table 3:</w:t>
      </w:r>
      <w:r w:rsidR="00C108F1" w:rsidRPr="00C108F1">
        <w:rPr>
          <w:b/>
        </w:rPr>
        <w:t xml:space="preserve"> Ipilimumab clinical studies contributing to PK data and P</w:t>
      </w:r>
      <w:r w:rsidR="00050C3A">
        <w:rPr>
          <w:b/>
        </w:rPr>
        <w:t>op</w:t>
      </w:r>
      <w:r w:rsidR="00C108F1" w:rsidRPr="00C108F1">
        <w:rPr>
          <w:b/>
        </w:rPr>
        <w:t>PK modelling</w:t>
      </w:r>
      <w:bookmarkEnd w:id="48"/>
    </w:p>
    <w:p w:rsidR="00C108F1" w:rsidRPr="00E56650" w:rsidRDefault="00C108F1" w:rsidP="00D342EA">
      <w:r w:rsidRPr="00D342EA">
        <w:rPr>
          <w:noProof/>
          <w:lang w:eastAsia="en-AU"/>
        </w:rPr>
        <w:drawing>
          <wp:inline distT="0" distB="0" distL="0" distR="0" wp14:anchorId="3F0A0805" wp14:editId="7EE278E3">
            <wp:extent cx="5731510" cy="4429673"/>
            <wp:effectExtent l="0" t="0" r="0" b="0"/>
            <wp:docPr id="26" name="Picture 26" descr="Table 3. Ipilimumab clinical studies contributing to PK data and PPK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731510" cy="4429673"/>
                    </a:xfrm>
                    <a:prstGeom prst="rect">
                      <a:avLst/>
                    </a:prstGeom>
                  </pic:spPr>
                </pic:pic>
              </a:graphicData>
            </a:graphic>
          </wp:inline>
        </w:drawing>
      </w:r>
    </w:p>
    <w:p w:rsidR="00547588" w:rsidRPr="00E56650" w:rsidRDefault="00547588" w:rsidP="00E56650">
      <w:r w:rsidRPr="00E56650">
        <w:t xml:space="preserve">The new PK data incorporated into the submitted PopPK report was provided in this submission from </w:t>
      </w:r>
      <w:r w:rsidR="007F1683">
        <w:t>Studies</w:t>
      </w:r>
      <w:r w:rsidRPr="00E56650">
        <w:t xml:space="preserve"> CA184078 and CA184024, of which both used a </w:t>
      </w:r>
      <w:r w:rsidR="00C108F1">
        <w:t>10 mg</w:t>
      </w:r>
      <w:r w:rsidRPr="00E56650">
        <w:t xml:space="preserve">/kg posology. Furthermore, CA184024 investigated </w:t>
      </w:r>
      <w:r w:rsidR="00F22D76">
        <w:t>ipilimumab</w:t>
      </w:r>
      <w:r w:rsidRPr="00E56650">
        <w:t xml:space="preserve"> administration in combination with DTIC. Total numbers investigated in CA184078 w</w:t>
      </w:r>
      <w:r w:rsidR="00D342EA">
        <w:t xml:space="preserve">ere small (n = 59) with only 20 out of </w:t>
      </w:r>
      <w:r w:rsidRPr="00E56650">
        <w:t xml:space="preserve">59 patients receiving </w:t>
      </w:r>
      <w:r w:rsidR="00F22D76">
        <w:t>ipilimumab</w:t>
      </w:r>
      <w:r w:rsidRPr="00E56650">
        <w:t xml:space="preserve"> monotherapy (</w:t>
      </w:r>
      <w:r w:rsidR="00C108F1">
        <w:t>10 mg</w:t>
      </w:r>
      <w:r w:rsidRPr="00E56650">
        <w:t xml:space="preserve">/kg). Whilst individual data was presented in the CA184078 CSR, PK data for CA184024 (n = 240) was presented embedded within the PopPK </w:t>
      </w:r>
      <w:r w:rsidRPr="00E56650">
        <w:lastRenderedPageBreak/>
        <w:t xml:space="preserve">analysis performed by the </w:t>
      </w:r>
      <w:r w:rsidR="005F5E22">
        <w:t>sponsor</w:t>
      </w:r>
      <w:r w:rsidRPr="00E56650">
        <w:t>. Of particular note, approximately 50% of PK data from CA184078 was not used in t</w:t>
      </w:r>
      <w:r w:rsidR="00D342EA">
        <w:t xml:space="preserve">he PopPK modelling (only n = 29 out of </w:t>
      </w:r>
      <w:r w:rsidRPr="00E56650">
        <w:t>59 included).</w:t>
      </w:r>
    </w:p>
    <w:p w:rsidR="00547588" w:rsidRPr="00E56650" w:rsidRDefault="00547588" w:rsidP="00E56650">
      <w:r w:rsidRPr="00E56650">
        <w:t xml:space="preserve">The previously submitted studies </w:t>
      </w:r>
      <w:r w:rsidR="00CB0D64">
        <w:t>with PK data consisted of four P</w:t>
      </w:r>
      <w:r w:rsidRPr="00E56650">
        <w:t>hase II studies: (CA184004: n = 79, CA184007: n = 112, CA184008: n</w:t>
      </w:r>
      <w:r w:rsidR="000E73B0">
        <w:t xml:space="preserve"> </w:t>
      </w:r>
      <w:r w:rsidRPr="00E56650">
        <w:t>=</w:t>
      </w:r>
      <w:r w:rsidR="000E73B0">
        <w:t xml:space="preserve"> </w:t>
      </w:r>
      <w:r w:rsidRPr="00E56650">
        <w:t>148 and CA184022: n = 177). These were also evaluated in a previously submitted PopPK analysis.</w:t>
      </w:r>
    </w:p>
    <w:p w:rsidR="00547588" w:rsidRPr="00E56650" w:rsidRDefault="00547588" w:rsidP="00E56650">
      <w:r w:rsidRPr="00E56650">
        <w:t xml:space="preserve">Thus, the newly submitted PopPK analysis which derived data from these heterogeneous studies, acts as an extension of the previous analysis, with new data </w:t>
      </w:r>
      <w:r w:rsidR="00CB0D64">
        <w:t>predominantly sourced from one P</w:t>
      </w:r>
      <w:r w:rsidRPr="00E56650">
        <w:t xml:space="preserve">hase III study using </w:t>
      </w:r>
      <w:r w:rsidR="00F22D76">
        <w:t>ipilimumab</w:t>
      </w:r>
      <w:r w:rsidRPr="00E56650">
        <w:t xml:space="preserve"> </w:t>
      </w:r>
      <w:r w:rsidR="00C108F1">
        <w:t>10 mg</w:t>
      </w:r>
      <w:r w:rsidRPr="00E56650">
        <w:t>/kg in combination with DTIC. With reference to the current application, of a tota</w:t>
      </w:r>
      <w:r w:rsidR="00D342EA">
        <w:t xml:space="preserve">l of 785 patients analysed, 528 out of </w:t>
      </w:r>
      <w:r w:rsidRPr="00E56650">
        <w:t xml:space="preserve">785 (67%) received </w:t>
      </w:r>
      <w:r w:rsidR="00F22D76">
        <w:t>ipilimumab</w:t>
      </w:r>
      <w:r w:rsidRPr="00E56650">
        <w:t xml:space="preserve"> monotherapy (versus DTIC + </w:t>
      </w:r>
      <w:r w:rsidR="00F22D76">
        <w:t>ipilimumab</w:t>
      </w:r>
      <w:r w:rsidR="00D342EA">
        <w:t xml:space="preserve">), and 348 out of </w:t>
      </w:r>
      <w:r w:rsidRPr="00E56650">
        <w:t>785 (44%) were previously untreated. All studies included a maintenance phase in contrast to the proposed usage. With respect to posology, 58 patients were dosed at 0.</w:t>
      </w:r>
      <w:r w:rsidR="00C108F1">
        <w:t>3 mg</w:t>
      </w:r>
      <w:r w:rsidRPr="00E56650">
        <w:t xml:space="preserve">/kg, 101 patients at </w:t>
      </w:r>
      <w:r w:rsidR="00C108F1">
        <w:t>3 mg</w:t>
      </w:r>
      <w:r w:rsidRPr="00E56650">
        <w:t xml:space="preserve">/kg, and 626 patients at </w:t>
      </w:r>
      <w:r w:rsidR="00C108F1">
        <w:t>10 mg</w:t>
      </w:r>
      <w:r w:rsidRPr="00E56650">
        <w:t xml:space="preserve">/kg. Only 14 previously untreated patients received </w:t>
      </w:r>
      <w:r w:rsidR="00F22D76">
        <w:t>ipilimumab</w:t>
      </w:r>
      <w:r w:rsidRPr="00E56650">
        <w:t xml:space="preserve"> </w:t>
      </w:r>
      <w:r w:rsidR="00D342EA">
        <w:t>3 </w:t>
      </w:r>
      <w:r w:rsidR="00C108F1">
        <w:t>mg</w:t>
      </w:r>
      <w:r w:rsidRPr="00E56650">
        <w:t xml:space="preserve">/kg monotherapy, pertinent to the application. Please </w:t>
      </w:r>
      <w:r w:rsidRPr="00CF0E37">
        <w:t xml:space="preserve">see </w:t>
      </w:r>
      <w:r w:rsidRPr="005744BA">
        <w:t xml:space="preserve">Table </w:t>
      </w:r>
      <w:r w:rsidR="00CF0E37" w:rsidRPr="005744BA">
        <w:t xml:space="preserve">9 </w:t>
      </w:r>
      <w:r w:rsidRPr="005744BA">
        <w:t>for</w:t>
      </w:r>
      <w:r w:rsidRPr="00E56650">
        <w:t xml:space="preserve"> the contribution of numbers for previously untreated patients administered </w:t>
      </w:r>
      <w:r w:rsidR="00F22D76">
        <w:t>ipilimumab</w:t>
      </w:r>
      <w:r w:rsidRPr="00E56650">
        <w:t xml:space="preserve"> </w:t>
      </w:r>
      <w:r w:rsidR="00C108F1">
        <w:t>3 mg</w:t>
      </w:r>
      <w:r w:rsidRPr="00E56650">
        <w:t>/kg monotherapy, according to study. Note should be made that all studies included a maintenance phase. Only patients from CA184024 (</w:t>
      </w:r>
      <w:r w:rsidR="00C108F1">
        <w:t>10 mg</w:t>
      </w:r>
      <w:r w:rsidRPr="00E56650">
        <w:t xml:space="preserve">/kg+DTIC) were included in the </w:t>
      </w:r>
      <w:r w:rsidR="0039038B">
        <w:t>ER</w:t>
      </w:r>
      <w:r w:rsidRPr="00E56650">
        <w:t xml:space="preserve"> OS analysis. For the final Exposure-Safety irAE analysis, 58 patients were dosed at 0.</w:t>
      </w:r>
      <w:r w:rsidR="00C108F1">
        <w:t>3 mg</w:t>
      </w:r>
      <w:r w:rsidRPr="00E56650">
        <w:t xml:space="preserve">/kg, 101 patients at </w:t>
      </w:r>
      <w:r w:rsidR="00C108F1">
        <w:t>3 mg</w:t>
      </w:r>
      <w:r w:rsidRPr="00E56650">
        <w:t xml:space="preserve">/kg, and 626 patients at </w:t>
      </w:r>
      <w:r w:rsidR="00C108F1">
        <w:t>10 mg</w:t>
      </w:r>
      <w:r w:rsidRPr="00E56650">
        <w:t>/kg.</w:t>
      </w:r>
    </w:p>
    <w:p w:rsidR="00547588" w:rsidRDefault="00547588" w:rsidP="00E56650">
      <w:r w:rsidRPr="005002FB">
        <w:t xml:space="preserve">Table </w:t>
      </w:r>
      <w:r w:rsidR="005F5E22" w:rsidRPr="005002FB">
        <w:t>3</w:t>
      </w:r>
      <w:r w:rsidR="005002FB">
        <w:t xml:space="preserve"> (above) </w:t>
      </w:r>
      <w:r w:rsidRPr="00E56650">
        <w:t>outlines the different manufacturing processes</w:t>
      </w:r>
      <w:r w:rsidR="005002FB">
        <w:t xml:space="preserve"> (A or B)</w:t>
      </w:r>
      <w:r w:rsidRPr="00E56650">
        <w:t>, dosing schedules (0.</w:t>
      </w:r>
      <w:r w:rsidR="00C108F1">
        <w:t>3 mg</w:t>
      </w:r>
      <w:r w:rsidRPr="00E56650">
        <w:t xml:space="preserve">/kg, </w:t>
      </w:r>
      <w:r w:rsidR="00C108F1">
        <w:t>3 mg</w:t>
      </w:r>
      <w:r w:rsidRPr="00E56650">
        <w:t xml:space="preserve">/kg, </w:t>
      </w:r>
      <w:r w:rsidR="00C108F1">
        <w:t>10 mg</w:t>
      </w:r>
      <w:r w:rsidRPr="00E56650">
        <w:t xml:space="preserve">/kg, or in combination with DTIC), and different number of PK samples (intensive versus sparse). Time points for PK sample collection times may differ between each study. For example, intensive sampling was obtained in one PK drug-drug interaction study (CA184078) and a subset of subjects with advanced melanoma who received multiple doses of </w:t>
      </w:r>
      <w:r w:rsidR="00F22D76">
        <w:t>ipilimumab</w:t>
      </w:r>
      <w:r w:rsidRPr="00E56650">
        <w:t xml:space="preserve"> (CA184007 and CA184008). Sparse PK samples were analysed from CA184004, CA184007, CA184008, CA184022 and CA184024, of which different dosing schedules were investigated. Note should be made that the populations investigated were not uniform between studies. Specifically, inclusion and exclusion criteria</w:t>
      </w:r>
      <w:r w:rsidR="005002FB">
        <w:t xml:space="preserve"> for studies were not the same.</w:t>
      </w:r>
    </w:p>
    <w:p w:rsidR="00547588" w:rsidRPr="00E56650" w:rsidRDefault="00547588" w:rsidP="00E56650">
      <w:r w:rsidRPr="00E56650">
        <w:t xml:space="preserve">Similar to the previous PopPK analysis, the </w:t>
      </w:r>
      <w:r w:rsidR="005F5E22">
        <w:t>sponsor</w:t>
      </w:r>
      <w:r w:rsidRPr="00E56650">
        <w:t xml:space="preserve"> considered that the comparison of predicted values with observed values provided external validation of the model. For the </w:t>
      </w:r>
      <w:r w:rsidR="0039038B">
        <w:t>ER</w:t>
      </w:r>
      <w:r w:rsidRPr="00E56650">
        <w:t xml:space="preserve"> OS and the irAE analysis, no external validation of results was performed.</w:t>
      </w:r>
    </w:p>
    <w:p w:rsidR="00547588" w:rsidRPr="00E56650" w:rsidRDefault="00547588" w:rsidP="00E56650">
      <w:r w:rsidRPr="00E56650">
        <w:t xml:space="preserve">The external PopPK evaluator found that the assessment of the Methods, Results and Discussion of the </w:t>
      </w:r>
      <w:r w:rsidR="005F5E22">
        <w:t>sponsor</w:t>
      </w:r>
      <w:r w:rsidRPr="00E56650">
        <w:t>’s report, which included a repeat of the PopPK models, confirmed the results presented. Specifically, methodology utilised for the analysis was confirmed to be appropriate and in accordance with the guidelines.</w:t>
      </w:r>
    </w:p>
    <w:p w:rsidR="00547588" w:rsidRPr="00E56650" w:rsidRDefault="001F1413" w:rsidP="001F1413">
      <w:pPr>
        <w:pStyle w:val="Comment"/>
        <w:ind w:left="1134" w:hanging="1134"/>
      </w:pPr>
      <w:r>
        <w:rPr>
          <w:b/>
        </w:rPr>
        <w:t>C</w:t>
      </w:r>
      <w:r w:rsidR="006E15A4">
        <w:rPr>
          <w:b/>
        </w:rPr>
        <w:t>omment</w:t>
      </w:r>
      <w:r w:rsidR="00E56650" w:rsidRPr="005002FB">
        <w:rPr>
          <w:b/>
        </w:rPr>
        <w:t>:</w:t>
      </w:r>
      <w:r w:rsidR="00E56650">
        <w:t xml:space="preserve"> </w:t>
      </w:r>
      <w:r w:rsidR="00547588" w:rsidRPr="00E56650">
        <w:t xml:space="preserve">Please note that models for the ER-OS and ER-irAE were not repeated by the external PopPK evaluator as these were not provided by the </w:t>
      </w:r>
      <w:r w:rsidR="005F5E22">
        <w:t>sponsor</w:t>
      </w:r>
      <w:r w:rsidR="00547588" w:rsidRPr="00E56650">
        <w:t>.</w:t>
      </w:r>
    </w:p>
    <w:p w:rsidR="00547588" w:rsidRPr="00547588" w:rsidRDefault="00547588" w:rsidP="00547588">
      <w:r w:rsidRPr="00E56650">
        <w:t>The information in the following summary is derived from conventional pharmacokinetic studies unless otherwise stated.</w:t>
      </w:r>
    </w:p>
    <w:p w:rsidR="00E56650" w:rsidRPr="00E56650" w:rsidRDefault="00E56650" w:rsidP="00E56650">
      <w:pPr>
        <w:pStyle w:val="Heading3"/>
      </w:pPr>
      <w:bookmarkStart w:id="49" w:name="_Ref389208342"/>
      <w:bookmarkStart w:id="50" w:name="_Toc390676181"/>
      <w:bookmarkStart w:id="51" w:name="_Toc475616209"/>
      <w:r w:rsidRPr="00E56650">
        <w:t>Summary of pharmacokinetic studies</w:t>
      </w:r>
      <w:bookmarkEnd w:id="49"/>
      <w:bookmarkEnd w:id="50"/>
      <w:bookmarkEnd w:id="51"/>
    </w:p>
    <w:p w:rsidR="00E56650" w:rsidRPr="00E56650" w:rsidRDefault="00E56650" w:rsidP="00E56650">
      <w:pPr>
        <w:pStyle w:val="Heading4"/>
      </w:pPr>
      <w:bookmarkStart w:id="52" w:name="_Ref389213597"/>
      <w:bookmarkStart w:id="53" w:name="_Toc390676182"/>
      <w:r w:rsidRPr="00E56650">
        <w:t>CA184078</w:t>
      </w:r>
      <w:bookmarkEnd w:id="52"/>
      <w:bookmarkEnd w:id="53"/>
    </w:p>
    <w:p w:rsidR="00E56650" w:rsidRPr="00E56650" w:rsidRDefault="00E56650" w:rsidP="00E56650">
      <w:pPr>
        <w:pStyle w:val="Heading5"/>
      </w:pPr>
      <w:r w:rsidRPr="00E56650">
        <w:t>Objectives</w:t>
      </w:r>
    </w:p>
    <w:p w:rsidR="00E56650" w:rsidRPr="00E56650" w:rsidRDefault="00E56650" w:rsidP="00E56650">
      <w:r w:rsidRPr="00E56650">
        <w:t xml:space="preserve">The primary objective was to estimate the effect of </w:t>
      </w:r>
      <w:r w:rsidR="00F22D76">
        <w:t>ipilimumab</w:t>
      </w:r>
      <w:r w:rsidRPr="00E56650">
        <w:t xml:space="preserve"> on the pharmacokinetics of paclitaxel/carboplatin and </w:t>
      </w:r>
      <w:r w:rsidR="00851B52">
        <w:t>dacarbazine</w:t>
      </w:r>
      <w:r w:rsidRPr="00E56650">
        <w:t xml:space="preserve"> (DTIC), and to estimate the effect of paclitaxel/carboplatin and DTIC on the PK of </w:t>
      </w:r>
      <w:r w:rsidR="00F22D76">
        <w:t>ipilimumab</w:t>
      </w:r>
      <w:r w:rsidRPr="00E56650">
        <w:t xml:space="preserve"> in pat</w:t>
      </w:r>
      <w:r>
        <w:t>ients with untreated melanoma.</w:t>
      </w:r>
    </w:p>
    <w:p w:rsidR="00E56650" w:rsidRPr="00E56650" w:rsidRDefault="00E56650" w:rsidP="00E56650">
      <w:pPr>
        <w:pStyle w:val="Heading5"/>
      </w:pPr>
      <w:r w:rsidRPr="00E56650">
        <w:lastRenderedPageBreak/>
        <w:t>Methodology</w:t>
      </w:r>
    </w:p>
    <w:p w:rsidR="00851B52" w:rsidRDefault="00851B52" w:rsidP="00851B52">
      <w:pPr>
        <w:pStyle w:val="Heading6"/>
      </w:pPr>
      <w:r>
        <w:t>Design</w:t>
      </w:r>
    </w:p>
    <w:p w:rsidR="00E56650" w:rsidRPr="00E56650" w:rsidRDefault="00851B52" w:rsidP="00E56650">
      <w:r>
        <w:t xml:space="preserve">CA184078 was a 3 </w:t>
      </w:r>
      <w:r w:rsidR="00E56650" w:rsidRPr="00E56650">
        <w:t>arm, parallel, random</w:t>
      </w:r>
      <w:r w:rsidR="00C91631">
        <w:t>is</w:t>
      </w:r>
      <w:r w:rsidR="00E56650" w:rsidRPr="00E56650">
        <w:t>ed, open</w:t>
      </w:r>
      <w:r>
        <w:t xml:space="preserve"> label P</w:t>
      </w:r>
      <w:r w:rsidR="00E56650" w:rsidRPr="00E56650">
        <w:t xml:space="preserve">hase </w:t>
      </w:r>
      <w:r>
        <w:t>I</w:t>
      </w:r>
      <w:r w:rsidR="00E56650" w:rsidRPr="00E56650">
        <w:t xml:space="preserve"> study, with an induction and maintenance phase, performed over four centres, between 1</w:t>
      </w:r>
      <w:r>
        <w:t>7-</w:t>
      </w:r>
      <w:r w:rsidR="001F1413">
        <w:t>February</w:t>
      </w:r>
      <w:r>
        <w:t>-2009 and27-</w:t>
      </w:r>
      <w:r w:rsidR="001F1413">
        <w:t>July</w:t>
      </w:r>
      <w:r>
        <w:t>-2010 (Week </w:t>
      </w:r>
      <w:r w:rsidR="00E56650" w:rsidRPr="00E56650">
        <w:t>48 database lock)</w:t>
      </w:r>
      <w:r w:rsidR="00BA3B04">
        <w:t>.</w:t>
      </w:r>
    </w:p>
    <w:p w:rsidR="00851B52" w:rsidRDefault="00851B52" w:rsidP="00851B52">
      <w:pPr>
        <w:pStyle w:val="Heading6"/>
      </w:pPr>
      <w:r>
        <w:t>Entry criteria</w:t>
      </w:r>
    </w:p>
    <w:p w:rsidR="00E56650" w:rsidRPr="00E56650" w:rsidRDefault="00E56650" w:rsidP="00E56650">
      <w:proofErr w:type="gramStart"/>
      <w:r w:rsidRPr="00E56650">
        <w:t>Untreated adults with stage III or IV melanoma and ECOG &lt;</w:t>
      </w:r>
      <w:r>
        <w:t xml:space="preserve"> </w:t>
      </w:r>
      <w:r w:rsidRPr="00E56650">
        <w:t>1.</w:t>
      </w:r>
      <w:proofErr w:type="gramEnd"/>
    </w:p>
    <w:p w:rsidR="00E56650" w:rsidRPr="00E56650" w:rsidRDefault="00E56650" w:rsidP="00851B52">
      <w:pPr>
        <w:pStyle w:val="Heading6"/>
      </w:pPr>
      <w:r w:rsidRPr="00E56650">
        <w:t>Treatments</w:t>
      </w:r>
    </w:p>
    <w:p w:rsidR="00E56650" w:rsidRPr="00E56650" w:rsidRDefault="000952CA" w:rsidP="00851B52">
      <w:pPr>
        <w:pStyle w:val="ListBullet"/>
      </w:pPr>
      <w:r>
        <w:t>Arm A: Induction Phase;</w:t>
      </w:r>
      <w:r w:rsidR="00E56650" w:rsidRPr="00E56650">
        <w:t xml:space="preserve"> paclitaxel 175 mg/m</w:t>
      </w:r>
      <w:r w:rsidR="00E56650" w:rsidRPr="000952CA">
        <w:rPr>
          <w:vertAlign w:val="superscript"/>
        </w:rPr>
        <w:t>2</w:t>
      </w:r>
      <w:r w:rsidR="00E56650" w:rsidRPr="00E56650">
        <w:t xml:space="preserve"> + carboplatin AUC 6 Day 1 p</w:t>
      </w:r>
      <w:r w:rsidR="000E73B0">
        <w:t xml:space="preserve">lus </w:t>
      </w:r>
      <w:r w:rsidR="00F22D76">
        <w:t>ipilimumab</w:t>
      </w:r>
      <w:r w:rsidR="000E73B0">
        <w:t xml:space="preserve"> 10 mg/kg Day 3. </w:t>
      </w:r>
      <w:r w:rsidR="00E56650" w:rsidRPr="00E56650">
        <w:t xml:space="preserve">Further </w:t>
      </w:r>
      <w:r w:rsidR="00F22D76">
        <w:t>ipilimumab</w:t>
      </w:r>
      <w:r w:rsidR="00851B52">
        <w:t xml:space="preserve"> (Weeks 4, 7 and </w:t>
      </w:r>
      <w:r w:rsidR="00E56650" w:rsidRPr="00E56650">
        <w:t>10) and paclitaxel/carboplat</w:t>
      </w:r>
      <w:r w:rsidR="00851B52">
        <w:t xml:space="preserve">in (Weeks 4, 7, 10, 13, 16, 19 and </w:t>
      </w:r>
      <w:r w:rsidR="00E56650" w:rsidRPr="00E56650">
        <w:t>22) every 3 weeks to a maximum of 8 chemotherapy doses.</w:t>
      </w:r>
    </w:p>
    <w:p w:rsidR="00E56650" w:rsidRPr="00E56650" w:rsidRDefault="000952CA" w:rsidP="00851B52">
      <w:pPr>
        <w:pStyle w:val="ListBullet"/>
      </w:pPr>
      <w:r>
        <w:t xml:space="preserve">Arm B: Induction Phase; </w:t>
      </w:r>
      <w:r w:rsidR="00E56650" w:rsidRPr="00E56650">
        <w:t>DTIC 850 mg/m</w:t>
      </w:r>
      <w:r w:rsidR="00E56650" w:rsidRPr="000952CA">
        <w:rPr>
          <w:vertAlign w:val="superscript"/>
        </w:rPr>
        <w:t>2</w:t>
      </w:r>
      <w:r w:rsidR="00E56650" w:rsidRPr="00E56650">
        <w:t xml:space="preserve"> Day 1 plus </w:t>
      </w:r>
      <w:r w:rsidR="00F22D76">
        <w:t>ipilimumab</w:t>
      </w:r>
      <w:r w:rsidR="00E56650" w:rsidRPr="00E56650">
        <w:t xml:space="preserve"> 10 mg/kg Day 3. Further doses of </w:t>
      </w:r>
      <w:r w:rsidR="00F22D76">
        <w:t>ipilimumab</w:t>
      </w:r>
      <w:r w:rsidR="00851B52">
        <w:t xml:space="preserve"> (Weeks 4, 7 and </w:t>
      </w:r>
      <w:r w:rsidR="00E56650" w:rsidRPr="00E56650">
        <w:t>10) and DT</w:t>
      </w:r>
      <w:r w:rsidR="00851B52">
        <w:t xml:space="preserve">IC (Weeks 4, 7, 10, 13, 16, 19 and </w:t>
      </w:r>
      <w:r w:rsidR="00E56650" w:rsidRPr="00E56650">
        <w:t>22) every 3 weeks to a maximum of 8 chemotherapy doses.</w:t>
      </w:r>
    </w:p>
    <w:p w:rsidR="00E56650" w:rsidRPr="00E56650" w:rsidRDefault="000952CA" w:rsidP="00851B52">
      <w:pPr>
        <w:pStyle w:val="ListBullet"/>
      </w:pPr>
      <w:r>
        <w:t>Arm C: Induction Phase;</w:t>
      </w:r>
      <w:r w:rsidR="00E56650" w:rsidRPr="00E56650">
        <w:t xml:space="preserve"> </w:t>
      </w:r>
      <w:r w:rsidR="00F22D76">
        <w:t>ipilimumab</w:t>
      </w:r>
      <w:r w:rsidR="00E56650" w:rsidRPr="00E56650">
        <w:t xml:space="preserve"> </w:t>
      </w:r>
      <w:r w:rsidR="00C108F1">
        <w:t>10 mg</w:t>
      </w:r>
      <w:r w:rsidR="00E56650" w:rsidRPr="00E56650">
        <w:t>/kg every 3 weeks for up to 4 doses.</w:t>
      </w:r>
    </w:p>
    <w:p w:rsidR="00E56650" w:rsidRPr="00E56650" w:rsidRDefault="00E56650" w:rsidP="00E56650">
      <w:r w:rsidRPr="00E56650">
        <w:t xml:space="preserve">Then Maintenance Phase for all arms: </w:t>
      </w:r>
      <w:r w:rsidR="00F22D76">
        <w:t>ipilimumab</w:t>
      </w:r>
      <w:r w:rsidRPr="00E56650">
        <w:t xml:space="preserve"> </w:t>
      </w:r>
      <w:r w:rsidR="00C108F1">
        <w:t>10 mg</w:t>
      </w:r>
      <w:r w:rsidRPr="00E56650">
        <w:t>/kg ever 12 weeks until PD, toxicity, study closure or withdrawal.</w:t>
      </w:r>
    </w:p>
    <w:p w:rsidR="00851B52" w:rsidRDefault="00E56650" w:rsidP="00851B52">
      <w:pPr>
        <w:pStyle w:val="Heading6"/>
      </w:pPr>
      <w:r w:rsidRPr="00E56650">
        <w:t>PK sampli</w:t>
      </w:r>
      <w:r w:rsidR="00851B52">
        <w:t>ng and analysis</w:t>
      </w:r>
    </w:p>
    <w:p w:rsidR="00E56650" w:rsidRPr="00E56650" w:rsidRDefault="00851B52" w:rsidP="000952CA">
      <w:pPr>
        <w:pStyle w:val="ListBullet"/>
      </w:pPr>
      <w:r>
        <w:t>Arm A</w:t>
      </w:r>
      <w:r w:rsidR="00E56650" w:rsidRPr="00E56650">
        <w:t xml:space="preserve">: PK sampling on Week 1 Day 1 (without </w:t>
      </w:r>
      <w:r w:rsidR="00F22D76">
        <w:t>ipilimumab</w:t>
      </w:r>
      <w:r w:rsidR="000952CA">
        <w:t xml:space="preserve">); </w:t>
      </w:r>
      <w:r w:rsidR="00E56650" w:rsidRPr="00E56650">
        <w:t>3 blood samples during paclitaxel, 3 samples post paclitaxel, 24</w:t>
      </w:r>
      <w:r>
        <w:t xml:space="preserve"> </w:t>
      </w:r>
      <w:r w:rsidR="00E56650" w:rsidRPr="00E56650">
        <w:t xml:space="preserve">hours, and at 48 hours. Sampling was performed also after the third dose at Week 7 (with </w:t>
      </w:r>
      <w:r w:rsidR="00F22D76">
        <w:t>ipilimumab</w:t>
      </w:r>
      <w:r w:rsidR="00E56650" w:rsidRPr="00E56650">
        <w:t>), with the first PK sample starting at 1</w:t>
      </w:r>
      <w:r w:rsidR="000952CA">
        <w:t> </w:t>
      </w:r>
      <w:r w:rsidR="00E56650" w:rsidRPr="00E56650">
        <w:t xml:space="preserve">hour post </w:t>
      </w:r>
      <w:r w:rsidR="00F22D76">
        <w:t>ipilimumab</w:t>
      </w:r>
      <w:r w:rsidR="00E56650" w:rsidRPr="00E56650">
        <w:t>, and other samples taken at the time schedules as Week 1.</w:t>
      </w:r>
    </w:p>
    <w:p w:rsidR="00E56650" w:rsidRPr="00E56650" w:rsidRDefault="00851B52" w:rsidP="000952CA">
      <w:pPr>
        <w:pStyle w:val="ListBullet"/>
      </w:pPr>
      <w:r>
        <w:t>Arm B</w:t>
      </w:r>
      <w:r w:rsidR="00E56650" w:rsidRPr="00E56650">
        <w:t>: DTIC and its active metabolite, 5-aminoimidazole-4-ca</w:t>
      </w:r>
      <w:r w:rsidR="000E73B0">
        <w:t xml:space="preserve">rboxamide (AIC) were assessed. </w:t>
      </w:r>
      <w:r w:rsidR="00E56650" w:rsidRPr="00E56650">
        <w:t xml:space="preserve">Blood samples were collected 24 hours after the first dose of DTIC (before </w:t>
      </w:r>
      <w:r w:rsidR="00F22D76">
        <w:t>ipilimumab</w:t>
      </w:r>
      <w:r w:rsidR="00AB442E">
        <w:t>) at 1 </w:t>
      </w:r>
      <w:r w:rsidR="00E56650" w:rsidRPr="00E56650">
        <w:t>hour, 1.5</w:t>
      </w:r>
      <w:r w:rsidR="00AB442E">
        <w:t xml:space="preserve"> </w:t>
      </w:r>
      <w:r w:rsidR="00E56650" w:rsidRPr="00E56650">
        <w:t>hours, 2.5 hours, 3.5</w:t>
      </w:r>
      <w:r w:rsidR="00AB442E">
        <w:t xml:space="preserve"> </w:t>
      </w:r>
      <w:r w:rsidR="00E56650" w:rsidRPr="00E56650">
        <w:t>h</w:t>
      </w:r>
      <w:r w:rsidR="000952CA">
        <w:t>ours, 5.5hours, 9.5 hours, and D</w:t>
      </w:r>
      <w:r w:rsidR="00E56650" w:rsidRPr="00E56650">
        <w:t>ay 2.</w:t>
      </w:r>
      <w:r w:rsidR="000E73B0">
        <w:t xml:space="preserve"> </w:t>
      </w:r>
      <w:r>
        <w:t>After the third dose at Week </w:t>
      </w:r>
      <w:r w:rsidR="00AB442E">
        <w:t>7 (D</w:t>
      </w:r>
      <w:r w:rsidR="00E56650" w:rsidRPr="00E56650">
        <w:t xml:space="preserve">ay 43, with </w:t>
      </w:r>
      <w:r w:rsidR="00F22D76">
        <w:t>ipilimumab</w:t>
      </w:r>
      <w:r w:rsidR="00E56650" w:rsidRPr="00E56650">
        <w:t>), the first PK sample was taken starting 1</w:t>
      </w:r>
      <w:r w:rsidR="000952CA">
        <w:t> </w:t>
      </w:r>
      <w:r w:rsidR="00E56650" w:rsidRPr="00E56650">
        <w:t xml:space="preserve">hour post </w:t>
      </w:r>
      <w:r w:rsidR="00F22D76">
        <w:t>ipilimumab</w:t>
      </w:r>
      <w:r w:rsidR="00E56650" w:rsidRPr="00E56650">
        <w:t xml:space="preserve"> and accordin</w:t>
      </w:r>
      <w:r w:rsidR="00E56650">
        <w:t>g to the DTIC schedule.</w:t>
      </w:r>
    </w:p>
    <w:p w:rsidR="00E56650" w:rsidRPr="00E56650" w:rsidRDefault="00E56650" w:rsidP="000952CA">
      <w:pPr>
        <w:pStyle w:val="ListBullet"/>
      </w:pPr>
      <w:r w:rsidRPr="00E56650">
        <w:t>Arm C (and all arms in additio</w:t>
      </w:r>
      <w:r w:rsidR="000952CA">
        <w:t>n to above): Week 7,</w:t>
      </w:r>
      <w:r w:rsidR="001F1413">
        <w:t xml:space="preserve"> </w:t>
      </w:r>
      <w:r w:rsidRPr="00E56650">
        <w:t>Day 43 blood samples were taken at 0</w:t>
      </w:r>
      <w:r w:rsidR="000952CA">
        <w:t> </w:t>
      </w:r>
      <w:r w:rsidRPr="00E56650">
        <w:t>hours (pre dose), then 1.5</w:t>
      </w:r>
      <w:r w:rsidR="00AB442E">
        <w:t xml:space="preserve"> </w:t>
      </w:r>
      <w:r w:rsidRPr="00E56650">
        <w:t xml:space="preserve">hours (infusion ends), then in comparison to when </w:t>
      </w:r>
      <w:r w:rsidR="00F22D76">
        <w:t>ipilimumab</w:t>
      </w:r>
      <w:r w:rsidRPr="00E56650">
        <w:t xml:space="preserve"> was given with combination therapy, the first PK sample was 2.5</w:t>
      </w:r>
      <w:r w:rsidR="00AB442E">
        <w:t xml:space="preserve"> </w:t>
      </w:r>
      <w:r w:rsidRPr="00E56650">
        <w:t>hours later (4</w:t>
      </w:r>
      <w:r w:rsidR="000952CA">
        <w:t xml:space="preserve"> </w:t>
      </w:r>
      <w:r w:rsidRPr="00E56650">
        <w:t>h</w:t>
      </w:r>
      <w:r w:rsidR="000952CA">
        <w:t>ou</w:t>
      </w:r>
      <w:r w:rsidRPr="00E56650">
        <w:t xml:space="preserve">rs post </w:t>
      </w:r>
      <w:r w:rsidR="00F22D76">
        <w:t>ipilimumab</w:t>
      </w:r>
      <w:r w:rsidRPr="00E56650">
        <w:t xml:space="preserve">), then </w:t>
      </w:r>
      <w:r w:rsidR="00AB442E">
        <w:t>Day</w:t>
      </w:r>
      <w:r w:rsidRPr="00E56650">
        <w:t xml:space="preserve"> 44, </w:t>
      </w:r>
      <w:r w:rsidR="00AB442E">
        <w:t>Day</w:t>
      </w:r>
      <w:r w:rsidRPr="00E56650">
        <w:t xml:space="preserve"> 46, </w:t>
      </w:r>
      <w:r w:rsidR="00AB442E">
        <w:t>Day</w:t>
      </w:r>
      <w:r w:rsidRPr="00E56650">
        <w:t xml:space="preserve"> 50, </w:t>
      </w:r>
      <w:r w:rsidR="00AB442E">
        <w:t>Day</w:t>
      </w:r>
      <w:r w:rsidRPr="00E56650">
        <w:t xml:space="preserve"> 57 and </w:t>
      </w:r>
      <w:r w:rsidR="00AB442E">
        <w:t>Day</w:t>
      </w:r>
      <w:r w:rsidRPr="00E56650">
        <w:t xml:space="preserve"> 64.</w:t>
      </w:r>
    </w:p>
    <w:p w:rsidR="00E56650" w:rsidRPr="00E56650" w:rsidRDefault="00E56650" w:rsidP="00E56650">
      <w:r w:rsidRPr="00E56650">
        <w:t xml:space="preserve">Assays for measurement of </w:t>
      </w:r>
      <w:r w:rsidR="00F22D76">
        <w:t>ipilimumab</w:t>
      </w:r>
      <w:r w:rsidRPr="00E56650">
        <w:t xml:space="preserve"> levels were performed by an internally validated (BMS) ELISA assay.</w:t>
      </w:r>
      <w:r w:rsidR="000E73B0">
        <w:t xml:space="preserve"> </w:t>
      </w:r>
      <w:r w:rsidRPr="00E56650">
        <w:t>This assay was utilised in reports from the initial application.</w:t>
      </w:r>
      <w:r w:rsidR="000E73B0">
        <w:t xml:space="preserve"> </w:t>
      </w:r>
      <w:r w:rsidRPr="00E56650">
        <w:t>Paclitaxel, DTIC and AIC analysis were referenced to previous validated published methods.</w:t>
      </w:r>
    </w:p>
    <w:p w:rsidR="00AB442E" w:rsidRDefault="00AB442E" w:rsidP="00AB442E">
      <w:pPr>
        <w:pStyle w:val="Heading6"/>
      </w:pPr>
      <w:r>
        <w:t>Study participants</w:t>
      </w:r>
    </w:p>
    <w:p w:rsidR="00E56650" w:rsidRPr="00E56650" w:rsidRDefault="00E56650" w:rsidP="00E56650">
      <w:r w:rsidRPr="00E56650">
        <w:t>Of 72 enrolled patients, 59 were random</w:t>
      </w:r>
      <w:r w:rsidR="00C91631">
        <w:t>is</w:t>
      </w:r>
      <w:r w:rsidRPr="00E56650">
        <w:t xml:space="preserve">ed to treatment and received </w:t>
      </w:r>
      <w:r w:rsidR="00F22D76">
        <w:t>ipilimumab</w:t>
      </w:r>
      <w:r w:rsidRPr="00E56650">
        <w:t xml:space="preserve"> + paclitaxel/carboplatin (Arm A, n = 20), </w:t>
      </w:r>
      <w:r w:rsidR="00F22D76">
        <w:t>ipilimumab</w:t>
      </w:r>
      <w:r w:rsidRPr="00E56650">
        <w:t xml:space="preserve"> + DTIC (Arm B, n = 19), or </w:t>
      </w:r>
      <w:r w:rsidR="00F22D76">
        <w:t>ipilimumab</w:t>
      </w:r>
      <w:r w:rsidRPr="00E56650">
        <w:t xml:space="preserve"> alone (Arm C, n = 20). 59 patients received one dose of </w:t>
      </w:r>
      <w:r w:rsidR="00F22D76">
        <w:t>ipilimumab</w:t>
      </w:r>
      <w:r w:rsidRPr="00E56650">
        <w:t>, but the majority of 41 (70%) patients did not complete the induction phase due to PD (63%) or toxicity and/or death (34%).</w:t>
      </w:r>
      <w:r w:rsidR="000E73B0">
        <w:t xml:space="preserve"> </w:t>
      </w:r>
      <w:r w:rsidRPr="00E56650">
        <w:t>Of 18 who completed induction, 2 did not receive any maintenance, and only 15 patients completed maintenance. Patients were predominantly white males (64%), of excellent ECOG.</w:t>
      </w:r>
    </w:p>
    <w:p w:rsidR="00E56650" w:rsidRPr="00E56650" w:rsidRDefault="00E56650" w:rsidP="00E56650">
      <w:pPr>
        <w:pStyle w:val="Heading5"/>
      </w:pPr>
      <w:r w:rsidRPr="00E56650">
        <w:t>PK results</w:t>
      </w:r>
    </w:p>
    <w:p w:rsidR="00E56650" w:rsidRPr="00E56650" w:rsidRDefault="00AB442E" w:rsidP="00E56650">
      <w:r>
        <w:t>Table 4</w:t>
      </w:r>
      <w:r w:rsidR="00E56650" w:rsidRPr="00E56650">
        <w:t xml:space="preserve"> summari</w:t>
      </w:r>
      <w:r w:rsidR="00E56650">
        <w:t xml:space="preserve">ses the </w:t>
      </w:r>
      <w:r w:rsidR="00F22D76">
        <w:t>ipilimumab</w:t>
      </w:r>
      <w:r w:rsidR="00E56650">
        <w:t xml:space="preserve"> PK results. </w:t>
      </w:r>
      <w:r w:rsidR="00E56650" w:rsidRPr="00E56650">
        <w:t xml:space="preserve">Co-administration with chemotherapy slightly reduced exposure to </w:t>
      </w:r>
      <w:r w:rsidR="00F22D76">
        <w:t>ipilimumab</w:t>
      </w:r>
      <w:r w:rsidR="00E56650" w:rsidRPr="00E56650">
        <w:t xml:space="preserve">. The geometric means for </w:t>
      </w:r>
      <w:r w:rsidR="00F22D76">
        <w:t>ipilimumab</w:t>
      </w:r>
      <w:r>
        <w:t xml:space="preserve"> </w:t>
      </w:r>
      <w:r w:rsidR="00283032">
        <w:t>C</w:t>
      </w:r>
      <w:r w:rsidR="00283032" w:rsidRPr="00283032">
        <w:rPr>
          <w:vertAlign w:val="subscript"/>
        </w:rPr>
        <w:t>max</w:t>
      </w:r>
      <w:r>
        <w:t xml:space="preserve"> and AUC (0 to </w:t>
      </w:r>
      <w:r w:rsidR="00E56650" w:rsidRPr="00E56650">
        <w:t>21</w:t>
      </w:r>
      <w:r w:rsidR="001F1413">
        <w:t> </w:t>
      </w:r>
      <w:r w:rsidR="00E56650" w:rsidRPr="00E56650">
        <w:t>d</w:t>
      </w:r>
      <w:r>
        <w:t>ays</w:t>
      </w:r>
      <w:r w:rsidR="00E56650" w:rsidRPr="00E56650">
        <w:t xml:space="preserve">) changed 0.982 and 0.917 fold, in the presence of DTIC. The 90% CIs for the geometric </w:t>
      </w:r>
      <w:r w:rsidR="00E56650" w:rsidRPr="00E56650">
        <w:lastRenderedPageBreak/>
        <w:t xml:space="preserve">mean ratios were contained within 0.75 and 1.21. The geometric means for </w:t>
      </w:r>
      <w:r w:rsidR="00F22D76">
        <w:t>ipilimumab</w:t>
      </w:r>
      <w:r w:rsidR="00E56650" w:rsidRPr="00E56650">
        <w:t xml:space="preserve"> </w:t>
      </w:r>
      <w:r w:rsidR="00283032">
        <w:t>C</w:t>
      </w:r>
      <w:r w:rsidR="00283032" w:rsidRPr="00283032">
        <w:rPr>
          <w:vertAlign w:val="subscript"/>
        </w:rPr>
        <w:t>max</w:t>
      </w:r>
      <w:r w:rsidR="00283032">
        <w:t xml:space="preserve"> and AUC (0 to </w:t>
      </w:r>
      <w:r w:rsidR="00E56650" w:rsidRPr="00E56650">
        <w:t>21</w:t>
      </w:r>
      <w:r w:rsidR="001F1413">
        <w:t xml:space="preserve"> </w:t>
      </w:r>
      <w:r w:rsidR="00E56650" w:rsidRPr="00E56650">
        <w:t>d</w:t>
      </w:r>
      <w:r w:rsidR="00283032">
        <w:t>ays</w:t>
      </w:r>
      <w:r w:rsidR="00E56650" w:rsidRPr="00E56650">
        <w:t>) changed 0.934 and 0.868 fold, with paclitaxel/carboplatin. The 90% CIs for the geometric mean ratios were contained within 0.68 and 1.14.</w:t>
      </w:r>
    </w:p>
    <w:p w:rsidR="00E56650" w:rsidRPr="00E56650" w:rsidRDefault="00E56650" w:rsidP="00E56650">
      <w:pPr>
        <w:pStyle w:val="Tabletitle"/>
      </w:pPr>
      <w:bookmarkStart w:id="54" w:name="_Toc390676288"/>
      <w:r w:rsidRPr="00E56650">
        <w:t xml:space="preserve">Table </w:t>
      </w:r>
      <w:r w:rsidR="001F1413">
        <w:t>4:</w:t>
      </w:r>
      <w:r w:rsidRPr="00E56650">
        <w:t xml:space="preserve"> Summary of </w:t>
      </w:r>
      <w:r w:rsidR="00F22D76">
        <w:t>ipilimumab</w:t>
      </w:r>
      <w:r w:rsidRPr="00E56650">
        <w:t xml:space="preserve"> pharmacokinetics, for </w:t>
      </w:r>
      <w:r w:rsidR="00F22D76">
        <w:t>ipilimumab</w:t>
      </w:r>
      <w:r w:rsidRPr="00E56650">
        <w:t xml:space="preserve"> alone (Arm C) or with paclitaxel/carboplatin (Arm A) or with DTIC (Arm B)</w:t>
      </w:r>
      <w:bookmarkEnd w:id="54"/>
    </w:p>
    <w:p w:rsidR="00E56650" w:rsidRDefault="00E56650" w:rsidP="000952CA">
      <w:r w:rsidRPr="000952CA">
        <w:rPr>
          <w:noProof/>
          <w:lang w:eastAsia="en-AU"/>
        </w:rPr>
        <w:drawing>
          <wp:inline distT="0" distB="0" distL="0" distR="0" wp14:anchorId="51448AD5" wp14:editId="4D8EFCA6">
            <wp:extent cx="5219700" cy="2552700"/>
            <wp:effectExtent l="0" t="0" r="0" b="0"/>
            <wp:docPr id="2050" name="Picture 2" descr="Table 4. Summary of ipilimumab pharmacokinetics, for ipilimumab alone (Arm C) or with paclitaxel/carboplatin (Arm A) or with DTIC (Ar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9581" t="19806" r="17324" b="17843"/>
                    <a:stretch/>
                  </pic:blipFill>
                  <pic:spPr bwMode="auto">
                    <a:xfrm>
                      <a:off x="0" y="0"/>
                      <a:ext cx="5221048" cy="2553359"/>
                    </a:xfrm>
                    <a:prstGeom prst="rect">
                      <a:avLst/>
                    </a:prstGeom>
                    <a:noFill/>
                    <a:ln>
                      <a:noFill/>
                    </a:ln>
                    <a:extLst/>
                  </pic:spPr>
                </pic:pic>
              </a:graphicData>
            </a:graphic>
          </wp:inline>
        </w:drawing>
      </w:r>
    </w:p>
    <w:p w:rsidR="00E56650" w:rsidRPr="00E56650" w:rsidRDefault="00E56650" w:rsidP="00E56650">
      <w:r w:rsidRPr="00283032">
        <w:t xml:space="preserve">Table </w:t>
      </w:r>
      <w:r w:rsidR="00283032" w:rsidRPr="00283032">
        <w:t>5</w:t>
      </w:r>
      <w:r w:rsidRPr="00E56650">
        <w:t xml:space="preserve"> summarises the paclitaxel PK data, with the geometric means for paclitaxel </w:t>
      </w:r>
      <w:r w:rsidR="00283032">
        <w:t>C</w:t>
      </w:r>
      <w:r w:rsidR="00283032" w:rsidRPr="00283032">
        <w:rPr>
          <w:vertAlign w:val="subscript"/>
        </w:rPr>
        <w:t>max</w:t>
      </w:r>
      <w:r w:rsidRPr="00E56650">
        <w:t xml:space="preserve"> and </w:t>
      </w:r>
      <w:proofErr w:type="gramStart"/>
      <w:r w:rsidRPr="00E56650">
        <w:t>AU</w:t>
      </w:r>
      <w:r w:rsidR="00283032">
        <w:t>C</w:t>
      </w:r>
      <w:r w:rsidRPr="00283032">
        <w:rPr>
          <w:vertAlign w:val="subscript"/>
        </w:rPr>
        <w:t>(</w:t>
      </w:r>
      <w:proofErr w:type="gramEnd"/>
      <w:r w:rsidRPr="00283032">
        <w:rPr>
          <w:vertAlign w:val="subscript"/>
        </w:rPr>
        <w:t>INF)</w:t>
      </w:r>
      <w:r w:rsidRPr="00E56650">
        <w:t xml:space="preserve"> changed 0.963 and 1.068 fold, respectively, in the presence of </w:t>
      </w:r>
      <w:r w:rsidR="00F22D76">
        <w:t>ipilimumab</w:t>
      </w:r>
      <w:r w:rsidRPr="00E56650">
        <w:t>. All 90% CIs for the geometric mean ratios were contained within 0.79</w:t>
      </w:r>
      <w:r w:rsidR="00283032">
        <w:t xml:space="preserve"> and 1.20. The PK data for DTIC and AIC are</w:t>
      </w:r>
      <w:r w:rsidRPr="00E56650">
        <w:t xml:space="preserve"> summarised in</w:t>
      </w:r>
      <w:r w:rsidR="00EE7AF7">
        <w:t xml:space="preserve"> Table 6</w:t>
      </w:r>
      <w:r w:rsidRPr="00E56650">
        <w:t xml:space="preserve">. </w:t>
      </w:r>
      <w:r w:rsidR="00283032">
        <w:t>I</w:t>
      </w:r>
      <w:r w:rsidR="00F22D76">
        <w:t>pilimumab</w:t>
      </w:r>
      <w:r w:rsidRPr="00E56650">
        <w:t xml:space="preserve"> did not affect the pharmacokinetics of DTIC and its active metabolite, AIC. The geometric means for DTIC </w:t>
      </w:r>
      <w:r w:rsidR="00283032">
        <w:t>C</w:t>
      </w:r>
      <w:r w:rsidR="00283032" w:rsidRPr="00283032">
        <w:rPr>
          <w:vertAlign w:val="subscript"/>
        </w:rPr>
        <w:t>max</w:t>
      </w:r>
      <w:r w:rsidRPr="00E56650">
        <w:t xml:space="preserve"> and </w:t>
      </w:r>
      <w:proofErr w:type="gramStart"/>
      <w:r w:rsidR="00283032" w:rsidRPr="00E56650">
        <w:t>AU</w:t>
      </w:r>
      <w:r w:rsidR="00283032">
        <w:t>C</w:t>
      </w:r>
      <w:r w:rsidR="00283032" w:rsidRPr="00283032">
        <w:rPr>
          <w:vertAlign w:val="subscript"/>
        </w:rPr>
        <w:t>(</w:t>
      </w:r>
      <w:proofErr w:type="gramEnd"/>
      <w:r w:rsidR="00283032" w:rsidRPr="00283032">
        <w:rPr>
          <w:vertAlign w:val="subscript"/>
        </w:rPr>
        <w:t>INF)</w:t>
      </w:r>
      <w:r w:rsidRPr="00E56650">
        <w:t xml:space="preserve"> changed 1.027 and 0.912 fold, respectively, in the presence of </w:t>
      </w:r>
      <w:r w:rsidR="00A60A6A">
        <w:t>ipilimumab</w:t>
      </w:r>
      <w:r w:rsidRPr="00E56650">
        <w:t>. Parameters for AIC changed 1.058 and 0.970 fold, respectively. All 90% CIs for the geometric mean ratios were contained within 0.75 and 1.25.</w:t>
      </w:r>
    </w:p>
    <w:p w:rsidR="00E56650" w:rsidRPr="00E56650" w:rsidRDefault="00E56650" w:rsidP="00E56650">
      <w:pPr>
        <w:pStyle w:val="Tabletitle"/>
      </w:pPr>
      <w:bookmarkStart w:id="55" w:name="_Toc390676289"/>
      <w:r w:rsidRPr="00E56650">
        <w:t>Table</w:t>
      </w:r>
      <w:r w:rsidR="00283032">
        <w:t xml:space="preserve"> 5</w:t>
      </w:r>
      <w:r w:rsidR="001F1413">
        <w:t>:</w:t>
      </w:r>
      <w:r w:rsidRPr="00E56650">
        <w:t xml:space="preserve"> Summary statistics of Paclitaxel pharmacokinetic parameters</w:t>
      </w:r>
      <w:bookmarkEnd w:id="55"/>
    </w:p>
    <w:p w:rsidR="00E56650" w:rsidRPr="00E56650" w:rsidRDefault="00E56650" w:rsidP="00E56650">
      <w:r w:rsidRPr="00F6670A">
        <w:rPr>
          <w:noProof/>
          <w:lang w:eastAsia="en-AU"/>
        </w:rPr>
        <w:drawing>
          <wp:inline distT="0" distB="0" distL="0" distR="0" wp14:anchorId="017F3C08" wp14:editId="092EBC93">
            <wp:extent cx="4823459" cy="2491740"/>
            <wp:effectExtent l="0" t="0" r="0" b="0"/>
            <wp:docPr id="4098" name="Picture 2" descr="Table 5: Summary statistics of Paclitaxel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94" t="7414" r="15454" b="12132"/>
                    <a:stretch/>
                  </pic:blipFill>
                  <pic:spPr bwMode="auto">
                    <a:xfrm>
                      <a:off x="0" y="0"/>
                      <a:ext cx="4824000" cy="2492020"/>
                    </a:xfrm>
                    <a:prstGeom prst="rect">
                      <a:avLst/>
                    </a:prstGeom>
                    <a:noFill/>
                    <a:ln>
                      <a:noFill/>
                    </a:ln>
                    <a:extLst/>
                  </pic:spPr>
                </pic:pic>
              </a:graphicData>
            </a:graphic>
          </wp:inline>
        </w:drawing>
      </w:r>
    </w:p>
    <w:p w:rsidR="00E56650" w:rsidRDefault="00E56650" w:rsidP="00E56650">
      <w:pPr>
        <w:pStyle w:val="Tabletitle"/>
      </w:pPr>
      <w:bookmarkStart w:id="56" w:name="_Toc390676290"/>
      <w:r w:rsidRPr="00E56650">
        <w:lastRenderedPageBreak/>
        <w:t xml:space="preserve">Table </w:t>
      </w:r>
      <w:r w:rsidR="00283032">
        <w:t>6</w:t>
      </w:r>
      <w:r w:rsidR="001F1413">
        <w:t>:</w:t>
      </w:r>
      <w:r w:rsidRPr="00E56650">
        <w:t xml:space="preserve"> Summary of DTIC and AIC pharmacokinetic parameters</w:t>
      </w:r>
      <w:bookmarkEnd w:id="56"/>
    </w:p>
    <w:p w:rsidR="00E56650" w:rsidRPr="00CF24F8" w:rsidRDefault="00283032" w:rsidP="00EE7AF7">
      <w:r w:rsidRPr="00EE7AF7">
        <w:rPr>
          <w:noProof/>
          <w:lang w:eastAsia="en-AU"/>
        </w:rPr>
        <w:drawing>
          <wp:inline distT="0" distB="0" distL="0" distR="0" wp14:anchorId="610519AF" wp14:editId="1BB74274">
            <wp:extent cx="5274389" cy="4784141"/>
            <wp:effectExtent l="0" t="0" r="0" b="0"/>
            <wp:docPr id="3" name="Picture 3" descr="Table 6. Summary of DTIC and AIC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2022" cy="4781994"/>
                    </a:xfrm>
                    <a:prstGeom prst="rect">
                      <a:avLst/>
                    </a:prstGeom>
                  </pic:spPr>
                </pic:pic>
              </a:graphicData>
            </a:graphic>
          </wp:inline>
        </w:drawing>
      </w:r>
    </w:p>
    <w:p w:rsidR="00E56650" w:rsidRPr="00F6670A" w:rsidRDefault="001F1413" w:rsidP="001F1413">
      <w:pPr>
        <w:pStyle w:val="Comment"/>
        <w:ind w:left="1134" w:hanging="1134"/>
      </w:pPr>
      <w:r>
        <w:rPr>
          <w:b/>
        </w:rPr>
        <w:t>C</w:t>
      </w:r>
      <w:r w:rsidR="00E56650" w:rsidRPr="00CF24F8">
        <w:rPr>
          <w:b/>
        </w:rPr>
        <w:t>omments:</w:t>
      </w:r>
      <w:r w:rsidR="00CF24F8">
        <w:t xml:space="preserve"> </w:t>
      </w:r>
      <w:r w:rsidR="00E56650" w:rsidRPr="00E56650">
        <w:t>The study design,</w:t>
      </w:r>
      <w:r w:rsidR="00E56650">
        <w:t xml:space="preserve"> and conduct were satisfactory.</w:t>
      </w:r>
      <w:r w:rsidR="00CF24F8">
        <w:t xml:space="preserve"> </w:t>
      </w:r>
      <w:r w:rsidR="00E56650" w:rsidRPr="00E56650">
        <w:t>However, with respect to the current application, no PK data is presented in this study that addresses the proposed usage.</w:t>
      </w:r>
    </w:p>
    <w:p w:rsidR="00E56650" w:rsidRPr="00E56650" w:rsidRDefault="00E56650" w:rsidP="00E56650">
      <w:pPr>
        <w:pStyle w:val="Heading4"/>
      </w:pPr>
      <w:bookmarkStart w:id="57" w:name="_Toc390676183"/>
      <w:r w:rsidRPr="00E56650">
        <w:t>CA184024</w:t>
      </w:r>
      <w:bookmarkEnd w:id="57"/>
    </w:p>
    <w:p w:rsidR="00E56650" w:rsidRPr="00E56650" w:rsidRDefault="00E56650" w:rsidP="00E56650">
      <w:r w:rsidRPr="00E56650">
        <w:t>Within the CSR no PK information is provided beyond a listing of serum concentr</w:t>
      </w:r>
      <w:r w:rsidR="00CF24F8">
        <w:t>ations</w:t>
      </w:r>
      <w:r w:rsidRPr="00E56650">
        <w:t xml:space="preserve"> and the study analysis/data is embedded into the PopPK report</w:t>
      </w:r>
      <w:r w:rsidR="00BA3B04">
        <w:rPr>
          <w:color w:val="9160CB" w:themeColor="accent5" w:themeTint="99"/>
        </w:rPr>
        <w:t>.</w:t>
      </w:r>
    </w:p>
    <w:p w:rsidR="00E56650" w:rsidRPr="00E56650" w:rsidRDefault="00E56650" w:rsidP="00E56650">
      <w:r w:rsidRPr="00E56650">
        <w:t>Briefly, CA</w:t>
      </w:r>
      <w:r w:rsidR="00CF24F8">
        <w:t>184024 was a random</w:t>
      </w:r>
      <w:r w:rsidR="00C91631">
        <w:t>is</w:t>
      </w:r>
      <w:r w:rsidR="00CF24F8">
        <w:t xml:space="preserve">ed, double blind, </w:t>
      </w:r>
      <w:r w:rsidR="00EE7AF7">
        <w:t>multi-</w:t>
      </w:r>
      <w:r w:rsidR="00EE7AF7" w:rsidRPr="00E56650">
        <w:t>centre</w:t>
      </w:r>
      <w:r w:rsidRPr="00E56650">
        <w:t xml:space="preserve">, </w:t>
      </w:r>
      <w:r w:rsidR="00F22D76">
        <w:t>Phase III</w:t>
      </w:r>
      <w:r w:rsidRPr="00E56650">
        <w:t xml:space="preserve"> study in untreated subjects with un</w:t>
      </w:r>
      <w:r w:rsidR="00CF24F8">
        <w:t>-</w:t>
      </w:r>
      <w:r w:rsidRPr="00E56650">
        <w:t xml:space="preserve">resectable Stage III or IV melanoma receiving DTIC plus placebo or DTIC plus </w:t>
      </w:r>
      <w:r w:rsidR="00C108F1">
        <w:t>10 mg</w:t>
      </w:r>
      <w:r w:rsidRPr="00E56650">
        <w:t xml:space="preserve">/kg of </w:t>
      </w:r>
      <w:r w:rsidR="00F22D76">
        <w:t>ipilimumab</w:t>
      </w:r>
      <w:r w:rsidRPr="00E56650">
        <w:t>. Ipilimumab was admin</w:t>
      </w:r>
      <w:r w:rsidR="00CF24F8">
        <w:t xml:space="preserve">istered as 4 single doses as 90 </w:t>
      </w:r>
      <w:r w:rsidRPr="00E56650">
        <w:t xml:space="preserve">minute IV infusions at Weeks 1, 4, 7 and 10 (treatment period) in combination with DTIC treatment. Subjects who were eligible for extended doses in the maintenance period received the same doses of </w:t>
      </w:r>
      <w:r w:rsidR="00F22D76">
        <w:t>ipilimumab</w:t>
      </w:r>
      <w:r w:rsidRPr="00E56650">
        <w:t xml:space="preserve"> on Weeks 24, 36, 48 and every 12 weeks on study thereafter until unacceptable toxicity, tumour progression or withdrawal of consent. Sparse PK data from 240 subjects were obtained in this study; but non-compartmental analysis (NCA) PK parameters were not estimated in CA184024, as only 7 data po</w:t>
      </w:r>
      <w:r w:rsidR="00CF24F8">
        <w:t xml:space="preserve">ints were collected across a 12 </w:t>
      </w:r>
      <w:r w:rsidRPr="00E56650">
        <w:t>week interval ov</w:t>
      </w:r>
      <w:r>
        <w:t>er 4 treatment induction doses.</w:t>
      </w:r>
    </w:p>
    <w:p w:rsidR="00E56650" w:rsidRDefault="00E56650" w:rsidP="00E56650">
      <w:r w:rsidRPr="00E56650">
        <w:t xml:space="preserve">Note also that a number of protocol amendments with relevance to PK data that are not yet reported. In particular, amendment number 01 to the protocol refers to </w:t>
      </w:r>
      <w:r w:rsidR="00EE7AF7" w:rsidRPr="00E56650">
        <w:t>pharmacogenomics</w:t>
      </w:r>
      <w:r w:rsidRPr="00E56650">
        <w:t xml:space="preserve"> testing (</w:t>
      </w:r>
      <w:r w:rsidR="00CF24F8">
        <w:t>for example,</w:t>
      </w:r>
      <w:r w:rsidRPr="00E56650">
        <w:t xml:space="preserve"> examination of CYP450 variants) and amendment number 04, refers to </w:t>
      </w:r>
      <w:r w:rsidRPr="00E56650">
        <w:lastRenderedPageBreak/>
        <w:t>pharmacogenomics testing for SNPs, as well as autoimmune markers (</w:t>
      </w:r>
      <w:r w:rsidR="00CF24F8">
        <w:t>for example,</w:t>
      </w:r>
      <w:r w:rsidRPr="00E56650">
        <w:t xml:space="preserve"> ASCA antibody</w:t>
      </w:r>
      <w:r>
        <w:t xml:space="preserve"> and ANCA) to predict GI irAEs.</w:t>
      </w:r>
    </w:p>
    <w:p w:rsidR="00E56650" w:rsidRPr="00E56650" w:rsidRDefault="00E56650" w:rsidP="00E56650">
      <w:r w:rsidRPr="00E56650">
        <w:t>Please note with reference to ER-OS modelling, this study investigated previously untreated patients and thus is not informative for the effect of prior treatment status on the efficacy endpoint of OS.</w:t>
      </w:r>
    </w:p>
    <w:p w:rsidR="00E56650" w:rsidRPr="00E56650" w:rsidRDefault="00E56650" w:rsidP="00E56650">
      <w:pPr>
        <w:pStyle w:val="Heading4"/>
      </w:pPr>
      <w:bookmarkStart w:id="58" w:name="_Ref389213777"/>
      <w:bookmarkStart w:id="59" w:name="_Toc390676184"/>
      <w:r w:rsidRPr="00E56650">
        <w:t>Population Pharmacokinetic report</w:t>
      </w:r>
      <w:bookmarkEnd w:id="58"/>
      <w:bookmarkEnd w:id="59"/>
    </w:p>
    <w:p w:rsidR="00CF24F8" w:rsidRDefault="00E56650" w:rsidP="00E56650">
      <w:r w:rsidRPr="00E56650">
        <w:t xml:space="preserve">The </w:t>
      </w:r>
      <w:r w:rsidR="001F1413">
        <w:t>PopPK</w:t>
      </w:r>
      <w:r w:rsidRPr="00E56650">
        <w:t xml:space="preserve"> analysis (an extension of the previous) was performed with 3</w:t>
      </w:r>
      <w:r w:rsidR="00EE7AF7">
        <w:t>,</w:t>
      </w:r>
      <w:r w:rsidRPr="00E56650">
        <w:t xml:space="preserve">200 </w:t>
      </w:r>
      <w:r w:rsidR="00F22D76">
        <w:t>ipilimumab</w:t>
      </w:r>
      <w:r w:rsidRPr="00E56650">
        <w:t xml:space="preserve"> serum concentration values from 785 subjects with advanced melanoma, who were enrolled in </w:t>
      </w:r>
      <w:r w:rsidR="00CF24F8">
        <w:t>the following clinical studies:</w:t>
      </w:r>
    </w:p>
    <w:p w:rsidR="00CF24F8" w:rsidRDefault="001F1413" w:rsidP="00CF24F8">
      <w:pPr>
        <w:pStyle w:val="ListBullet"/>
      </w:pPr>
      <w:r>
        <w:t xml:space="preserve">one chemo </w:t>
      </w:r>
      <w:r w:rsidR="00E56650" w:rsidRPr="00E56650">
        <w:t>combinatio</w:t>
      </w:r>
      <w:r w:rsidR="00CF24F8">
        <w:t>n P</w:t>
      </w:r>
      <w:r w:rsidR="00E56650">
        <w:t>hase I</w:t>
      </w:r>
      <w:r w:rsidR="00E56650" w:rsidRPr="00E56650">
        <w:t xml:space="preserve"> study (CA184078, n</w:t>
      </w:r>
      <w:r w:rsidR="00E56650">
        <w:t xml:space="preserve"> </w:t>
      </w:r>
      <w:r w:rsidR="00E56650" w:rsidRPr="00E56650">
        <w:t>=</w:t>
      </w:r>
      <w:r w:rsidR="00CF24F8">
        <w:t xml:space="preserve"> 29)</w:t>
      </w:r>
    </w:p>
    <w:p w:rsidR="00CF24F8" w:rsidRDefault="00CF24F8" w:rsidP="00CF24F8">
      <w:pPr>
        <w:pStyle w:val="ListBullet"/>
      </w:pPr>
      <w:r>
        <w:t>four P</w:t>
      </w:r>
      <w:r w:rsidR="00E56650">
        <w:t>hase II</w:t>
      </w:r>
      <w:r w:rsidR="00E56650" w:rsidRPr="00E56650">
        <w:t xml:space="preserve"> monotherapy clinical studies (CA184004, n</w:t>
      </w:r>
      <w:r w:rsidR="00E56650">
        <w:t xml:space="preserve"> </w:t>
      </w:r>
      <w:r w:rsidR="00E56650" w:rsidRPr="00E56650">
        <w:t>=</w:t>
      </w:r>
      <w:r w:rsidR="00E56650">
        <w:t xml:space="preserve"> </w:t>
      </w:r>
      <w:r w:rsidR="00E56650" w:rsidRPr="00E56650">
        <w:t>79, CA184007 n</w:t>
      </w:r>
      <w:r w:rsidR="00E56650">
        <w:t xml:space="preserve"> </w:t>
      </w:r>
      <w:r w:rsidR="00E56650" w:rsidRPr="00E56650">
        <w:t>=</w:t>
      </w:r>
      <w:r w:rsidR="00E56650">
        <w:t xml:space="preserve"> </w:t>
      </w:r>
      <w:r w:rsidR="00E56650" w:rsidRPr="00E56650">
        <w:t>112, CA184008 n</w:t>
      </w:r>
      <w:r w:rsidR="00E56650">
        <w:t xml:space="preserve"> </w:t>
      </w:r>
      <w:r w:rsidR="00E56650" w:rsidRPr="00E56650">
        <w:t>=</w:t>
      </w:r>
      <w:r w:rsidR="00E56650">
        <w:t xml:space="preserve"> </w:t>
      </w:r>
      <w:r w:rsidR="00E56650" w:rsidRPr="00E56650">
        <w:t>148 and CA184022 n</w:t>
      </w:r>
      <w:r w:rsidR="00E56650">
        <w:t xml:space="preserve"> </w:t>
      </w:r>
      <w:r w:rsidR="00E56650" w:rsidRPr="00E56650">
        <w:t>=</w:t>
      </w:r>
      <w:r>
        <w:t xml:space="preserve"> 177) and</w:t>
      </w:r>
    </w:p>
    <w:p w:rsidR="00CF24F8" w:rsidRDefault="00CF24F8" w:rsidP="00CF24F8">
      <w:pPr>
        <w:pStyle w:val="ListBullet"/>
      </w:pPr>
      <w:proofErr w:type="gramStart"/>
      <w:r>
        <w:t>one</w:t>
      </w:r>
      <w:proofErr w:type="gramEnd"/>
      <w:r>
        <w:t xml:space="preserve"> random</w:t>
      </w:r>
      <w:r w:rsidR="00C91631">
        <w:t>is</w:t>
      </w:r>
      <w:r>
        <w:t>ed P</w:t>
      </w:r>
      <w:r w:rsidR="00E56650">
        <w:t>hase III</w:t>
      </w:r>
      <w:r w:rsidR="00E56650" w:rsidRPr="00E56650">
        <w:t xml:space="preserve"> study in combination with </w:t>
      </w:r>
      <w:r w:rsidR="00851B52">
        <w:t>dacarbazine</w:t>
      </w:r>
      <w:r w:rsidR="00E56650" w:rsidRPr="00E56650">
        <w:t xml:space="preserve"> (CA184024, n</w:t>
      </w:r>
      <w:r w:rsidR="00E56650">
        <w:t xml:space="preserve"> </w:t>
      </w:r>
      <w:r w:rsidR="00E56650" w:rsidRPr="00E56650">
        <w:t>=2</w:t>
      </w:r>
      <w:r w:rsidR="00E56650">
        <w:t xml:space="preserve"> </w:t>
      </w:r>
      <w:r w:rsidR="00E56650" w:rsidRPr="00E56650">
        <w:t>40).</w:t>
      </w:r>
    </w:p>
    <w:p w:rsidR="00E56650" w:rsidRPr="00E56650" w:rsidRDefault="00E56650" w:rsidP="00E56650">
      <w:r w:rsidRPr="00E56650">
        <w:t>No trials were submitted that directly addressed the proposed indication.</w:t>
      </w:r>
    </w:p>
    <w:p w:rsidR="00E56650" w:rsidRPr="00E56650" w:rsidRDefault="00E56650" w:rsidP="00E56650">
      <w:r w:rsidRPr="00E56650">
        <w:t xml:space="preserve">Of these, 528 subjects received </w:t>
      </w:r>
      <w:r w:rsidR="00F22D76">
        <w:t>ipilimumab</w:t>
      </w:r>
      <w:r w:rsidRPr="00E56650">
        <w:t xml:space="preserve"> alone, while 257 subjects received </w:t>
      </w:r>
      <w:r w:rsidR="00F22D76">
        <w:t>ipilimumab</w:t>
      </w:r>
      <w:r w:rsidR="00EE7AF7">
        <w:t xml:space="preserve"> with DTIC. The exposure </w:t>
      </w:r>
      <w:r w:rsidRPr="00E56650">
        <w:t>response (</w:t>
      </w:r>
      <w:r w:rsidR="0039038B">
        <w:t>ER</w:t>
      </w:r>
      <w:r w:rsidRPr="00E56650">
        <w:t>) analysis for OS was</w:t>
      </w:r>
      <w:r w:rsidR="00CF24F8">
        <w:t xml:space="preserve"> performed only with data from S</w:t>
      </w:r>
      <w:r w:rsidRPr="00E56650">
        <w:t>tudy CA184024 (</w:t>
      </w:r>
      <w:r w:rsidR="00C108F1">
        <w:t>10 mg</w:t>
      </w:r>
      <w:r w:rsidRPr="00E56650">
        <w:t xml:space="preserve">/kg). The </w:t>
      </w:r>
      <w:r w:rsidR="0039038B">
        <w:t>ER</w:t>
      </w:r>
      <w:r w:rsidRPr="00E56650">
        <w:t xml:space="preserve"> analyses for irAEs were performed with data from all the studies (n</w:t>
      </w:r>
      <w:r>
        <w:t xml:space="preserve"> </w:t>
      </w:r>
      <w:r w:rsidRPr="00E56650">
        <w:t>=</w:t>
      </w:r>
      <w:r>
        <w:t xml:space="preserve"> </w:t>
      </w:r>
      <w:r w:rsidRPr="00E56650">
        <w:t>1</w:t>
      </w:r>
      <w:r w:rsidR="00EE7AF7">
        <w:t>,</w:t>
      </w:r>
      <w:r w:rsidRPr="00E56650">
        <w:t xml:space="preserve">036); 785 administered doses of 0.3, 3, or 10 mg/kg </w:t>
      </w:r>
      <w:r w:rsidR="00F22D76">
        <w:t>ipilimumab</w:t>
      </w:r>
      <w:r w:rsidRPr="00E56650">
        <w:t>, and 251</w:t>
      </w:r>
      <w:r>
        <w:t xml:space="preserve"> subjects administered placebo.</w:t>
      </w:r>
    </w:p>
    <w:p w:rsidR="00EE7AF7" w:rsidRPr="00E56650" w:rsidRDefault="00E56650" w:rsidP="00E56650">
      <w:r w:rsidRPr="00E56650">
        <w:t xml:space="preserve">With respect to the current application, it should be noted that only 14 untreated patients were included who received </w:t>
      </w:r>
      <w:r w:rsidR="00F22D76">
        <w:t>ipilimumab</w:t>
      </w:r>
      <w:r w:rsidRPr="00E56650">
        <w:t xml:space="preserve"> </w:t>
      </w:r>
      <w:r w:rsidR="00C108F1">
        <w:t>3 mg</w:t>
      </w:r>
      <w:r w:rsidRPr="00E56650">
        <w:t>/kg, versus 87 previously treated patients who received the same dose. It is unclear how many of these 14 previously untreated patients also received maintenance</w:t>
      </w:r>
      <w:r>
        <w:t xml:space="preserve"> therapy.</w:t>
      </w:r>
    </w:p>
    <w:p w:rsidR="00E56650" w:rsidRPr="00E56650" w:rsidRDefault="001F1413" w:rsidP="001F1413">
      <w:pPr>
        <w:pStyle w:val="Comment"/>
        <w:ind w:left="1134" w:hanging="1134"/>
      </w:pPr>
      <w:r>
        <w:rPr>
          <w:b/>
        </w:rPr>
        <w:t>C</w:t>
      </w:r>
      <w:r w:rsidR="006E15A4">
        <w:rPr>
          <w:b/>
        </w:rPr>
        <w:t>omment</w:t>
      </w:r>
      <w:r w:rsidR="00E56650" w:rsidRPr="00CF24F8">
        <w:rPr>
          <w:b/>
        </w:rPr>
        <w:t xml:space="preserve">: </w:t>
      </w:r>
      <w:r w:rsidR="00E56650" w:rsidRPr="00E56650">
        <w:t xml:space="preserve">The previous population pharmacokinetic analysis was conducted with 2089 </w:t>
      </w:r>
      <w:r w:rsidR="00F22D76">
        <w:t>ipilimumab</w:t>
      </w:r>
      <w:r w:rsidR="00E56650" w:rsidRPr="00E56650">
        <w:t xml:space="preserve"> serum concentration values from 498 subjects who were enr</w:t>
      </w:r>
      <w:r w:rsidR="00CF24F8">
        <w:t>olled in the following 4 P</w:t>
      </w:r>
      <w:r w:rsidR="00E56650">
        <w:t>hase II</w:t>
      </w:r>
      <w:r w:rsidR="00E56650" w:rsidRPr="00E56650">
        <w:t xml:space="preserve"> </w:t>
      </w:r>
      <w:r w:rsidR="007F1683">
        <w:t>Studies</w:t>
      </w:r>
      <w:r w:rsidR="00E56650" w:rsidRPr="00E56650">
        <w:t xml:space="preserve">: CA184004, CA184007, CA184008, and CA184022. The </w:t>
      </w:r>
      <w:r w:rsidR="004D2D70">
        <w:t>PopPK</w:t>
      </w:r>
      <w:r w:rsidR="00E56650" w:rsidRPr="00E56650">
        <w:t xml:space="preserve"> model was developed with 1761 observations from 419 subjects enrolled in 3 of the studies (CA184007, CA184008, and CA184022), and data from 79 subj</w:t>
      </w:r>
      <w:r w:rsidR="00CF24F8">
        <w:t>ects enrolled in the remaining S</w:t>
      </w:r>
      <w:r w:rsidR="00E56650" w:rsidRPr="00E56650">
        <w:t>tudy (CA184004) was used for external model validation.</w:t>
      </w:r>
    </w:p>
    <w:p w:rsidR="00E56650" w:rsidRPr="00E56650" w:rsidRDefault="00E56650" w:rsidP="001F1413">
      <w:pPr>
        <w:pStyle w:val="Comment"/>
        <w:ind w:left="1134" w:firstLine="0"/>
      </w:pPr>
      <w:r w:rsidRPr="00E56650">
        <w:t xml:space="preserve">Thus, the new data consisted of 1,111 serum values from 287 extra patients. The majority of this new data was obtained from CA184024 which uses </w:t>
      </w:r>
      <w:r w:rsidR="00F22D76">
        <w:t>ipilimumab</w:t>
      </w:r>
      <w:r w:rsidRPr="00E56650">
        <w:t xml:space="preserve"> </w:t>
      </w:r>
      <w:r w:rsidR="00C108F1">
        <w:t>10 mg</w:t>
      </w:r>
      <w:r w:rsidRPr="00E56650">
        <w:t xml:space="preserve">/kg + DTIC dosing. 51% (30/59) patients from CA 184078 were excluded from the PopPK analysis (see the section on </w:t>
      </w:r>
      <w:r w:rsidR="00C108F1">
        <w:t>‘</w:t>
      </w:r>
      <w:r w:rsidRPr="00E56650">
        <w:t>Patient population</w:t>
      </w:r>
      <w:r w:rsidR="00C108F1">
        <w:t>’</w:t>
      </w:r>
      <w:r w:rsidRPr="00E56650">
        <w:t xml:space="preserve"> below).</w:t>
      </w:r>
    </w:p>
    <w:p w:rsidR="00586F98" w:rsidRDefault="00E56650" w:rsidP="00E56650">
      <w:r w:rsidRPr="00E56650">
        <w:t>In most studies, PK samples were collected on D</w:t>
      </w:r>
      <w:r w:rsidR="00CF24F8">
        <w:t xml:space="preserve">ay 1 and Day 43 (3rd dose), pre infusion and after 90 </w:t>
      </w:r>
      <w:r w:rsidRPr="00E56650">
        <w:t>minute infusion. Three additional samples were taken between Day 3</w:t>
      </w:r>
      <w:r>
        <w:t xml:space="preserve"> </w:t>
      </w:r>
      <w:r w:rsidR="001C2FCA">
        <w:t>to</w:t>
      </w:r>
      <w:r>
        <w:t xml:space="preserve"> </w:t>
      </w:r>
      <w:r w:rsidR="001C2FCA">
        <w:t xml:space="preserve">7 (post </w:t>
      </w:r>
      <w:r w:rsidRPr="00E56650">
        <w:t>dose) after week 7 dose, Day 10</w:t>
      </w:r>
      <w:r>
        <w:t xml:space="preserve"> </w:t>
      </w:r>
      <w:r w:rsidR="001C2FCA">
        <w:t>to</w:t>
      </w:r>
      <w:r>
        <w:t xml:space="preserve"> </w:t>
      </w:r>
      <w:r w:rsidR="001C2FCA">
        <w:t xml:space="preserve">15 (post </w:t>
      </w:r>
      <w:r w:rsidRPr="00E56650">
        <w:t>dose) after week 7 dose</w:t>
      </w:r>
      <w:r w:rsidR="001C2FCA">
        <w:t xml:space="preserve"> and the pre-dose sample on Day </w:t>
      </w:r>
      <w:r w:rsidRPr="00E56650">
        <w:t>64. In CA184078, , samples were col</w:t>
      </w:r>
      <w:r w:rsidR="001C2FCA">
        <w:t xml:space="preserve">lected on Day 1 and Day 43, pre </w:t>
      </w:r>
      <w:r w:rsidRPr="00E56650">
        <w:t>infusion and 1.5,</w:t>
      </w:r>
      <w:r w:rsidR="001C2FCA">
        <w:t xml:space="preserve"> 3, 5, 9, 24, and 48 hours post </w:t>
      </w:r>
      <w:r w:rsidRPr="00E56650">
        <w:t>start of infusion.</w:t>
      </w:r>
    </w:p>
    <w:p w:rsidR="00E56650" w:rsidRPr="00E56650" w:rsidRDefault="00E56650" w:rsidP="00E56650">
      <w:pPr>
        <w:pStyle w:val="Heading5"/>
      </w:pPr>
      <w:bookmarkStart w:id="60" w:name="_Toc390676185"/>
      <w:r w:rsidRPr="00E56650">
        <w:t>Methods</w:t>
      </w:r>
      <w:bookmarkEnd w:id="60"/>
    </w:p>
    <w:p w:rsidR="00E56650" w:rsidRPr="00E56650" w:rsidRDefault="00E56650" w:rsidP="007B1220">
      <w:pPr>
        <w:pStyle w:val="Heading6"/>
      </w:pPr>
      <w:r w:rsidRPr="00E56650">
        <w:t xml:space="preserve">Population </w:t>
      </w:r>
      <w:r w:rsidR="003B35CB" w:rsidRPr="00E56650">
        <w:t>pharmacokinetic analysis</w:t>
      </w:r>
    </w:p>
    <w:p w:rsidR="007B1220" w:rsidRDefault="00E56650" w:rsidP="00E56650">
      <w:r w:rsidRPr="00E56650">
        <w:t>The P</w:t>
      </w:r>
      <w:r w:rsidR="001F1413">
        <w:t>op</w:t>
      </w:r>
      <w:r w:rsidRPr="00E56650">
        <w:t>PK m</w:t>
      </w:r>
      <w:r w:rsidR="007B1220">
        <w:t>odel was developed in 3 stages</w:t>
      </w:r>
      <w:r w:rsidR="00BA3B04">
        <w:t>;</w:t>
      </w:r>
    </w:p>
    <w:p w:rsidR="007B1220" w:rsidRDefault="00E56650" w:rsidP="007B1220">
      <w:pPr>
        <w:pStyle w:val="Numberbullet0"/>
      </w:pPr>
      <w:r w:rsidRPr="00E56650">
        <w:t>The Base model: was used as confirmation of the base PopPK model from the previous report.</w:t>
      </w:r>
      <w:r w:rsidR="000E73B0">
        <w:t xml:space="preserve"> </w:t>
      </w:r>
      <w:r w:rsidRPr="00E56650">
        <w:t>Covaria</w:t>
      </w:r>
      <w:r w:rsidR="007B1220">
        <w:t>te effects were not considered</w:t>
      </w:r>
    </w:p>
    <w:p w:rsidR="007B1220" w:rsidRDefault="001F1413" w:rsidP="007B1220">
      <w:pPr>
        <w:pStyle w:val="Numberbullet0"/>
      </w:pPr>
      <w:r>
        <w:lastRenderedPageBreak/>
        <w:t xml:space="preserve">The Full model: A full </w:t>
      </w:r>
      <w:r w:rsidR="00E56650" w:rsidRPr="00E56650">
        <w:t>covariate model was developed incorporating the effect of all pre-specified cov</w:t>
      </w:r>
      <w:r w:rsidR="007B1220">
        <w:t>ariate parameter relationships</w:t>
      </w:r>
    </w:p>
    <w:p w:rsidR="00E56650" w:rsidRPr="00E56650" w:rsidRDefault="00E56650" w:rsidP="007B1220">
      <w:pPr>
        <w:pStyle w:val="Numberbullet0"/>
      </w:pPr>
      <w:r w:rsidRPr="00E56650">
        <w:t>The Final model: was developed by retaining covari</w:t>
      </w:r>
      <w:r w:rsidR="001F1413">
        <w:t xml:space="preserve">ates that improved the goodness of </w:t>
      </w:r>
      <w:r w:rsidRPr="00E56650">
        <w:t>fit statistic (</w:t>
      </w:r>
      <w:r w:rsidR="007B1220">
        <w:t>Bayesian Information Criterion (BIC)</w:t>
      </w:r>
      <w:r w:rsidRPr="00E56650">
        <w:t>) and were of potential clinical relevance.</w:t>
      </w:r>
    </w:p>
    <w:p w:rsidR="00E56650" w:rsidRPr="00E56650" w:rsidRDefault="00E56650" w:rsidP="00E56650">
      <w:r w:rsidRPr="00E56650">
        <w:t xml:space="preserve">Baseline covariates examined were body weight, age, gender, estimated glomerular filtration (eGFR) rate, Eastern Oncology Group (ECOG) performance status, baseline lactate dehydrogenase (LDH), </w:t>
      </w:r>
      <w:r w:rsidR="00851B52">
        <w:t>dacarbazine</w:t>
      </w:r>
      <w:r w:rsidRPr="00E56650">
        <w:t>, and prior systemic anti-cancer therapy. In addition, the effect of immunogenicity on c</w:t>
      </w:r>
      <w:r w:rsidR="007B1220">
        <w:t xml:space="preserve">learance was assessed as a time </w:t>
      </w:r>
      <w:r w:rsidRPr="00E56650">
        <w:t xml:space="preserve">varying covariate to account for the possibility that anti-drug antibodies (ADA, also termed antihuman-antibodies or HAHA) are not present at all times in immunogenic subjects. Covariate models were developed for </w:t>
      </w:r>
      <w:r w:rsidR="00F22D76">
        <w:t>ipilimumab</w:t>
      </w:r>
      <w:r w:rsidRPr="00E56650">
        <w:t xml:space="preserve"> clearance and central volume of distribution. No covariates were modelled on the peripheral v</w:t>
      </w:r>
      <w:r w:rsidR="007B1220">
        <w:t xml:space="preserve">olume of distribution and inter </w:t>
      </w:r>
      <w:r w:rsidRPr="00E56650">
        <w:t>compartmental clearance. Visual predictive check with and without bias correction was used to evaluate the prediction performance of the developed final P</w:t>
      </w:r>
      <w:r w:rsidR="001F1413">
        <w:t>op</w:t>
      </w:r>
      <w:r w:rsidRPr="00E56650">
        <w:t>PK model. The final P</w:t>
      </w:r>
      <w:r w:rsidR="001F1413">
        <w:t>op</w:t>
      </w:r>
      <w:r w:rsidRPr="00E56650">
        <w:t>PK m</w:t>
      </w:r>
      <w:r w:rsidR="00F8271E">
        <w:t xml:space="preserve">odel was used to predict steady </w:t>
      </w:r>
      <w:r w:rsidRPr="00E56650">
        <w:t xml:space="preserve">state </w:t>
      </w:r>
      <w:r w:rsidR="00F22D76">
        <w:t>ipilimumab</w:t>
      </w:r>
      <w:r w:rsidRPr="00E56650">
        <w:t xml:space="preserve"> steady trough concentration (</w:t>
      </w:r>
      <w:r w:rsidR="00A05B08" w:rsidRPr="00FA355C">
        <w:t>C</w:t>
      </w:r>
      <w:r w:rsidR="00A05B08" w:rsidRPr="00A05B08">
        <w:rPr>
          <w:vertAlign w:val="subscript"/>
        </w:rPr>
        <w:t>minss</w:t>
      </w:r>
      <w:r w:rsidRPr="00E56650">
        <w:t>) for exposure</w:t>
      </w:r>
      <w:r w:rsidR="00F8271E">
        <w:t xml:space="preserve"> </w:t>
      </w:r>
      <w:r w:rsidRPr="00E56650">
        <w:t>response (</w:t>
      </w:r>
      <w:r w:rsidR="0039038B">
        <w:t>ER</w:t>
      </w:r>
      <w:r w:rsidRPr="00E56650">
        <w:t>) analyses.</w:t>
      </w:r>
    </w:p>
    <w:p w:rsidR="00E56650" w:rsidRPr="00E56650" w:rsidRDefault="00E56650" w:rsidP="007B1220">
      <w:pPr>
        <w:pStyle w:val="Heading6"/>
      </w:pPr>
      <w:r w:rsidRPr="00E56650">
        <w:t>Exposure-</w:t>
      </w:r>
      <w:r w:rsidR="001F1413" w:rsidRPr="00E56650">
        <w:t>efficacy response analysis</w:t>
      </w:r>
      <w:r w:rsidRPr="00E56650">
        <w:t>: OS (ER-OS)</w:t>
      </w:r>
    </w:p>
    <w:p w:rsidR="00F8271E" w:rsidRDefault="00770DD1" w:rsidP="00E56650">
      <w:r>
        <w:t>The ER-</w:t>
      </w:r>
      <w:r w:rsidR="00E56650" w:rsidRPr="00E56650">
        <w:t>OS relationship was character</w:t>
      </w:r>
      <w:r w:rsidR="00C91631">
        <w:t>is</w:t>
      </w:r>
      <w:r w:rsidR="00E56650" w:rsidRPr="00E56650">
        <w:t xml:space="preserve">ed with a Cox proportional hazards (CPH) model relating </w:t>
      </w:r>
      <w:r w:rsidR="00A05B08" w:rsidRPr="00FA355C">
        <w:t>C</w:t>
      </w:r>
      <w:r w:rsidR="00A05B08" w:rsidRPr="00A05B08">
        <w:rPr>
          <w:vertAlign w:val="subscript"/>
        </w:rPr>
        <w:t>minss</w:t>
      </w:r>
      <w:r w:rsidR="00E56650" w:rsidRPr="00E56650">
        <w:t xml:space="preserve"> to the hazard of death. Note should be made that this data set only included patients from CA184024 (</w:t>
      </w:r>
      <w:r w:rsidR="00C108F1">
        <w:t>10 mg</w:t>
      </w:r>
      <w:r w:rsidR="00E56650" w:rsidRPr="00E56650">
        <w:t>/kg + DTIC). The CPH model was developed in 3 stages;</w:t>
      </w:r>
    </w:p>
    <w:p w:rsidR="00F8271E" w:rsidRDefault="00E56650" w:rsidP="00FE2511">
      <w:pPr>
        <w:pStyle w:val="Numberbullet0"/>
        <w:numPr>
          <w:ilvl w:val="0"/>
          <w:numId w:val="12"/>
        </w:numPr>
      </w:pPr>
      <w:r w:rsidRPr="00E56650">
        <w:t xml:space="preserve">A base model was developed to establish the existence and functional form of the </w:t>
      </w:r>
      <w:r w:rsidR="0039038B">
        <w:t>ER</w:t>
      </w:r>
      <w:r w:rsidRPr="00E56650">
        <w:t xml:space="preserve"> relationship between OS and </w:t>
      </w:r>
      <w:r w:rsidR="00F22D76">
        <w:t>ipilimumab</w:t>
      </w:r>
      <w:r w:rsidRPr="00E56650">
        <w:t xml:space="preserve"> </w:t>
      </w:r>
      <w:r w:rsidR="00A05B08" w:rsidRPr="00FA355C">
        <w:t>C</w:t>
      </w:r>
      <w:r w:rsidR="00A05B08" w:rsidRPr="00A05B08">
        <w:rPr>
          <w:vertAlign w:val="subscript"/>
        </w:rPr>
        <w:t>minss</w:t>
      </w:r>
    </w:p>
    <w:p w:rsidR="00F8271E" w:rsidRDefault="00E56650" w:rsidP="00FE2511">
      <w:pPr>
        <w:pStyle w:val="Numberbullet0"/>
        <w:numPr>
          <w:ilvl w:val="0"/>
          <w:numId w:val="12"/>
        </w:numPr>
      </w:pPr>
      <w:r w:rsidRPr="00E56650">
        <w:t>A full model was developed to assess the effect of all of the p</w:t>
      </w:r>
      <w:r w:rsidR="00F8271E">
        <w:t>otential covariates of interest.</w:t>
      </w:r>
    </w:p>
    <w:p w:rsidR="00F8271E" w:rsidRDefault="00E56650" w:rsidP="00FE2511">
      <w:pPr>
        <w:pStyle w:val="Numberbullet0"/>
        <w:numPr>
          <w:ilvl w:val="0"/>
          <w:numId w:val="12"/>
        </w:numPr>
      </w:pPr>
      <w:r w:rsidRPr="00E56650">
        <w:t xml:space="preserve">A final model was developed by retaining potentially clinically relevant predictors, with appropriate functional forms </w:t>
      </w:r>
      <w:r w:rsidR="00F8271E">
        <w:t>of their relationships with OS</w:t>
      </w:r>
    </w:p>
    <w:p w:rsidR="00E56650" w:rsidRPr="00E56650" w:rsidRDefault="00E56650" w:rsidP="00E56650">
      <w:r w:rsidRPr="00E56650">
        <w:t>The CPH model was evaluated by comparing model predicted cumulative probability of OS versus time with that obtained with Kaplan-Meier (KM) analysis (observed data).</w:t>
      </w:r>
    </w:p>
    <w:p w:rsidR="00E56650" w:rsidRPr="00E56650" w:rsidRDefault="00E56650" w:rsidP="00F8271E">
      <w:pPr>
        <w:pStyle w:val="Heading6"/>
      </w:pPr>
      <w:r w:rsidRPr="00E56650">
        <w:t>Ex</w:t>
      </w:r>
      <w:r w:rsidR="00F8271E">
        <w:t>posure</w:t>
      </w:r>
      <w:r w:rsidR="001F1413">
        <w:t>-safety response analyses</w:t>
      </w:r>
      <w:r w:rsidR="001F1413" w:rsidRPr="00E56650">
        <w:t xml:space="preserve"> </w:t>
      </w:r>
      <w:r w:rsidRPr="00E56650">
        <w:t>(irAE)</w:t>
      </w:r>
    </w:p>
    <w:p w:rsidR="00E56650" w:rsidRPr="002D1A58" w:rsidRDefault="00F8271E" w:rsidP="00E56650">
      <w:r>
        <w:t>An E</w:t>
      </w:r>
      <w:r w:rsidRPr="00F8271E">
        <w:rPr>
          <w:vertAlign w:val="subscript"/>
        </w:rPr>
        <w:t>max</w:t>
      </w:r>
      <w:r>
        <w:t xml:space="preserve"> </w:t>
      </w:r>
      <w:r w:rsidR="00E56650" w:rsidRPr="00E56650">
        <w:t>based proportional odds model was developed to describe the probability of experiencing a worst irA</w:t>
      </w:r>
      <w:r>
        <w:t>E of G</w:t>
      </w:r>
      <w:r w:rsidR="00E56650">
        <w:t xml:space="preserve">rade 2 or greater (Grade </w:t>
      </w:r>
      <w:r w:rsidR="00A413D2">
        <w:t>≥</w:t>
      </w:r>
      <w:r w:rsidR="00E56650" w:rsidRPr="00E56650">
        <w:t xml:space="preserve"> 2),</w:t>
      </w:r>
      <w:r>
        <w:t xml:space="preserve"> and G</w:t>
      </w:r>
      <w:r w:rsidR="00E56650">
        <w:t xml:space="preserve">rade 3 or greater (Grade </w:t>
      </w:r>
      <w:r w:rsidR="00A413D2">
        <w:t>≥</w:t>
      </w:r>
      <w:r w:rsidR="00E56650" w:rsidRPr="00E56650">
        <w:t xml:space="preserve"> 3). Four </w:t>
      </w:r>
      <w:r w:rsidR="00806C69">
        <w:t>separate</w:t>
      </w:r>
      <w:r w:rsidR="00E56650" w:rsidRPr="00E56650">
        <w:t xml:space="preserve"> models were developed for gastrointestinal irAEs, hepatobiliary irAEs, skin irAEs, and </w:t>
      </w:r>
      <w:r w:rsidR="00C108F1">
        <w:t>‘</w:t>
      </w:r>
      <w:r w:rsidR="00E56650" w:rsidRPr="00E56650">
        <w:t>any organ</w:t>
      </w:r>
      <w:r w:rsidR="00C108F1">
        <w:t>’</w:t>
      </w:r>
      <w:r w:rsidR="00E56650" w:rsidRPr="00E56650">
        <w:t xml:space="preserve"> irAEs (which incorporated all previous categories and other organs organ). Covariates of age, body weight, gender, ECOG, LDH, ALC, metastatic status, prior anti-cancer therapy, </w:t>
      </w:r>
      <w:r w:rsidR="00912E7E">
        <w:t>and</w:t>
      </w:r>
      <w:r w:rsidR="00E56650" w:rsidRPr="00E56650">
        <w:t xml:space="preserve"> in the case of hepatobiliary irAEs, the presence of liver metastases, were incorporated into the logit functions in a linear manner.</w:t>
      </w:r>
    </w:p>
    <w:p w:rsidR="00E56650" w:rsidRPr="002D1A58" w:rsidRDefault="001F1413" w:rsidP="00E56650">
      <w:pPr>
        <w:pStyle w:val="Comment"/>
      </w:pPr>
      <w:r>
        <w:rPr>
          <w:b/>
        </w:rPr>
        <w:t>C</w:t>
      </w:r>
      <w:r w:rsidR="006E15A4">
        <w:rPr>
          <w:b/>
        </w:rPr>
        <w:t>omment</w:t>
      </w:r>
      <w:r w:rsidR="00E56650">
        <w:t xml:space="preserve">: </w:t>
      </w:r>
      <w:r w:rsidR="00E56650" w:rsidRPr="00E56650">
        <w:t xml:space="preserve">Please note comments on the safety data and questions to the </w:t>
      </w:r>
      <w:r w:rsidR="005F5E22">
        <w:t>sponsor</w:t>
      </w:r>
      <w:r w:rsidR="00E56650" w:rsidRPr="00E56650">
        <w:t>.</w:t>
      </w:r>
    </w:p>
    <w:p w:rsidR="00E56650" w:rsidRPr="002D1A58" w:rsidRDefault="00E56650" w:rsidP="00E56650">
      <w:pPr>
        <w:pStyle w:val="Heading5"/>
      </w:pPr>
      <w:bookmarkStart w:id="61" w:name="_Toc390676186"/>
      <w:r w:rsidRPr="002D1A58">
        <w:t>Results</w:t>
      </w:r>
      <w:bookmarkEnd w:id="61"/>
    </w:p>
    <w:p w:rsidR="001F1413" w:rsidRDefault="001F1413" w:rsidP="001F1413">
      <w:pPr>
        <w:pStyle w:val="Heading6"/>
      </w:pPr>
      <w:r>
        <w:t>Assay performance and samples</w:t>
      </w:r>
    </w:p>
    <w:p w:rsidR="00E56650" w:rsidRPr="002D1A58" w:rsidRDefault="00E56650" w:rsidP="00E56650">
      <w:r w:rsidRPr="00E56650">
        <w:t>The ELISA assay accuracy wa</w:t>
      </w:r>
      <w:r w:rsidR="00F8271E">
        <w:t xml:space="preserve">s within ± 9.40%, and the inter assay and intra </w:t>
      </w:r>
      <w:r w:rsidRPr="00E56650">
        <w:t>assay coefficients of variation were within 6.82% and 5.21%, respectively</w:t>
      </w:r>
      <w:r>
        <w:t>.</w:t>
      </w:r>
    </w:p>
    <w:p w:rsidR="00E56650" w:rsidRPr="002D1A58" w:rsidRDefault="00E56650" w:rsidP="00E56650">
      <w:r w:rsidRPr="00E56650">
        <w:t>Samples were excluded mainly due to being below the limit of quantification, if quantifiable c</w:t>
      </w:r>
      <w:r w:rsidR="00F8271E">
        <w:t xml:space="preserve">oncentrations were detected pre </w:t>
      </w:r>
      <w:r w:rsidRPr="00E56650">
        <w:t xml:space="preserve">dose (not described further) or due to the mismatching of samples (not described further). Approximately one third of samples were excluded overall and similarly when only new studies with PK data are </w:t>
      </w:r>
      <w:r w:rsidRPr="00F8271E">
        <w:t xml:space="preserve">considered (Table </w:t>
      </w:r>
      <w:r w:rsidR="00F8271E" w:rsidRPr="00F8271E">
        <w:t>7</w:t>
      </w:r>
      <w:r w:rsidRPr="00F8271E">
        <w:t>).</w:t>
      </w:r>
      <w:r w:rsidRPr="00E56650">
        <w:t xml:space="preserve"> Most patients provided 7 PK samples, usually obtained between the first po</w:t>
      </w:r>
      <w:r w:rsidR="00F8271E">
        <w:t xml:space="preserve">st </w:t>
      </w:r>
      <w:r w:rsidRPr="00E56650">
        <w:t xml:space="preserve">dose time </w:t>
      </w:r>
      <w:proofErr w:type="gramStart"/>
      <w:r w:rsidRPr="00E56650">
        <w:t>point</w:t>
      </w:r>
      <w:proofErr w:type="gramEnd"/>
      <w:r w:rsidRPr="00E56650">
        <w:t xml:space="preserve"> up to </w:t>
      </w:r>
      <w:r w:rsidR="00AB442E">
        <w:t>Day</w:t>
      </w:r>
      <w:r w:rsidRPr="00E56650">
        <w:t xml:space="preserve"> 25 (600</w:t>
      </w:r>
      <w:r w:rsidR="00F8271E">
        <w:t xml:space="preserve"> </w:t>
      </w:r>
      <w:r w:rsidRPr="00E56650">
        <w:t>h</w:t>
      </w:r>
      <w:r w:rsidR="00F8271E">
        <w:t>ou</w:t>
      </w:r>
      <w:r w:rsidRPr="00E56650">
        <w:t>rs) with very few samples beyond this, up to the 42 day (1000</w:t>
      </w:r>
      <w:r w:rsidR="00F8271E">
        <w:t xml:space="preserve"> </w:t>
      </w:r>
      <w:r w:rsidRPr="00E56650">
        <w:t>h</w:t>
      </w:r>
      <w:r w:rsidR="00F8271E">
        <w:t>ou</w:t>
      </w:r>
      <w:r w:rsidRPr="00E56650">
        <w:t>r) time point</w:t>
      </w:r>
      <w:r>
        <w:t>.</w:t>
      </w:r>
    </w:p>
    <w:p w:rsidR="00E56650" w:rsidRPr="00E56650" w:rsidRDefault="00E56650" w:rsidP="00F8271E">
      <w:pPr>
        <w:pStyle w:val="Tabletitle"/>
      </w:pPr>
      <w:bookmarkStart w:id="62" w:name="_Toc390676291"/>
      <w:r w:rsidRPr="00E56650">
        <w:lastRenderedPageBreak/>
        <w:t xml:space="preserve">Table </w:t>
      </w:r>
      <w:r w:rsidR="00F8271E">
        <w:t>7</w:t>
      </w:r>
      <w:r w:rsidR="001F1413">
        <w:t>:</w:t>
      </w:r>
      <w:r w:rsidRPr="00E56650">
        <w:t xml:space="preserve"> Samples included in the PopPK analysis</w:t>
      </w:r>
      <w:bookmarkEnd w:id="62"/>
    </w:p>
    <w:p w:rsidR="00E56650" w:rsidRPr="002D1A58" w:rsidRDefault="00E56650" w:rsidP="00F8271E">
      <w:pPr>
        <w:rPr>
          <w:u w:val="single"/>
        </w:rPr>
      </w:pPr>
      <w:r w:rsidRPr="002D1A58">
        <w:rPr>
          <w:noProof/>
          <w:u w:val="single"/>
          <w:lang w:eastAsia="en-AU"/>
        </w:rPr>
        <w:drawing>
          <wp:inline distT="0" distB="0" distL="0" distR="0" wp14:anchorId="607D1F46" wp14:editId="3B25B70B">
            <wp:extent cx="4968815" cy="1755542"/>
            <wp:effectExtent l="0" t="0" r="0" b="0"/>
            <wp:docPr id="2052" name="Picture 3" descr="Table 7. Samples included in the Pop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4133" t="31408" r="15461" b="36931"/>
                    <a:stretch/>
                  </pic:blipFill>
                  <pic:spPr bwMode="auto">
                    <a:xfrm>
                      <a:off x="0" y="0"/>
                      <a:ext cx="4968374" cy="1755386"/>
                    </a:xfrm>
                    <a:prstGeom prst="rect">
                      <a:avLst/>
                    </a:prstGeom>
                    <a:noFill/>
                    <a:ln>
                      <a:noFill/>
                    </a:ln>
                    <a:extLst/>
                  </pic:spPr>
                </pic:pic>
              </a:graphicData>
            </a:graphic>
          </wp:inline>
        </w:drawing>
      </w:r>
    </w:p>
    <w:p w:rsidR="00E56650" w:rsidRPr="002D1A58" w:rsidRDefault="001F1413" w:rsidP="001F1413">
      <w:pPr>
        <w:pStyle w:val="Comment"/>
        <w:ind w:left="1134" w:hanging="1134"/>
      </w:pPr>
      <w:r>
        <w:rPr>
          <w:b/>
        </w:rPr>
        <w:t>C</w:t>
      </w:r>
      <w:r w:rsidR="006E15A4">
        <w:rPr>
          <w:b/>
        </w:rPr>
        <w:t>omment</w:t>
      </w:r>
      <w:r w:rsidR="00E56650" w:rsidRPr="00E56650">
        <w:t xml:space="preserve">: Refer to list of questions for the </w:t>
      </w:r>
      <w:r w:rsidR="005F5E22">
        <w:t>sponsor</w:t>
      </w:r>
      <w:r w:rsidR="00E56650" w:rsidRPr="00E56650">
        <w:t>, for queries regarding excluded samples.</w:t>
      </w:r>
      <w:r>
        <w:t xml:space="preserve"> </w:t>
      </w:r>
      <w:r w:rsidR="00E56650" w:rsidRPr="00E56650">
        <w:t xml:space="preserve">The relative contribution of the new data from studies using a </w:t>
      </w:r>
      <w:r w:rsidR="00C108F1">
        <w:t>10 mg</w:t>
      </w:r>
      <w:r w:rsidR="00E56650" w:rsidRPr="00E56650">
        <w:t>/kg posology, using combination therapy and using a maintenance phase should be considered given the application for an alternate proposed usage</w:t>
      </w:r>
      <w:r w:rsidR="00E56650">
        <w:t>.</w:t>
      </w:r>
    </w:p>
    <w:p w:rsidR="00F8271E" w:rsidRDefault="00F8271E" w:rsidP="00F8271E">
      <w:pPr>
        <w:pStyle w:val="Heading6"/>
      </w:pPr>
      <w:r>
        <w:t>Patient population</w:t>
      </w:r>
    </w:p>
    <w:p w:rsidR="00E56650" w:rsidRDefault="00E56650" w:rsidP="00E56650">
      <w:r w:rsidRPr="00E56650">
        <w:t xml:space="preserve">Of 785 patients analysed, 528 (67%) received </w:t>
      </w:r>
      <w:r w:rsidR="00F22D76">
        <w:t>ipilimumab</w:t>
      </w:r>
      <w:r w:rsidRPr="00E56650">
        <w:t xml:space="preserve"> monotherapy, and 348 (44%) were untreated. There were only 14 previously untreated patients versus 87 previously treated patients in the </w:t>
      </w:r>
      <w:r w:rsidR="00F22D76">
        <w:t>ipilimumab</w:t>
      </w:r>
      <w:r w:rsidRPr="00E56650">
        <w:t xml:space="preserve"> </w:t>
      </w:r>
      <w:r w:rsidR="00C108F1">
        <w:t>3 mg</w:t>
      </w:r>
      <w:r w:rsidRPr="00E56650">
        <w:t xml:space="preserve">/kg dosing schedule included. Only the 498 patients in CA184024 were included in the </w:t>
      </w:r>
      <w:r w:rsidR="0039038B">
        <w:t>ER</w:t>
      </w:r>
      <w:r w:rsidRPr="00E56650">
        <w:t xml:space="preserve"> OS analysis. Of all 1</w:t>
      </w:r>
      <w:r w:rsidR="00F543D0">
        <w:t>,</w:t>
      </w:r>
      <w:r w:rsidRPr="00E56650">
        <w:t>126 pa</w:t>
      </w:r>
      <w:r w:rsidR="00F8271E">
        <w:t xml:space="preserve">tients included in the Exposure </w:t>
      </w:r>
      <w:r w:rsidRPr="00E56650">
        <w:t>Safety-irAE analysis, most (n</w:t>
      </w:r>
      <w:r>
        <w:t xml:space="preserve"> </w:t>
      </w:r>
      <w:r w:rsidRPr="00E56650">
        <w:t>=</w:t>
      </w:r>
      <w:r>
        <w:t xml:space="preserve"> </w:t>
      </w:r>
      <w:r w:rsidRPr="00E56650">
        <w:t>1</w:t>
      </w:r>
      <w:r w:rsidR="00F543D0">
        <w:t>,</w:t>
      </w:r>
      <w:r w:rsidRPr="00E56650">
        <w:t xml:space="preserve">036) were retained for the analysis, whilst note </w:t>
      </w:r>
      <w:r w:rsidR="00F543D0">
        <w:t xml:space="preserve">is made that 51% (30 out of </w:t>
      </w:r>
      <w:r w:rsidRPr="00E56650">
        <w:t>59) patients from CA 184078 were excluded from analysis due to no Week</w:t>
      </w:r>
      <w:r w:rsidR="00F8271E">
        <w:t xml:space="preserve"> </w:t>
      </w:r>
      <w:r w:rsidRPr="00E56650">
        <w:t>7 sample collection due to disease progression or t</w:t>
      </w:r>
      <w:r w:rsidR="00F8271E">
        <w:t xml:space="preserve">oxicity. For the final Exposure </w:t>
      </w:r>
      <w:r w:rsidRPr="00E56650">
        <w:t>Safety irAE analysis 58 patients were dosed at 0.</w:t>
      </w:r>
      <w:r w:rsidR="00C108F1">
        <w:t>3 mg</w:t>
      </w:r>
      <w:r w:rsidRPr="00E56650">
        <w:t xml:space="preserve">/kg, 101 patients at </w:t>
      </w:r>
      <w:r w:rsidR="00C108F1">
        <w:t>3 mg</w:t>
      </w:r>
      <w:r w:rsidRPr="00E56650">
        <w:t xml:space="preserve">/kg, and 626 patients at </w:t>
      </w:r>
      <w:r w:rsidR="00F543D0">
        <w:t>10 </w:t>
      </w:r>
      <w:r w:rsidR="00C108F1">
        <w:t>mg</w:t>
      </w:r>
      <w:r w:rsidRPr="00E56650">
        <w:t>/kg</w:t>
      </w:r>
      <w:r>
        <w:t>.</w:t>
      </w:r>
    </w:p>
    <w:p w:rsidR="00E56650" w:rsidRPr="002D1A58" w:rsidRDefault="001F1413" w:rsidP="001F1413">
      <w:pPr>
        <w:pStyle w:val="Comment"/>
        <w:ind w:left="1134" w:hanging="1134"/>
      </w:pPr>
      <w:r>
        <w:rPr>
          <w:b/>
        </w:rPr>
        <w:t>C</w:t>
      </w:r>
      <w:r w:rsidR="006E15A4">
        <w:rPr>
          <w:b/>
        </w:rPr>
        <w:t>omment</w:t>
      </w:r>
      <w:r w:rsidR="00E56650" w:rsidRPr="00E56650">
        <w:t xml:space="preserve">: It is unclear why the ER-OS analysis only included patients PK data from CA184024, when the previous PopPK report included other studies (with the </w:t>
      </w:r>
      <w:r w:rsidR="00F543D0">
        <w:t>3 </w:t>
      </w:r>
      <w:r w:rsidR="00C108F1">
        <w:t>mg</w:t>
      </w:r>
      <w:r w:rsidR="00E56650" w:rsidRPr="00E56650">
        <w:t xml:space="preserve">/kg dosing). Refer to list of questions for the </w:t>
      </w:r>
      <w:r w:rsidR="005F5E22">
        <w:t>sponsor</w:t>
      </w:r>
      <w:r w:rsidR="00E56650" w:rsidRPr="00E56650">
        <w:t>.</w:t>
      </w:r>
    </w:p>
    <w:p w:rsidR="00E56650" w:rsidRPr="00E56650" w:rsidRDefault="00E56650" w:rsidP="00E56650">
      <w:r w:rsidRPr="00E56650">
        <w:t xml:space="preserve">With respect to the current application seeking monotherapy with </w:t>
      </w:r>
      <w:r w:rsidR="00C108F1">
        <w:t>3 mg</w:t>
      </w:r>
      <w:r w:rsidRPr="00E56650">
        <w:t>/kg for previously untreated patients, it is important to examine how many patients’ data address this</w:t>
      </w:r>
      <w:r w:rsidRPr="004572B9">
        <w:t xml:space="preserve">. Table </w:t>
      </w:r>
      <w:r w:rsidR="00F8271E" w:rsidRPr="004572B9">
        <w:t>8</w:t>
      </w:r>
      <w:r w:rsidRPr="00E56650">
        <w:t xml:space="preserve"> below summarises the number of patients included in the irAE analysis according to dose but not according to treatment status</w:t>
      </w:r>
      <w:r w:rsidRPr="004572B9">
        <w:t xml:space="preserve">. </w:t>
      </w:r>
      <w:proofErr w:type="gramStart"/>
      <w:r w:rsidRPr="004572B9">
        <w:t xml:space="preserve">Table </w:t>
      </w:r>
      <w:r w:rsidR="00F8271E" w:rsidRPr="004572B9">
        <w:t>9</w:t>
      </w:r>
      <w:r w:rsidRPr="004572B9">
        <w:t>, lists</w:t>
      </w:r>
      <w:r w:rsidRPr="00CF0E37">
        <w:t xml:space="preserve"> patients</w:t>
      </w:r>
      <w:r w:rsidRPr="00E56650">
        <w:t xml:space="preserve"> according to pre-treatment status and according to study.</w:t>
      </w:r>
      <w:proofErr w:type="gramEnd"/>
      <w:r w:rsidRPr="00E56650">
        <w:t xml:space="preserve"> Note that for the </w:t>
      </w:r>
      <w:r w:rsidR="00F543D0">
        <w:t>3 </w:t>
      </w:r>
      <w:r w:rsidR="00C108F1">
        <w:t>mg</w:t>
      </w:r>
      <w:r w:rsidRPr="00E56650">
        <w:t xml:space="preserve">/kg dosing, only patients from CA184004 (previously treated and untreated patients) and CA184022 (previously treated patients) contribute data. Thus only data from CA184004 appears relevant for the current application. There were only 14 previously untreated patients versus 87 previously treated patients in the </w:t>
      </w:r>
      <w:r w:rsidR="00F22D76">
        <w:t>ipilimumab</w:t>
      </w:r>
      <w:r w:rsidRPr="00E56650">
        <w:t xml:space="preserve"> </w:t>
      </w:r>
      <w:r w:rsidR="00C108F1">
        <w:t>3 mg</w:t>
      </w:r>
      <w:r w:rsidRPr="00E56650">
        <w:t xml:space="preserve">/kg dosing schedule included. Inspection of </w:t>
      </w:r>
      <w:r w:rsidR="00F8271E">
        <w:t>information provided in the sponsor’s</w:t>
      </w:r>
      <w:r w:rsidRPr="00E56650">
        <w:t xml:space="preserve"> </w:t>
      </w:r>
      <w:r w:rsidR="001F1413" w:rsidRPr="00E56650">
        <w:t>summary of c</w:t>
      </w:r>
      <w:r w:rsidR="001F1413">
        <w:t xml:space="preserve">linical efficacy </w:t>
      </w:r>
      <w:r>
        <w:t>report</w:t>
      </w:r>
      <w:r w:rsidRPr="00E56650">
        <w:t xml:space="preserve"> indicates that the total pooled number of untreated patients for both CA184004/-022 was only 15 patients. Thus the number of previously untreated patients administered </w:t>
      </w:r>
      <w:r w:rsidR="00C108F1">
        <w:t>3 mg</w:t>
      </w:r>
      <w:r w:rsidRPr="00E56650">
        <w:t xml:space="preserve">/kg </w:t>
      </w:r>
      <w:r w:rsidR="00F22D76">
        <w:t>ipilimumab</w:t>
      </w:r>
      <w:r w:rsidRPr="00E56650">
        <w:t xml:space="preserve"> monotherapy providing PK data for the PopPK analysis is small. It is not clear whether these 14 patients also received maintenance therapy.</w:t>
      </w:r>
    </w:p>
    <w:p w:rsidR="00E56650" w:rsidRPr="00E56650" w:rsidRDefault="00E56650" w:rsidP="00F8271E">
      <w:pPr>
        <w:pStyle w:val="Tabletitle"/>
      </w:pPr>
      <w:bookmarkStart w:id="63" w:name="_Toc390676292"/>
      <w:r w:rsidRPr="00E56650">
        <w:lastRenderedPageBreak/>
        <w:t xml:space="preserve">Table </w:t>
      </w:r>
      <w:r w:rsidR="00F8271E">
        <w:t>8</w:t>
      </w:r>
      <w:r w:rsidR="001F1413">
        <w:t>:</w:t>
      </w:r>
      <w:r w:rsidRPr="00E56650">
        <w:t xml:space="preserve"> Number of patients by </w:t>
      </w:r>
      <w:r w:rsidR="00F22D76">
        <w:t>ipilimumab</w:t>
      </w:r>
      <w:r w:rsidRPr="00E56650">
        <w:t xml:space="preserve"> dose, DTIC co</w:t>
      </w:r>
      <w:r w:rsidR="00F8271E">
        <w:t>-</w:t>
      </w:r>
      <w:r w:rsidRPr="00E56650">
        <w:t>administration and study, included</w:t>
      </w:r>
      <w:r w:rsidR="001F1413">
        <w:t xml:space="preserve"> in the e</w:t>
      </w:r>
      <w:r w:rsidRPr="00E56650">
        <w:t>xposure-irAE dataset</w:t>
      </w:r>
      <w:bookmarkEnd w:id="63"/>
    </w:p>
    <w:p w:rsidR="00E56650" w:rsidRDefault="00E56650" w:rsidP="00E56650">
      <w:r>
        <w:rPr>
          <w:noProof/>
          <w:lang w:eastAsia="en-AU"/>
        </w:rPr>
        <w:drawing>
          <wp:inline distT="0" distB="0" distL="0" distR="0" wp14:anchorId="30EBE914" wp14:editId="65597410">
            <wp:extent cx="4693920" cy="2270760"/>
            <wp:effectExtent l="0" t="0" r="0" b="0"/>
            <wp:docPr id="5" name="Picture 5" descr="Table 8: Number of patients by ipilimumab dose, DTIC co-administration and study, included in the exposure-irA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93920" cy="2270760"/>
                    </a:xfrm>
                    <a:prstGeom prst="rect">
                      <a:avLst/>
                    </a:prstGeom>
                  </pic:spPr>
                </pic:pic>
              </a:graphicData>
            </a:graphic>
          </wp:inline>
        </w:drawing>
      </w:r>
    </w:p>
    <w:p w:rsidR="00E56650" w:rsidRPr="00E56650" w:rsidRDefault="00E56650" w:rsidP="00F8271E">
      <w:pPr>
        <w:pStyle w:val="Tabletitle"/>
      </w:pPr>
      <w:r w:rsidRPr="00E56650">
        <w:t xml:space="preserve">Table </w:t>
      </w:r>
      <w:r w:rsidR="00F8271E">
        <w:t>9</w:t>
      </w:r>
      <w:r w:rsidR="001F1413">
        <w:t>:</w:t>
      </w:r>
      <w:r w:rsidR="000E73B0">
        <w:t xml:space="preserve"> </w:t>
      </w:r>
      <w:r w:rsidRPr="00E56650">
        <w:t>Summary of the pooled efficacy analysis populations according to</w:t>
      </w:r>
      <w:r w:rsidR="00CF0E37">
        <w:t xml:space="preserve"> study and pre-treatment status</w:t>
      </w:r>
    </w:p>
    <w:p w:rsidR="00E56650" w:rsidRPr="002D1A58" w:rsidRDefault="00E56650" w:rsidP="00F8271E">
      <w:pPr>
        <w:rPr>
          <w:b/>
        </w:rPr>
      </w:pPr>
      <w:r>
        <w:rPr>
          <w:noProof/>
          <w:lang w:eastAsia="en-AU"/>
        </w:rPr>
        <w:drawing>
          <wp:inline distT="0" distB="0" distL="0" distR="0" wp14:anchorId="33C674D0" wp14:editId="5F7C11B9">
            <wp:extent cx="4535424" cy="3234511"/>
            <wp:effectExtent l="0" t="0" r="0" b="0"/>
            <wp:docPr id="7" name="Picture 7" descr="Table 9. Summary of the pooled efficacy analysis populations according to study and pre-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35025" cy="3234226"/>
                    </a:xfrm>
                    <a:prstGeom prst="rect">
                      <a:avLst/>
                    </a:prstGeom>
                  </pic:spPr>
                </pic:pic>
              </a:graphicData>
            </a:graphic>
          </wp:inline>
        </w:drawing>
      </w:r>
    </w:p>
    <w:p w:rsidR="00E56650" w:rsidRPr="00F8271E" w:rsidRDefault="00E56650" w:rsidP="00F8271E">
      <w:pPr>
        <w:pStyle w:val="Heading5"/>
      </w:pPr>
      <w:r w:rsidRPr="00F8271E">
        <w:t>PopPK modelling</w:t>
      </w:r>
    </w:p>
    <w:p w:rsidR="00E56650" w:rsidRPr="00E56650" w:rsidRDefault="00E56650" w:rsidP="00E56650">
      <w:r w:rsidRPr="00E56650">
        <w:t>Ipilimumab PK was described with a linea</w:t>
      </w:r>
      <w:r w:rsidR="00F8271E">
        <w:t xml:space="preserve">r, two </w:t>
      </w:r>
      <w:proofErr w:type="gramStart"/>
      <w:r w:rsidR="00F8271E">
        <w:t>compartment</w:t>
      </w:r>
      <w:proofErr w:type="gramEnd"/>
      <w:r w:rsidR="00F8271E">
        <w:t xml:space="preserve">, zero order IV infusion model with first </w:t>
      </w:r>
      <w:r w:rsidRPr="00E56650">
        <w:t>order elimination. PopPK modelling identified LDH and body weight as relevant covariates for CL, and the covariate of weight relevant for VC. Thus, support o</w:t>
      </w:r>
      <w:r w:rsidR="005853BB">
        <w:t xml:space="preserve">f the currently approved weight </w:t>
      </w:r>
      <w:r w:rsidRPr="00E56650">
        <w:t>bas</w:t>
      </w:r>
      <w:r>
        <w:t>ed dosing regimen was provided.</w:t>
      </w:r>
    </w:p>
    <w:p w:rsidR="00E56650" w:rsidRDefault="00E56650" w:rsidP="00E56650">
      <w:r w:rsidRPr="00E56650">
        <w:t xml:space="preserve">Ipilimumab CL increases with increased baseline </w:t>
      </w:r>
      <w:r w:rsidRPr="004572B9">
        <w:t xml:space="preserve">LDH (Table </w:t>
      </w:r>
      <w:r w:rsidR="00A45C5E" w:rsidRPr="004572B9">
        <w:t>10</w:t>
      </w:r>
      <w:r w:rsidRPr="004572B9">
        <w:t>).</w:t>
      </w:r>
      <w:r w:rsidR="000E73B0" w:rsidRPr="004572B9">
        <w:t xml:space="preserve"> </w:t>
      </w:r>
      <w:r w:rsidRPr="004572B9">
        <w:t>Patients</w:t>
      </w:r>
      <w:r w:rsidRPr="00E56650">
        <w:t xml:space="preserve"> with LDH higher than </w:t>
      </w:r>
      <w:r w:rsidR="005853BB">
        <w:t>3 x ULN</w:t>
      </w:r>
      <w:r w:rsidRPr="00E56650">
        <w:t xml:space="preserve"> were infrequent, thus conclusions as to the effect of elevated LDH above this are uncertain. Clearance was not impacted significantly by baseline LDH levels up to </w:t>
      </w:r>
      <w:r w:rsidR="005853BB" w:rsidRPr="005853BB">
        <w:t>3 x ULN</w:t>
      </w:r>
      <w:r w:rsidRPr="00E56650">
        <w:t xml:space="preserve">. Of </w:t>
      </w:r>
      <w:r w:rsidR="005853BB">
        <w:t xml:space="preserve">the patients examined, 42% (330 out of </w:t>
      </w:r>
      <w:r w:rsidRPr="00E56650">
        <w:t>785) patients had baseline LDH at the no</w:t>
      </w:r>
      <w:r w:rsidR="005853BB">
        <w:t xml:space="preserve">minal ULN of 225 IU/L, 17% (134 out of </w:t>
      </w:r>
      <w:r w:rsidR="001F3382">
        <w:t>785) patient’s</w:t>
      </w:r>
      <w:r w:rsidRPr="00E56650">
        <w:t xml:space="preserve"> LDH was </w:t>
      </w:r>
      <w:r w:rsidR="005853BB">
        <w:t xml:space="preserve">2 x ULN, 8% (63 out of </w:t>
      </w:r>
      <w:r w:rsidRPr="00E56650">
        <w:t>785) patient’s LDH 3</w:t>
      </w:r>
      <w:r w:rsidR="005853BB">
        <w:t xml:space="preserve"> </w:t>
      </w:r>
      <w:r w:rsidRPr="00E56650">
        <w:t>x</w:t>
      </w:r>
      <w:r w:rsidR="005853BB">
        <w:t xml:space="preserve"> </w:t>
      </w:r>
      <w:r w:rsidRPr="00E56650">
        <w:t>ULN, 4% (31</w:t>
      </w:r>
      <w:r w:rsidR="005853BB">
        <w:t xml:space="preserve"> out of </w:t>
      </w:r>
      <w:r w:rsidR="001F3382">
        <w:t>785) patient’s</w:t>
      </w:r>
      <w:r w:rsidRPr="00E56650">
        <w:t xml:space="preserve"> LDH 4</w:t>
      </w:r>
      <w:r w:rsidR="001F3382">
        <w:t xml:space="preserve"> </w:t>
      </w:r>
      <w:r w:rsidRPr="00E56650">
        <w:t>x ULN, and 3% (24</w:t>
      </w:r>
      <w:r w:rsidR="005853BB">
        <w:t xml:space="preserve"> out of </w:t>
      </w:r>
      <w:r w:rsidRPr="00E56650">
        <w:t>785) patients’ LDH of 5</w:t>
      </w:r>
      <w:r w:rsidR="001F3382">
        <w:t xml:space="preserve"> </w:t>
      </w:r>
      <w:r w:rsidRPr="00E56650">
        <w:t>x ULN. Ipilimumab clearance increases by 19.1% (18.6</w:t>
      </w:r>
      <w:r w:rsidR="00A45C5E">
        <w:t xml:space="preserve"> </w:t>
      </w:r>
      <w:r w:rsidRPr="00E56650">
        <w:t xml:space="preserve">mL/hr) in a subject with LDH value of 675 </w:t>
      </w:r>
      <w:r w:rsidRPr="00E56650">
        <w:lastRenderedPageBreak/>
        <w:t xml:space="preserve">IU/L (3 </w:t>
      </w:r>
      <w:r w:rsidR="001F1413">
        <w:t>x</w:t>
      </w:r>
      <w:r w:rsidRPr="00E56650">
        <w:t xml:space="preserve"> ULN) compared with a LDH value of 225 IU/L (ULN, 15.6</w:t>
      </w:r>
      <w:r w:rsidR="00A45C5E">
        <w:t xml:space="preserve"> </w:t>
      </w:r>
      <w:r w:rsidRPr="00E56650">
        <w:t>mL</w:t>
      </w:r>
      <w:r w:rsidR="001F3382">
        <w:t>/</w:t>
      </w:r>
      <w:r w:rsidRPr="00E56650">
        <w:t>hr). Thus, baseline LDH values &gt; 675 IU/L (</w:t>
      </w:r>
      <w:r w:rsidRPr="001F3382">
        <w:t xml:space="preserve">3 </w:t>
      </w:r>
      <w:r w:rsidR="001F1413">
        <w:t>x</w:t>
      </w:r>
      <w:r w:rsidRPr="001F3382">
        <w:t xml:space="preserve"> ULN</w:t>
      </w:r>
      <w:r w:rsidRPr="00E56650">
        <w:t xml:space="preserve">) are reported by the </w:t>
      </w:r>
      <w:r w:rsidR="005F5E22">
        <w:t>sponsor</w:t>
      </w:r>
      <w:r w:rsidRPr="00E56650">
        <w:t xml:space="preserve"> to be unlikely to have clinically meaningful impact on CL. Approximately 8% of subjects has </w:t>
      </w:r>
      <w:r w:rsidR="001F3382">
        <w:t xml:space="preserve">LDH values &gt; 675 IU/L (3 </w:t>
      </w:r>
      <w:r w:rsidR="001F1413">
        <w:t>x</w:t>
      </w:r>
      <w:r w:rsidR="001F3382">
        <w:t xml:space="preserve"> ULN)</w:t>
      </w:r>
      <w:r w:rsidRPr="00E56650">
        <w:t xml:space="preserve"> and the increase in CL was 28% (19.</w:t>
      </w:r>
      <w:r w:rsidR="00A45C5E">
        <w:t xml:space="preserve"> </w:t>
      </w:r>
      <w:r w:rsidRPr="00E56650">
        <w:t>9</w:t>
      </w:r>
      <w:r w:rsidR="00277C6F">
        <w:t xml:space="preserve"> ml</w:t>
      </w:r>
      <w:r w:rsidRPr="00E56650">
        <w:t>/hr) increased at LDH v</w:t>
      </w:r>
      <w:r>
        <w:t xml:space="preserve">alue of 5 </w:t>
      </w:r>
      <w:r w:rsidR="001F1413">
        <w:t>x</w:t>
      </w:r>
      <w:r>
        <w:t xml:space="preserve"> ULN.</w:t>
      </w:r>
    </w:p>
    <w:p w:rsidR="00A45C5E" w:rsidRDefault="001F1413" w:rsidP="00A45C5E">
      <w:pPr>
        <w:pStyle w:val="Tabletitle"/>
      </w:pPr>
      <w:r>
        <w:t>Table 10:</w:t>
      </w:r>
      <w:r w:rsidR="00A45C5E">
        <w:t xml:space="preserve"> Effect</w:t>
      </w:r>
      <w:r>
        <w:t xml:space="preserve"> of LDH on ipilimumab clearance</w:t>
      </w:r>
    </w:p>
    <w:p w:rsidR="00A45C5E" w:rsidRPr="00A45C5E" w:rsidRDefault="00A45C5E" w:rsidP="00A45C5E">
      <w:r>
        <w:rPr>
          <w:noProof/>
          <w:lang w:eastAsia="en-AU"/>
        </w:rPr>
        <w:drawing>
          <wp:inline distT="0" distB="0" distL="0" distR="0" wp14:anchorId="35C0CEF5" wp14:editId="40D0644C">
            <wp:extent cx="4727275" cy="2294715"/>
            <wp:effectExtent l="0" t="0" r="0" b="0"/>
            <wp:docPr id="4" name="Picture 4" descr="Table 10: Effect of LDH on ipilimumab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25287" cy="2293750"/>
                    </a:xfrm>
                    <a:prstGeom prst="rect">
                      <a:avLst/>
                    </a:prstGeom>
                  </pic:spPr>
                </pic:pic>
              </a:graphicData>
            </a:graphic>
          </wp:inline>
        </w:drawing>
      </w:r>
    </w:p>
    <w:p w:rsidR="00E56650" w:rsidRPr="002D1A58" w:rsidRDefault="001F1413" w:rsidP="001F1413">
      <w:pPr>
        <w:pStyle w:val="Comment"/>
        <w:ind w:left="1134" w:hanging="1134"/>
      </w:pPr>
      <w:r>
        <w:rPr>
          <w:b/>
        </w:rPr>
        <w:t>C</w:t>
      </w:r>
      <w:r w:rsidR="006E15A4">
        <w:rPr>
          <w:b/>
        </w:rPr>
        <w:t>omment</w:t>
      </w:r>
      <w:r w:rsidRPr="001F1413">
        <w:rPr>
          <w:b/>
        </w:rPr>
        <w:t>:</w:t>
      </w:r>
      <w:r w:rsidR="00E56650">
        <w:t xml:space="preserve"> </w:t>
      </w:r>
      <w:r w:rsidR="00E56650" w:rsidRPr="00E56650">
        <w:t xml:space="preserve">The </w:t>
      </w:r>
      <w:r w:rsidR="005F5E22">
        <w:t>sponsor</w:t>
      </w:r>
      <w:r w:rsidR="00E56650" w:rsidRPr="00E56650">
        <w:t xml:space="preserve">’s conclusion that LDH levels greater than </w:t>
      </w:r>
      <w:r w:rsidR="005853BB">
        <w:t>3 x ULN</w:t>
      </w:r>
      <w:r w:rsidR="00E56650" w:rsidRPr="00E56650">
        <w:t xml:space="preserve"> are unlikely to have a clinically meaningful impact may be true, but has been insufficiently investigated due to the relatively small patient numbers who were examined in this group. Patients with higher LDH are usually those with very advanced disease and poor ECOG performance status and are not likely to be eligible for most trials.</w:t>
      </w:r>
    </w:p>
    <w:p w:rsidR="00E56650" w:rsidRPr="002D1A58" w:rsidRDefault="00E56650" w:rsidP="00E56650">
      <w:r w:rsidRPr="00E56650">
        <w:t>Concomitant DTIC, prior systemic anti-cancer therapy, and immunogenicity status were not retained in the final model because they were found not to clinically releva</w:t>
      </w:r>
      <w:r>
        <w:t xml:space="preserve">nt predictors of </w:t>
      </w:r>
      <w:r w:rsidR="00F22D76">
        <w:t>ipilimumab</w:t>
      </w:r>
      <w:r>
        <w:t xml:space="preserve"> PK.</w:t>
      </w:r>
    </w:p>
    <w:p w:rsidR="00E56650" w:rsidRPr="002D1A58" w:rsidRDefault="001F1413" w:rsidP="001F1413">
      <w:pPr>
        <w:pStyle w:val="Comment"/>
        <w:ind w:left="1134" w:hanging="1134"/>
      </w:pPr>
      <w:r>
        <w:rPr>
          <w:b/>
        </w:rPr>
        <w:t>C</w:t>
      </w:r>
      <w:r w:rsidR="006E15A4">
        <w:rPr>
          <w:b/>
        </w:rPr>
        <w:t>omment</w:t>
      </w:r>
      <w:r w:rsidR="00E56650" w:rsidRPr="001F1413">
        <w:rPr>
          <w:b/>
        </w:rPr>
        <w:t>:</w:t>
      </w:r>
      <w:r w:rsidR="00E56650" w:rsidRPr="00E56650">
        <w:t xml:space="preserve"> Note should be made that the analysed studies did not address the proposed usage or population of interest, and eligibility for studies were heterogeneous. Though modelling identified relevant covariates, the total number in each group according to treatment received should be considered, as well as patient pre-treatment status. Ultimately, only 14 previously untreated patients and 87 previously treated patients administered </w:t>
      </w:r>
      <w:r w:rsidR="00F22D76">
        <w:t>ipilimumab</w:t>
      </w:r>
      <w:r w:rsidR="00E56650">
        <w:t xml:space="preserve"> </w:t>
      </w:r>
      <w:r w:rsidR="00C108F1">
        <w:t>3 mg</w:t>
      </w:r>
      <w:r w:rsidR="00E56650">
        <w:t>/kg provide relevant data.</w:t>
      </w:r>
    </w:p>
    <w:p w:rsidR="00E56650" w:rsidRPr="00E56650" w:rsidRDefault="00E56650" w:rsidP="00E56650">
      <w:r w:rsidRPr="00E56650">
        <w:t xml:space="preserve">Target trough concentrations were set to block the B7 molecules (CD86 and CD80); </w:t>
      </w:r>
      <w:r w:rsidR="00A05B08" w:rsidRPr="00FA355C">
        <w:t>C</w:t>
      </w:r>
      <w:r w:rsidR="00A05B08" w:rsidRPr="00A05B08">
        <w:rPr>
          <w:vertAlign w:val="subscript"/>
        </w:rPr>
        <w:t>minss</w:t>
      </w:r>
      <w:r w:rsidRPr="00E56650">
        <w:t xml:space="preserve"> of </w:t>
      </w:r>
      <w:proofErr w:type="gramStart"/>
      <w:r w:rsidRPr="00E56650">
        <w:t>3</w:t>
      </w:r>
      <w:r w:rsidR="00A45C5E">
        <w:t> </w:t>
      </w:r>
      <w:r w:rsidR="00277C6F">
        <w:t>µ</w:t>
      </w:r>
      <w:r w:rsidR="00277C6F" w:rsidRPr="005A16C9">
        <w:t>g</w:t>
      </w:r>
      <w:r w:rsidRPr="00E56650">
        <w:t>/mL to block CD86</w:t>
      </w:r>
      <w:proofErr w:type="gramEnd"/>
      <w:r w:rsidRPr="00E56650">
        <w:t xml:space="preserve"> and 20 </w:t>
      </w:r>
      <w:r w:rsidR="00277C6F">
        <w:t>µ</w:t>
      </w:r>
      <w:r w:rsidR="00277C6F" w:rsidRPr="005A16C9">
        <w:t>g</w:t>
      </w:r>
      <w:r w:rsidRPr="00E56650">
        <w:t xml:space="preserve">/mL to block CD86 and CD80. Distributions of predicted </w:t>
      </w:r>
      <w:r w:rsidR="00A05B08" w:rsidRPr="00FA355C">
        <w:t>C</w:t>
      </w:r>
      <w:r w:rsidR="00A05B08" w:rsidRPr="00A05B08">
        <w:rPr>
          <w:vertAlign w:val="subscript"/>
        </w:rPr>
        <w:t>minss</w:t>
      </w:r>
      <w:r w:rsidRPr="00E56650">
        <w:t xml:space="preserve"> showed that the 3 mg/kg dose yielded </w:t>
      </w:r>
      <w:r w:rsidR="00A05B08" w:rsidRPr="00FA355C">
        <w:t>C</w:t>
      </w:r>
      <w:r w:rsidR="00A05B08" w:rsidRPr="00A05B08">
        <w:rPr>
          <w:vertAlign w:val="subscript"/>
        </w:rPr>
        <w:t>minss</w:t>
      </w:r>
      <w:r w:rsidRPr="00E56650">
        <w:t xml:space="preserve"> values that were sufficient for maximal inhibition of CD86, but less than 50% exceeded the 20</w:t>
      </w:r>
      <w:r w:rsidR="00A45C5E">
        <w:t xml:space="preserve"> </w:t>
      </w:r>
      <w:r w:rsidR="00277C6F">
        <w:t>µ</w:t>
      </w:r>
      <w:r w:rsidR="00277C6F" w:rsidRPr="005A16C9">
        <w:t>g</w:t>
      </w:r>
      <w:r w:rsidRPr="00E56650">
        <w:t xml:space="preserve">/mL concentration. The 10 mg/kg yielded </w:t>
      </w:r>
      <w:r w:rsidR="00A05B08" w:rsidRPr="00FA355C">
        <w:t>C</w:t>
      </w:r>
      <w:r w:rsidR="00A05B08" w:rsidRPr="00A05B08">
        <w:rPr>
          <w:vertAlign w:val="subscript"/>
        </w:rPr>
        <w:t>minss</w:t>
      </w:r>
      <w:r w:rsidRPr="00E56650">
        <w:t xml:space="preserve"> values sufficient for maximal inhibition of both CD80 and CD86.</w:t>
      </w:r>
    </w:p>
    <w:p w:rsidR="00E56650" w:rsidRPr="00E56650" w:rsidRDefault="00E56650" w:rsidP="00E56650">
      <w:r w:rsidRPr="00E56650">
        <w:t>With respect to the current application, prior treatment status was found in the full PopPK model little covariate e</w:t>
      </w:r>
      <w:r w:rsidR="00A45C5E">
        <w:t xml:space="preserve">ffect on CL (1.01, 95% CI: 0.94 to </w:t>
      </w:r>
      <w:r w:rsidRPr="00E56650">
        <w:t xml:space="preserve">1.10), and was not retained as a relevant covariate in the final PopPK model. </w:t>
      </w:r>
      <w:r w:rsidR="00A05B08" w:rsidRPr="00FA355C">
        <w:t>C</w:t>
      </w:r>
      <w:r w:rsidR="00A05B08" w:rsidRPr="00A05B08">
        <w:rPr>
          <w:vertAlign w:val="subscript"/>
        </w:rPr>
        <w:t>minss</w:t>
      </w:r>
      <w:r w:rsidRPr="00E56650">
        <w:t xml:space="preserve"> of </w:t>
      </w:r>
      <w:r w:rsidR="00F22D76">
        <w:t>ipilimumab</w:t>
      </w:r>
      <w:r w:rsidRPr="00E56650">
        <w:t xml:space="preserve"> by dosing for previously treated and untreated patients were similar. Median values of </w:t>
      </w:r>
      <w:r w:rsidR="00A05B08" w:rsidRPr="00FA355C">
        <w:t>C</w:t>
      </w:r>
      <w:r w:rsidR="00A05B08" w:rsidRPr="00A05B08">
        <w:rPr>
          <w:vertAlign w:val="subscript"/>
        </w:rPr>
        <w:t>minss</w:t>
      </w:r>
      <w:r w:rsidRPr="00E56650">
        <w:t xml:space="preserve"> after the third dose for the 3 and 10 mg/kg previously untreated are 13.5 and 51.5 </w:t>
      </w:r>
      <w:r w:rsidR="00277C6F">
        <w:t>µ</w:t>
      </w:r>
      <w:r w:rsidR="00277C6F" w:rsidRPr="005A16C9">
        <w:t>g</w:t>
      </w:r>
      <w:r w:rsidRPr="00E56650">
        <w:t xml:space="preserve">/mL, respectively. Median values of </w:t>
      </w:r>
      <w:r w:rsidR="00A05B08" w:rsidRPr="00FA355C">
        <w:t>C</w:t>
      </w:r>
      <w:r w:rsidR="00A05B08" w:rsidRPr="00A05B08">
        <w:rPr>
          <w:vertAlign w:val="subscript"/>
        </w:rPr>
        <w:t>minss</w:t>
      </w:r>
      <w:r w:rsidRPr="00E56650">
        <w:t xml:space="preserve"> for the 0.3, 3, and 10 mg/kg previously treated are 1.52, 17.1, and </w:t>
      </w:r>
      <w:proofErr w:type="gramStart"/>
      <w:r w:rsidRPr="00E56650">
        <w:t>51.7</w:t>
      </w:r>
      <w:r w:rsidR="00A45C5E">
        <w:t xml:space="preserve"> </w:t>
      </w:r>
      <w:r w:rsidR="001F3382">
        <w:t>µ</w:t>
      </w:r>
      <w:r w:rsidR="00277C6F" w:rsidRPr="005A16C9">
        <w:t>g</w:t>
      </w:r>
      <w:r w:rsidRPr="00E56650">
        <w:t>/mL</w:t>
      </w:r>
      <w:proofErr w:type="gramEnd"/>
      <w:r w:rsidRPr="00E56650">
        <w:t xml:space="preserve">. Again, note should be made of the small numbers in the </w:t>
      </w:r>
      <w:r w:rsidR="00C108F1">
        <w:t>3 mg</w:t>
      </w:r>
      <w:r w:rsidRPr="00E56650">
        <w:t>/kg previously untreated group (n</w:t>
      </w:r>
      <w:r w:rsidR="001A48E2">
        <w:t xml:space="preserve"> </w:t>
      </w:r>
      <w:r w:rsidRPr="00E56650">
        <w:t>=</w:t>
      </w:r>
      <w:r w:rsidR="001A48E2">
        <w:t xml:space="preserve"> </w:t>
      </w:r>
      <w:r w:rsidRPr="00E56650">
        <w:t>1</w:t>
      </w:r>
      <w:r w:rsidR="001A48E2">
        <w:t>4) used to generate this data.</w:t>
      </w:r>
    </w:p>
    <w:p w:rsidR="00E56650" w:rsidRDefault="00E56650" w:rsidP="00E56650">
      <w:r w:rsidRPr="001A48E2">
        <w:t>The fina</w:t>
      </w:r>
      <w:r w:rsidR="00A45C5E">
        <w:t xml:space="preserve">l PopPK modelling concentration </w:t>
      </w:r>
      <w:r w:rsidRPr="001A48E2">
        <w:t xml:space="preserve">time data for each dosing schedule were similar to previous and is summarised </w:t>
      </w:r>
      <w:r w:rsidRPr="00CF0E37">
        <w:t xml:space="preserve">in Table </w:t>
      </w:r>
      <w:r w:rsidR="00284E81" w:rsidRPr="00CF0E37">
        <w:t>11</w:t>
      </w:r>
      <w:r w:rsidRPr="00CF0E37">
        <w:t>.</w:t>
      </w:r>
    </w:p>
    <w:p w:rsidR="00E56650" w:rsidRPr="001A48E2" w:rsidRDefault="00E56650" w:rsidP="001A48E2">
      <w:pPr>
        <w:pStyle w:val="Tabletitle"/>
      </w:pPr>
      <w:bookmarkStart w:id="64" w:name="_Toc390676293"/>
      <w:r w:rsidRPr="001A48E2">
        <w:lastRenderedPageBreak/>
        <w:t xml:space="preserve">Table </w:t>
      </w:r>
      <w:r w:rsidR="00284E81">
        <w:t>11</w:t>
      </w:r>
      <w:r w:rsidR="001F1413">
        <w:t>:</w:t>
      </w:r>
      <w:r w:rsidRPr="001A48E2">
        <w:t xml:space="preserve"> PK parameter estimates from the final PopPK model for </w:t>
      </w:r>
      <w:r w:rsidR="00F22D76">
        <w:t>ipilimumab</w:t>
      </w:r>
      <w:r w:rsidRPr="001A48E2">
        <w:t xml:space="preserve"> </w:t>
      </w:r>
      <w:r w:rsidR="00C108F1">
        <w:t>3 mg</w:t>
      </w:r>
      <w:r w:rsidRPr="001A48E2">
        <w:t xml:space="preserve">/kg and </w:t>
      </w:r>
      <w:r w:rsidR="00C108F1">
        <w:t>10 mg</w:t>
      </w:r>
      <w:r w:rsidRPr="001A48E2">
        <w:t>/kg</w:t>
      </w:r>
      <w:bookmarkEnd w:id="64"/>
    </w:p>
    <w:tbl>
      <w:tblPr>
        <w:tblStyle w:val="TableTGAblue"/>
        <w:tblW w:w="0" w:type="auto"/>
        <w:tblLook w:val="04A0" w:firstRow="1" w:lastRow="0" w:firstColumn="1" w:lastColumn="0" w:noHBand="0" w:noVBand="1"/>
      </w:tblPr>
      <w:tblGrid>
        <w:gridCol w:w="2823"/>
        <w:gridCol w:w="2756"/>
        <w:gridCol w:w="2560"/>
      </w:tblGrid>
      <w:tr w:rsidR="00284E81" w:rsidRPr="003B35CB" w:rsidTr="003B35CB">
        <w:trPr>
          <w:cnfStyle w:val="100000000000" w:firstRow="1" w:lastRow="0" w:firstColumn="0" w:lastColumn="0" w:oddVBand="0" w:evenVBand="0" w:oddHBand="0" w:evenHBand="0" w:firstRowFirstColumn="0" w:firstRowLastColumn="0" w:lastRowFirstColumn="0" w:lastRowLastColumn="0"/>
          <w:trHeight w:val="663"/>
          <w:tblHeader/>
        </w:trPr>
        <w:tc>
          <w:tcPr>
            <w:cnfStyle w:val="001000000000" w:firstRow="0" w:lastRow="0" w:firstColumn="1" w:lastColumn="0" w:oddVBand="0" w:evenVBand="0" w:oddHBand="0" w:evenHBand="0" w:firstRowFirstColumn="0" w:firstRowLastColumn="0" w:lastRowFirstColumn="0" w:lastRowLastColumn="0"/>
            <w:tcW w:w="2823" w:type="dxa"/>
          </w:tcPr>
          <w:p w:rsidR="00284E81" w:rsidRPr="003B35CB" w:rsidRDefault="00284E81" w:rsidP="003B35CB">
            <w:pPr>
              <w:rPr>
                <w:b w:val="0"/>
                <w:sz w:val="20"/>
                <w:szCs w:val="20"/>
              </w:rPr>
            </w:pPr>
            <w:r w:rsidRPr="003B35CB">
              <w:rPr>
                <w:sz w:val="20"/>
                <w:szCs w:val="20"/>
              </w:rPr>
              <w:t>Parameter</w:t>
            </w:r>
          </w:p>
        </w:tc>
        <w:tc>
          <w:tcPr>
            <w:tcW w:w="2756" w:type="dxa"/>
          </w:tcPr>
          <w:p w:rsidR="00284E81" w:rsidRPr="003B35CB" w:rsidRDefault="00284E81" w:rsidP="003B35CB">
            <w:pPr>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sz w:val="20"/>
                <w:szCs w:val="20"/>
              </w:rPr>
              <w:t>3 mg/kg Ipilimumab N=101</w:t>
            </w:r>
          </w:p>
        </w:tc>
        <w:tc>
          <w:tcPr>
            <w:tcW w:w="2560" w:type="dxa"/>
          </w:tcPr>
          <w:p w:rsidR="00284E81" w:rsidRPr="003B35CB" w:rsidRDefault="00284E81" w:rsidP="003B35CB">
            <w:pPr>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sz w:val="20"/>
                <w:szCs w:val="20"/>
              </w:rPr>
              <w:t>10 mg/kg Ipilimumab N=626</w:t>
            </w:r>
          </w:p>
        </w:tc>
      </w:tr>
      <w:tr w:rsidR="00284E81" w:rsidRPr="003B35CB" w:rsidTr="00284E81">
        <w:trPr>
          <w:trHeight w:val="830"/>
        </w:trPr>
        <w:tc>
          <w:tcPr>
            <w:cnfStyle w:val="001000000000" w:firstRow="0" w:lastRow="0" w:firstColumn="1" w:lastColumn="0" w:oddVBand="0" w:evenVBand="0" w:oddHBand="0" w:evenHBand="0" w:firstRowFirstColumn="0" w:firstRowLastColumn="0" w:lastRowFirstColumn="0" w:lastRowLastColumn="0"/>
            <w:tcW w:w="2823" w:type="dxa"/>
          </w:tcPr>
          <w:p w:rsidR="00284E81" w:rsidRPr="003B35CB" w:rsidRDefault="00284E81" w:rsidP="003B35CB">
            <w:pPr>
              <w:rPr>
                <w:sz w:val="20"/>
                <w:szCs w:val="20"/>
              </w:rPr>
            </w:pPr>
            <w:r w:rsidRPr="003B35CB">
              <w:rPr>
                <w:sz w:val="20"/>
                <w:szCs w:val="20"/>
              </w:rPr>
              <w:t>AUC</w:t>
            </w:r>
            <w:r w:rsidRPr="003B35CB">
              <w:rPr>
                <w:sz w:val="20"/>
                <w:szCs w:val="20"/>
                <w:vertAlign w:val="subscript"/>
              </w:rPr>
              <w:t>ss</w:t>
            </w:r>
            <w:r w:rsidRPr="003B35CB">
              <w:rPr>
                <w:sz w:val="20"/>
                <w:szCs w:val="20"/>
              </w:rPr>
              <w:t xml:space="preserve"> (mg.h/ml)</w:t>
            </w:r>
          </w:p>
          <w:p w:rsidR="00712559"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16.7 ± 8.3</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16.0 (5.0-72.5)</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51.9 ± 19.9</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50.2 (1.5-223)</w:t>
            </w:r>
          </w:p>
        </w:tc>
      </w:tr>
      <w:tr w:rsidR="00284E81" w:rsidRPr="003B35CB" w:rsidTr="00284E81">
        <w:trPr>
          <w:trHeight w:val="830"/>
        </w:trPr>
        <w:tc>
          <w:tcPr>
            <w:cnfStyle w:val="001000000000" w:firstRow="0" w:lastRow="0" w:firstColumn="1" w:lastColumn="0" w:oddVBand="0" w:evenVBand="0" w:oddHBand="0" w:evenHBand="0" w:firstRowFirstColumn="0" w:firstRowLastColumn="0" w:lastRowFirstColumn="0" w:lastRowLastColumn="0"/>
            <w:tcW w:w="2823" w:type="dxa"/>
          </w:tcPr>
          <w:p w:rsidR="00284E81" w:rsidRPr="003B35CB" w:rsidRDefault="001F3382" w:rsidP="003B35CB">
            <w:pPr>
              <w:rPr>
                <w:sz w:val="20"/>
                <w:szCs w:val="20"/>
              </w:rPr>
            </w:pPr>
            <w:r w:rsidRPr="003B35CB">
              <w:rPr>
                <w:sz w:val="20"/>
                <w:szCs w:val="20"/>
              </w:rPr>
              <w:t>C</w:t>
            </w:r>
            <w:r w:rsidR="00284E81" w:rsidRPr="003B35CB">
              <w:rPr>
                <w:sz w:val="20"/>
                <w:szCs w:val="20"/>
                <w:vertAlign w:val="subscript"/>
              </w:rPr>
              <w:t>maxss</w:t>
            </w:r>
            <w:r w:rsidR="00284E81" w:rsidRPr="003B35CB">
              <w:rPr>
                <w:sz w:val="20"/>
                <w:szCs w:val="20"/>
              </w:rPr>
              <w:t xml:space="preserve"> (</w:t>
            </w:r>
            <w:r w:rsidR="00EE74EF" w:rsidRPr="003B35CB">
              <w:rPr>
                <w:sz w:val="20"/>
                <w:szCs w:val="20"/>
              </w:rPr>
              <w:t>µ</w:t>
            </w:r>
            <w:r w:rsidR="00284E81" w:rsidRPr="003B35CB">
              <w:rPr>
                <w:sz w:val="20"/>
                <w:szCs w:val="20"/>
              </w:rPr>
              <w:t>g/ml)</w:t>
            </w:r>
          </w:p>
          <w:p w:rsidR="00712559"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76.9 (20.2)</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73.3 (30.9-204)</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246 ± 53</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240 (13-655)</w:t>
            </w:r>
          </w:p>
        </w:tc>
      </w:tr>
      <w:tr w:rsidR="00284E81" w:rsidRPr="003B35CB" w:rsidTr="00284E81">
        <w:trPr>
          <w:trHeight w:val="822"/>
        </w:trPr>
        <w:tc>
          <w:tcPr>
            <w:cnfStyle w:val="001000000000" w:firstRow="0" w:lastRow="0" w:firstColumn="1" w:lastColumn="0" w:oddVBand="0" w:evenVBand="0" w:oddHBand="0" w:evenHBand="0" w:firstRowFirstColumn="0" w:firstRowLastColumn="0" w:lastRowFirstColumn="0" w:lastRowLastColumn="0"/>
            <w:tcW w:w="2823" w:type="dxa"/>
          </w:tcPr>
          <w:p w:rsidR="00712559" w:rsidRPr="003B35CB" w:rsidRDefault="00A05B08" w:rsidP="003B35CB">
            <w:pPr>
              <w:rPr>
                <w:sz w:val="20"/>
                <w:szCs w:val="20"/>
              </w:rPr>
            </w:pPr>
            <w:r w:rsidRPr="003B35CB">
              <w:rPr>
                <w:sz w:val="20"/>
                <w:szCs w:val="20"/>
              </w:rPr>
              <w:t>C</w:t>
            </w:r>
            <w:r w:rsidRPr="003B35CB">
              <w:rPr>
                <w:sz w:val="20"/>
                <w:szCs w:val="20"/>
                <w:vertAlign w:val="subscript"/>
              </w:rPr>
              <w:t>minss</w:t>
            </w:r>
            <w:r w:rsidR="00284E81" w:rsidRPr="003B35CB">
              <w:rPr>
                <w:sz w:val="20"/>
                <w:szCs w:val="20"/>
              </w:rPr>
              <w:t xml:space="preserve"> (</w:t>
            </w:r>
            <w:r w:rsidR="00EE74EF" w:rsidRPr="003B35CB">
              <w:rPr>
                <w:sz w:val="20"/>
                <w:szCs w:val="20"/>
              </w:rPr>
              <w:t>µ</w:t>
            </w:r>
            <w:r w:rsidR="00284E81" w:rsidRPr="003B35CB">
              <w:rPr>
                <w:sz w:val="20"/>
                <w:szCs w:val="20"/>
              </w:rPr>
              <w:t>g/ml)</w:t>
            </w:r>
          </w:p>
          <w:p w:rsidR="00712559"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19.4 (14.5)</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17.9 (1.9-121)</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58.1 ± 33.8</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53.7 (0.7-373)</w:t>
            </w:r>
          </w:p>
        </w:tc>
      </w:tr>
      <w:tr w:rsidR="00284E81" w:rsidRPr="003B35CB" w:rsidTr="00284E81">
        <w:trPr>
          <w:trHeight w:val="830"/>
        </w:trPr>
        <w:tc>
          <w:tcPr>
            <w:cnfStyle w:val="001000000000" w:firstRow="0" w:lastRow="0" w:firstColumn="1" w:lastColumn="0" w:oddVBand="0" w:evenVBand="0" w:oddHBand="0" w:evenHBand="0" w:firstRowFirstColumn="0" w:firstRowLastColumn="0" w:lastRowFirstColumn="0" w:lastRowLastColumn="0"/>
            <w:tcW w:w="2823" w:type="dxa"/>
          </w:tcPr>
          <w:p w:rsidR="00712559" w:rsidRPr="003B35CB" w:rsidRDefault="00284E81" w:rsidP="003B35CB">
            <w:pPr>
              <w:rPr>
                <w:sz w:val="20"/>
                <w:szCs w:val="20"/>
              </w:rPr>
            </w:pPr>
            <w:r w:rsidRPr="003B35CB">
              <w:rPr>
                <w:sz w:val="20"/>
                <w:szCs w:val="20"/>
              </w:rPr>
              <w:t>CL (ml/h)</w:t>
            </w:r>
          </w:p>
          <w:p w:rsidR="00712559"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16.7 ± 7.1</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15.9 (3.5-44.6)</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16.9 ± 6.3</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15.7 (3.3-53.3)</w:t>
            </w:r>
          </w:p>
        </w:tc>
      </w:tr>
      <w:tr w:rsidR="00284E81" w:rsidRPr="003B35CB" w:rsidTr="00284E81">
        <w:trPr>
          <w:trHeight w:val="822"/>
        </w:trPr>
        <w:tc>
          <w:tcPr>
            <w:cnfStyle w:val="001000000000" w:firstRow="0" w:lastRow="0" w:firstColumn="1" w:lastColumn="0" w:oddVBand="0" w:evenVBand="0" w:oddHBand="0" w:evenHBand="0" w:firstRowFirstColumn="0" w:firstRowLastColumn="0" w:lastRowFirstColumn="0" w:lastRowLastColumn="0"/>
            <w:tcW w:w="2823" w:type="dxa"/>
          </w:tcPr>
          <w:p w:rsidR="00284E81" w:rsidRPr="003B35CB" w:rsidRDefault="00284E81" w:rsidP="003B35CB">
            <w:pPr>
              <w:rPr>
                <w:sz w:val="20"/>
                <w:szCs w:val="20"/>
              </w:rPr>
            </w:pPr>
            <w:r w:rsidRPr="003B35CB">
              <w:rPr>
                <w:sz w:val="20"/>
                <w:szCs w:val="20"/>
              </w:rPr>
              <w:t>V</w:t>
            </w:r>
            <w:r w:rsidRPr="003B35CB">
              <w:rPr>
                <w:sz w:val="20"/>
                <w:szCs w:val="20"/>
                <w:vertAlign w:val="subscript"/>
              </w:rPr>
              <w:t>ss</w:t>
            </w:r>
            <w:r w:rsidRPr="003B35CB">
              <w:rPr>
                <w:sz w:val="20"/>
                <w:szCs w:val="20"/>
              </w:rPr>
              <w:t xml:space="preserve"> (L)</w:t>
            </w:r>
          </w:p>
          <w:p w:rsidR="00712559"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7.44 ± 0.77</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7.37 (6.0-9.6)</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7.45 ± 0.75</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7.45 (5.3-10.2)</w:t>
            </w:r>
          </w:p>
        </w:tc>
      </w:tr>
      <w:tr w:rsidR="00284E81" w:rsidRPr="003B35CB" w:rsidTr="00284E81">
        <w:trPr>
          <w:trHeight w:val="838"/>
        </w:trPr>
        <w:tc>
          <w:tcPr>
            <w:cnfStyle w:val="001000000000" w:firstRow="0" w:lastRow="0" w:firstColumn="1" w:lastColumn="0" w:oddVBand="0" w:evenVBand="0" w:oddHBand="0" w:evenHBand="0" w:firstRowFirstColumn="0" w:firstRowLastColumn="0" w:lastRowFirstColumn="0" w:lastRowLastColumn="0"/>
            <w:tcW w:w="2823" w:type="dxa"/>
          </w:tcPr>
          <w:p w:rsidR="00284E81" w:rsidRPr="003B35CB" w:rsidRDefault="00284E81" w:rsidP="003B35CB">
            <w:pPr>
              <w:rPr>
                <w:sz w:val="20"/>
                <w:szCs w:val="20"/>
              </w:rPr>
            </w:pPr>
            <w:r w:rsidRPr="003B35CB">
              <w:rPr>
                <w:sz w:val="20"/>
                <w:szCs w:val="20"/>
              </w:rPr>
              <w:t>T</w:t>
            </w:r>
            <w:r w:rsidR="001F3382" w:rsidRPr="003B35CB">
              <w:rPr>
                <w:sz w:val="20"/>
                <w:szCs w:val="20"/>
              </w:rPr>
              <w:t>½</w:t>
            </w:r>
            <w:r w:rsidRPr="003B35CB">
              <w:rPr>
                <w:sz w:val="20"/>
                <w:szCs w:val="20"/>
              </w:rPr>
              <w:t xml:space="preserve"> (days)</w:t>
            </w:r>
          </w:p>
          <w:p w:rsidR="00284E81" w:rsidRPr="003B35CB" w:rsidRDefault="00284E81" w:rsidP="003B35CB">
            <w:pPr>
              <w:rPr>
                <w:sz w:val="20"/>
                <w:szCs w:val="20"/>
              </w:rPr>
            </w:pPr>
            <w:r w:rsidRPr="003B35CB">
              <w:rPr>
                <w:sz w:val="20"/>
                <w:szCs w:val="20"/>
              </w:rPr>
              <w:t>Mean ± SD</w:t>
            </w:r>
          </w:p>
          <w:p w:rsidR="00284E81" w:rsidRPr="003B35CB" w:rsidRDefault="00284E81" w:rsidP="003B35CB">
            <w:pPr>
              <w:rPr>
                <w:sz w:val="20"/>
                <w:szCs w:val="20"/>
              </w:rPr>
            </w:pPr>
            <w:r w:rsidRPr="003B35CB">
              <w:rPr>
                <w:sz w:val="20"/>
                <w:szCs w:val="20"/>
              </w:rPr>
              <w:t>Median (min-max)</w:t>
            </w:r>
          </w:p>
        </w:tc>
        <w:tc>
          <w:tcPr>
            <w:tcW w:w="2756"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16.0 ± 6.3</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14.9 (6.1-53)</w:t>
            </w:r>
          </w:p>
        </w:tc>
        <w:tc>
          <w:tcPr>
            <w:tcW w:w="2560" w:type="dxa"/>
          </w:tcPr>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15.2 ± 4.9</w:t>
            </w:r>
          </w:p>
          <w:p w:rsidR="00284E81" w:rsidRPr="003B35CB" w:rsidRDefault="00284E81"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14.7 (5.7-54)</w:t>
            </w:r>
          </w:p>
        </w:tc>
      </w:tr>
    </w:tbl>
    <w:p w:rsidR="00E56650" w:rsidRPr="001A48E2" w:rsidRDefault="00E56650" w:rsidP="001A48E2">
      <w:r w:rsidRPr="001A48E2">
        <w:t xml:space="preserve">As per previous report, following IV infusion </w:t>
      </w:r>
      <w:r w:rsidR="00F22D76">
        <w:t>ipilimumab</w:t>
      </w:r>
      <w:r w:rsidRPr="001A48E2">
        <w:t xml:space="preserve"> undergoes biphasic elimination. Due to its large molecular weight and high polarity, it is expected that </w:t>
      </w:r>
      <w:r w:rsidR="00F22D76">
        <w:t>ipilimumab</w:t>
      </w:r>
      <w:r w:rsidRPr="001A48E2">
        <w:t xml:space="preserve"> first distributes into vascular space and subsequently into extracellular fluid space which is reflected in the steady-state volume of distribution (V</w:t>
      </w:r>
      <w:r w:rsidRPr="001F3382">
        <w:rPr>
          <w:vertAlign w:val="subscript"/>
        </w:rPr>
        <w:t>ss</w:t>
      </w:r>
      <w:r w:rsidRPr="001A48E2">
        <w:t>) of 7.63 L (using a re</w:t>
      </w:r>
      <w:r w:rsidR="001A48E2">
        <w:t>ference subject 79</w:t>
      </w:r>
      <w:r w:rsidR="00284E81">
        <w:t xml:space="preserve"> </w:t>
      </w:r>
      <w:r w:rsidR="001A48E2">
        <w:t>kg, LDH 204).</w:t>
      </w:r>
    </w:p>
    <w:p w:rsidR="00E56650" w:rsidRPr="001A48E2" w:rsidRDefault="00E56650" w:rsidP="001A48E2">
      <w:r w:rsidRPr="001A48E2">
        <w:t xml:space="preserve">The effect of renal impairment on the clearance of </w:t>
      </w:r>
      <w:r w:rsidR="00F22D76">
        <w:t>ipilimumab</w:t>
      </w:r>
      <w:r w:rsidRPr="001A48E2">
        <w:t xml:space="preserve"> was evaluated in patients with mild (GFR &lt;</w:t>
      </w:r>
      <w:r w:rsidR="001A48E2">
        <w:t xml:space="preserve"> </w:t>
      </w:r>
      <w:r w:rsidRPr="001A48E2">
        <w:t>90 and &gt;</w:t>
      </w:r>
      <w:r w:rsidR="001A48E2">
        <w:t xml:space="preserve"> </w:t>
      </w:r>
      <w:r w:rsidRPr="001A48E2">
        <w:t>60 mL/min/1.73 m</w:t>
      </w:r>
      <w:r w:rsidRPr="00284E81">
        <w:rPr>
          <w:vertAlign w:val="superscript"/>
        </w:rPr>
        <w:t>2</w:t>
      </w:r>
      <w:r w:rsidRPr="001A48E2">
        <w:t>; n</w:t>
      </w:r>
      <w:r w:rsidR="001A48E2">
        <w:t xml:space="preserve"> </w:t>
      </w:r>
      <w:r w:rsidRPr="001A48E2">
        <w:t>=</w:t>
      </w:r>
      <w:r w:rsidR="001A48E2">
        <w:t xml:space="preserve"> </w:t>
      </w:r>
      <w:r w:rsidRPr="001A48E2">
        <w:t>349), moderate (GFR &lt;</w:t>
      </w:r>
      <w:r w:rsidR="001A48E2">
        <w:t xml:space="preserve"> </w:t>
      </w:r>
      <w:r w:rsidRPr="001A48E2">
        <w:t>60 and &gt;</w:t>
      </w:r>
      <w:r w:rsidR="001A48E2">
        <w:t xml:space="preserve"> </w:t>
      </w:r>
      <w:r w:rsidRPr="001A48E2">
        <w:t>30 mL/min/1.73 m</w:t>
      </w:r>
      <w:r w:rsidRPr="00284E81">
        <w:rPr>
          <w:vertAlign w:val="superscript"/>
        </w:rPr>
        <w:t>2</w:t>
      </w:r>
      <w:r w:rsidRPr="001A48E2">
        <w:t>; n</w:t>
      </w:r>
      <w:r w:rsidR="001A48E2">
        <w:t xml:space="preserve"> </w:t>
      </w:r>
      <w:r w:rsidRPr="001A48E2">
        <w:t>=</w:t>
      </w:r>
      <w:r w:rsidR="001A48E2">
        <w:t xml:space="preserve"> </w:t>
      </w:r>
      <w:r w:rsidRPr="001A48E2">
        <w:t>82), or severe (GFR &lt;</w:t>
      </w:r>
      <w:r w:rsidR="001A48E2">
        <w:t xml:space="preserve"> </w:t>
      </w:r>
      <w:r w:rsidRPr="001A48E2">
        <w:t>30 and &gt;</w:t>
      </w:r>
      <w:r w:rsidR="001A48E2">
        <w:t xml:space="preserve"> </w:t>
      </w:r>
      <w:r w:rsidRPr="001A48E2">
        <w:t>15 mL/min/1.73m</w:t>
      </w:r>
      <w:r w:rsidRPr="00284E81">
        <w:rPr>
          <w:vertAlign w:val="superscript"/>
        </w:rPr>
        <w:t>2</w:t>
      </w:r>
      <w:r w:rsidRPr="001A48E2">
        <w:t>; n</w:t>
      </w:r>
      <w:r w:rsidR="001A48E2">
        <w:t xml:space="preserve"> </w:t>
      </w:r>
      <w:r w:rsidRPr="001A48E2">
        <w:t>=</w:t>
      </w:r>
      <w:r w:rsidR="001A48E2">
        <w:t xml:space="preserve"> </w:t>
      </w:r>
      <w:r w:rsidRPr="001A48E2">
        <w:t>4) renal impairment compared to patients with normal renal function (GFR</w:t>
      </w:r>
      <w:r w:rsidR="001A48E2">
        <w:t xml:space="preserve"> </w:t>
      </w:r>
      <w:r w:rsidRPr="001A48E2">
        <w:t>&gt;</w:t>
      </w:r>
      <w:r w:rsidR="001A48E2">
        <w:t xml:space="preserve"> </w:t>
      </w:r>
      <w:r w:rsidRPr="001A48E2">
        <w:t>90 mL/min/1.73m</w:t>
      </w:r>
      <w:r w:rsidRPr="00284E81">
        <w:rPr>
          <w:vertAlign w:val="superscript"/>
        </w:rPr>
        <w:t>2</w:t>
      </w:r>
      <w:r w:rsidRPr="001A48E2">
        <w:t>; n</w:t>
      </w:r>
      <w:r w:rsidR="001A48E2">
        <w:t xml:space="preserve"> </w:t>
      </w:r>
      <w:r w:rsidRPr="001A48E2">
        <w:t>=</w:t>
      </w:r>
      <w:r w:rsidR="001A48E2">
        <w:t xml:space="preserve"> </w:t>
      </w:r>
      <w:r w:rsidRPr="001A48E2">
        <w:t xml:space="preserve">350) in population pharmacokinetic analyses. Median CL of </w:t>
      </w:r>
      <w:r w:rsidR="00F22D76">
        <w:t>ipilimumab</w:t>
      </w:r>
      <w:r w:rsidRPr="001A48E2">
        <w:t xml:space="preserve"> for subjects with normal renal function, mild, moderate, and severe renal impairment is 0.017, 0.015, 0.015, and 0.014 L/hr, respectively. The median values of CL for the normal (n</w:t>
      </w:r>
      <w:r w:rsidR="001A48E2">
        <w:t xml:space="preserve"> </w:t>
      </w:r>
      <w:r w:rsidRPr="001A48E2">
        <w:t>=</w:t>
      </w:r>
      <w:r w:rsidR="001A48E2">
        <w:t xml:space="preserve"> </w:t>
      </w:r>
      <w:r w:rsidRPr="001A48E2">
        <w:t>708) and mild hepatic (n</w:t>
      </w:r>
      <w:r w:rsidR="001A48E2">
        <w:t xml:space="preserve"> </w:t>
      </w:r>
      <w:r w:rsidRPr="001A48E2">
        <w:t>=</w:t>
      </w:r>
      <w:r w:rsidR="001A48E2">
        <w:t xml:space="preserve"> </w:t>
      </w:r>
      <w:r w:rsidRPr="001A48E2">
        <w:t xml:space="preserve">76) dysfunction categories are 0.015, and 0.018 L/hr, respectively. Thus, mild to moderate renal impairment and mild hepatic impairment demonstrated no effect on </w:t>
      </w:r>
      <w:r w:rsidR="00F22D76">
        <w:t>ipilimumab</w:t>
      </w:r>
      <w:r w:rsidRPr="001A48E2">
        <w:t xml:space="preserve"> CL.</w:t>
      </w:r>
    </w:p>
    <w:p w:rsidR="001A48E2" w:rsidRPr="001A48E2" w:rsidRDefault="001A48E2" w:rsidP="00284E81">
      <w:pPr>
        <w:pStyle w:val="Heading5"/>
      </w:pPr>
      <w:r w:rsidRPr="001A48E2">
        <w:t>ER-OS modelling</w:t>
      </w:r>
    </w:p>
    <w:p w:rsidR="001A48E2" w:rsidRPr="001A48E2" w:rsidRDefault="001A48E2" w:rsidP="001A48E2">
      <w:r w:rsidRPr="001A48E2">
        <w:t xml:space="preserve">The final ER-OS model (based on data from untreated patients at </w:t>
      </w:r>
      <w:r w:rsidR="00C108F1">
        <w:t>10 mg</w:t>
      </w:r>
      <w:r w:rsidRPr="001A48E2">
        <w:t>/kg do</w:t>
      </w:r>
      <w:r w:rsidR="00284E81">
        <w:t>sing with DTIC taken only from S</w:t>
      </w:r>
      <w:r w:rsidRPr="001A48E2">
        <w:t xml:space="preserve">tudy CA184024), used to characterise the relationship between </w:t>
      </w:r>
      <w:r w:rsidR="00F22D76">
        <w:t>ipilimumab</w:t>
      </w:r>
      <w:r w:rsidR="00A23A4F">
        <w:t xml:space="preserve"> steady </w:t>
      </w:r>
      <w:r w:rsidRPr="001A48E2">
        <w:t>state trough concentration (</w:t>
      </w:r>
      <w:r w:rsidR="00A05B08" w:rsidRPr="00FA355C">
        <w:t>C</w:t>
      </w:r>
      <w:r w:rsidR="00A05B08" w:rsidRPr="00A05B08">
        <w:rPr>
          <w:vertAlign w:val="subscript"/>
        </w:rPr>
        <w:t>minss</w:t>
      </w:r>
      <w:r w:rsidRPr="001A48E2">
        <w:t xml:space="preserve">) and selected clinical endpoints, identified four </w:t>
      </w:r>
      <w:r w:rsidRPr="001A48E2">
        <w:lastRenderedPageBreak/>
        <w:t xml:space="preserve">significant covariates (metastatic status, ECOG, </w:t>
      </w:r>
      <w:r w:rsidR="00A05B08" w:rsidRPr="00FA355C">
        <w:t>C</w:t>
      </w:r>
      <w:r w:rsidR="00A05B08" w:rsidRPr="00A05B08">
        <w:rPr>
          <w:vertAlign w:val="subscript"/>
        </w:rPr>
        <w:t>minss</w:t>
      </w:r>
      <w:r w:rsidRPr="001A48E2">
        <w:t xml:space="preserve">, LDH status). Their effects are summarised </w:t>
      </w:r>
      <w:r w:rsidRPr="004572B9">
        <w:t xml:space="preserve">in Table </w:t>
      </w:r>
      <w:r w:rsidR="00A23A4F" w:rsidRPr="004572B9">
        <w:t>12</w:t>
      </w:r>
      <w:r w:rsidRPr="004572B9">
        <w:t xml:space="preserve"> below</w:t>
      </w:r>
      <w:r w:rsidRPr="001A48E2">
        <w:t xml:space="preserve">. Improvement in survival with higher </w:t>
      </w:r>
      <w:r w:rsidR="00F22D76">
        <w:t>ipilimumab</w:t>
      </w:r>
      <w:r w:rsidRPr="001A48E2">
        <w:t xml:space="preserve"> </w:t>
      </w:r>
      <w:r w:rsidR="00A05B08" w:rsidRPr="00FA355C">
        <w:t>C</w:t>
      </w:r>
      <w:r w:rsidR="00A05B08" w:rsidRPr="00A05B08">
        <w:rPr>
          <w:vertAlign w:val="subscript"/>
        </w:rPr>
        <w:t>minss</w:t>
      </w:r>
      <w:r w:rsidRPr="001A48E2">
        <w:t xml:space="preserve"> value is noted, with patients with median </w:t>
      </w:r>
      <w:r w:rsidR="00A05B08" w:rsidRPr="00FA355C">
        <w:t>C</w:t>
      </w:r>
      <w:r w:rsidR="00A05B08" w:rsidRPr="00A05B08">
        <w:rPr>
          <w:vertAlign w:val="subscript"/>
        </w:rPr>
        <w:t>minss</w:t>
      </w:r>
      <w:r w:rsidRPr="001A48E2">
        <w:t xml:space="preserve"> of 49.9 </w:t>
      </w:r>
      <w:r w:rsidR="00277C6F">
        <w:t>µ</w:t>
      </w:r>
      <w:r w:rsidR="00277C6F" w:rsidRPr="005A16C9">
        <w:t>g</w:t>
      </w:r>
      <w:r w:rsidRPr="001A48E2">
        <w:t>/mL having a relative OS hazard ratio of 0.73 compared to placebo (+DTIC). Higher M-category status, ECOG status</w:t>
      </w:r>
      <w:r>
        <w:t xml:space="preserve"> </w:t>
      </w:r>
      <w:r w:rsidRPr="001A48E2">
        <w:t>=</w:t>
      </w:r>
      <w:r>
        <w:t xml:space="preserve"> </w:t>
      </w:r>
      <w:r w:rsidRPr="001A48E2">
        <w:t>1, and elevated LDH above the ULN carried a relatively higher risk of worse survival. Note is made that although gender was an important predictor of overall survival in the full model, it was not retained in the final model based on Bayesian criterion. The coefficient for gender varied between each model (</w:t>
      </w:r>
      <w:r w:rsidR="00CF24F8">
        <w:t>for example</w:t>
      </w:r>
      <w:r w:rsidRPr="001A48E2">
        <w:t xml:space="preserve"> &gt; 55% difference). Thus, data supportive of the survival benefit of </w:t>
      </w:r>
      <w:r w:rsidR="00F22D76">
        <w:t>ipilimumab</w:t>
      </w:r>
      <w:r w:rsidRPr="001A48E2">
        <w:t xml:space="preserve"> </w:t>
      </w:r>
      <w:r w:rsidR="00C108F1">
        <w:t>10 mg</w:t>
      </w:r>
      <w:r w:rsidRPr="001A48E2">
        <w:t xml:space="preserve">/kg (with increasing </w:t>
      </w:r>
      <w:r w:rsidR="00A05B08" w:rsidRPr="00FA355C">
        <w:t>C</w:t>
      </w:r>
      <w:r w:rsidR="00A05B08" w:rsidRPr="00A05B08">
        <w:rPr>
          <w:vertAlign w:val="subscript"/>
        </w:rPr>
        <w:t>minss</w:t>
      </w:r>
      <w:r w:rsidRPr="001A48E2">
        <w:t>) in an untreated patient population is provided utilising PopPK modelling.</w:t>
      </w:r>
    </w:p>
    <w:p w:rsidR="001A48E2" w:rsidRPr="00A23A4F" w:rsidRDefault="001F1413" w:rsidP="001F1413">
      <w:pPr>
        <w:pStyle w:val="Comment"/>
        <w:ind w:left="1134" w:hanging="1134"/>
      </w:pPr>
      <w:r>
        <w:rPr>
          <w:b/>
        </w:rPr>
        <w:t>C</w:t>
      </w:r>
      <w:r w:rsidR="006E15A4">
        <w:rPr>
          <w:b/>
        </w:rPr>
        <w:t>omment</w:t>
      </w:r>
      <w:r w:rsidR="001A48E2" w:rsidRPr="00A23A4F">
        <w:rPr>
          <w:b/>
        </w:rPr>
        <w:t>:</w:t>
      </w:r>
      <w:r w:rsidR="00701D8A">
        <w:t xml:space="preserve"> The relevance of the ER-</w:t>
      </w:r>
      <w:r w:rsidR="001A48E2" w:rsidRPr="001A48E2">
        <w:t xml:space="preserve">OS modelling should be considered here given the use of patient data from CA184024. This study investigated a different posology, utilised combination therapy and included a maintenance phase, in contrast to the proposed usage. It is unclear why other datasets were not included. This study examined only previously untreated patients and thus is not informative of the effect of previous treatment on </w:t>
      </w:r>
      <w:r w:rsidR="001A48E2" w:rsidRPr="00A23A4F">
        <w:t>OS.</w:t>
      </w:r>
    </w:p>
    <w:p w:rsidR="001A48E2" w:rsidRPr="001A48E2" w:rsidRDefault="001A48E2" w:rsidP="001A48E2">
      <w:pPr>
        <w:pStyle w:val="Tabletitle"/>
      </w:pPr>
      <w:bookmarkStart w:id="65" w:name="_Toc390676294"/>
      <w:r w:rsidRPr="001A48E2">
        <w:t xml:space="preserve">Table </w:t>
      </w:r>
      <w:r w:rsidR="00A23A4F">
        <w:t>12</w:t>
      </w:r>
      <w:r w:rsidR="001F1413">
        <w:t>:</w:t>
      </w:r>
      <w:r w:rsidRPr="001A48E2">
        <w:t xml:space="preserve"> Parameter </w:t>
      </w:r>
      <w:r w:rsidR="001F1413" w:rsidRPr="001A48E2">
        <w:t xml:space="preserve">estimates of final </w:t>
      </w:r>
      <w:r w:rsidRPr="001A48E2">
        <w:t xml:space="preserve">CPH </w:t>
      </w:r>
      <w:r w:rsidR="001F1413" w:rsidRPr="001A48E2">
        <w:t xml:space="preserve">model </w:t>
      </w:r>
      <w:r w:rsidRPr="001A48E2">
        <w:t xml:space="preserve">for OS </w:t>
      </w:r>
      <w:r w:rsidR="001F1413">
        <w:t>a</w:t>
      </w:r>
      <w:r w:rsidRPr="001A48E2">
        <w:t>nalysis</w:t>
      </w:r>
      <w:bookmarkEnd w:id="65"/>
    </w:p>
    <w:p w:rsidR="001A48E2" w:rsidRPr="002D1A58" w:rsidRDefault="001A48E2" w:rsidP="00A23A4F">
      <w:r>
        <w:rPr>
          <w:noProof/>
          <w:lang w:eastAsia="en-AU"/>
        </w:rPr>
        <w:drawing>
          <wp:inline distT="0" distB="0" distL="0" distR="0" wp14:anchorId="6767DAE3" wp14:editId="1645303A">
            <wp:extent cx="4533900" cy="3566160"/>
            <wp:effectExtent l="0" t="0" r="0" b="0"/>
            <wp:docPr id="9" name="Picture 9" descr="Table 12: Parameter estimates of final CPH model for O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3900" cy="3566160"/>
                    </a:xfrm>
                    <a:prstGeom prst="rect">
                      <a:avLst/>
                    </a:prstGeom>
                  </pic:spPr>
                </pic:pic>
              </a:graphicData>
            </a:graphic>
          </wp:inline>
        </w:drawing>
      </w:r>
    </w:p>
    <w:p w:rsidR="001A48E2" w:rsidRPr="001A48E2" w:rsidRDefault="001A48E2" w:rsidP="00A23A4F">
      <w:pPr>
        <w:pStyle w:val="Heading5"/>
      </w:pPr>
      <w:r w:rsidRPr="001A48E2">
        <w:t>ER-irAE modelling</w:t>
      </w:r>
    </w:p>
    <w:p w:rsidR="001A48E2" w:rsidRPr="001A48E2" w:rsidRDefault="001A48E2" w:rsidP="001A48E2">
      <w:r w:rsidRPr="001A48E2">
        <w:t xml:space="preserve">Regarding safety data, Section 8 of this report should be referred to, as well as the Questions to the </w:t>
      </w:r>
      <w:r w:rsidR="005F5E22">
        <w:t>sponsor</w:t>
      </w:r>
      <w:r w:rsidRPr="001A48E2">
        <w:t>. Reference to these Sections is important for the appropriate interpretation of the data from this modelling.</w:t>
      </w:r>
    </w:p>
    <w:p w:rsidR="001A48E2" w:rsidRPr="001A48E2" w:rsidRDefault="00A23A4F" w:rsidP="001A48E2">
      <w:r>
        <w:t xml:space="preserve">Immune </w:t>
      </w:r>
      <w:r w:rsidR="001A48E2" w:rsidRPr="001A48E2">
        <w:t xml:space="preserve">related AEs (irAEs) were selected as the safety endpoint for the </w:t>
      </w:r>
      <w:r w:rsidR="0039038B">
        <w:t>ER</w:t>
      </w:r>
      <w:r w:rsidR="001A48E2" w:rsidRPr="001A48E2">
        <w:t xml:space="preserve"> analysis because they are likely causally related to drug exposure and the mechanism of action of </w:t>
      </w:r>
      <w:r w:rsidR="00F22D76">
        <w:t>ipilimumab</w:t>
      </w:r>
      <w:r w:rsidR="001A48E2" w:rsidRPr="001A48E2">
        <w:t>, and were th</w:t>
      </w:r>
      <w:r>
        <w:t xml:space="preserve">e most frequently reported drug </w:t>
      </w:r>
      <w:r w:rsidR="001A48E2" w:rsidRPr="001A48E2">
        <w:t>rel</w:t>
      </w:r>
      <w:r w:rsidR="001A48E2">
        <w:t>ated AEs.</w:t>
      </w:r>
    </w:p>
    <w:p w:rsidR="001A48E2" w:rsidRPr="001A48E2" w:rsidRDefault="001A48E2" w:rsidP="001A48E2">
      <w:r w:rsidRPr="001A48E2">
        <w:t xml:space="preserve">The final Exposure-Safety irAEs model identified that for </w:t>
      </w:r>
      <w:r w:rsidR="00701D8A" w:rsidRPr="001A48E2">
        <w:t>gastrointestinal</w:t>
      </w:r>
      <w:r w:rsidRPr="001A48E2">
        <w:t xml:space="preserve"> irAEs, a subject with a </w:t>
      </w:r>
      <w:r w:rsidR="00A05B08" w:rsidRPr="00FA355C">
        <w:t>C</w:t>
      </w:r>
      <w:r w:rsidR="00A05B08" w:rsidRPr="00A05B08">
        <w:rPr>
          <w:vertAlign w:val="subscript"/>
        </w:rPr>
        <w:t>minss</w:t>
      </w:r>
      <w:r w:rsidRPr="001A48E2">
        <w:t xml:space="preserve"> </w:t>
      </w:r>
      <w:proofErr w:type="gramStart"/>
      <w:r w:rsidRPr="001A48E2">
        <w:t>of 53.7</w:t>
      </w:r>
      <w:r w:rsidR="00A23A4F">
        <w:t xml:space="preserve"> </w:t>
      </w:r>
      <w:r w:rsidR="00277C6F">
        <w:t>µ</w:t>
      </w:r>
      <w:r w:rsidR="00277C6F" w:rsidRPr="005A16C9">
        <w:t>g</w:t>
      </w:r>
      <w:r w:rsidRPr="001A48E2">
        <w:t xml:space="preserve">/mL (median </w:t>
      </w:r>
      <w:r w:rsidR="00A05B08" w:rsidRPr="00FA355C">
        <w:t>C</w:t>
      </w:r>
      <w:r w:rsidR="00A05B08" w:rsidRPr="00A05B08">
        <w:rPr>
          <w:vertAlign w:val="subscript"/>
        </w:rPr>
        <w:t>minss</w:t>
      </w:r>
      <w:r w:rsidRPr="001A48E2">
        <w:t xml:space="preserve"> in the </w:t>
      </w:r>
      <w:r w:rsidR="00C108F1">
        <w:t>10 mg</w:t>
      </w:r>
      <w:r w:rsidRPr="001A48E2">
        <w:t>/kg group)</w:t>
      </w:r>
      <w:proofErr w:type="gramEnd"/>
      <w:r w:rsidRPr="001A48E2">
        <w:t xml:space="preserve"> is estimated to have approximately six times greater odds of a GIT irAE than a subject with no </w:t>
      </w:r>
      <w:r w:rsidR="00F22D76">
        <w:t>ipilimumab</w:t>
      </w:r>
      <w:r w:rsidRPr="001A48E2">
        <w:t xml:space="preserve"> concentration. However, concomitant administration with DTIC was retained the only retained covariate, which </w:t>
      </w:r>
      <w:r w:rsidR="00701D8A">
        <w:lastRenderedPageBreak/>
        <w:t>dec</w:t>
      </w:r>
      <w:r w:rsidRPr="001A48E2">
        <w:t>reased the odds of a gastrointestinal irAE by nearly 43% in subjects administered concomitant DTIC relative to those who are not</w:t>
      </w:r>
      <w:r>
        <w:t>.</w:t>
      </w:r>
    </w:p>
    <w:p w:rsidR="001A48E2" w:rsidRPr="001A48E2" w:rsidRDefault="00701D8A" w:rsidP="001A48E2">
      <w:r>
        <w:t>For h</w:t>
      </w:r>
      <w:r w:rsidR="001A48E2" w:rsidRPr="001A48E2">
        <w:t xml:space="preserve">epatobiliary irAEs the probability of an irAE increased with DTIC. However, prior anticancer therapy </w:t>
      </w:r>
      <w:r>
        <w:t>dec</w:t>
      </w:r>
      <w:r w:rsidR="001A48E2" w:rsidRPr="001A48E2">
        <w:t xml:space="preserve">reased the probability of hepatobiliary irAE. The odds ratio of a hepatobiliary irAE are 9.3 (95%CI 6.04, 15.5) times higher in subjects administered concomitant DTIC relative to those who are not. The worst grade hepatobiliary irAEs were noted to be Grade 3 or higher. The covariate effect of the presence of hepatic metastases was also investigated but not </w:t>
      </w:r>
      <w:r w:rsidR="001A48E2">
        <w:t>retained.</w:t>
      </w:r>
    </w:p>
    <w:p w:rsidR="001A48E2" w:rsidRPr="001A48E2" w:rsidRDefault="00701D8A" w:rsidP="001A48E2">
      <w:r>
        <w:t>For s</w:t>
      </w:r>
      <w:r w:rsidR="001A48E2" w:rsidRPr="001A48E2">
        <w:t xml:space="preserve">kin related irAEs, no covariate </w:t>
      </w:r>
      <w:r w:rsidR="001A48E2">
        <w:t>was retained in the final mode.</w:t>
      </w:r>
    </w:p>
    <w:p w:rsidR="001A48E2" w:rsidRPr="002D1A58" w:rsidRDefault="001A48E2" w:rsidP="001A48E2">
      <w:r w:rsidRPr="001A48E2">
        <w:t xml:space="preserve">For </w:t>
      </w:r>
      <w:r w:rsidR="003B06DF">
        <w:t>‘any’</w:t>
      </w:r>
      <w:r w:rsidRPr="001A48E2">
        <w:t xml:space="preserve"> irAE, prior anticancer therapy was the only covariate retained although, the effects of DTIC co</w:t>
      </w:r>
      <w:r w:rsidR="00A23A4F">
        <w:t>-</w:t>
      </w:r>
      <w:r w:rsidRPr="001A48E2">
        <w:t>administration may be lost due to opposite effects of this covariate on gastrointestinal and hepatobiliary irAEs causing a net neutral effect (</w:t>
      </w:r>
      <w:r w:rsidR="003B06DF">
        <w:t>‘any’</w:t>
      </w:r>
      <w:r w:rsidRPr="001A48E2">
        <w:t xml:space="preserve"> irAE group incorporated both gastrointestinal and hepatobiliary AEs). Previously treated patients had an improved odds ratio for </w:t>
      </w:r>
      <w:r w:rsidR="003B06DF">
        <w:t>‘any’</w:t>
      </w:r>
      <w:r w:rsidRPr="001A48E2">
        <w:t xml:space="preserve"> irAE of 0.51 (95%CI 0.337, 0.677) compared with untreated patients, who were more likely to experience toxicity.</w:t>
      </w:r>
    </w:p>
    <w:p w:rsidR="001A48E2" w:rsidRPr="002D1A58" w:rsidRDefault="001F1413" w:rsidP="001F1413">
      <w:pPr>
        <w:pStyle w:val="Comment"/>
        <w:ind w:left="1134" w:hanging="1134"/>
      </w:pPr>
      <w:r>
        <w:rPr>
          <w:b/>
        </w:rPr>
        <w:t>C</w:t>
      </w:r>
      <w:r w:rsidR="006E15A4">
        <w:rPr>
          <w:b/>
        </w:rPr>
        <w:t>omment</w:t>
      </w:r>
      <w:r w:rsidR="001A48E2" w:rsidRPr="001F1413">
        <w:rPr>
          <w:b/>
        </w:rPr>
        <w:t>:</w:t>
      </w:r>
      <w:r w:rsidR="001A48E2" w:rsidRPr="001A48E2">
        <w:t xml:space="preserve"> </w:t>
      </w:r>
      <w:r w:rsidR="001A48E2" w:rsidRPr="000C5666">
        <w:t>The</w:t>
      </w:r>
      <w:r w:rsidR="000E73B0" w:rsidRPr="000C5666">
        <w:t xml:space="preserve"> end </w:t>
      </w:r>
      <w:r w:rsidR="001A48E2" w:rsidRPr="000C5666">
        <w:t xml:space="preserve">of the PopPK report has this statement: </w:t>
      </w:r>
      <w:r w:rsidR="00C108F1" w:rsidRPr="000C5666">
        <w:t>‘</w:t>
      </w:r>
      <w:r w:rsidR="001A48E2" w:rsidRPr="000C5666">
        <w:rPr>
          <w:i/>
        </w:rPr>
        <w:t xml:space="preserve">The predicted probability of a Grade 2+ hepatobiliary irAE is 2.93% with concomitant </w:t>
      </w:r>
      <w:r w:rsidR="00851B52" w:rsidRPr="000C5666">
        <w:rPr>
          <w:i/>
        </w:rPr>
        <w:t>dacarbazine</w:t>
      </w:r>
      <w:r w:rsidR="001A48E2" w:rsidRPr="000C5666">
        <w:rPr>
          <w:i/>
        </w:rPr>
        <w:t xml:space="preserve"> and 0.324% in the absence of concomitant </w:t>
      </w:r>
      <w:r w:rsidR="00851B52" w:rsidRPr="000C5666">
        <w:rPr>
          <w:i/>
        </w:rPr>
        <w:t>dacarbazine</w:t>
      </w:r>
      <w:r w:rsidR="001A48E2" w:rsidRPr="000C5666">
        <w:rPr>
          <w:i/>
        </w:rPr>
        <w:t xml:space="preserve">. For Grade 3+ irAEs, the probabilities are 2.18% and 0.239%, with and without concomitant </w:t>
      </w:r>
      <w:r w:rsidR="00851B52" w:rsidRPr="000C5666">
        <w:rPr>
          <w:i/>
        </w:rPr>
        <w:t>dacarbazine</w:t>
      </w:r>
      <w:r w:rsidR="000C5666">
        <w:rPr>
          <w:i/>
        </w:rPr>
        <w:t xml:space="preserve">. </w:t>
      </w:r>
      <w:r w:rsidR="000C5666" w:rsidRPr="000C5666">
        <w:rPr>
          <w:i/>
        </w:rPr>
        <w:t xml:space="preserve">It is not clear where these values are from </w:t>
      </w:r>
      <w:r w:rsidR="001A48E2" w:rsidRPr="000C5666">
        <w:t>with reference to the hepatobiliary results from the final model. The values</w:t>
      </w:r>
      <w:r w:rsidR="001A48E2" w:rsidRPr="001A48E2">
        <w:t xml:space="preserve"> differ from those present here from the final model. Indeed, where these values are from is unclear.</w:t>
      </w:r>
    </w:p>
    <w:p w:rsidR="001A48E2" w:rsidRPr="002D1A58" w:rsidRDefault="001A48E2" w:rsidP="001F1413">
      <w:pPr>
        <w:pStyle w:val="Comment"/>
        <w:ind w:left="1134" w:firstLine="0"/>
      </w:pPr>
      <w:r w:rsidRPr="001A48E2">
        <w:t>Additionally, the conclusions of the PopPK report did not include a statement regarding the likelihood of an increased risk of toxicity for untreated patients compared to treated patients.</w:t>
      </w:r>
    </w:p>
    <w:p w:rsidR="001A48E2" w:rsidRDefault="001A48E2" w:rsidP="001A48E2">
      <w:r w:rsidRPr="001A48E2">
        <w:t xml:space="preserve">The summary of the median predicted probability of irAE by dose level is summarised in </w:t>
      </w:r>
      <w:r w:rsidR="00701D8A">
        <w:t>Table </w:t>
      </w:r>
      <w:r w:rsidR="00E05FE6" w:rsidRPr="00E05FE6">
        <w:t>13</w:t>
      </w:r>
      <w:r w:rsidRPr="00E05FE6">
        <w:t xml:space="preserve"> belo</w:t>
      </w:r>
      <w:r w:rsidRPr="001A48E2">
        <w:t xml:space="preserve">w. These are taken from the PopPK report with results rounded up to two </w:t>
      </w:r>
      <w:r w:rsidR="00701D8A">
        <w:t>dec</w:t>
      </w:r>
      <w:r w:rsidRPr="001A48E2">
        <w:t>imal po</w:t>
      </w:r>
      <w:r>
        <w:t>ints (with minor editing).</w:t>
      </w:r>
    </w:p>
    <w:p w:rsidR="001A48E2" w:rsidRDefault="001A48E2" w:rsidP="001A48E2">
      <w:pPr>
        <w:pStyle w:val="Tabletitle"/>
      </w:pPr>
      <w:bookmarkStart w:id="66" w:name="_Toc390676295"/>
      <w:r w:rsidRPr="001A48E2">
        <w:t>Table</w:t>
      </w:r>
      <w:r w:rsidR="00E05FE6">
        <w:t>13</w:t>
      </w:r>
      <w:r w:rsidR="001F1413">
        <w:t>:</w:t>
      </w:r>
      <w:r w:rsidRPr="001A48E2">
        <w:t xml:space="preserve"> Median predicted probability of irAE by dose level</w:t>
      </w:r>
      <w:bookmarkEnd w:id="66"/>
    </w:p>
    <w:tbl>
      <w:tblPr>
        <w:tblStyle w:val="TableTGAblue"/>
        <w:tblW w:w="0" w:type="auto"/>
        <w:tblLayout w:type="fixed"/>
        <w:tblLook w:val="04A0" w:firstRow="1" w:lastRow="0" w:firstColumn="1" w:lastColumn="0" w:noHBand="0" w:noVBand="1"/>
      </w:tblPr>
      <w:tblGrid>
        <w:gridCol w:w="1384"/>
        <w:gridCol w:w="1418"/>
        <w:gridCol w:w="1275"/>
        <w:gridCol w:w="1293"/>
        <w:gridCol w:w="1242"/>
        <w:gridCol w:w="1326"/>
        <w:gridCol w:w="1304"/>
      </w:tblGrid>
      <w:tr w:rsidR="00E05FE6" w:rsidRPr="003B35CB" w:rsidTr="003B35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E05FE6" w:rsidRPr="003B35CB" w:rsidRDefault="00E05FE6" w:rsidP="003B35CB">
            <w:pPr>
              <w:ind w:left="0"/>
              <w:rPr>
                <w:sz w:val="20"/>
                <w:szCs w:val="20"/>
              </w:rPr>
            </w:pPr>
            <w:r w:rsidRPr="003B35CB">
              <w:rPr>
                <w:sz w:val="20"/>
                <w:szCs w:val="20"/>
              </w:rPr>
              <w:t>irAE type</w:t>
            </w:r>
          </w:p>
        </w:tc>
        <w:tc>
          <w:tcPr>
            <w:tcW w:w="1418" w:type="dxa"/>
            <w:vMerge w:val="restart"/>
          </w:tcPr>
          <w:p w:rsidR="00E05FE6" w:rsidRPr="003B35CB" w:rsidRDefault="00E05FE6" w:rsidP="003B35CB">
            <w:pPr>
              <w:ind w:left="0"/>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Covariate Condition</w:t>
            </w:r>
          </w:p>
        </w:tc>
        <w:tc>
          <w:tcPr>
            <w:tcW w:w="1275" w:type="dxa"/>
            <w:vMerge w:val="restart"/>
          </w:tcPr>
          <w:p w:rsidR="00E05FE6" w:rsidRPr="003B35CB" w:rsidRDefault="00E05FE6" w:rsidP="003B35CB">
            <w:pPr>
              <w:ind w:left="55"/>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Dose (mg/kg)</w:t>
            </w:r>
          </w:p>
        </w:tc>
        <w:tc>
          <w:tcPr>
            <w:tcW w:w="2535" w:type="dxa"/>
            <w:gridSpan w:val="2"/>
          </w:tcPr>
          <w:p w:rsidR="00E05FE6" w:rsidRPr="003B35CB" w:rsidRDefault="00E05FE6" w:rsidP="003B35CB">
            <w:pPr>
              <w:ind w:left="33"/>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Grade 2+</w:t>
            </w:r>
          </w:p>
        </w:tc>
        <w:tc>
          <w:tcPr>
            <w:tcW w:w="2630" w:type="dxa"/>
            <w:gridSpan w:val="2"/>
          </w:tcPr>
          <w:p w:rsidR="00E05FE6" w:rsidRPr="003B35CB" w:rsidRDefault="00E05FE6" w:rsidP="003B35CB">
            <w:pPr>
              <w:ind w:left="97"/>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Grade 3+</w:t>
            </w:r>
          </w:p>
        </w:tc>
      </w:tr>
      <w:tr w:rsidR="003B35CB" w:rsidRPr="003B35CB" w:rsidTr="003B35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100000000000" w:firstRow="1" w:lastRow="0" w:firstColumn="0" w:lastColumn="0" w:oddVBand="0" w:evenVBand="0" w:oddHBand="0" w:evenHBand="0" w:firstRowFirstColumn="0" w:firstRowLastColumn="0" w:lastRowFirstColumn="0" w:lastRowLastColumn="0"/>
              <w:rPr>
                <w:sz w:val="20"/>
                <w:szCs w:val="20"/>
              </w:rPr>
            </w:pPr>
          </w:p>
        </w:tc>
        <w:tc>
          <w:tcPr>
            <w:tcW w:w="1275" w:type="dxa"/>
            <w:vMerge/>
          </w:tcPr>
          <w:p w:rsidR="00E05FE6" w:rsidRPr="003B35CB" w:rsidRDefault="00E05FE6" w:rsidP="003B35CB">
            <w:pPr>
              <w:ind w:left="55"/>
              <w:cnfStyle w:val="100000000000" w:firstRow="1" w:lastRow="0" w:firstColumn="0" w:lastColumn="0" w:oddVBand="0" w:evenVBand="0" w:oddHBand="0" w:evenHBand="0" w:firstRowFirstColumn="0" w:firstRowLastColumn="0" w:lastRowFirstColumn="0" w:lastRowLastColumn="0"/>
              <w:rPr>
                <w:sz w:val="20"/>
                <w:szCs w:val="20"/>
              </w:rPr>
            </w:pPr>
          </w:p>
        </w:tc>
        <w:tc>
          <w:tcPr>
            <w:tcW w:w="1293" w:type="dxa"/>
            <w:shd w:val="clear" w:color="auto" w:fill="006699"/>
          </w:tcPr>
          <w:p w:rsidR="00E05FE6" w:rsidRPr="003B35CB" w:rsidRDefault="00E05FE6" w:rsidP="003B35CB">
            <w:pPr>
              <w:ind w:left="33"/>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b w:val="0"/>
                <w:sz w:val="20"/>
                <w:szCs w:val="20"/>
              </w:rPr>
              <w:t>Median Prediction</w:t>
            </w:r>
          </w:p>
        </w:tc>
        <w:tc>
          <w:tcPr>
            <w:tcW w:w="1242" w:type="dxa"/>
            <w:shd w:val="clear" w:color="auto" w:fill="006699"/>
          </w:tcPr>
          <w:p w:rsidR="00E05FE6" w:rsidRPr="003B35CB" w:rsidRDefault="00E05FE6" w:rsidP="003B35CB">
            <w:pPr>
              <w:ind w:left="33"/>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b w:val="0"/>
                <w:sz w:val="20"/>
                <w:szCs w:val="20"/>
              </w:rPr>
              <w:t>2.5th, 97.5</w:t>
            </w:r>
            <w:r w:rsidRPr="003B35CB">
              <w:rPr>
                <w:b w:val="0"/>
                <w:sz w:val="20"/>
                <w:szCs w:val="20"/>
                <w:vertAlign w:val="superscript"/>
              </w:rPr>
              <w:t>th</w:t>
            </w:r>
            <w:r w:rsidRPr="003B35CB">
              <w:rPr>
                <w:b w:val="0"/>
                <w:sz w:val="20"/>
                <w:szCs w:val="20"/>
              </w:rPr>
              <w:t xml:space="preserve"> Percentile</w:t>
            </w:r>
          </w:p>
        </w:tc>
        <w:tc>
          <w:tcPr>
            <w:tcW w:w="1326" w:type="dxa"/>
            <w:shd w:val="clear" w:color="auto" w:fill="006699"/>
          </w:tcPr>
          <w:p w:rsidR="00E05FE6" w:rsidRPr="003B35CB" w:rsidRDefault="00E05FE6" w:rsidP="003B35CB">
            <w:pPr>
              <w:ind w:left="97"/>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b w:val="0"/>
                <w:sz w:val="20"/>
                <w:szCs w:val="20"/>
              </w:rPr>
              <w:t>Median Prediction</w:t>
            </w:r>
          </w:p>
        </w:tc>
        <w:tc>
          <w:tcPr>
            <w:tcW w:w="1304" w:type="dxa"/>
            <w:shd w:val="clear" w:color="auto" w:fill="006699"/>
          </w:tcPr>
          <w:p w:rsidR="00E05FE6" w:rsidRPr="003B35CB" w:rsidRDefault="00E05FE6" w:rsidP="003B35CB">
            <w:pPr>
              <w:ind w:left="97"/>
              <w:cnfStyle w:val="100000000000" w:firstRow="1" w:lastRow="0" w:firstColumn="0" w:lastColumn="0" w:oddVBand="0" w:evenVBand="0" w:oddHBand="0" w:evenHBand="0" w:firstRowFirstColumn="0" w:firstRowLastColumn="0" w:lastRowFirstColumn="0" w:lastRowLastColumn="0"/>
              <w:rPr>
                <w:b w:val="0"/>
                <w:sz w:val="20"/>
                <w:szCs w:val="20"/>
              </w:rPr>
            </w:pPr>
            <w:r w:rsidRPr="003B35CB">
              <w:rPr>
                <w:b w:val="0"/>
                <w:sz w:val="20"/>
                <w:szCs w:val="20"/>
              </w:rPr>
              <w:t>2.5th, 97.5</w:t>
            </w:r>
            <w:r w:rsidRPr="003B35CB">
              <w:rPr>
                <w:b w:val="0"/>
                <w:sz w:val="20"/>
                <w:szCs w:val="20"/>
                <w:vertAlign w:val="superscript"/>
              </w:rPr>
              <w:t>th</w:t>
            </w:r>
            <w:r w:rsidRPr="003B35CB">
              <w:rPr>
                <w:b w:val="0"/>
                <w:sz w:val="20"/>
                <w:szCs w:val="20"/>
              </w:rPr>
              <w:t xml:space="preserve"> Percentile</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val="restart"/>
          </w:tcPr>
          <w:p w:rsidR="00E05FE6" w:rsidRPr="003B35CB" w:rsidRDefault="00E05FE6" w:rsidP="003B35CB">
            <w:pPr>
              <w:ind w:left="0"/>
              <w:rPr>
                <w:sz w:val="20"/>
                <w:szCs w:val="20"/>
              </w:rPr>
            </w:pPr>
            <w:r w:rsidRPr="003B35CB">
              <w:rPr>
                <w:sz w:val="20"/>
                <w:szCs w:val="20"/>
              </w:rPr>
              <w:t>Gastrointestinal</w:t>
            </w: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No 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0.17</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0.13, 0.03</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0.08</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0.06, 0.11</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0.26</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0.23, 0.30</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0.12</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0.11, 0.15</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0.16</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0.15, 0.20</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0.07</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0.06, 0.09</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val="restart"/>
          </w:tcPr>
          <w:p w:rsidR="00E05FE6" w:rsidRPr="003B35CB" w:rsidRDefault="00E05FE6" w:rsidP="003B35CB">
            <w:pPr>
              <w:ind w:left="0"/>
              <w:rPr>
                <w:sz w:val="20"/>
                <w:szCs w:val="20"/>
              </w:rPr>
            </w:pPr>
            <w:r w:rsidRPr="003B35CB">
              <w:rPr>
                <w:sz w:val="20"/>
                <w:szCs w:val="20"/>
              </w:rPr>
              <w:t>Hepatobiliary</w:t>
            </w: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No 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0.02</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0.01, 0.05</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0.01</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0.01, 0.04</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0.07</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0.04, 0.15</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0.05</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0.03, 0.12</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0.37</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0.28, 0.59</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0.30</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0.22, 0.52</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val="restart"/>
          </w:tcPr>
          <w:p w:rsidR="00E05FE6" w:rsidRPr="003B35CB" w:rsidRDefault="00E05FE6" w:rsidP="003B35CB">
            <w:pPr>
              <w:ind w:left="0"/>
              <w:rPr>
                <w:sz w:val="20"/>
                <w:szCs w:val="20"/>
              </w:rPr>
            </w:pPr>
            <w:r w:rsidRPr="003B35CB">
              <w:rPr>
                <w:sz w:val="20"/>
                <w:szCs w:val="20"/>
              </w:rPr>
              <w:t>Skin</w:t>
            </w: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NA</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0.11</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0.07, 0.21</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0.01</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0.01, 0.029</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0.22</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0.19, 0.28</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0.03</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0.03, 0.04</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val="restart"/>
          </w:tcPr>
          <w:p w:rsidR="00E05FE6" w:rsidRPr="003B35CB" w:rsidRDefault="00E05FE6" w:rsidP="003B35CB">
            <w:pPr>
              <w:ind w:left="0"/>
              <w:rPr>
                <w:sz w:val="20"/>
                <w:szCs w:val="20"/>
              </w:rPr>
            </w:pPr>
            <w:r w:rsidRPr="003B35CB">
              <w:rPr>
                <w:sz w:val="20"/>
                <w:szCs w:val="20"/>
              </w:rPr>
              <w:t>Any</w:t>
            </w: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No 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0.36</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0.31, 0.58</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0.15</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0.13, 0.31</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0.65</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0.59, 0.75</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0.37</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0.32, 0.49</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val="restart"/>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DTIC</w:t>
            </w: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3</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0.27</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0.18, 0.46</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0.11</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0.07, 0.22</w:t>
            </w:r>
          </w:p>
        </w:tc>
      </w:tr>
      <w:tr w:rsidR="00E05FE6" w:rsidRPr="003B35CB" w:rsidTr="003B35CB">
        <w:tc>
          <w:tcPr>
            <w:cnfStyle w:val="001000000000" w:firstRow="0" w:lastRow="0" w:firstColumn="1" w:lastColumn="0" w:oddVBand="0" w:evenVBand="0" w:oddHBand="0" w:evenHBand="0" w:firstRowFirstColumn="0" w:firstRowLastColumn="0" w:lastRowFirstColumn="0" w:lastRowLastColumn="0"/>
            <w:tcW w:w="1384" w:type="dxa"/>
            <w:vMerge/>
          </w:tcPr>
          <w:p w:rsidR="00E05FE6" w:rsidRPr="003B35CB" w:rsidRDefault="00E05FE6" w:rsidP="003B35CB">
            <w:pPr>
              <w:ind w:left="0"/>
              <w:rPr>
                <w:sz w:val="20"/>
                <w:szCs w:val="20"/>
              </w:rPr>
            </w:pPr>
          </w:p>
        </w:tc>
        <w:tc>
          <w:tcPr>
            <w:tcW w:w="1418" w:type="dxa"/>
            <w:vMerge/>
          </w:tcPr>
          <w:p w:rsidR="00E05FE6" w:rsidRPr="003B35CB" w:rsidRDefault="00E05FE6" w:rsidP="003B35CB">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rsidR="00E05FE6" w:rsidRPr="003B35CB" w:rsidRDefault="00E05FE6" w:rsidP="003B35CB">
            <w:pPr>
              <w:ind w:left="55"/>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10</w:t>
            </w:r>
          </w:p>
        </w:tc>
        <w:tc>
          <w:tcPr>
            <w:tcW w:w="1293"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0.48</w:t>
            </w:r>
          </w:p>
        </w:tc>
        <w:tc>
          <w:tcPr>
            <w:tcW w:w="1242" w:type="dxa"/>
          </w:tcPr>
          <w:p w:rsidR="00E05FE6" w:rsidRPr="003B35CB" w:rsidRDefault="00E05FE6" w:rsidP="003B35CB">
            <w:pPr>
              <w:ind w:left="33"/>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0.41, 0.60</w:t>
            </w:r>
          </w:p>
        </w:tc>
        <w:tc>
          <w:tcPr>
            <w:tcW w:w="1326"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0.23</w:t>
            </w:r>
          </w:p>
        </w:tc>
        <w:tc>
          <w:tcPr>
            <w:tcW w:w="1304" w:type="dxa"/>
          </w:tcPr>
          <w:p w:rsidR="00E05FE6" w:rsidRPr="003B35CB" w:rsidRDefault="00E05FE6" w:rsidP="003B35CB">
            <w:pPr>
              <w:ind w:left="97"/>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0.18, 0.33</w:t>
            </w:r>
          </w:p>
        </w:tc>
      </w:tr>
    </w:tbl>
    <w:p w:rsidR="001A48E2" w:rsidRPr="001A48E2" w:rsidRDefault="001A48E2" w:rsidP="001A48E2">
      <w:r w:rsidRPr="001A48E2">
        <w:t>Thus with respect to the current application, PopPK modelling for irAEs demons</w:t>
      </w:r>
      <w:r w:rsidR="00E05FE6">
        <w:t>trates that the probability of Grade 2 or G</w:t>
      </w:r>
      <w:r w:rsidRPr="001A48E2">
        <w:t xml:space="preserve">rade 3 irAEs is less with the lower dose of </w:t>
      </w:r>
      <w:r w:rsidR="00C108F1">
        <w:t>3 mg</w:t>
      </w:r>
      <w:r w:rsidRPr="001A48E2">
        <w:t>/kg (n</w:t>
      </w:r>
      <w:r>
        <w:t xml:space="preserve"> </w:t>
      </w:r>
      <w:r w:rsidRPr="001A48E2">
        <w:t>=</w:t>
      </w:r>
      <w:r>
        <w:t xml:space="preserve"> </w:t>
      </w:r>
      <w:r w:rsidRPr="001A48E2">
        <w:t xml:space="preserve">101) versus </w:t>
      </w:r>
      <w:r w:rsidR="00C108F1">
        <w:t>10 mg</w:t>
      </w:r>
      <w:r w:rsidRPr="001A48E2">
        <w:t>/kg (n</w:t>
      </w:r>
      <w:r>
        <w:t xml:space="preserve"> </w:t>
      </w:r>
      <w:r w:rsidRPr="001A48E2">
        <w:t>=</w:t>
      </w:r>
      <w:r>
        <w:t xml:space="preserve"> </w:t>
      </w:r>
      <w:r w:rsidRPr="001A48E2">
        <w:t xml:space="preserve">626), although previously untreated patients have a higher probability of </w:t>
      </w:r>
      <w:r w:rsidR="003B06DF">
        <w:t>‘any’</w:t>
      </w:r>
      <w:r w:rsidRPr="001A48E2">
        <w:t xml:space="preserve"> irAEs. However, the small number of subjects pertinent to the current application (</w:t>
      </w:r>
      <w:r w:rsidR="00C108F1">
        <w:t>3 mg</w:t>
      </w:r>
      <w:r w:rsidRPr="001A48E2">
        <w:t>/kg and previously untreated, n</w:t>
      </w:r>
      <w:r>
        <w:t xml:space="preserve"> </w:t>
      </w:r>
      <w:r w:rsidRPr="001A48E2">
        <w:t>=</w:t>
      </w:r>
      <w:r>
        <w:t xml:space="preserve"> </w:t>
      </w:r>
      <w:r w:rsidRPr="001A48E2">
        <w:t>14) limit the external validity of the modelling provided.</w:t>
      </w:r>
    </w:p>
    <w:p w:rsidR="001A48E2" w:rsidRPr="002D1A58" w:rsidRDefault="001F1413" w:rsidP="001F1413">
      <w:pPr>
        <w:pStyle w:val="Comment"/>
        <w:ind w:left="1134" w:hanging="1134"/>
      </w:pPr>
      <w:r>
        <w:rPr>
          <w:b/>
        </w:rPr>
        <w:t>C</w:t>
      </w:r>
      <w:r w:rsidR="00701D8A">
        <w:rPr>
          <w:b/>
        </w:rPr>
        <w:t>omment</w:t>
      </w:r>
      <w:r w:rsidRPr="001F1413">
        <w:rPr>
          <w:b/>
        </w:rPr>
        <w:t>:</w:t>
      </w:r>
      <w:r w:rsidR="001A48E2" w:rsidRPr="001A48E2">
        <w:t xml:space="preserve"> Reference should be made to the Safety Section of this report and questions to the sponsor regarding the safety data.</w:t>
      </w:r>
    </w:p>
    <w:p w:rsidR="001A48E2" w:rsidRPr="001A48E2" w:rsidRDefault="001A48E2" w:rsidP="001A48E2">
      <w:pPr>
        <w:pStyle w:val="Heading4"/>
      </w:pPr>
      <w:bookmarkStart w:id="67" w:name="_Toc390676187"/>
      <w:r w:rsidRPr="001A48E2">
        <w:t xml:space="preserve">External </w:t>
      </w:r>
      <w:r w:rsidR="001F1413" w:rsidRPr="001A48E2">
        <w:t xml:space="preserve">population pharmacokinetic </w:t>
      </w:r>
      <w:r w:rsidRPr="001A48E2">
        <w:t>evaluator’s report</w:t>
      </w:r>
      <w:bookmarkEnd w:id="67"/>
    </w:p>
    <w:p w:rsidR="001A48E2" w:rsidRPr="001A48E2" w:rsidRDefault="001A48E2" w:rsidP="001A48E2">
      <w:r w:rsidRPr="001A48E2">
        <w:t xml:space="preserve">The TGA provided an external PopPK report whereby the evaluator repeated the key models and repeated the covariate analyses. The analysis performed found no deficiencies or inconsistencies, and the report was found to agree or largely agree with the EMA guidelines. Specifically, the external PopPK report assessed the </w:t>
      </w:r>
      <w:r w:rsidR="005F5E22">
        <w:t>sponsor</w:t>
      </w:r>
      <w:r w:rsidRPr="001A48E2">
        <w:t>’s report on all points from Ana</w:t>
      </w:r>
      <w:r>
        <w:t>lysis Plan to Discussion.</w:t>
      </w:r>
    </w:p>
    <w:p w:rsidR="00712559" w:rsidRDefault="001A48E2" w:rsidP="001A48E2">
      <w:r w:rsidRPr="001A48E2">
        <w:t xml:space="preserve">The evaluator summarises the key findings of the </w:t>
      </w:r>
      <w:r w:rsidR="005F5E22">
        <w:t>sponsor</w:t>
      </w:r>
      <w:r w:rsidRPr="001A48E2">
        <w:t>’s P</w:t>
      </w:r>
      <w:r w:rsidR="001F1413">
        <w:t>opPK report with the following:</w:t>
      </w:r>
    </w:p>
    <w:p w:rsidR="001A48E2" w:rsidRPr="00117D51" w:rsidRDefault="00C108F1" w:rsidP="001F1413">
      <w:pPr>
        <w:ind w:left="720"/>
        <w:rPr>
          <w:i/>
        </w:rPr>
      </w:pPr>
      <w:r w:rsidRPr="00117D51">
        <w:rPr>
          <w:i/>
        </w:rPr>
        <w:t>‘</w:t>
      </w:r>
      <w:r w:rsidR="001A48E2" w:rsidRPr="00117D51">
        <w:rPr>
          <w:i/>
        </w:rPr>
        <w:t xml:space="preserve">The results found in the </w:t>
      </w:r>
      <w:r w:rsidR="004D2D70">
        <w:rPr>
          <w:i/>
        </w:rPr>
        <w:t>PopPK</w:t>
      </w:r>
      <w:r w:rsidR="001A48E2" w:rsidRPr="00117D51">
        <w:rPr>
          <w:i/>
        </w:rPr>
        <w:t xml:space="preserve"> study have been compared and agree with previously obtained information on the PK of </w:t>
      </w:r>
      <w:r w:rsidR="00F22D76" w:rsidRPr="00117D51">
        <w:rPr>
          <w:i/>
        </w:rPr>
        <w:t>ipilimumab</w:t>
      </w:r>
      <w:r w:rsidR="001A48E2" w:rsidRPr="00117D51">
        <w:rPr>
          <w:i/>
        </w:rPr>
        <w:t xml:space="preserve">. This comparison has been done based on presented data in the report and in Module 2.7.2. It found that </w:t>
      </w:r>
      <w:r w:rsidR="00F22D76" w:rsidRPr="00117D51">
        <w:rPr>
          <w:i/>
        </w:rPr>
        <w:t>ipilimumab</w:t>
      </w:r>
      <w:r w:rsidR="001A48E2" w:rsidRPr="00117D51">
        <w:rPr>
          <w:i/>
        </w:rPr>
        <w:t xml:space="preserve"> clearance is related to the weight of a patient and doses should be based on patients’ weight. Again, this was a confirmation of previous results.</w:t>
      </w:r>
    </w:p>
    <w:p w:rsidR="001A48E2" w:rsidRPr="00117D51" w:rsidRDefault="001A48E2" w:rsidP="001F1413">
      <w:pPr>
        <w:ind w:left="720"/>
        <w:rPr>
          <w:i/>
        </w:rPr>
      </w:pPr>
      <w:r w:rsidRPr="00117D51">
        <w:rPr>
          <w:i/>
        </w:rPr>
        <w:lastRenderedPageBreak/>
        <w:t>Differences between previously treated and untreated patients were not found in the PK of the drug, however showed to have a difference in the toxicity. The odds of any irAE occurring was found to be approximately half in subjects who have been previously treated with anticancer therapy relative to those who were previously untreated.</w:t>
      </w:r>
      <w:r w:rsidR="00C108F1" w:rsidRPr="00117D51">
        <w:rPr>
          <w:i/>
        </w:rPr>
        <w:t>’</w:t>
      </w:r>
    </w:p>
    <w:p w:rsidR="001A48E2" w:rsidRPr="006A32FD" w:rsidRDefault="001A48E2" w:rsidP="001A48E2">
      <w:r w:rsidRPr="001A48E2">
        <w:t>Selected pertinent details from t</w:t>
      </w:r>
      <w:r>
        <w:t>he report are summarised below.</w:t>
      </w:r>
    </w:p>
    <w:p w:rsidR="001A48E2" w:rsidRPr="001A48E2" w:rsidRDefault="001A48E2" w:rsidP="00117D51">
      <w:pPr>
        <w:pStyle w:val="Heading5"/>
      </w:pPr>
      <w:r w:rsidRPr="001A48E2">
        <w:t>Repeat of the PopPK models</w:t>
      </w:r>
    </w:p>
    <w:p w:rsidR="001A48E2" w:rsidRPr="001A48E2" w:rsidRDefault="001A48E2" w:rsidP="001A48E2">
      <w:r w:rsidRPr="001A48E2">
        <w:t xml:space="preserve">The evaluator utilised software similar to the sponsor, in conjunction with other software. The base, full and final PopPK models were provided by the </w:t>
      </w:r>
      <w:r w:rsidR="005F5E22">
        <w:t>sponsor</w:t>
      </w:r>
      <w:r w:rsidRPr="001A48E2">
        <w:t xml:space="preserve"> and repeated by the evaluator. However, the models of the ER-OS and ER-irAE were not available for assessment.</w:t>
      </w:r>
    </w:p>
    <w:p w:rsidR="001A48E2" w:rsidRPr="001A48E2" w:rsidRDefault="001A48E2" w:rsidP="001A48E2">
      <w:r w:rsidRPr="001A48E2">
        <w:t xml:space="preserve">The PopPK modelling was confirmed by the evaluator where the parameter estimates were found to match the </w:t>
      </w:r>
      <w:r w:rsidR="005F5E22">
        <w:t>sponsor</w:t>
      </w:r>
      <w:r w:rsidR="00CF0E37">
        <w:t>’s</w:t>
      </w:r>
      <w:r w:rsidRPr="00CF0E37">
        <w:t>.</w:t>
      </w:r>
    </w:p>
    <w:p w:rsidR="001A48E2" w:rsidRPr="001A48E2" w:rsidRDefault="001A48E2" w:rsidP="001A48E2">
      <w:r w:rsidRPr="001A48E2">
        <w:t xml:space="preserve">The covariate model building steps were also repeated. Model files were not provided but the external evaluator was able to replicate the </w:t>
      </w:r>
      <w:r w:rsidR="005F5E22">
        <w:t>sponsor</w:t>
      </w:r>
      <w:r w:rsidRPr="001A48E2">
        <w:t>’s methodology and could confirm the steps leading to the full model.</w:t>
      </w:r>
    </w:p>
    <w:p w:rsidR="001A48E2" w:rsidRPr="001A48E2" w:rsidRDefault="001A48E2" w:rsidP="001A48E2">
      <w:r w:rsidRPr="001A48E2">
        <w:t xml:space="preserve">The external PopPK evaluator notes that the </w:t>
      </w:r>
      <w:r w:rsidR="005F5E22">
        <w:t>sponsor</w:t>
      </w:r>
      <w:r w:rsidRPr="001A48E2">
        <w:t xml:space="preserve"> did not provide explanation for the omission of a number of covariates collected. This has been included as a question to the </w:t>
      </w:r>
      <w:r w:rsidR="005F5E22">
        <w:t>sponsor</w:t>
      </w:r>
      <w:r w:rsidRPr="001A48E2">
        <w:t xml:space="preserve">. Selected covariates not examined by the sponsor include the baseline BSA, ideal </w:t>
      </w:r>
      <w:r>
        <w:t>body weight, race, and albumen.</w:t>
      </w:r>
    </w:p>
    <w:p w:rsidR="001A48E2" w:rsidRPr="001A48E2" w:rsidRDefault="001A48E2" w:rsidP="00117D51">
      <w:pPr>
        <w:pStyle w:val="Heading5"/>
      </w:pPr>
      <w:r w:rsidRPr="001A48E2">
        <w:t>Analysis plan section</w:t>
      </w:r>
    </w:p>
    <w:p w:rsidR="001A48E2" w:rsidRPr="006A32FD" w:rsidRDefault="001A48E2" w:rsidP="001A48E2">
      <w:r w:rsidRPr="006A32FD">
        <w:t xml:space="preserve">The </w:t>
      </w:r>
      <w:r w:rsidR="005F5E22">
        <w:t>sponsor</w:t>
      </w:r>
      <w:r w:rsidRPr="006A32FD">
        <w:t>’s analysis plan was assessed as sufficient by</w:t>
      </w:r>
      <w:r>
        <w:t xml:space="preserve"> the external PopPK evaluator.</w:t>
      </w:r>
    </w:p>
    <w:p w:rsidR="001A48E2" w:rsidRPr="001A48E2" w:rsidRDefault="001A48E2" w:rsidP="001A48E2">
      <w:r w:rsidRPr="001A48E2">
        <w:t xml:space="preserve">A minor note is made that </w:t>
      </w:r>
      <w:r w:rsidR="00C108F1">
        <w:t>‘</w:t>
      </w:r>
      <w:r w:rsidRPr="00117D51">
        <w:rPr>
          <w:i/>
        </w:rPr>
        <w:t xml:space="preserve">the handling of data below the limit of quantification (BLOQ) should have been more detailed and structured depending to percent of BLOQ data to be seen in the data set. The analysis plan presents method for handling BLOQ data that is only acceptable if small amounts of BLOQ data are to be expected. </w:t>
      </w:r>
      <w:proofErr w:type="gramStart"/>
      <w:r w:rsidRPr="00117D51">
        <w:rPr>
          <w:i/>
        </w:rPr>
        <w:t>If the amount of BLOQ data, particular at certain times within a dosing interval is high.</w:t>
      </w:r>
      <w:proofErr w:type="gramEnd"/>
      <w:r w:rsidRPr="00117D51">
        <w:rPr>
          <w:i/>
        </w:rPr>
        <w:t xml:space="preserve"> The method of choice in this report was omitting the BLOQ data, which can lead to bias in the estimation of the parameter estimates (2 </w:t>
      </w:r>
      <w:r w:rsidR="00117D51">
        <w:rPr>
          <w:i/>
        </w:rPr>
        <w:t>to</w:t>
      </w:r>
      <w:r w:rsidRPr="00117D51">
        <w:rPr>
          <w:i/>
        </w:rPr>
        <w:t xml:space="preserve"> 4). No discussion about the choice of method was available in the analysis plan.</w:t>
      </w:r>
      <w:r w:rsidR="00C108F1">
        <w:t>’</w:t>
      </w:r>
    </w:p>
    <w:p w:rsidR="001A48E2" w:rsidRDefault="001A48E2" w:rsidP="001A48E2">
      <w:r w:rsidRPr="001A48E2">
        <w:t xml:space="preserve">In a further section the evaluator writes </w:t>
      </w:r>
      <w:r w:rsidR="00C108F1">
        <w:t>‘</w:t>
      </w:r>
      <w:r w:rsidRPr="00117D51">
        <w:rPr>
          <w:i/>
        </w:rPr>
        <w:t>It is difficult to assess from the report at which time points during the dosing interval the BLOQ samples occurred and consequences of data censoring cannot be judged fully.</w:t>
      </w:r>
      <w:r w:rsidR="00C108F1">
        <w:t>’</w:t>
      </w:r>
    </w:p>
    <w:p w:rsidR="001A48E2" w:rsidRPr="001A48E2" w:rsidRDefault="00BF0776" w:rsidP="001A48E2">
      <w:pPr>
        <w:pStyle w:val="Comment"/>
      </w:pPr>
      <w:r>
        <w:rPr>
          <w:b/>
        </w:rPr>
        <w:t>C</w:t>
      </w:r>
      <w:r w:rsidR="006E15A4">
        <w:rPr>
          <w:b/>
        </w:rPr>
        <w:t>omment</w:t>
      </w:r>
      <w:r w:rsidR="001A48E2" w:rsidRPr="00BF0776">
        <w:rPr>
          <w:b/>
        </w:rPr>
        <w:t>:</w:t>
      </w:r>
      <w:r w:rsidR="001A48E2" w:rsidRPr="001A48E2">
        <w:t xml:space="preserve"> Please see Questions to the </w:t>
      </w:r>
      <w:r w:rsidR="005F5E22">
        <w:t>sponsor</w:t>
      </w:r>
      <w:r w:rsidR="001A48E2" w:rsidRPr="001A48E2">
        <w:t>.</w:t>
      </w:r>
    </w:p>
    <w:p w:rsidR="001A48E2" w:rsidRPr="006A32FD" w:rsidRDefault="00663B36" w:rsidP="00663B36">
      <w:pPr>
        <w:pStyle w:val="Heading5"/>
      </w:pPr>
      <w:r>
        <w:t>Discussion</w:t>
      </w:r>
    </w:p>
    <w:p w:rsidR="001A48E2" w:rsidRPr="006A32FD" w:rsidRDefault="001A48E2" w:rsidP="001A48E2">
      <w:r w:rsidRPr="006A32FD">
        <w:t>The external PopPK evaluator could confirm the conclusions of the sp</w:t>
      </w:r>
      <w:r>
        <w:t>onsor for each of the analyses.</w:t>
      </w:r>
    </w:p>
    <w:p w:rsidR="001A48E2" w:rsidRPr="001A48E2" w:rsidRDefault="00663B36" w:rsidP="00663B36">
      <w:pPr>
        <w:pStyle w:val="Heading6"/>
      </w:pPr>
      <w:r>
        <w:t>For the PopPK modelling</w:t>
      </w:r>
    </w:p>
    <w:p w:rsidR="001A48E2" w:rsidRPr="001A48E2" w:rsidRDefault="001A48E2" w:rsidP="001A48E2">
      <w:pPr>
        <w:pStyle w:val="ListBullet"/>
      </w:pPr>
      <w:r w:rsidRPr="001A48E2">
        <w:t xml:space="preserve">PK of </w:t>
      </w:r>
      <w:r w:rsidR="00F22D76">
        <w:t>ipilimumab</w:t>
      </w:r>
      <w:r w:rsidRPr="001A48E2">
        <w:t xml:space="preserve"> is </w:t>
      </w:r>
      <w:r w:rsidR="0049498A">
        <w:t>linear in the dose range tested</w:t>
      </w:r>
    </w:p>
    <w:p w:rsidR="001A48E2" w:rsidRPr="001A48E2" w:rsidRDefault="001A48E2" w:rsidP="001A48E2">
      <w:pPr>
        <w:pStyle w:val="ListBullet"/>
      </w:pPr>
      <w:r w:rsidRPr="001A48E2">
        <w:t xml:space="preserve">The PK of </w:t>
      </w:r>
      <w:r w:rsidR="00F22D76">
        <w:t>ipilimumab</w:t>
      </w:r>
      <w:r w:rsidR="0049498A">
        <w:t xml:space="preserve"> is time invariant</w:t>
      </w:r>
    </w:p>
    <w:p w:rsidR="001A48E2" w:rsidRPr="001A48E2" w:rsidRDefault="001A48E2" w:rsidP="001A48E2">
      <w:pPr>
        <w:pStyle w:val="ListBullet"/>
      </w:pPr>
      <w:r w:rsidRPr="001A48E2">
        <w:t xml:space="preserve">No difference in the PK of </w:t>
      </w:r>
      <w:r w:rsidR="00F22D76">
        <w:t>ipilimumab</w:t>
      </w:r>
      <w:r w:rsidRPr="001A48E2">
        <w:t xml:space="preserve"> in untreated </w:t>
      </w:r>
      <w:r w:rsidR="00046414">
        <w:t>versus</w:t>
      </w:r>
      <w:r w:rsidRPr="001A48E2">
        <w:t xml:space="preserve"> treated patie</w:t>
      </w:r>
      <w:r w:rsidR="0049498A">
        <w:t>nts</w:t>
      </w:r>
    </w:p>
    <w:p w:rsidR="001A48E2" w:rsidRPr="001A48E2" w:rsidRDefault="001A48E2" w:rsidP="001A48E2">
      <w:pPr>
        <w:pStyle w:val="ListBullet"/>
      </w:pPr>
      <w:r w:rsidRPr="001A48E2">
        <w:t xml:space="preserve">Ipilimumab should be dosed according to the total body weight of the patient, due to the significant impact of total body weight WT on </w:t>
      </w:r>
      <w:r w:rsidR="00F22D76">
        <w:t>ipilimumab</w:t>
      </w:r>
      <w:r w:rsidRPr="001A48E2">
        <w:t xml:space="preserve"> CL found, effecti</w:t>
      </w:r>
      <w:r w:rsidR="0049498A">
        <w:t>ng overall exposure to the drug</w:t>
      </w:r>
    </w:p>
    <w:p w:rsidR="001A48E2" w:rsidRPr="001A48E2" w:rsidRDefault="001A48E2" w:rsidP="001A48E2">
      <w:pPr>
        <w:pStyle w:val="ListBullet"/>
      </w:pPr>
      <w:r w:rsidRPr="001A48E2">
        <w:t xml:space="preserve">Ipilimumab CL increases with increasing baseline LDH. However patients with sufficiently high LDH to cause clinical meaningful changes in CL have been found to be rare and are unlikely to have clinically meaningful impact of LDH on their </w:t>
      </w:r>
      <w:r w:rsidR="00F22D76">
        <w:t>ipilimumab</w:t>
      </w:r>
      <w:r w:rsidR="0049498A">
        <w:t xml:space="preserve"> C</w:t>
      </w:r>
    </w:p>
    <w:p w:rsidR="001A48E2" w:rsidRPr="001A48E2" w:rsidRDefault="001A48E2" w:rsidP="001A48E2">
      <w:pPr>
        <w:pStyle w:val="ListBullet"/>
      </w:pPr>
      <w:r w:rsidRPr="001A48E2">
        <w:lastRenderedPageBreak/>
        <w:t xml:space="preserve">Renal function and mild hepatic impairment have no impact on </w:t>
      </w:r>
      <w:r w:rsidR="00F22D76">
        <w:t>ipilimumab</w:t>
      </w:r>
      <w:r w:rsidR="0049498A">
        <w:t xml:space="preserve"> CL</w:t>
      </w:r>
    </w:p>
    <w:p w:rsidR="001A48E2" w:rsidRPr="006A32FD" w:rsidRDefault="001A48E2" w:rsidP="001A48E2">
      <w:pPr>
        <w:pStyle w:val="ListBullet"/>
      </w:pPr>
      <w:r w:rsidRPr="001A48E2">
        <w:t xml:space="preserve">Dacarbazine did not affect </w:t>
      </w:r>
      <w:r w:rsidR="00F22D76">
        <w:t>ipilimumab</w:t>
      </w:r>
      <w:r>
        <w:t xml:space="preserve"> CL.</w:t>
      </w:r>
    </w:p>
    <w:p w:rsidR="001A48E2" w:rsidRPr="001A48E2" w:rsidRDefault="00BF0776" w:rsidP="00BF0776">
      <w:pPr>
        <w:pStyle w:val="Comment"/>
        <w:ind w:left="1134" w:hanging="1134"/>
      </w:pPr>
      <w:r>
        <w:rPr>
          <w:b/>
        </w:rPr>
        <w:t>C</w:t>
      </w:r>
      <w:r w:rsidR="006E15A4">
        <w:rPr>
          <w:b/>
        </w:rPr>
        <w:t>omment</w:t>
      </w:r>
      <w:r w:rsidR="001A48E2" w:rsidRPr="00BF0776">
        <w:rPr>
          <w:b/>
        </w:rPr>
        <w:t>:</w:t>
      </w:r>
      <w:r w:rsidR="001A48E2">
        <w:t xml:space="preserve"> </w:t>
      </w:r>
      <w:r w:rsidR="001A48E2" w:rsidRPr="001A48E2">
        <w:t>Note is also made of the exte</w:t>
      </w:r>
      <w:r w:rsidR="00663B36">
        <w:t xml:space="preserve">rnal PopPK evaluator’s comment; </w:t>
      </w:r>
      <w:r w:rsidR="00C108F1" w:rsidRPr="00663B36">
        <w:rPr>
          <w:i/>
        </w:rPr>
        <w:t>‘</w:t>
      </w:r>
      <w:r w:rsidR="001A48E2" w:rsidRPr="00663B36">
        <w:rPr>
          <w:i/>
        </w:rPr>
        <w:t xml:space="preserve">Ipilimumab CL increases with increasing baseline LDH. However patients with sufficiently high LDH to cause clinical meaningful changes in CL have been found to be rare and are unlikely to have clinically meaningful impact of LDH on their </w:t>
      </w:r>
      <w:r w:rsidR="00F22D76" w:rsidRPr="00663B36">
        <w:rPr>
          <w:i/>
        </w:rPr>
        <w:t>ipilimumab</w:t>
      </w:r>
      <w:r w:rsidR="001A48E2" w:rsidRPr="00663B36">
        <w:rPr>
          <w:i/>
        </w:rPr>
        <w:t xml:space="preserve"> CL.</w:t>
      </w:r>
      <w:r w:rsidR="00C108F1" w:rsidRPr="00663B36">
        <w:rPr>
          <w:i/>
        </w:rPr>
        <w:t>’</w:t>
      </w:r>
    </w:p>
    <w:p w:rsidR="001A48E2" w:rsidRPr="006A32FD" w:rsidRDefault="001A48E2" w:rsidP="00BF0776">
      <w:pPr>
        <w:pStyle w:val="Comment"/>
        <w:ind w:left="1134" w:firstLine="0"/>
      </w:pPr>
      <w:r w:rsidRPr="001A48E2">
        <w:t>As previously mentioned, though this statement may be true, the population in reference has not been sufficiently examined. Patients with elevated LDH are likely to have more advanced disease and associated poor ECOG performance status and are likely not to fit with trial eligibility criteria. Thus, the impact of elevated LDH &gt;</w:t>
      </w:r>
      <w:r w:rsidR="0049498A">
        <w:t> 3 x </w:t>
      </w:r>
      <w:r w:rsidR="005853BB">
        <w:t>ULN</w:t>
      </w:r>
      <w:r w:rsidRPr="001A48E2">
        <w:t xml:space="preserve"> on CL is uncertain.</w:t>
      </w:r>
    </w:p>
    <w:p w:rsidR="001A48E2" w:rsidRPr="005A16C9" w:rsidRDefault="00663B36" w:rsidP="00663B36">
      <w:pPr>
        <w:pStyle w:val="Heading6"/>
      </w:pPr>
      <w:r>
        <w:t>For the ER-OS modelling</w:t>
      </w:r>
    </w:p>
    <w:p w:rsidR="001A48E2" w:rsidRPr="005A16C9" w:rsidRDefault="001A48E2" w:rsidP="005A16C9">
      <w:pPr>
        <w:pStyle w:val="ListBullet"/>
      </w:pPr>
      <w:r w:rsidRPr="005A16C9">
        <w:t xml:space="preserve">The relationship between </w:t>
      </w:r>
      <w:r w:rsidR="00F22D76">
        <w:t>ipilimumab</w:t>
      </w:r>
      <w:r w:rsidRPr="005A16C9">
        <w:t xml:space="preserve"> </w:t>
      </w:r>
      <w:r w:rsidR="00A05B08" w:rsidRPr="00FA355C">
        <w:t>C</w:t>
      </w:r>
      <w:r w:rsidR="00A05B08" w:rsidRPr="00A05B08">
        <w:rPr>
          <w:vertAlign w:val="subscript"/>
        </w:rPr>
        <w:t>minss</w:t>
      </w:r>
      <w:r w:rsidRPr="005A16C9">
        <w:t xml:space="preserve"> and OS hazard ratio was found to be significant. </w:t>
      </w:r>
      <w:r w:rsidR="00A05B08" w:rsidRPr="00FA355C">
        <w:t>C</w:t>
      </w:r>
      <w:r w:rsidR="00A05B08" w:rsidRPr="00A05B08">
        <w:rPr>
          <w:vertAlign w:val="subscript"/>
        </w:rPr>
        <w:t>minss</w:t>
      </w:r>
      <w:r w:rsidRPr="005A16C9">
        <w:t xml:space="preserve"> was selected as the summary measure of </w:t>
      </w:r>
      <w:r w:rsidR="00F22D76">
        <w:t>ipilimumab</w:t>
      </w:r>
      <w:r w:rsidRPr="005A16C9">
        <w:t xml:space="preserve"> exposure for this analysis and was based on mechanistic rationale and previous report.</w:t>
      </w:r>
    </w:p>
    <w:p w:rsidR="001A48E2" w:rsidRPr="006A32FD" w:rsidRDefault="001A48E2" w:rsidP="001A48E2">
      <w:pPr>
        <w:pStyle w:val="ListBullet"/>
      </w:pPr>
      <w:r w:rsidRPr="005A16C9">
        <w:t>LDH, ECOG status and metastatic status were identified as significant predi</w:t>
      </w:r>
      <w:r w:rsidR="005A16C9">
        <w:t>ctors of overall survival (OS).</w:t>
      </w:r>
    </w:p>
    <w:p w:rsidR="001A48E2" w:rsidRDefault="0049498A" w:rsidP="001A48E2">
      <w:r>
        <w:t>The final ER-</w:t>
      </w:r>
      <w:r w:rsidR="001A48E2" w:rsidRPr="005A16C9">
        <w:t xml:space="preserve">OS model showed a lower OS ratio in patients with higher </w:t>
      </w:r>
      <w:r w:rsidR="00A05B08" w:rsidRPr="00FA355C">
        <w:t>C</w:t>
      </w:r>
      <w:r w:rsidR="00A05B08" w:rsidRPr="00A05B08">
        <w:rPr>
          <w:vertAlign w:val="subscript"/>
        </w:rPr>
        <w:t>minss</w:t>
      </w:r>
      <w:r w:rsidR="001A48E2" w:rsidRPr="005A16C9">
        <w:t xml:space="preserve"> values. It is appropriate to conclude that survival of previously untreated advanced melanoma patients increased with increasing </w:t>
      </w:r>
      <w:r w:rsidR="00F22D76">
        <w:t>ipilimumab</w:t>
      </w:r>
      <w:r w:rsidR="001A48E2" w:rsidRPr="005A16C9">
        <w:t xml:space="preserve"> </w:t>
      </w:r>
      <w:r w:rsidR="00A05B08" w:rsidRPr="00FA355C">
        <w:t>C</w:t>
      </w:r>
      <w:r w:rsidR="00A05B08" w:rsidRPr="00A05B08">
        <w:rPr>
          <w:vertAlign w:val="subscript"/>
        </w:rPr>
        <w:t>minss</w:t>
      </w:r>
      <w:r w:rsidR="001A48E2" w:rsidRPr="005A16C9">
        <w:t xml:space="preserve"> over the range of exposures achieved with the 10 mg</w:t>
      </w:r>
      <w:r>
        <w:t>/kg dose, based on the final ER-</w:t>
      </w:r>
      <w:r w:rsidR="001A48E2" w:rsidRPr="005A16C9">
        <w:t>OS model and the model evaluation and application reported here.</w:t>
      </w:r>
    </w:p>
    <w:p w:rsidR="001A48E2" w:rsidRDefault="00BF0776" w:rsidP="00BF0776">
      <w:pPr>
        <w:pStyle w:val="Comment"/>
        <w:ind w:left="1134" w:hanging="1134"/>
      </w:pPr>
      <w:r>
        <w:rPr>
          <w:b/>
        </w:rPr>
        <w:t>C</w:t>
      </w:r>
      <w:r w:rsidR="006E15A4">
        <w:rPr>
          <w:b/>
        </w:rPr>
        <w:t>omment</w:t>
      </w:r>
      <w:r w:rsidR="005A16C9" w:rsidRPr="00BF0776">
        <w:rPr>
          <w:b/>
        </w:rPr>
        <w:t>:</w:t>
      </w:r>
      <w:r w:rsidR="005A16C9" w:rsidRPr="005A16C9">
        <w:t xml:space="preserve"> </w:t>
      </w:r>
      <w:r w:rsidR="001A48E2" w:rsidRPr="005A16C9">
        <w:t>The relevance of the ER</w:t>
      </w:r>
      <w:r w:rsidR="0049498A">
        <w:t>-</w:t>
      </w:r>
      <w:r w:rsidR="001A48E2" w:rsidRPr="005A16C9">
        <w:t>OS modelling should be considered here given the use of patient data from CA184024. This study investigated a different posology, utilised combination therapy and included a maintenance phase, in contrast to the proposed usage. It is unclear why other datasets were not included. This study examined only previously untreated patients and thus is not informative of the effect of previous treatment on OS.</w:t>
      </w:r>
    </w:p>
    <w:p w:rsidR="001A48E2" w:rsidRPr="005A16C9" w:rsidRDefault="00663B36" w:rsidP="00663B36">
      <w:pPr>
        <w:pStyle w:val="Heading6"/>
      </w:pPr>
      <w:r>
        <w:t>For the ER-irAE modelling</w:t>
      </w:r>
    </w:p>
    <w:p w:rsidR="001A48E2" w:rsidRPr="005A16C9" w:rsidRDefault="00663B36" w:rsidP="005A16C9">
      <w:pPr>
        <w:pStyle w:val="ListBullet"/>
      </w:pPr>
      <w:r>
        <w:t xml:space="preserve">Log-odds of immune </w:t>
      </w:r>
      <w:r w:rsidR="001A48E2" w:rsidRPr="005A16C9">
        <w:t xml:space="preserve">related irAEs increase with increasing </w:t>
      </w:r>
      <w:r w:rsidR="00A05B08" w:rsidRPr="00FA355C">
        <w:t>C</w:t>
      </w:r>
      <w:r w:rsidR="00A05B08" w:rsidRPr="00A05B08">
        <w:rPr>
          <w:vertAlign w:val="subscript"/>
        </w:rPr>
        <w:t>minss</w:t>
      </w:r>
      <w:r w:rsidR="001A48E2" w:rsidRPr="005A16C9">
        <w:t xml:space="preserve"> according to an </w:t>
      </w:r>
      <w:r w:rsidR="00F8271E">
        <w:t>E</w:t>
      </w:r>
      <w:r w:rsidR="00F8271E" w:rsidRPr="00F8271E">
        <w:rPr>
          <w:vertAlign w:val="subscript"/>
        </w:rPr>
        <w:t>max</w:t>
      </w:r>
      <w:r w:rsidR="0049498A">
        <w:t xml:space="preserve"> pharmacodynamic model</w:t>
      </w:r>
    </w:p>
    <w:p w:rsidR="001A48E2" w:rsidRPr="005A16C9" w:rsidRDefault="001A48E2" w:rsidP="005A16C9">
      <w:pPr>
        <w:pStyle w:val="ListBullet"/>
      </w:pPr>
      <w:r w:rsidRPr="005A16C9">
        <w:t>Dacarbazine had a marked effect on irAEs, therefore it</w:t>
      </w:r>
      <w:r w:rsidR="0049498A">
        <w:t xml:space="preserve"> was included in the base model</w:t>
      </w:r>
    </w:p>
    <w:p w:rsidR="001A48E2" w:rsidRPr="005A16C9" w:rsidRDefault="001A48E2" w:rsidP="005A16C9">
      <w:pPr>
        <w:pStyle w:val="ListBullet"/>
      </w:pPr>
      <w:r w:rsidRPr="005A16C9">
        <w:t xml:space="preserve">Ipilimumab potency for inducing irAE is generally similar for gastrointestinal and skin and any irAE and the probably of having these irAEs is near maximal for </w:t>
      </w:r>
      <w:r w:rsidR="00A05B08" w:rsidRPr="00FA355C">
        <w:t>C</w:t>
      </w:r>
      <w:r w:rsidR="00A05B08" w:rsidRPr="00A05B08">
        <w:rPr>
          <w:vertAlign w:val="subscript"/>
        </w:rPr>
        <w:t>minss</w:t>
      </w:r>
      <w:r w:rsidRPr="005A16C9">
        <w:t xml:space="preserve"> values greater than </w:t>
      </w:r>
      <w:r w:rsidR="0049498A">
        <w:t>the median of the 10 mg/kg dose</w:t>
      </w:r>
    </w:p>
    <w:p w:rsidR="001A48E2" w:rsidRPr="006A32FD" w:rsidRDefault="001A48E2" w:rsidP="001A48E2">
      <w:pPr>
        <w:pStyle w:val="ListBullet"/>
      </w:pPr>
      <w:r w:rsidRPr="005A16C9">
        <w:t>Prior anticancer therapy was an important covariate on the p</w:t>
      </w:r>
      <w:r w:rsidR="005A16C9">
        <w:t>robability of irAE occurrences.</w:t>
      </w:r>
    </w:p>
    <w:p w:rsidR="001A48E2" w:rsidRPr="005A16C9" w:rsidRDefault="00BF0776" w:rsidP="00BF0776">
      <w:pPr>
        <w:pStyle w:val="Comment"/>
        <w:ind w:left="1134" w:hanging="1134"/>
      </w:pPr>
      <w:r>
        <w:rPr>
          <w:b/>
        </w:rPr>
        <w:t>C</w:t>
      </w:r>
      <w:r w:rsidR="006E15A4">
        <w:rPr>
          <w:b/>
        </w:rPr>
        <w:t>omment</w:t>
      </w:r>
      <w:r w:rsidR="005A16C9" w:rsidRPr="00663B36">
        <w:rPr>
          <w:b/>
        </w:rPr>
        <w:t>:</w:t>
      </w:r>
      <w:r w:rsidR="005A16C9">
        <w:t xml:space="preserve"> </w:t>
      </w:r>
      <w:r w:rsidR="001A48E2" w:rsidRPr="005A16C9">
        <w:t xml:space="preserve">Please refer to </w:t>
      </w:r>
      <w:r w:rsidR="0049498A">
        <w:t>the safety section</w:t>
      </w:r>
      <w:r w:rsidR="001A48E2" w:rsidRPr="005A16C9">
        <w:t xml:space="preserve"> and </w:t>
      </w:r>
      <w:r w:rsidR="0049498A">
        <w:t>clinical questions section</w:t>
      </w:r>
      <w:r w:rsidR="001A48E2" w:rsidRPr="005A16C9">
        <w:t xml:space="preserve"> for important context</w:t>
      </w:r>
      <w:r w:rsidR="0049498A">
        <w:t xml:space="preserve"> regarding the s</w:t>
      </w:r>
      <w:r w:rsidR="001A48E2" w:rsidRPr="005A16C9">
        <w:t>afety data.</w:t>
      </w:r>
    </w:p>
    <w:p w:rsidR="005A16C9" w:rsidRPr="005A16C9" w:rsidRDefault="005A16C9" w:rsidP="00663B36">
      <w:pPr>
        <w:pStyle w:val="Heading3"/>
      </w:pPr>
      <w:bookmarkStart w:id="68" w:name="_Ref271189106"/>
      <w:bookmarkStart w:id="69" w:name="_Ref271189143"/>
      <w:bookmarkStart w:id="70" w:name="_Toc272414618"/>
      <w:bookmarkStart w:id="71" w:name="_Toc290846241"/>
      <w:bookmarkStart w:id="72" w:name="_Ref389208377"/>
      <w:bookmarkStart w:id="73" w:name="_Toc390676188"/>
      <w:bookmarkStart w:id="74" w:name="_Toc475616210"/>
      <w:r w:rsidRPr="005A16C9">
        <w:t xml:space="preserve">Pharmacokinetics in </w:t>
      </w:r>
      <w:bookmarkEnd w:id="68"/>
      <w:bookmarkEnd w:id="69"/>
      <w:bookmarkEnd w:id="70"/>
      <w:bookmarkEnd w:id="71"/>
      <w:r w:rsidRPr="005A16C9">
        <w:t>the target population</w:t>
      </w:r>
      <w:bookmarkEnd w:id="72"/>
      <w:bookmarkEnd w:id="73"/>
      <w:bookmarkEnd w:id="74"/>
    </w:p>
    <w:p w:rsidR="005A16C9" w:rsidRPr="00905587" w:rsidRDefault="005A16C9" w:rsidP="005A16C9">
      <w:r w:rsidRPr="005A16C9">
        <w:t xml:space="preserve">The PK of </w:t>
      </w:r>
      <w:r w:rsidR="00F22D76">
        <w:t>ipilimumab</w:t>
      </w:r>
      <w:r w:rsidRPr="005A16C9">
        <w:t xml:space="preserve"> has been primarily studied in subjects with advanced melanoma.</w:t>
      </w:r>
    </w:p>
    <w:p w:rsidR="005A16C9" w:rsidRPr="005A16C9" w:rsidRDefault="005A16C9" w:rsidP="00663B36">
      <w:pPr>
        <w:pStyle w:val="Heading4"/>
      </w:pPr>
      <w:bookmarkStart w:id="75" w:name="_Toc241374288"/>
      <w:bookmarkStart w:id="76" w:name="_Toc272414621"/>
      <w:bookmarkStart w:id="77" w:name="_Toc290846244"/>
      <w:bookmarkStart w:id="78" w:name="_Toc390676189"/>
      <w:r w:rsidRPr="005A16C9">
        <w:lastRenderedPageBreak/>
        <w:t xml:space="preserve">Absorption, </w:t>
      </w:r>
      <w:r w:rsidR="00BF0776" w:rsidRPr="005A16C9">
        <w:t>distribution</w:t>
      </w:r>
      <w:bookmarkEnd w:id="75"/>
      <w:bookmarkEnd w:id="76"/>
      <w:bookmarkEnd w:id="77"/>
      <w:r w:rsidR="00BF0776" w:rsidRPr="005A16C9">
        <w:t>, metabolism, excretion</w:t>
      </w:r>
      <w:bookmarkEnd w:id="78"/>
    </w:p>
    <w:p w:rsidR="005A16C9" w:rsidRPr="00663B36" w:rsidRDefault="005A16C9" w:rsidP="00663B36">
      <w:pPr>
        <w:pStyle w:val="Heading5"/>
      </w:pPr>
      <w:r w:rsidRPr="00663B36">
        <w:t xml:space="preserve">Population </w:t>
      </w:r>
      <w:r w:rsidR="00BF0776">
        <w:t>p</w:t>
      </w:r>
      <w:r w:rsidRPr="00663B36">
        <w:t>harmacokinetics (PopPK) report</w:t>
      </w:r>
    </w:p>
    <w:p w:rsidR="005A16C9" w:rsidRPr="005A16C9" w:rsidRDefault="005A16C9" w:rsidP="005A16C9">
      <w:r w:rsidRPr="005A16C9">
        <w:t>There were no studies included within this analysis that directly addressed the proposed usage. This has been previously summarised within the complete presentation of this PopPK report.</w:t>
      </w:r>
    </w:p>
    <w:p w:rsidR="005A16C9" w:rsidRPr="005A16C9" w:rsidRDefault="005A16C9" w:rsidP="005A16C9">
      <w:r w:rsidRPr="005A16C9">
        <w:t xml:space="preserve">As previously identified, </w:t>
      </w:r>
      <w:r w:rsidR="00F22D76">
        <w:t>ipilimumab</w:t>
      </w:r>
      <w:r w:rsidRPr="005A16C9">
        <w:t xml:space="preserve"> PK w</w:t>
      </w:r>
      <w:r w:rsidR="0049498A">
        <w:t xml:space="preserve">as described with a linear, two </w:t>
      </w:r>
      <w:proofErr w:type="gramStart"/>
      <w:r w:rsidRPr="005A16C9">
        <w:t>compart</w:t>
      </w:r>
      <w:r w:rsidR="0049498A">
        <w:t>ment</w:t>
      </w:r>
      <w:proofErr w:type="gramEnd"/>
      <w:r w:rsidR="0049498A">
        <w:t xml:space="preserve">, zero order IV infusion model with first </w:t>
      </w:r>
      <w:r w:rsidRPr="005A16C9">
        <w:t>order elimination</w:t>
      </w:r>
      <w:r w:rsidRPr="00CF0E37">
        <w:t xml:space="preserve">. Table </w:t>
      </w:r>
      <w:r w:rsidR="00277C6F" w:rsidRPr="00CF0E37">
        <w:t>1</w:t>
      </w:r>
      <w:r w:rsidR="004572B9">
        <w:t>4</w:t>
      </w:r>
      <w:r w:rsidRPr="00CF0E37">
        <w:t xml:space="preserve"> summarises</w:t>
      </w:r>
      <w:r w:rsidRPr="005A16C9">
        <w:t xml:space="preserve"> the PK parameter estimates for the </w:t>
      </w:r>
      <w:r w:rsidR="00C108F1">
        <w:t>3 mg</w:t>
      </w:r>
      <w:r w:rsidRPr="005A16C9">
        <w:t xml:space="preserve">/kg and </w:t>
      </w:r>
      <w:r w:rsidR="00C108F1">
        <w:t>10 mg</w:t>
      </w:r>
      <w:r w:rsidRPr="005A16C9">
        <w:t>/kg dosing schedules, which are similar to previously reported values.</w:t>
      </w:r>
    </w:p>
    <w:p w:rsidR="005A16C9" w:rsidRPr="005A16C9" w:rsidRDefault="005A16C9" w:rsidP="005A16C9">
      <w:r w:rsidRPr="005A16C9">
        <w:t>LDH and body weight are relevant covariates for CL, and the covariate of weight relevant for VC. Thus, support o</w:t>
      </w:r>
      <w:r w:rsidR="00277C6F">
        <w:t xml:space="preserve">f the currently approved weight </w:t>
      </w:r>
      <w:r w:rsidRPr="005A16C9">
        <w:t>bas</w:t>
      </w:r>
      <w:r>
        <w:t>ed dosing regimen was provided.</w:t>
      </w:r>
    </w:p>
    <w:p w:rsidR="005A16C9" w:rsidRPr="00140C5E" w:rsidRDefault="005A16C9" w:rsidP="00140C5E">
      <w:r w:rsidRPr="00140C5E">
        <w:t xml:space="preserve">Ipilimumab CL increases with increased baseline LDH. Patients with LDH higher than </w:t>
      </w:r>
      <w:r w:rsidR="005853BB" w:rsidRPr="00140C5E">
        <w:t>3 x ULN</w:t>
      </w:r>
      <w:r w:rsidRPr="00140C5E">
        <w:t xml:space="preserve"> were infrequent, thus conclusions as to the effect of elevated LDH above this level are uncertain. Clearance was not impacted significantly by baseline LDH levels up to three times the ULN. Of the patients examined, 42% (330</w:t>
      </w:r>
      <w:r w:rsidR="005853BB" w:rsidRPr="00140C5E">
        <w:t xml:space="preserve"> out of </w:t>
      </w:r>
      <w:r w:rsidRPr="00140C5E">
        <w:t>785) patients had baseline LDH at the nominal ULN of 225 IU/L, 17% (134</w:t>
      </w:r>
      <w:r w:rsidR="005853BB" w:rsidRPr="00140C5E">
        <w:t xml:space="preserve"> out of </w:t>
      </w:r>
      <w:r w:rsidRPr="00140C5E">
        <w:t>785) patient</w:t>
      </w:r>
      <w:r w:rsidR="00277C6F" w:rsidRPr="00140C5E">
        <w:t>’</w:t>
      </w:r>
      <w:r w:rsidR="0017606C" w:rsidRPr="00140C5E">
        <w:t>s</w:t>
      </w:r>
      <w:r w:rsidRPr="00140C5E">
        <w:t xml:space="preserve"> LDH was </w:t>
      </w:r>
      <w:r w:rsidR="005853BB" w:rsidRPr="00140C5E">
        <w:t>2 x ULN</w:t>
      </w:r>
      <w:r w:rsidRPr="00140C5E">
        <w:t>, 8% (63</w:t>
      </w:r>
      <w:r w:rsidR="005853BB" w:rsidRPr="00140C5E">
        <w:t xml:space="preserve"> out of </w:t>
      </w:r>
      <w:r w:rsidRPr="00140C5E">
        <w:t>785) patient’s LDH 3</w:t>
      </w:r>
      <w:r w:rsidR="00BF0776">
        <w:t> </w:t>
      </w:r>
      <w:r w:rsidRPr="00140C5E">
        <w:t>x</w:t>
      </w:r>
      <w:r w:rsidR="0049498A" w:rsidRPr="00140C5E">
        <w:t xml:space="preserve"> </w:t>
      </w:r>
      <w:r w:rsidRPr="00140C5E">
        <w:t>ULN, 4% (31</w:t>
      </w:r>
      <w:r w:rsidR="005853BB" w:rsidRPr="00140C5E">
        <w:t xml:space="preserve"> out of </w:t>
      </w:r>
      <w:r w:rsidRPr="00140C5E">
        <w:t>785) patients’ LDH 4</w:t>
      </w:r>
      <w:r w:rsidR="0049498A" w:rsidRPr="00140C5E">
        <w:t xml:space="preserve"> </w:t>
      </w:r>
      <w:r w:rsidRPr="00140C5E">
        <w:t>x ULN, and 3% (24</w:t>
      </w:r>
      <w:r w:rsidR="005853BB" w:rsidRPr="00140C5E">
        <w:t xml:space="preserve"> out of </w:t>
      </w:r>
      <w:r w:rsidRPr="00140C5E">
        <w:t>785) patients’ LDH of 5</w:t>
      </w:r>
      <w:r w:rsidR="0049498A" w:rsidRPr="00140C5E">
        <w:t xml:space="preserve"> </w:t>
      </w:r>
      <w:r w:rsidRPr="00140C5E">
        <w:t>x ULN. Ipilimumab clearance increases by 19.1% (18.6</w:t>
      </w:r>
      <w:r w:rsidR="00277C6F" w:rsidRPr="00140C5E">
        <w:t xml:space="preserve"> </w:t>
      </w:r>
      <w:r w:rsidRPr="00140C5E">
        <w:t xml:space="preserve">mL/hr) in a subject with LDH value of 675 IU/L (3 </w:t>
      </w:r>
      <w:r w:rsidR="00140C5E" w:rsidRPr="00140C5E">
        <w:t>x</w:t>
      </w:r>
      <w:r w:rsidRPr="00140C5E">
        <w:t xml:space="preserve"> ULN) compared with a LDH value of 225 IU/L (ULN, 15.6</w:t>
      </w:r>
      <w:r w:rsidR="00277C6F" w:rsidRPr="00140C5E">
        <w:t xml:space="preserve"> ml/</w:t>
      </w:r>
      <w:r w:rsidRPr="00140C5E">
        <w:t xml:space="preserve">hr). Thus, baseline LDH values &gt; 675 IU/L (3 </w:t>
      </w:r>
      <w:r w:rsidR="00140C5E">
        <w:t>x</w:t>
      </w:r>
      <w:r w:rsidRPr="00140C5E">
        <w:t xml:space="preserve"> ULN) are reported by the sponsor to be unlikely to have clinically meaningful impact on CL. Approximately 8% of subjects has LDH values &gt; 675 IU/L(3 </w:t>
      </w:r>
      <w:r w:rsidR="00140C5E">
        <w:t>x</w:t>
      </w:r>
      <w:r w:rsidRPr="00140C5E">
        <w:t xml:space="preserve"> ULN), and the increase in CL was 28% (19.9</w:t>
      </w:r>
      <w:r w:rsidR="00277C6F" w:rsidRPr="00140C5E">
        <w:t xml:space="preserve"> ml</w:t>
      </w:r>
      <w:r w:rsidRPr="00140C5E">
        <w:t xml:space="preserve">/hr) increased at LDH value of 5 </w:t>
      </w:r>
      <w:r w:rsidR="00140C5E">
        <w:t>x</w:t>
      </w:r>
      <w:r w:rsidRPr="00140C5E">
        <w:t xml:space="preserve"> ULN.</w:t>
      </w:r>
    </w:p>
    <w:p w:rsidR="005A16C9" w:rsidRPr="005A16C9" w:rsidRDefault="00BF0776" w:rsidP="00BF0776">
      <w:pPr>
        <w:pStyle w:val="Comment"/>
        <w:ind w:left="1134" w:hanging="1134"/>
      </w:pPr>
      <w:r>
        <w:rPr>
          <w:b/>
        </w:rPr>
        <w:t>C</w:t>
      </w:r>
      <w:r w:rsidR="006E15A4">
        <w:rPr>
          <w:b/>
        </w:rPr>
        <w:t>omment</w:t>
      </w:r>
      <w:r w:rsidR="005A16C9" w:rsidRPr="00277C6F">
        <w:rPr>
          <w:b/>
        </w:rPr>
        <w:t>:</w:t>
      </w:r>
      <w:r w:rsidR="005A16C9">
        <w:t xml:space="preserve"> </w:t>
      </w:r>
      <w:r w:rsidR="005A16C9" w:rsidRPr="005A16C9">
        <w:t xml:space="preserve">The </w:t>
      </w:r>
      <w:r w:rsidR="005F5E22">
        <w:t>sponsor</w:t>
      </w:r>
      <w:r w:rsidR="005A16C9" w:rsidRPr="005A16C9">
        <w:t xml:space="preserve"> concluded that LDH levels greater than 3</w:t>
      </w:r>
      <w:r w:rsidR="00277C6F">
        <w:t xml:space="preserve"> </w:t>
      </w:r>
      <w:r w:rsidR="005A16C9" w:rsidRPr="005A16C9">
        <w:t xml:space="preserve">x ULN was unlikely to have a clinically meaningful impact. However, there were </w:t>
      </w:r>
      <w:r>
        <w:t>insufficient patients with LDH </w:t>
      </w:r>
      <w:r w:rsidR="005A16C9" w:rsidRPr="005A16C9">
        <w:t>&gt;</w:t>
      </w:r>
      <w:r>
        <w:t> </w:t>
      </w:r>
      <w:r w:rsidR="005A16C9" w:rsidRPr="005A16C9">
        <w:t>3</w:t>
      </w:r>
      <w:r w:rsidR="00277C6F">
        <w:t xml:space="preserve"> </w:t>
      </w:r>
      <w:r w:rsidR="005A16C9" w:rsidRPr="005A16C9">
        <w:t>x</w:t>
      </w:r>
      <w:r w:rsidR="00277C6F">
        <w:t xml:space="preserve"> </w:t>
      </w:r>
      <w:r w:rsidR="005A16C9" w:rsidRPr="005A16C9">
        <w:t>ULN investigated to demonstrate this. Thus, uncertainty remains. Raised LDH is associated with poor performance status and very advanced disease, and such patients would likely have an ECOG performance status &gt;</w:t>
      </w:r>
      <w:r w:rsidR="00277C6F">
        <w:t xml:space="preserve"> </w:t>
      </w:r>
      <w:r w:rsidR="005A16C9" w:rsidRPr="005A16C9">
        <w:t>2 and be excluded from the trials.</w:t>
      </w:r>
    </w:p>
    <w:p w:rsidR="005A16C9" w:rsidRDefault="005A16C9" w:rsidP="005A16C9">
      <w:pPr>
        <w:rPr>
          <w:b/>
        </w:rPr>
      </w:pPr>
      <w:r w:rsidRPr="005A16C9">
        <w:t>Concomitant DTIC, prior systemic anti-cancer therapy, and immunogenicity status were not found to be clinically releva</w:t>
      </w:r>
      <w:r>
        <w:t xml:space="preserve">nt predictors of </w:t>
      </w:r>
      <w:r w:rsidR="00F22D76">
        <w:t>ipilimumab</w:t>
      </w:r>
      <w:r>
        <w:t xml:space="preserve"> PK.</w:t>
      </w:r>
    </w:p>
    <w:p w:rsidR="005A16C9" w:rsidRPr="005A16C9" w:rsidRDefault="005A16C9" w:rsidP="005A16C9">
      <w:pPr>
        <w:pStyle w:val="Tabletitle"/>
      </w:pPr>
      <w:r w:rsidRPr="005A16C9">
        <w:t xml:space="preserve">Table </w:t>
      </w:r>
      <w:r w:rsidR="004572B9">
        <w:t>14</w:t>
      </w:r>
      <w:r w:rsidR="00BF0776">
        <w:t>:</w:t>
      </w:r>
      <w:r w:rsidRPr="005A16C9">
        <w:t xml:space="preserve"> PK parameter estimates from the final PopPK model for </w:t>
      </w:r>
      <w:r w:rsidR="00F22D76">
        <w:t>ipilimumab</w:t>
      </w:r>
      <w:r w:rsidRPr="005A16C9">
        <w:t xml:space="preserve"> </w:t>
      </w:r>
      <w:r w:rsidR="00277C6F">
        <w:t>3 </w:t>
      </w:r>
      <w:r w:rsidR="00C108F1">
        <w:t>mg</w:t>
      </w:r>
      <w:r w:rsidRPr="005A16C9">
        <w:t xml:space="preserve">/kg and </w:t>
      </w:r>
      <w:r w:rsidR="00C108F1">
        <w:t>10 mg</w:t>
      </w:r>
      <w:r w:rsidR="00CF0E37">
        <w:t>/kg</w:t>
      </w:r>
    </w:p>
    <w:tbl>
      <w:tblPr>
        <w:tblStyle w:val="TableTGAblue"/>
        <w:tblW w:w="0" w:type="auto"/>
        <w:tblLook w:val="00A0" w:firstRow="1" w:lastRow="0" w:firstColumn="1" w:lastColumn="0" w:noHBand="0" w:noVBand="0"/>
      </w:tblPr>
      <w:tblGrid>
        <w:gridCol w:w="2233"/>
        <w:gridCol w:w="3196"/>
        <w:gridCol w:w="3196"/>
      </w:tblGrid>
      <w:tr w:rsidR="005A16C9" w:rsidRPr="003B35CB" w:rsidTr="003B35CB">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2233" w:type="dxa"/>
          </w:tcPr>
          <w:p w:rsidR="005A16C9" w:rsidRPr="003B35CB" w:rsidRDefault="005A16C9" w:rsidP="003B35CB">
            <w:pPr>
              <w:rPr>
                <w:sz w:val="20"/>
                <w:szCs w:val="20"/>
              </w:rPr>
            </w:pPr>
            <w:r w:rsidRPr="003B35CB">
              <w:rPr>
                <w:sz w:val="20"/>
                <w:szCs w:val="20"/>
              </w:rPr>
              <w:t>Parameter</w:t>
            </w:r>
          </w:p>
        </w:tc>
        <w:tc>
          <w:tcPr>
            <w:tcW w:w="3196" w:type="dxa"/>
          </w:tcPr>
          <w:p w:rsidR="005A16C9" w:rsidRPr="003B35CB" w:rsidRDefault="005A16C9" w:rsidP="003B35CB">
            <w:pPr>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 xml:space="preserve">3 mg/kg </w:t>
            </w:r>
            <w:r w:rsidR="00F22D76" w:rsidRPr="003B35CB">
              <w:rPr>
                <w:sz w:val="20"/>
                <w:szCs w:val="20"/>
              </w:rPr>
              <w:t>ipilimumab</w:t>
            </w:r>
            <w:r w:rsidRPr="003B35CB">
              <w:rPr>
                <w:sz w:val="20"/>
                <w:szCs w:val="20"/>
              </w:rPr>
              <w:t xml:space="preserve"> N = 101</w:t>
            </w:r>
          </w:p>
        </w:tc>
        <w:tc>
          <w:tcPr>
            <w:tcW w:w="3196" w:type="dxa"/>
          </w:tcPr>
          <w:p w:rsidR="005A16C9" w:rsidRPr="003B35CB" w:rsidRDefault="005A16C9" w:rsidP="003B35CB">
            <w:pPr>
              <w:cnfStyle w:val="100000000000" w:firstRow="1" w:lastRow="0" w:firstColumn="0" w:lastColumn="0" w:oddVBand="0" w:evenVBand="0" w:oddHBand="0" w:evenHBand="0" w:firstRowFirstColumn="0" w:firstRowLastColumn="0" w:lastRowFirstColumn="0" w:lastRowLastColumn="0"/>
              <w:rPr>
                <w:sz w:val="20"/>
                <w:szCs w:val="20"/>
              </w:rPr>
            </w:pPr>
            <w:r w:rsidRPr="003B35CB">
              <w:rPr>
                <w:sz w:val="20"/>
                <w:szCs w:val="20"/>
              </w:rPr>
              <w:t xml:space="preserve">10 mg/kg </w:t>
            </w:r>
            <w:r w:rsidR="00F22D76" w:rsidRPr="003B35CB">
              <w:rPr>
                <w:sz w:val="20"/>
                <w:szCs w:val="20"/>
              </w:rPr>
              <w:t>ipilimumab</w:t>
            </w:r>
            <w:r w:rsidRPr="003B35CB">
              <w:rPr>
                <w:sz w:val="20"/>
                <w:szCs w:val="20"/>
              </w:rPr>
              <w:t xml:space="preserve"> N = 626</w:t>
            </w:r>
          </w:p>
        </w:tc>
      </w:tr>
      <w:tr w:rsidR="005A16C9" w:rsidRPr="003B35CB" w:rsidTr="00277C6F">
        <w:trPr>
          <w:trHeight w:val="625"/>
        </w:trPr>
        <w:tc>
          <w:tcPr>
            <w:cnfStyle w:val="001000000000" w:firstRow="0" w:lastRow="0" w:firstColumn="1" w:lastColumn="0" w:oddVBand="0" w:evenVBand="0" w:oddHBand="0" w:evenHBand="0" w:firstRowFirstColumn="0" w:firstRowLastColumn="0" w:lastRowFirstColumn="0" w:lastRowLastColumn="0"/>
            <w:tcW w:w="2233" w:type="dxa"/>
          </w:tcPr>
          <w:p w:rsidR="005A16C9" w:rsidRPr="003B35CB" w:rsidRDefault="005A16C9" w:rsidP="003B35CB">
            <w:pPr>
              <w:rPr>
                <w:sz w:val="20"/>
                <w:szCs w:val="20"/>
              </w:rPr>
            </w:pPr>
            <w:r w:rsidRPr="003B35CB">
              <w:rPr>
                <w:sz w:val="20"/>
                <w:szCs w:val="20"/>
              </w:rPr>
              <w:t>AUC</w:t>
            </w:r>
            <w:r w:rsidRPr="003B35CB">
              <w:rPr>
                <w:sz w:val="20"/>
                <w:szCs w:val="20"/>
                <w:vertAlign w:val="subscript"/>
              </w:rPr>
              <w:t>ss</w:t>
            </w:r>
            <w:r w:rsidRPr="003B35CB">
              <w:rPr>
                <w:sz w:val="20"/>
                <w:szCs w:val="20"/>
              </w:rPr>
              <w:t xml:space="preserve"> (mg.h/ml)</w:t>
            </w:r>
          </w:p>
          <w:p w:rsidR="0071255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16.7 ± 8.3</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16.0 (5.0-72.5)</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51.9 ± 19.9</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50.2 (1.5-223)</w:t>
            </w:r>
          </w:p>
        </w:tc>
      </w:tr>
      <w:tr w:rsidR="005A16C9" w:rsidRPr="003B35CB" w:rsidTr="00277C6F">
        <w:trPr>
          <w:trHeight w:val="625"/>
        </w:trPr>
        <w:tc>
          <w:tcPr>
            <w:cnfStyle w:val="001000000000" w:firstRow="0" w:lastRow="0" w:firstColumn="1" w:lastColumn="0" w:oddVBand="0" w:evenVBand="0" w:oddHBand="0" w:evenHBand="0" w:firstRowFirstColumn="0" w:firstRowLastColumn="0" w:lastRowFirstColumn="0" w:lastRowLastColumn="0"/>
            <w:tcW w:w="2233" w:type="dxa"/>
          </w:tcPr>
          <w:p w:rsidR="005A16C9" w:rsidRPr="003B35CB" w:rsidRDefault="00283032" w:rsidP="003B35CB">
            <w:pPr>
              <w:rPr>
                <w:sz w:val="20"/>
                <w:szCs w:val="20"/>
              </w:rPr>
            </w:pPr>
            <w:r w:rsidRPr="003B35CB">
              <w:rPr>
                <w:sz w:val="20"/>
                <w:szCs w:val="20"/>
              </w:rPr>
              <w:t>C</w:t>
            </w:r>
            <w:r w:rsidRPr="003B35CB">
              <w:rPr>
                <w:sz w:val="20"/>
                <w:szCs w:val="20"/>
                <w:vertAlign w:val="subscript"/>
              </w:rPr>
              <w:t>max</w:t>
            </w:r>
            <w:r w:rsidR="005A16C9" w:rsidRPr="003B35CB">
              <w:rPr>
                <w:sz w:val="20"/>
                <w:szCs w:val="20"/>
              </w:rPr>
              <w:t>s</w:t>
            </w:r>
            <w:r w:rsidR="005A16C9" w:rsidRPr="003B35CB">
              <w:rPr>
                <w:sz w:val="20"/>
                <w:szCs w:val="20"/>
                <w:vertAlign w:val="subscript"/>
              </w:rPr>
              <w:t>s</w:t>
            </w:r>
            <w:r w:rsidR="005A16C9" w:rsidRPr="003B35CB">
              <w:rPr>
                <w:sz w:val="20"/>
                <w:szCs w:val="20"/>
              </w:rPr>
              <w:t xml:space="preserve"> (</w:t>
            </w:r>
            <w:r w:rsidR="00277C6F" w:rsidRPr="003B35CB">
              <w:rPr>
                <w:sz w:val="20"/>
                <w:szCs w:val="20"/>
              </w:rPr>
              <w:t>µ</w:t>
            </w:r>
            <w:r w:rsidR="005A16C9" w:rsidRPr="003B35CB">
              <w:rPr>
                <w:sz w:val="20"/>
                <w:szCs w:val="20"/>
              </w:rPr>
              <w:t>g/ml)</w:t>
            </w:r>
          </w:p>
          <w:p w:rsidR="0071255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76.9 (20.2)</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73.3 (30.9-204)</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246 ± 53</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240 (13-655)</w:t>
            </w:r>
          </w:p>
        </w:tc>
      </w:tr>
      <w:tr w:rsidR="005A16C9" w:rsidRPr="003B35CB" w:rsidTr="00277C6F">
        <w:trPr>
          <w:trHeight w:val="615"/>
        </w:trPr>
        <w:tc>
          <w:tcPr>
            <w:cnfStyle w:val="001000000000" w:firstRow="0" w:lastRow="0" w:firstColumn="1" w:lastColumn="0" w:oddVBand="0" w:evenVBand="0" w:oddHBand="0" w:evenHBand="0" w:firstRowFirstColumn="0" w:firstRowLastColumn="0" w:lastRowFirstColumn="0" w:lastRowLastColumn="0"/>
            <w:tcW w:w="2233" w:type="dxa"/>
          </w:tcPr>
          <w:p w:rsidR="00712559" w:rsidRPr="003B35CB" w:rsidRDefault="00A05B08" w:rsidP="003B35CB">
            <w:pPr>
              <w:rPr>
                <w:sz w:val="20"/>
                <w:szCs w:val="20"/>
              </w:rPr>
            </w:pPr>
            <w:r w:rsidRPr="003B35CB">
              <w:rPr>
                <w:sz w:val="20"/>
                <w:szCs w:val="20"/>
              </w:rPr>
              <w:t>C</w:t>
            </w:r>
            <w:r w:rsidRPr="003B35CB">
              <w:rPr>
                <w:sz w:val="20"/>
                <w:szCs w:val="20"/>
                <w:vertAlign w:val="subscript"/>
              </w:rPr>
              <w:t>minss</w:t>
            </w:r>
            <w:r w:rsidR="005A16C9" w:rsidRPr="003B35CB">
              <w:rPr>
                <w:sz w:val="20"/>
                <w:szCs w:val="20"/>
              </w:rPr>
              <w:t xml:space="preserve"> (</w:t>
            </w:r>
            <w:r w:rsidR="00277C6F" w:rsidRPr="003B35CB">
              <w:rPr>
                <w:sz w:val="20"/>
                <w:szCs w:val="20"/>
              </w:rPr>
              <w:t>µ</w:t>
            </w:r>
            <w:r w:rsidR="005A16C9" w:rsidRPr="003B35CB">
              <w:rPr>
                <w:sz w:val="20"/>
                <w:szCs w:val="20"/>
              </w:rPr>
              <w:t>g/ml)</w:t>
            </w:r>
          </w:p>
          <w:p w:rsidR="0071255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19.4 (14.5)</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17.9 (1.9-121)</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58.1 ± 33.8</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 xml:space="preserve"> 53.7 (0.7-373)</w:t>
            </w:r>
          </w:p>
        </w:tc>
      </w:tr>
      <w:tr w:rsidR="005A16C9" w:rsidRPr="003B35CB" w:rsidTr="00277C6F">
        <w:trPr>
          <w:trHeight w:val="625"/>
        </w:trPr>
        <w:tc>
          <w:tcPr>
            <w:cnfStyle w:val="001000000000" w:firstRow="0" w:lastRow="0" w:firstColumn="1" w:lastColumn="0" w:oddVBand="0" w:evenVBand="0" w:oddHBand="0" w:evenHBand="0" w:firstRowFirstColumn="0" w:firstRowLastColumn="0" w:lastRowFirstColumn="0" w:lastRowLastColumn="0"/>
            <w:tcW w:w="2233" w:type="dxa"/>
          </w:tcPr>
          <w:p w:rsidR="00712559" w:rsidRPr="003B35CB" w:rsidRDefault="005A16C9" w:rsidP="003B35CB">
            <w:pPr>
              <w:rPr>
                <w:sz w:val="20"/>
                <w:szCs w:val="20"/>
              </w:rPr>
            </w:pPr>
            <w:r w:rsidRPr="003B35CB">
              <w:rPr>
                <w:sz w:val="20"/>
                <w:szCs w:val="20"/>
              </w:rPr>
              <w:lastRenderedPageBreak/>
              <w:t>CL (ml/h)</w:t>
            </w:r>
          </w:p>
          <w:p w:rsidR="0071255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16.7 ± 7.1</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15.9 (3.5-44.6)</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16.9 ± 6.3</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15.7 (3.3-53.3)</w:t>
            </w:r>
          </w:p>
        </w:tc>
      </w:tr>
      <w:tr w:rsidR="005A16C9" w:rsidRPr="003B35CB" w:rsidTr="00277C6F">
        <w:trPr>
          <w:trHeight w:val="625"/>
        </w:trPr>
        <w:tc>
          <w:tcPr>
            <w:cnfStyle w:val="001000000000" w:firstRow="0" w:lastRow="0" w:firstColumn="1" w:lastColumn="0" w:oddVBand="0" w:evenVBand="0" w:oddHBand="0" w:evenHBand="0" w:firstRowFirstColumn="0" w:firstRowLastColumn="0" w:lastRowFirstColumn="0" w:lastRowLastColumn="0"/>
            <w:tcW w:w="2233" w:type="dxa"/>
          </w:tcPr>
          <w:p w:rsidR="005A16C9" w:rsidRPr="003B35CB" w:rsidRDefault="001F3382" w:rsidP="003B35CB">
            <w:pPr>
              <w:rPr>
                <w:sz w:val="20"/>
                <w:szCs w:val="20"/>
              </w:rPr>
            </w:pPr>
            <w:r w:rsidRPr="003B35CB">
              <w:rPr>
                <w:sz w:val="20"/>
                <w:szCs w:val="20"/>
              </w:rPr>
              <w:t>V</w:t>
            </w:r>
            <w:r w:rsidRPr="003B35CB">
              <w:rPr>
                <w:sz w:val="20"/>
                <w:szCs w:val="20"/>
                <w:vertAlign w:val="subscript"/>
              </w:rPr>
              <w:t>ss</w:t>
            </w:r>
            <w:r w:rsidR="005A16C9" w:rsidRPr="003B35CB">
              <w:rPr>
                <w:sz w:val="20"/>
                <w:szCs w:val="20"/>
              </w:rPr>
              <w:t xml:space="preserve"> (L)</w:t>
            </w:r>
          </w:p>
          <w:p w:rsidR="0071255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7.44 ± 0.77</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7.37 (6.0-9.6)</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7.45 ± 0.75</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7.45 (5.3-10.2)</w:t>
            </w:r>
          </w:p>
        </w:tc>
      </w:tr>
      <w:tr w:rsidR="005A16C9" w:rsidRPr="003B35CB" w:rsidTr="00277C6F">
        <w:trPr>
          <w:trHeight w:val="910"/>
        </w:trPr>
        <w:tc>
          <w:tcPr>
            <w:cnfStyle w:val="001000000000" w:firstRow="0" w:lastRow="0" w:firstColumn="1" w:lastColumn="0" w:oddVBand="0" w:evenVBand="0" w:oddHBand="0" w:evenHBand="0" w:firstRowFirstColumn="0" w:firstRowLastColumn="0" w:lastRowFirstColumn="0" w:lastRowLastColumn="0"/>
            <w:tcW w:w="2233" w:type="dxa"/>
          </w:tcPr>
          <w:p w:rsidR="005A16C9" w:rsidRPr="003B35CB" w:rsidRDefault="00140C5E" w:rsidP="003B35CB">
            <w:pPr>
              <w:rPr>
                <w:sz w:val="20"/>
                <w:szCs w:val="20"/>
              </w:rPr>
            </w:pPr>
            <w:r w:rsidRPr="003B35CB">
              <w:rPr>
                <w:sz w:val="20"/>
                <w:szCs w:val="20"/>
              </w:rPr>
              <w:t>T½</w:t>
            </w:r>
            <w:r w:rsidR="005A16C9" w:rsidRPr="003B35CB">
              <w:rPr>
                <w:sz w:val="20"/>
                <w:szCs w:val="20"/>
              </w:rPr>
              <w:t xml:space="preserve"> (days)</w:t>
            </w:r>
          </w:p>
          <w:p w:rsidR="005A16C9" w:rsidRPr="003B35CB" w:rsidRDefault="005A16C9" w:rsidP="003B35CB">
            <w:pPr>
              <w:rPr>
                <w:sz w:val="20"/>
                <w:szCs w:val="20"/>
              </w:rPr>
            </w:pPr>
            <w:r w:rsidRPr="003B35CB">
              <w:rPr>
                <w:sz w:val="20"/>
                <w:szCs w:val="20"/>
              </w:rPr>
              <w:t>Mean ± SD</w:t>
            </w:r>
          </w:p>
          <w:p w:rsidR="005A16C9" w:rsidRPr="003B35CB" w:rsidRDefault="005A16C9" w:rsidP="003B35CB">
            <w:pPr>
              <w:rPr>
                <w:sz w:val="20"/>
                <w:szCs w:val="20"/>
              </w:rPr>
            </w:pPr>
            <w:r w:rsidRPr="003B35CB">
              <w:rPr>
                <w:sz w:val="20"/>
                <w:szCs w:val="20"/>
              </w:rPr>
              <w:t>Median (min-max)</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16.0 ± 6.3</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14.9 (6.1-53)</w:t>
            </w:r>
          </w:p>
        </w:tc>
        <w:tc>
          <w:tcPr>
            <w:tcW w:w="3196" w:type="dxa"/>
          </w:tcPr>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p>
          <w:p w:rsidR="0071255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15.2 ± 4.9</w:t>
            </w:r>
          </w:p>
          <w:p w:rsidR="005A16C9" w:rsidRPr="003B35CB" w:rsidRDefault="005A16C9" w:rsidP="003B35CB">
            <w:pPr>
              <w:cnfStyle w:val="000000000000" w:firstRow="0" w:lastRow="0" w:firstColumn="0" w:lastColumn="0" w:oddVBand="0" w:evenVBand="0" w:oddHBand="0" w:evenHBand="0" w:firstRowFirstColumn="0" w:firstRowLastColumn="0" w:lastRowFirstColumn="0" w:lastRowLastColumn="0"/>
              <w:rPr>
                <w:sz w:val="20"/>
                <w:szCs w:val="20"/>
              </w:rPr>
            </w:pPr>
            <w:r w:rsidRPr="003B35CB">
              <w:rPr>
                <w:sz w:val="20"/>
                <w:szCs w:val="20"/>
              </w:rPr>
              <w:t>14.7 (5.7-54)</w:t>
            </w:r>
          </w:p>
        </w:tc>
      </w:tr>
    </w:tbl>
    <w:p w:rsidR="005A16C9" w:rsidRPr="005A16C9" w:rsidRDefault="005A16C9" w:rsidP="005A16C9">
      <w:r w:rsidRPr="005A16C9">
        <w:t xml:space="preserve">Target trough concentrations were set to block the B7 molecules (CD86 and CD80); </w:t>
      </w:r>
      <w:r w:rsidR="00A05B08" w:rsidRPr="00FA355C">
        <w:t>C</w:t>
      </w:r>
      <w:r w:rsidR="00A05B08" w:rsidRPr="00A05B08">
        <w:rPr>
          <w:vertAlign w:val="subscript"/>
        </w:rPr>
        <w:t>minss</w:t>
      </w:r>
      <w:r w:rsidRPr="005A16C9">
        <w:t xml:space="preserve"> of 3</w:t>
      </w:r>
      <w:r w:rsidR="00277C6F">
        <w:t> µ</w:t>
      </w:r>
      <w:r w:rsidRPr="005A16C9">
        <w:t>g/</w:t>
      </w:r>
      <w:r w:rsidR="00277C6F">
        <w:t xml:space="preserve"> ml</w:t>
      </w:r>
      <w:r w:rsidRPr="005A16C9">
        <w:t xml:space="preserve"> to block CD86 and </w:t>
      </w:r>
      <w:proofErr w:type="gramStart"/>
      <w:r w:rsidRPr="005A16C9">
        <w:t xml:space="preserve">20 </w:t>
      </w:r>
      <w:r w:rsidR="00277C6F">
        <w:t>µ</w:t>
      </w:r>
      <w:r w:rsidR="00277C6F" w:rsidRPr="005A16C9">
        <w:t>g</w:t>
      </w:r>
      <w:r w:rsidRPr="005A16C9">
        <w:t>/</w:t>
      </w:r>
      <w:r w:rsidR="00277C6F">
        <w:t>ml</w:t>
      </w:r>
      <w:r w:rsidRPr="005A16C9">
        <w:t xml:space="preserve"> to block CD86 and CD80</w:t>
      </w:r>
      <w:proofErr w:type="gramEnd"/>
      <w:r w:rsidRPr="005A16C9">
        <w:t xml:space="preserve">. Distributions of predicted </w:t>
      </w:r>
      <w:r w:rsidR="00A05B08" w:rsidRPr="00FA355C">
        <w:t>C</w:t>
      </w:r>
      <w:r w:rsidR="00A05B08" w:rsidRPr="00A05B08">
        <w:rPr>
          <w:vertAlign w:val="subscript"/>
        </w:rPr>
        <w:t>minss</w:t>
      </w:r>
      <w:r w:rsidRPr="005A16C9">
        <w:t xml:space="preserve"> showed that the 3 mg/kg dose yielded </w:t>
      </w:r>
      <w:r w:rsidR="00A05B08" w:rsidRPr="00FA355C">
        <w:t>C</w:t>
      </w:r>
      <w:r w:rsidR="00A05B08" w:rsidRPr="00A05B08">
        <w:rPr>
          <w:vertAlign w:val="subscript"/>
        </w:rPr>
        <w:t>minss</w:t>
      </w:r>
      <w:r w:rsidRPr="005A16C9">
        <w:t xml:space="preserve"> values that were sufficient for maximal inhibition of CD86, but less than 50% exceeded the 20</w:t>
      </w:r>
      <w:r w:rsidR="00277C6F">
        <w:t>µ</w:t>
      </w:r>
      <w:r w:rsidR="00277C6F" w:rsidRPr="005A16C9">
        <w:t>g</w:t>
      </w:r>
      <w:r w:rsidRPr="005A16C9">
        <w:t>/</w:t>
      </w:r>
      <w:r w:rsidR="00277C6F">
        <w:t xml:space="preserve"> ml</w:t>
      </w:r>
      <w:r w:rsidRPr="005A16C9">
        <w:t xml:space="preserve"> concentration. The 10 mg/kg yielded </w:t>
      </w:r>
      <w:r w:rsidR="00A05B08" w:rsidRPr="00FA355C">
        <w:t>C</w:t>
      </w:r>
      <w:r w:rsidR="00A05B08" w:rsidRPr="00A05B08">
        <w:rPr>
          <w:vertAlign w:val="subscript"/>
        </w:rPr>
        <w:t>minss</w:t>
      </w:r>
      <w:r w:rsidRPr="005A16C9">
        <w:t xml:space="preserve"> values sufficient for maximal inhibition of both CD80 and CD86.</w:t>
      </w:r>
    </w:p>
    <w:p w:rsidR="005A16C9" w:rsidRPr="005A16C9" w:rsidRDefault="00BF0776" w:rsidP="00BF0776">
      <w:pPr>
        <w:pStyle w:val="Comment"/>
        <w:ind w:left="1134" w:hanging="1134"/>
      </w:pPr>
      <w:r>
        <w:rPr>
          <w:b/>
        </w:rPr>
        <w:t>C</w:t>
      </w:r>
      <w:r w:rsidR="006E15A4">
        <w:rPr>
          <w:b/>
        </w:rPr>
        <w:t>omment</w:t>
      </w:r>
      <w:r>
        <w:t>:</w:t>
      </w:r>
      <w:r w:rsidR="005A16C9">
        <w:t xml:space="preserve"> </w:t>
      </w:r>
      <w:r w:rsidR="005A16C9" w:rsidRPr="005A16C9">
        <w:t xml:space="preserve">PK data included in the PopPK modelling that was relevant to the current application consisted of data from 14 previously untreated patients who received </w:t>
      </w:r>
      <w:r w:rsidR="00F22D76">
        <w:t>ipilimumab</w:t>
      </w:r>
      <w:r w:rsidR="005A16C9" w:rsidRPr="005A16C9">
        <w:t xml:space="preserve"> </w:t>
      </w:r>
      <w:r w:rsidR="00C108F1">
        <w:t>3 mg</w:t>
      </w:r>
      <w:r w:rsidR="005A16C9" w:rsidRPr="005A16C9">
        <w:t>/kg monotherapy. These may have included patients administered maintenance therapy.</w:t>
      </w:r>
    </w:p>
    <w:p w:rsidR="005A16C9" w:rsidRPr="00277C6F" w:rsidRDefault="005A16C9" w:rsidP="00277C6F">
      <w:pPr>
        <w:pStyle w:val="Heading5"/>
      </w:pPr>
      <w:r w:rsidRPr="00277C6F">
        <w:t>CA184078</w:t>
      </w:r>
    </w:p>
    <w:p w:rsidR="005A16C9" w:rsidRPr="005A16C9" w:rsidRDefault="005A16C9" w:rsidP="005A16C9">
      <w:r w:rsidRPr="005A16C9">
        <w:t>Data relevant to the current appl</w:t>
      </w:r>
      <w:r w:rsidR="00277C6F">
        <w:t xml:space="preserve">ication is presented </w:t>
      </w:r>
      <w:r w:rsidR="00277C6F" w:rsidRPr="00CF0E37">
        <w:t xml:space="preserve">below in </w:t>
      </w:r>
      <w:r w:rsidRPr="00CF0E37">
        <w:t xml:space="preserve">Table </w:t>
      </w:r>
      <w:r w:rsidR="004572B9">
        <w:t>15</w:t>
      </w:r>
      <w:r w:rsidRPr="00CF0E37">
        <w:t>. This</w:t>
      </w:r>
      <w:r w:rsidRPr="005A16C9">
        <w:t xml:space="preserve"> table summarises the </w:t>
      </w:r>
      <w:r w:rsidR="00F22D76">
        <w:t>ipilimumab</w:t>
      </w:r>
      <w:r w:rsidRPr="005A16C9">
        <w:t xml:space="preserve"> PK according to study arm, of which one arm consisted of </w:t>
      </w:r>
      <w:r w:rsidR="00F22D76">
        <w:t>ipilimumab</w:t>
      </w:r>
      <w:r w:rsidRPr="005A16C9">
        <w:t xml:space="preserve"> </w:t>
      </w:r>
      <w:r w:rsidR="00C108F1">
        <w:t>10 mg</w:t>
      </w:r>
      <w:r w:rsidRPr="005A16C9">
        <w:t>/kg monotherapy (Arm C, n</w:t>
      </w:r>
      <w:r>
        <w:t xml:space="preserve"> </w:t>
      </w:r>
      <w:r w:rsidRPr="005A16C9">
        <w:t>=</w:t>
      </w:r>
      <w:r>
        <w:t xml:space="preserve"> </w:t>
      </w:r>
      <w:r w:rsidRPr="005A16C9">
        <w:t>20) in contrast to the other arms which included concomitant chemotherapy administration</w:t>
      </w:r>
      <w:r>
        <w:t>.</w:t>
      </w:r>
    </w:p>
    <w:p w:rsidR="005A16C9" w:rsidRDefault="005A16C9" w:rsidP="005A16C9">
      <w:pPr>
        <w:rPr>
          <w:sz w:val="20"/>
        </w:rPr>
      </w:pPr>
      <w:r w:rsidRPr="005A16C9">
        <w:t xml:space="preserve">Co-administration with chemotherapy slightly reduced exposure to </w:t>
      </w:r>
      <w:r w:rsidR="00F22D76">
        <w:t>ipilimumab</w:t>
      </w:r>
      <w:r w:rsidRPr="005A16C9">
        <w:t xml:space="preserve"> in this Phase I study. The geometric means for </w:t>
      </w:r>
      <w:r w:rsidR="00F22D76">
        <w:t>ipilimumab</w:t>
      </w:r>
      <w:r w:rsidRPr="005A16C9">
        <w:t xml:space="preserve"> </w:t>
      </w:r>
      <w:r w:rsidR="00283032">
        <w:t>C</w:t>
      </w:r>
      <w:r w:rsidR="00283032" w:rsidRPr="00283032">
        <w:rPr>
          <w:vertAlign w:val="subscript"/>
        </w:rPr>
        <w:t>max</w:t>
      </w:r>
      <w:r w:rsidRPr="005A16C9">
        <w:t xml:space="preserve"> and </w:t>
      </w:r>
      <w:r w:rsidR="003B06DF" w:rsidRPr="003B06DF">
        <w:t>AUC</w:t>
      </w:r>
      <w:r w:rsidR="003B06DF" w:rsidRPr="003B06DF">
        <w:rPr>
          <w:vertAlign w:val="subscript"/>
        </w:rPr>
        <w:t>0 - 21d</w:t>
      </w:r>
      <w:r w:rsidRPr="005A16C9">
        <w:t xml:space="preserve"> changed 0.982 and 0.917 fold, in the presence of DTIC. The 90% CIs for the geometric mean ratios were contained within 0.75 and 1.21. The geometric means for </w:t>
      </w:r>
      <w:r w:rsidR="00F22D76">
        <w:t>ipilimumab</w:t>
      </w:r>
      <w:r w:rsidRPr="005A16C9">
        <w:t xml:space="preserve"> </w:t>
      </w:r>
      <w:r w:rsidR="00283032">
        <w:t>C</w:t>
      </w:r>
      <w:r w:rsidR="00283032" w:rsidRPr="00283032">
        <w:rPr>
          <w:vertAlign w:val="subscript"/>
        </w:rPr>
        <w:t>max</w:t>
      </w:r>
      <w:r w:rsidRPr="005A16C9">
        <w:t xml:space="preserve"> and </w:t>
      </w:r>
      <w:r w:rsidR="003B06DF" w:rsidRPr="003B06DF">
        <w:t>AUC</w:t>
      </w:r>
      <w:r w:rsidR="003B06DF" w:rsidRPr="003B06DF">
        <w:rPr>
          <w:vertAlign w:val="subscript"/>
        </w:rPr>
        <w:t>0 - 21d</w:t>
      </w:r>
      <w:r w:rsidR="003B06DF" w:rsidRPr="003B06DF">
        <w:t xml:space="preserve"> </w:t>
      </w:r>
      <w:r w:rsidRPr="005A16C9">
        <w:t>changed 0.934 and 0.868 fold, with paclitaxel/carboplatin. The 90% CIs for the geometric mean ratios were c</w:t>
      </w:r>
      <w:r>
        <w:t>ontained within 0.68 and 1.14.</w:t>
      </w:r>
    </w:p>
    <w:p w:rsidR="005A16C9" w:rsidRDefault="005A16C9" w:rsidP="00CF0E37">
      <w:pPr>
        <w:pStyle w:val="Tabletitle"/>
        <w:tabs>
          <w:tab w:val="left" w:pos="1560"/>
        </w:tabs>
      </w:pPr>
      <w:r w:rsidRPr="005A16C9">
        <w:lastRenderedPageBreak/>
        <w:t xml:space="preserve">Table </w:t>
      </w:r>
      <w:r w:rsidR="004572B9">
        <w:t>15</w:t>
      </w:r>
      <w:r w:rsidR="00BF0776">
        <w:t>:</w:t>
      </w:r>
      <w:r w:rsidRPr="005A16C9">
        <w:t xml:space="preserve"> Summary of </w:t>
      </w:r>
      <w:r w:rsidR="00F22D76">
        <w:t>ipilimumab</w:t>
      </w:r>
      <w:r w:rsidRPr="005A16C9">
        <w:t xml:space="preserve"> pharmacokinetics, for </w:t>
      </w:r>
      <w:r w:rsidR="00F22D76">
        <w:t>ipilimumab</w:t>
      </w:r>
      <w:r w:rsidRPr="005A16C9">
        <w:t xml:space="preserve"> alone (Arm C) or with paclitaxel/carbo</w:t>
      </w:r>
      <w:r w:rsidR="00CF0E37">
        <w:t>platin (Arm A) or DTIC (Arm B)</w:t>
      </w:r>
      <w:r w:rsidRPr="009E2D92">
        <w:rPr>
          <w:rFonts w:asciiTheme="majorHAnsi" w:hAnsiTheme="majorHAnsi"/>
          <w:b w:val="0"/>
          <w:noProof/>
          <w:sz w:val="20"/>
          <w:szCs w:val="20"/>
          <w:lang w:eastAsia="en-AU"/>
        </w:rPr>
        <w:drawing>
          <wp:inline distT="0" distB="0" distL="0" distR="0" wp14:anchorId="67C2FA91" wp14:editId="3E13780C">
            <wp:extent cx="5472000" cy="3041165"/>
            <wp:effectExtent l="0" t="0" r="0" b="0"/>
            <wp:docPr id="13" name="Picture 2" descr="Table 15. Summary of ipilimumab pharmacokinetics, for ipilimumab alone (Arm C) or with paclitaxel/carboplatin (Arm A) or DTIC (Ar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9581" t="19806" r="17324" b="17843"/>
                    <a:stretch/>
                  </pic:blipFill>
                  <pic:spPr bwMode="auto">
                    <a:xfrm>
                      <a:off x="0" y="0"/>
                      <a:ext cx="5472000" cy="3041165"/>
                    </a:xfrm>
                    <a:prstGeom prst="rect">
                      <a:avLst/>
                    </a:prstGeom>
                    <a:noFill/>
                    <a:ln>
                      <a:noFill/>
                    </a:ln>
                    <a:extLst/>
                  </pic:spPr>
                </pic:pic>
              </a:graphicData>
            </a:graphic>
          </wp:inline>
        </w:drawing>
      </w:r>
    </w:p>
    <w:p w:rsidR="005A16C9" w:rsidRPr="005A16C9" w:rsidRDefault="005A16C9" w:rsidP="005A16C9">
      <w:r w:rsidRPr="005A16C9">
        <w:t xml:space="preserve">Given that the proposed usage is for </w:t>
      </w:r>
      <w:r w:rsidR="00F22D76">
        <w:t>ipilimumab</w:t>
      </w:r>
      <w:r w:rsidRPr="005A16C9">
        <w:t xml:space="preserve"> </w:t>
      </w:r>
      <w:r w:rsidR="00C108F1">
        <w:t>3 mg</w:t>
      </w:r>
      <w:r w:rsidRPr="005A16C9">
        <w:t xml:space="preserve">/kg monotherapy, comprehensive details regarding paclitaxel and DTIC PK </w:t>
      </w:r>
      <w:r w:rsidR="00BF0776">
        <w:t>were provided</w:t>
      </w:r>
      <w:r w:rsidRPr="005A16C9">
        <w:t xml:space="preserve"> </w:t>
      </w:r>
      <w:r w:rsidR="003B06DF">
        <w:t>in ‘</w:t>
      </w:r>
      <w:r w:rsidR="00277C6F" w:rsidRPr="00BF0776">
        <w:t>Summary of pharmacokinetic studies CA184078</w:t>
      </w:r>
      <w:r w:rsidR="003B06DF" w:rsidRPr="00BF0776">
        <w:t>’</w:t>
      </w:r>
      <w:r w:rsidRPr="00BF0776">
        <w:t>.</w:t>
      </w:r>
    </w:p>
    <w:p w:rsidR="005A16C9" w:rsidRPr="005A16C9" w:rsidRDefault="005A16C9" w:rsidP="005A16C9">
      <w:pPr>
        <w:pStyle w:val="Heading4"/>
      </w:pPr>
      <w:bookmarkStart w:id="79" w:name="_Toc241374293"/>
      <w:bookmarkStart w:id="80" w:name="_Toc272414626"/>
      <w:bookmarkStart w:id="81" w:name="_Toc290846249"/>
      <w:bookmarkStart w:id="82" w:name="_Ref389208379"/>
      <w:bookmarkStart w:id="83" w:name="_Toc390676190"/>
      <w:r w:rsidRPr="005A16C9">
        <w:t>Pharmacokinetics in other special populations</w:t>
      </w:r>
      <w:bookmarkEnd w:id="79"/>
      <w:bookmarkEnd w:id="80"/>
      <w:bookmarkEnd w:id="81"/>
      <w:bookmarkEnd w:id="82"/>
      <w:bookmarkEnd w:id="83"/>
    </w:p>
    <w:p w:rsidR="005A16C9" w:rsidRPr="005A16C9" w:rsidRDefault="005A16C9" w:rsidP="005A16C9">
      <w:pPr>
        <w:pStyle w:val="Heading5"/>
      </w:pPr>
      <w:bookmarkStart w:id="84" w:name="_Toc272414627"/>
      <w:bookmarkStart w:id="85" w:name="_Toc290846250"/>
      <w:bookmarkStart w:id="86" w:name="_Toc390676191"/>
      <w:r w:rsidRPr="005A16C9">
        <w:t>Pharmacokinetics in subjects with impaired hepatic function</w:t>
      </w:r>
      <w:bookmarkEnd w:id="84"/>
      <w:bookmarkEnd w:id="85"/>
      <w:bookmarkEnd w:id="86"/>
    </w:p>
    <w:p w:rsidR="005A16C9" w:rsidRPr="005A16C9" w:rsidRDefault="005A16C9" w:rsidP="005A16C9">
      <w:pPr>
        <w:pStyle w:val="Heading6"/>
        <w:rPr>
          <w:rFonts w:eastAsia="TimesNewRoman"/>
        </w:rPr>
      </w:pPr>
      <w:r w:rsidRPr="005A16C9">
        <w:rPr>
          <w:rFonts w:eastAsia="TimesNewRoman"/>
        </w:rPr>
        <w:t>PopPK report</w:t>
      </w:r>
    </w:p>
    <w:p w:rsidR="005A16C9" w:rsidRPr="005A16C9" w:rsidRDefault="005A16C9" w:rsidP="005A16C9">
      <w:r w:rsidRPr="005A16C9">
        <w:t xml:space="preserve">Clearance of </w:t>
      </w:r>
      <w:r w:rsidR="00F22D76">
        <w:t>ipilimumab</w:t>
      </w:r>
      <w:r w:rsidRPr="005A16C9">
        <w:t xml:space="preserve"> in subjects with mild hepatic impairment was similar to that of subjects with normal hepatic function.</w:t>
      </w:r>
    </w:p>
    <w:p w:rsidR="005A16C9" w:rsidRPr="005A16C9" w:rsidRDefault="005A16C9" w:rsidP="005A16C9">
      <w:r w:rsidRPr="005A16C9">
        <w:t xml:space="preserve">The effect of hepatic impairment on the clearance of </w:t>
      </w:r>
      <w:r w:rsidR="00F22D76">
        <w:t>ipilimumab</w:t>
      </w:r>
      <w:r w:rsidRPr="005A16C9">
        <w:t xml:space="preserve"> was evaluated in patients with mild hepatic </w:t>
      </w:r>
      <w:r w:rsidR="00415D23">
        <w:t xml:space="preserve">impairment (total bilirubin 1.0 </w:t>
      </w:r>
      <w:r w:rsidRPr="005A16C9">
        <w:t>to 1.5 times ULN or AST &gt;</w:t>
      </w:r>
      <w:r w:rsidR="00415D23">
        <w:t xml:space="preserve"> </w:t>
      </w:r>
      <w:r w:rsidRPr="005A16C9">
        <w:t>ULN as defined using the National Cancer Institute criteria of hepatic dysfunction; n</w:t>
      </w:r>
      <w:r>
        <w:t xml:space="preserve"> </w:t>
      </w:r>
      <w:r w:rsidRPr="005A16C9">
        <w:t>=</w:t>
      </w:r>
      <w:r>
        <w:t xml:space="preserve"> </w:t>
      </w:r>
      <w:r w:rsidRPr="005A16C9">
        <w:t xml:space="preserve">76) compared to patients with normal hepatic function (total bilirubin and AST </w:t>
      </w:r>
      <w:r w:rsidR="00A413D2">
        <w:t>≤</w:t>
      </w:r>
      <w:r w:rsidR="00415D23">
        <w:t xml:space="preserve"> </w:t>
      </w:r>
      <w:r w:rsidRPr="005A16C9">
        <w:t>ULN; n</w:t>
      </w:r>
      <w:r>
        <w:t xml:space="preserve"> </w:t>
      </w:r>
      <w:r w:rsidRPr="005A16C9">
        <w:t>=</w:t>
      </w:r>
      <w:r>
        <w:t xml:space="preserve"> </w:t>
      </w:r>
      <w:r w:rsidRPr="005A16C9">
        <w:t xml:space="preserve">708) in the population pharmacokinetic analyses. No clinically important differences in the clearance of </w:t>
      </w:r>
      <w:r w:rsidR="00F22D76">
        <w:t>ipilimumab</w:t>
      </w:r>
      <w:r w:rsidRPr="005A16C9">
        <w:t xml:space="preserve"> were found between patients with mild hepatic impairment and normal hepatic function.</w:t>
      </w:r>
    </w:p>
    <w:p w:rsidR="005A16C9" w:rsidRPr="005A16C9" w:rsidRDefault="005A16C9" w:rsidP="005A16C9">
      <w:r w:rsidRPr="005A16C9">
        <w:t>Ipilimumab has not been studied in patients with moderate (total bilirubin &gt;</w:t>
      </w:r>
      <w:r>
        <w:t xml:space="preserve"> </w:t>
      </w:r>
      <w:r w:rsidRPr="005A16C9">
        <w:t xml:space="preserve">1.5 to 3 </w:t>
      </w:r>
      <w:r w:rsidR="00BF0776">
        <w:t>x</w:t>
      </w:r>
      <w:r w:rsidRPr="005A16C9">
        <w:t xml:space="preserve"> ULN and any AST) or severe hepatic impairment (total bilirubin &gt;</w:t>
      </w:r>
      <w:r>
        <w:t xml:space="preserve"> </w:t>
      </w:r>
      <w:r w:rsidRPr="005A16C9">
        <w:t xml:space="preserve">3 </w:t>
      </w:r>
      <w:r w:rsidR="00BF0776">
        <w:t>x</w:t>
      </w:r>
      <w:r w:rsidR="00415D23">
        <w:t xml:space="preserve"> </w:t>
      </w:r>
      <w:r w:rsidRPr="005A16C9">
        <w:t>ULN and any AST).</w:t>
      </w:r>
    </w:p>
    <w:p w:rsidR="005A16C9" w:rsidRPr="005A16C9" w:rsidRDefault="005A16C9" w:rsidP="005A16C9">
      <w:pPr>
        <w:pStyle w:val="Heading5"/>
      </w:pPr>
      <w:bookmarkStart w:id="87" w:name="_Toc272414628"/>
      <w:bookmarkStart w:id="88" w:name="_Toc290846251"/>
      <w:bookmarkStart w:id="89" w:name="_Toc390676192"/>
      <w:r w:rsidRPr="005A16C9">
        <w:t>Pharmacokinetics in subjects with impaired renal function</w:t>
      </w:r>
      <w:bookmarkEnd w:id="87"/>
      <w:bookmarkEnd w:id="88"/>
      <w:bookmarkEnd w:id="89"/>
    </w:p>
    <w:p w:rsidR="005A16C9" w:rsidRPr="005A16C9" w:rsidRDefault="005A16C9" w:rsidP="005A16C9">
      <w:pPr>
        <w:pStyle w:val="Heading6"/>
        <w:rPr>
          <w:rFonts w:eastAsia="TimesNewRoman"/>
        </w:rPr>
      </w:pPr>
      <w:r w:rsidRPr="005A16C9">
        <w:rPr>
          <w:rFonts w:eastAsia="TimesNewRoman"/>
        </w:rPr>
        <w:t>PopPK report</w:t>
      </w:r>
    </w:p>
    <w:p w:rsidR="005A16C9" w:rsidRPr="00415D23" w:rsidRDefault="005A16C9" w:rsidP="00415D23">
      <w:r w:rsidRPr="00415D23">
        <w:t xml:space="preserve">Clearance of </w:t>
      </w:r>
      <w:r w:rsidR="00F22D76" w:rsidRPr="00415D23">
        <w:t>ipilimumab</w:t>
      </w:r>
      <w:r w:rsidRPr="00415D23">
        <w:t xml:space="preserve"> in subjects with mild and moderate renal impairment was similar to that of subjects with normal renal function.</w:t>
      </w:r>
    </w:p>
    <w:p w:rsidR="005A16C9" w:rsidRPr="00415D23" w:rsidRDefault="005A16C9" w:rsidP="00415D23">
      <w:r w:rsidRPr="00415D23">
        <w:t xml:space="preserve">The effect of renal impairment on the clearance of </w:t>
      </w:r>
      <w:r w:rsidR="00F22D76" w:rsidRPr="00415D23">
        <w:t>ipilimumab</w:t>
      </w:r>
      <w:r w:rsidRPr="00415D23">
        <w:t xml:space="preserve"> was evaluated in patients with mild (GFR &lt;</w:t>
      </w:r>
      <w:r w:rsidR="00415D23">
        <w:t xml:space="preserve"> </w:t>
      </w:r>
      <w:r w:rsidRPr="00415D23">
        <w:t xml:space="preserve">90 and </w:t>
      </w:r>
      <w:r w:rsidR="00415D23">
        <w:t xml:space="preserve">&gt; </w:t>
      </w:r>
      <w:r w:rsidRPr="00415D23">
        <w:t>60 mL/min/1.73 m</w:t>
      </w:r>
      <w:r w:rsidRPr="00415D23">
        <w:rPr>
          <w:vertAlign w:val="superscript"/>
        </w:rPr>
        <w:t>2</w:t>
      </w:r>
      <w:r w:rsidRPr="00415D23">
        <w:t>; n</w:t>
      </w:r>
      <w:r w:rsidR="000E73B0" w:rsidRPr="00415D23">
        <w:t xml:space="preserve"> </w:t>
      </w:r>
      <w:r w:rsidRPr="00415D23">
        <w:t>=</w:t>
      </w:r>
      <w:r w:rsidR="000E73B0" w:rsidRPr="00415D23">
        <w:t xml:space="preserve"> </w:t>
      </w:r>
      <w:r w:rsidRPr="00415D23">
        <w:t>349), moderate (GFR &lt;</w:t>
      </w:r>
      <w:r w:rsidR="00415D23">
        <w:t xml:space="preserve"> </w:t>
      </w:r>
      <w:r w:rsidRPr="00415D23">
        <w:t xml:space="preserve">60 and </w:t>
      </w:r>
      <w:r w:rsidR="00415D23">
        <w:t>&gt; 30 mL/min/1.73 </w:t>
      </w:r>
      <w:r w:rsidRPr="00415D23">
        <w:t>m</w:t>
      </w:r>
      <w:r w:rsidRPr="00415D23">
        <w:rPr>
          <w:vertAlign w:val="superscript"/>
        </w:rPr>
        <w:t>2</w:t>
      </w:r>
      <w:r w:rsidRPr="00415D23">
        <w:t>; n</w:t>
      </w:r>
      <w:r w:rsidR="000E73B0" w:rsidRPr="00415D23">
        <w:t xml:space="preserve"> </w:t>
      </w:r>
      <w:r w:rsidRPr="00415D23">
        <w:t>=</w:t>
      </w:r>
      <w:r w:rsidR="000E73B0" w:rsidRPr="00415D23">
        <w:t xml:space="preserve"> </w:t>
      </w:r>
      <w:r w:rsidRPr="00415D23">
        <w:t>82), or severe (GFR &lt;</w:t>
      </w:r>
      <w:r w:rsidR="00415D23">
        <w:t xml:space="preserve"> </w:t>
      </w:r>
      <w:r w:rsidRPr="00415D23">
        <w:t xml:space="preserve">30 and </w:t>
      </w:r>
      <w:r w:rsidR="00415D23">
        <w:t xml:space="preserve">&gt; </w:t>
      </w:r>
      <w:r w:rsidRPr="00415D23">
        <w:t>15 mL/min/1.73m</w:t>
      </w:r>
      <w:r w:rsidRPr="00415D23">
        <w:rPr>
          <w:vertAlign w:val="superscript"/>
        </w:rPr>
        <w:t>2</w:t>
      </w:r>
      <w:r w:rsidRPr="00415D23">
        <w:t>; n</w:t>
      </w:r>
      <w:r w:rsidR="000E73B0" w:rsidRPr="00415D23">
        <w:t xml:space="preserve"> </w:t>
      </w:r>
      <w:r w:rsidRPr="00415D23">
        <w:t>=</w:t>
      </w:r>
      <w:r w:rsidR="000E73B0" w:rsidRPr="00415D23">
        <w:t xml:space="preserve"> </w:t>
      </w:r>
      <w:r w:rsidRPr="00415D23">
        <w:t>4) renal impairment compared to patients with normal renal function (GFR</w:t>
      </w:r>
      <w:r w:rsidR="00415D23">
        <w:t xml:space="preserve"> &gt; </w:t>
      </w:r>
      <w:r w:rsidRPr="00415D23">
        <w:t>90 mL/min/1.73m</w:t>
      </w:r>
      <w:r w:rsidRPr="00415D23">
        <w:rPr>
          <w:vertAlign w:val="superscript"/>
        </w:rPr>
        <w:t>2</w:t>
      </w:r>
      <w:r w:rsidRPr="00415D23">
        <w:t>; n</w:t>
      </w:r>
      <w:r w:rsidR="00415D23">
        <w:t> </w:t>
      </w:r>
      <w:r w:rsidRPr="00415D23">
        <w:t>=</w:t>
      </w:r>
      <w:r w:rsidR="00415D23">
        <w:t> </w:t>
      </w:r>
      <w:r w:rsidRPr="00415D23">
        <w:t xml:space="preserve">350) in population pharmacokinetic analyses. No clinically important differences in the clearance of </w:t>
      </w:r>
      <w:r w:rsidR="00F22D76" w:rsidRPr="00415D23">
        <w:t>ipilimumab</w:t>
      </w:r>
      <w:r w:rsidRPr="00415D23">
        <w:t xml:space="preserve"> were found between patients with mild to moderate renal impairment and patients with normal renal function</w:t>
      </w:r>
    </w:p>
    <w:p w:rsidR="005A16C9" w:rsidRPr="005A16C9" w:rsidRDefault="005A16C9" w:rsidP="005A16C9">
      <w:pPr>
        <w:pStyle w:val="Heading5"/>
      </w:pPr>
      <w:bookmarkStart w:id="90" w:name="_Toc272414629"/>
      <w:bookmarkStart w:id="91" w:name="_Toc290846252"/>
      <w:bookmarkStart w:id="92" w:name="_Toc390676193"/>
      <w:r w:rsidRPr="005A16C9">
        <w:lastRenderedPageBreak/>
        <w:t>Pharmacokinetics according to age</w:t>
      </w:r>
      <w:bookmarkEnd w:id="90"/>
      <w:bookmarkEnd w:id="91"/>
      <w:bookmarkEnd w:id="92"/>
    </w:p>
    <w:p w:rsidR="005A16C9" w:rsidRPr="005A16C9" w:rsidRDefault="005A16C9" w:rsidP="005A16C9">
      <w:pPr>
        <w:pStyle w:val="Heading6"/>
      </w:pPr>
      <w:r w:rsidRPr="005A16C9">
        <w:t>PopPK report</w:t>
      </w:r>
    </w:p>
    <w:p w:rsidR="005A16C9" w:rsidRPr="005A16C9" w:rsidRDefault="005A16C9" w:rsidP="005A16C9">
      <w:r w:rsidRPr="005A16C9">
        <w:t xml:space="preserve">The sponsor reports that PK of </w:t>
      </w:r>
      <w:r w:rsidR="00F22D76">
        <w:t>ipilimumab</w:t>
      </w:r>
      <w:r w:rsidRPr="005A16C9">
        <w:t xml:space="preserve"> was not affected by age as determined in the PopPK modelling, which did not reta</w:t>
      </w:r>
      <w:r w:rsidR="00BF0776">
        <w:t xml:space="preserve">in age as a relevant covariate. </w:t>
      </w:r>
      <w:r w:rsidRPr="005A16C9">
        <w:t>The oldest patient included was 87 years old, with approximately 120 patients above age 70 years.</w:t>
      </w:r>
    </w:p>
    <w:p w:rsidR="005A16C9" w:rsidRPr="005A16C9" w:rsidRDefault="005A16C9" w:rsidP="005A16C9">
      <w:pPr>
        <w:pStyle w:val="Heading5"/>
      </w:pPr>
      <w:bookmarkStart w:id="93" w:name="_Toc272414631"/>
      <w:bookmarkStart w:id="94" w:name="_Toc290846254"/>
      <w:bookmarkStart w:id="95" w:name="_Toc390676194"/>
      <w:r w:rsidRPr="005A16C9">
        <w:t xml:space="preserve">Pharmacokinetics according to </w:t>
      </w:r>
      <w:bookmarkEnd w:id="93"/>
      <w:bookmarkEnd w:id="94"/>
      <w:r w:rsidRPr="005A16C9">
        <w:t>treatment status</w:t>
      </w:r>
      <w:bookmarkEnd w:id="95"/>
    </w:p>
    <w:p w:rsidR="005A16C9" w:rsidRPr="005A16C9" w:rsidRDefault="005A16C9" w:rsidP="005A16C9">
      <w:pPr>
        <w:pStyle w:val="Heading6"/>
        <w:rPr>
          <w:rFonts w:eastAsia="TimesNewRoman"/>
        </w:rPr>
      </w:pPr>
      <w:r w:rsidRPr="005A16C9">
        <w:rPr>
          <w:rFonts w:eastAsia="TimesNewRoman"/>
        </w:rPr>
        <w:t>PopPK report</w:t>
      </w:r>
    </w:p>
    <w:p w:rsidR="005A16C9" w:rsidRPr="005A16C9" w:rsidRDefault="005A16C9" w:rsidP="005A16C9">
      <w:r w:rsidRPr="005A16C9">
        <w:t>Reference again is made to the limited number of patients and studies relevant to the proposed usage (n</w:t>
      </w:r>
      <w:r>
        <w:t xml:space="preserve"> </w:t>
      </w:r>
      <w:r w:rsidRPr="005A16C9">
        <w:t>=</w:t>
      </w:r>
      <w:r>
        <w:t xml:space="preserve"> </w:t>
      </w:r>
      <w:r w:rsidRPr="005A16C9">
        <w:t xml:space="preserve">14 for previously untreated patients who received </w:t>
      </w:r>
      <w:r w:rsidR="00C108F1">
        <w:t>3 mg</w:t>
      </w:r>
      <w:r w:rsidRPr="005A16C9">
        <w:t>/kg monotherapy).</w:t>
      </w:r>
    </w:p>
    <w:p w:rsidR="005A16C9" w:rsidRPr="005A16C9" w:rsidRDefault="005A16C9" w:rsidP="005A16C9">
      <w:r w:rsidRPr="005A16C9">
        <w:t>There were little differences found between the untreated and treated population for PK parameters. Prior treatment status was found in the full PopPK model to have little covariate effect on</w:t>
      </w:r>
      <w:r w:rsidR="00415D23">
        <w:t xml:space="preserve"> CL (1.01, 95% CI: 0.94 to </w:t>
      </w:r>
      <w:r w:rsidR="003B06DF">
        <w:t>1.10)</w:t>
      </w:r>
      <w:r w:rsidRPr="005A16C9">
        <w:t xml:space="preserve"> and was not retained as a relevant covariate in the final PopPK model. </w:t>
      </w:r>
      <w:r w:rsidR="00A05B08" w:rsidRPr="00FA355C">
        <w:t>C</w:t>
      </w:r>
      <w:r w:rsidR="00A05B08" w:rsidRPr="00A05B08">
        <w:rPr>
          <w:vertAlign w:val="subscript"/>
        </w:rPr>
        <w:t>minss</w:t>
      </w:r>
      <w:r w:rsidRPr="005A16C9">
        <w:t xml:space="preserve"> of </w:t>
      </w:r>
      <w:r w:rsidR="00F22D76">
        <w:t>ipilimumab</w:t>
      </w:r>
      <w:r w:rsidRPr="005A16C9">
        <w:t xml:space="preserve"> for previously treated and untreated patients were similar. For example, median values of </w:t>
      </w:r>
      <w:r w:rsidR="00A05B08" w:rsidRPr="00FA355C">
        <w:t>C</w:t>
      </w:r>
      <w:r w:rsidR="00A05B08" w:rsidRPr="00A05B08">
        <w:rPr>
          <w:vertAlign w:val="subscript"/>
        </w:rPr>
        <w:t>minss</w:t>
      </w:r>
      <w:r w:rsidRPr="005A16C9">
        <w:t xml:space="preserve"> following the third dose, for the 3 and 10 mg/kg previously untreated were 13.5 and 51.5 </w:t>
      </w:r>
      <w:r w:rsidR="00277C6F">
        <w:t>µ</w:t>
      </w:r>
      <w:r w:rsidR="00277C6F" w:rsidRPr="005A16C9">
        <w:t>g</w:t>
      </w:r>
      <w:r w:rsidRPr="005A16C9">
        <w:t xml:space="preserve">/mL, respectively. Median values of </w:t>
      </w:r>
      <w:r w:rsidR="00A05B08" w:rsidRPr="00FA355C">
        <w:t>C</w:t>
      </w:r>
      <w:r w:rsidR="00A05B08" w:rsidRPr="00A05B08">
        <w:rPr>
          <w:vertAlign w:val="subscript"/>
        </w:rPr>
        <w:t>minss</w:t>
      </w:r>
      <w:r w:rsidRPr="005A16C9">
        <w:t xml:space="preserve"> for the 3 and 10 mg/</w:t>
      </w:r>
      <w:r w:rsidR="003B06DF">
        <w:t>kg previously treated were 17.1</w:t>
      </w:r>
      <w:r w:rsidRPr="005A16C9">
        <w:t xml:space="preserve"> and 51.7</w:t>
      </w:r>
      <w:r w:rsidR="00415D23">
        <w:t xml:space="preserve"> </w:t>
      </w:r>
      <w:r w:rsidR="00277C6F">
        <w:t>µ</w:t>
      </w:r>
      <w:r w:rsidR="00277C6F" w:rsidRPr="005A16C9">
        <w:t>g</w:t>
      </w:r>
      <w:r w:rsidRPr="005A16C9">
        <w:t>/mL.</w:t>
      </w:r>
    </w:p>
    <w:p w:rsidR="005A16C9" w:rsidRPr="005A16C9" w:rsidRDefault="00BF0776" w:rsidP="00BF0776">
      <w:pPr>
        <w:pStyle w:val="Comment"/>
        <w:ind w:left="1134" w:hanging="1134"/>
      </w:pPr>
      <w:r>
        <w:rPr>
          <w:b/>
        </w:rPr>
        <w:t>C</w:t>
      </w:r>
      <w:r w:rsidR="00415D23" w:rsidRPr="00415D23">
        <w:rPr>
          <w:b/>
        </w:rPr>
        <w:t>omment</w:t>
      </w:r>
      <w:r w:rsidR="00415D23" w:rsidRPr="00BF0776">
        <w:rPr>
          <w:b/>
        </w:rPr>
        <w:t>:</w:t>
      </w:r>
      <w:r w:rsidR="00415D23">
        <w:t xml:space="preserve"> </w:t>
      </w:r>
      <w:r w:rsidR="005A16C9" w:rsidRPr="005A16C9">
        <w:t xml:space="preserve">With respect to the ER-irAE included within the PopPK report, </w:t>
      </w:r>
      <w:r w:rsidR="003B06DF">
        <w:t>safety s</w:t>
      </w:r>
      <w:r w:rsidR="005A16C9" w:rsidRPr="005A16C9">
        <w:t xml:space="preserve">ection and </w:t>
      </w:r>
      <w:r w:rsidR="003B06DF">
        <w:t>q</w:t>
      </w:r>
      <w:r w:rsidR="003B06DF" w:rsidRPr="003B06DF">
        <w:t xml:space="preserve">uestions to the sponsor </w:t>
      </w:r>
      <w:r w:rsidR="003B06DF">
        <w:t xml:space="preserve">section </w:t>
      </w:r>
      <w:r w:rsidR="005A16C9" w:rsidRPr="005A16C9">
        <w:t xml:space="preserve">within this evaluation report should be reviewed. The </w:t>
      </w:r>
      <w:r w:rsidR="005F5E22">
        <w:t>sponsor</w:t>
      </w:r>
      <w:r w:rsidR="005A16C9" w:rsidRPr="005A16C9">
        <w:t xml:space="preserve"> did not adequately demonstrate safety of the drug in CA184024 (and other studies), with regards to the capturing of AEs, grading of AEs and attribution of causality. ER-irAE modelling based on this data from the P</w:t>
      </w:r>
      <w:r w:rsidR="005A16C9">
        <w:t>opPK report is presented below.</w:t>
      </w:r>
    </w:p>
    <w:p w:rsidR="005A16C9" w:rsidRPr="005A16C9" w:rsidRDefault="005A16C9" w:rsidP="005A16C9">
      <w:r w:rsidRPr="005A16C9">
        <w:t xml:space="preserve">The ER-irAE modelling did identify that the odds of </w:t>
      </w:r>
      <w:r w:rsidR="003B06DF">
        <w:t>‘any’</w:t>
      </w:r>
      <w:r w:rsidRPr="005A16C9">
        <w:t xml:space="preserve"> irAE differed according to pre-treatment status. Specifically, the odds of </w:t>
      </w:r>
      <w:r w:rsidR="003B06DF">
        <w:t>‘any’</w:t>
      </w:r>
      <w:r w:rsidRPr="005A16C9">
        <w:t xml:space="preserve"> irAE occurring was found to be approximately half in subjects who have been previously treated with anticancer therapy relative to those who were previously untreated. The </w:t>
      </w:r>
      <w:r w:rsidR="003B06DF">
        <w:t>‘any’</w:t>
      </w:r>
      <w:r w:rsidRPr="005A16C9">
        <w:t xml:space="preserve"> grouping refers an irAE from all organs (including those also individually analysed).</w:t>
      </w:r>
    </w:p>
    <w:p w:rsidR="005A16C9" w:rsidRPr="005A16C9" w:rsidRDefault="005A16C9" w:rsidP="005A16C9">
      <w:r w:rsidRPr="005A16C9">
        <w:t xml:space="preserve">The final Exposure-Safety irAEs model identified that for GIT irAEs, a subject with a </w:t>
      </w:r>
      <w:r w:rsidR="00A05B08" w:rsidRPr="00FA355C">
        <w:t>C</w:t>
      </w:r>
      <w:r w:rsidR="00A05B08" w:rsidRPr="00A05B08">
        <w:rPr>
          <w:vertAlign w:val="subscript"/>
        </w:rPr>
        <w:t>minss</w:t>
      </w:r>
      <w:r w:rsidRPr="005A16C9">
        <w:t xml:space="preserve"> </w:t>
      </w:r>
      <w:proofErr w:type="gramStart"/>
      <w:r w:rsidRPr="005A16C9">
        <w:t>of 53.7</w:t>
      </w:r>
      <w:r w:rsidR="00415D23">
        <w:t> </w:t>
      </w:r>
      <w:r w:rsidR="00277C6F">
        <w:t>µ</w:t>
      </w:r>
      <w:r w:rsidR="00277C6F" w:rsidRPr="005A16C9">
        <w:t>g</w:t>
      </w:r>
      <w:r w:rsidRPr="005A16C9">
        <w:t xml:space="preserve">/mL (median </w:t>
      </w:r>
      <w:r w:rsidR="00A05B08" w:rsidRPr="00FA355C">
        <w:t>C</w:t>
      </w:r>
      <w:r w:rsidR="00A05B08" w:rsidRPr="00A05B08">
        <w:rPr>
          <w:vertAlign w:val="subscript"/>
        </w:rPr>
        <w:t>minss</w:t>
      </w:r>
      <w:r w:rsidRPr="005A16C9">
        <w:t xml:space="preserve"> in the </w:t>
      </w:r>
      <w:r w:rsidR="00C108F1">
        <w:t>10 mg</w:t>
      </w:r>
      <w:r w:rsidRPr="005A16C9">
        <w:t>/kg group)</w:t>
      </w:r>
      <w:proofErr w:type="gramEnd"/>
      <w:r w:rsidRPr="005A16C9">
        <w:t xml:space="preserve"> is estimated to have approximately six times greater odds of a GIT irAE than a subject with no </w:t>
      </w:r>
      <w:r w:rsidR="00F22D76">
        <w:t>ipilimumab</w:t>
      </w:r>
      <w:r w:rsidRPr="005A16C9">
        <w:t xml:space="preserve"> concentration. However, concomitant administration with DTIC was the only retained covariate, which </w:t>
      </w:r>
      <w:r w:rsidR="003B06DF">
        <w:t>dec</w:t>
      </w:r>
      <w:r w:rsidRPr="005A16C9">
        <w:t>reased the odds of a GIT irAE by nearly 43% in subjects administered concomitant DTIC relative to those who are not</w:t>
      </w:r>
      <w:r>
        <w:t>.</w:t>
      </w:r>
    </w:p>
    <w:p w:rsidR="005A16C9" w:rsidRDefault="003B06DF" w:rsidP="005A16C9">
      <w:r>
        <w:t>For h</w:t>
      </w:r>
      <w:r w:rsidR="005A16C9" w:rsidRPr="005A16C9">
        <w:t xml:space="preserve">epatobiliary irAEs the probability of an irAE increased with DTIC. However, prior anticancer therapy </w:t>
      </w:r>
      <w:r>
        <w:t>dec</w:t>
      </w:r>
      <w:r w:rsidR="005A16C9" w:rsidRPr="005A16C9">
        <w:t>reased the probability of hepatobiliary irAE. The odds ratio of a hepatobiliary irAE are 9.3 (95%CI 6.04, 15.5) times higher in subjects administered concomitant DTIC relative to those who are not. The worst grade hepatobiliary irAEs were noted to be Grade 3 or higher. The covariate effect of the presence of hepatic metastases was also investigated but not r</w:t>
      </w:r>
      <w:r w:rsidR="005A16C9">
        <w:t>etained.</w:t>
      </w:r>
    </w:p>
    <w:p w:rsidR="005A16C9" w:rsidRDefault="003B06DF" w:rsidP="005A16C9">
      <w:r>
        <w:t>For s</w:t>
      </w:r>
      <w:r w:rsidR="005A16C9" w:rsidRPr="005A16C9">
        <w:t xml:space="preserve">kin related irAEs, no covariate </w:t>
      </w:r>
      <w:r w:rsidR="005A16C9">
        <w:t>was retained in the final mode.</w:t>
      </w:r>
    </w:p>
    <w:p w:rsidR="005A16C9" w:rsidRDefault="005A16C9" w:rsidP="005A16C9">
      <w:r w:rsidRPr="005A16C9">
        <w:t xml:space="preserve">For </w:t>
      </w:r>
      <w:r w:rsidR="003B06DF">
        <w:t>‘any’</w:t>
      </w:r>
      <w:r w:rsidRPr="005A16C9">
        <w:t xml:space="preserve"> irAE, prior anticancer therapy was the only covariate retained although, the effects of DTIC co</w:t>
      </w:r>
      <w:r w:rsidR="003B06DF">
        <w:t>-</w:t>
      </w:r>
      <w:r w:rsidRPr="005A16C9">
        <w:t>administration may be lost due to opposite effects of this covariate on gastrointestinal and hepatobiliary irAEs causing a net neutral effect (</w:t>
      </w:r>
      <w:r w:rsidR="003B06DF">
        <w:t>‘any’</w:t>
      </w:r>
      <w:r w:rsidRPr="005A16C9">
        <w:t xml:space="preserve"> irAE group incorporated both gastrointestinal and hepatobiliary AEs). Previously treated patients had an improved odds ratio for </w:t>
      </w:r>
      <w:r w:rsidR="003B06DF">
        <w:t>‘any’</w:t>
      </w:r>
      <w:r w:rsidRPr="005A16C9">
        <w:t xml:space="preserve"> irAE of 0.51 (95%CI 0.337, 0.677) compared with untreated patients, who were more likely to experience toxicity. That is, patients who were previously treated had approximately half the odds of experiencing </w:t>
      </w:r>
      <w:r w:rsidR="003B06DF">
        <w:t>‘any’</w:t>
      </w:r>
      <w:r w:rsidRPr="005A16C9">
        <w:t xml:space="preserve"> irAE.</w:t>
      </w:r>
    </w:p>
    <w:p w:rsidR="005A16C9" w:rsidRPr="005A16C9" w:rsidRDefault="005A16C9" w:rsidP="005A16C9">
      <w:pPr>
        <w:pStyle w:val="Heading4"/>
      </w:pPr>
      <w:bookmarkStart w:id="96" w:name="_Toc390676195"/>
      <w:r w:rsidRPr="005A16C9">
        <w:lastRenderedPageBreak/>
        <w:t>Pharmacokinetics according to other categories</w:t>
      </w:r>
      <w:bookmarkEnd w:id="96"/>
    </w:p>
    <w:p w:rsidR="005A16C9" w:rsidRPr="005A16C9" w:rsidRDefault="005A16C9" w:rsidP="005A16C9">
      <w:pPr>
        <w:pStyle w:val="Heading5"/>
        <w:rPr>
          <w:rFonts w:eastAsia="TimesNewRoman"/>
        </w:rPr>
      </w:pPr>
      <w:r w:rsidRPr="005A16C9">
        <w:rPr>
          <w:rFonts w:eastAsia="TimesNewRoman"/>
        </w:rPr>
        <w:t>PopPK report</w:t>
      </w:r>
    </w:p>
    <w:p w:rsidR="005A16C9" w:rsidRPr="005A16C9" w:rsidRDefault="005A16C9" w:rsidP="005A16C9">
      <w:r w:rsidRPr="005A16C9">
        <w:t xml:space="preserve">Final modelling found </w:t>
      </w:r>
      <w:r w:rsidR="00F22D76">
        <w:t>ipilimumab</w:t>
      </w:r>
      <w:r w:rsidRPr="005A16C9">
        <w:t xml:space="preserve"> PK was independent of concomitant use of DTIC, and immunogenicity (ADA status).</w:t>
      </w:r>
    </w:p>
    <w:p w:rsidR="005A16C9" w:rsidRPr="005A16C9" w:rsidRDefault="005A16C9" w:rsidP="005A16C9">
      <w:pPr>
        <w:pStyle w:val="Heading5"/>
        <w:rPr>
          <w:rFonts w:eastAsia="TimesNewRoman"/>
        </w:rPr>
      </w:pPr>
      <w:r w:rsidRPr="005A16C9">
        <w:rPr>
          <w:rFonts w:eastAsia="TimesNewRoman"/>
        </w:rPr>
        <w:t xml:space="preserve">Summary of </w:t>
      </w:r>
      <w:r w:rsidR="00BF0776" w:rsidRPr="005A16C9">
        <w:rPr>
          <w:rFonts w:eastAsia="TimesNewRoman"/>
        </w:rPr>
        <w:t>clinical p</w:t>
      </w:r>
      <w:r w:rsidRPr="005A16C9">
        <w:rPr>
          <w:rFonts w:eastAsia="TimesNewRoman"/>
        </w:rPr>
        <w:t>harmacology</w:t>
      </w:r>
    </w:p>
    <w:p w:rsidR="005A16C9" w:rsidRPr="005A16C9" w:rsidRDefault="005A16C9" w:rsidP="005A16C9">
      <w:r w:rsidRPr="005A16C9">
        <w:t xml:space="preserve">This report contained an analysis of immunogenicity, which did not appear to affect the safety or efficacy of </w:t>
      </w:r>
      <w:r w:rsidR="00F22D76">
        <w:t>ipilimumab</w:t>
      </w:r>
      <w:r>
        <w:t>.</w:t>
      </w:r>
    </w:p>
    <w:p w:rsidR="005A16C9" w:rsidRPr="005A16C9" w:rsidRDefault="005A16C9" w:rsidP="005A16C9">
      <w:r w:rsidRPr="005A16C9">
        <w:t xml:space="preserve">ADA status was examined in 852 subjects, of whom 760 subjects (CA184004, CA184007, CA184008, CA184022, CA184024, and CA184078) had both pre and post baseline samples available for analysis. </w:t>
      </w:r>
      <w:r w:rsidR="0026410F">
        <w:t xml:space="preserve">Some </w:t>
      </w:r>
      <w:r w:rsidRPr="005A16C9">
        <w:t>17 (2.2%</w:t>
      </w:r>
      <w:r w:rsidR="0026410F">
        <w:t xml:space="preserve">) developed immunogenicity post </w:t>
      </w:r>
      <w:r w:rsidRPr="005A16C9">
        <w:t>treatme</w:t>
      </w:r>
      <w:r w:rsidR="0026410F">
        <w:t xml:space="preserve">nt. Pre-existing baseline cross </w:t>
      </w:r>
      <w:r w:rsidRPr="005A16C9">
        <w:t xml:space="preserve">reacting ADAs </w:t>
      </w:r>
      <w:proofErr w:type="gramStart"/>
      <w:r w:rsidRPr="005A16C9">
        <w:t>were</w:t>
      </w:r>
      <w:proofErr w:type="gramEnd"/>
      <w:r w:rsidRPr="005A16C9">
        <w:t xml:space="preserve"> observed in the remaining 22 subjects.</w:t>
      </w:r>
    </w:p>
    <w:p w:rsidR="005A16C9" w:rsidRPr="005A16C9" w:rsidRDefault="00216964" w:rsidP="005A16C9">
      <w:r>
        <w:t>Thirty-nine</w:t>
      </w:r>
      <w:r w:rsidR="005A16C9" w:rsidRPr="005A16C9">
        <w:t xml:space="preserve"> subjects across CA184004 (n</w:t>
      </w:r>
      <w:r w:rsidR="000E73B0">
        <w:t xml:space="preserve"> </w:t>
      </w:r>
      <w:r w:rsidR="005A16C9" w:rsidRPr="005A16C9">
        <w:t>=</w:t>
      </w:r>
      <w:r w:rsidR="000E73B0">
        <w:t xml:space="preserve"> </w:t>
      </w:r>
      <w:r w:rsidR="005A16C9" w:rsidRPr="005A16C9">
        <w:t>4), CA184007 (n</w:t>
      </w:r>
      <w:r w:rsidR="000E73B0">
        <w:t xml:space="preserve"> </w:t>
      </w:r>
      <w:r w:rsidR="005A16C9" w:rsidRPr="005A16C9">
        <w:t>=</w:t>
      </w:r>
      <w:r w:rsidR="000E73B0">
        <w:t xml:space="preserve"> </w:t>
      </w:r>
      <w:r w:rsidR="005A16C9" w:rsidRPr="005A16C9">
        <w:t>2), CA184008 (n</w:t>
      </w:r>
      <w:r w:rsidR="000E73B0">
        <w:t xml:space="preserve"> </w:t>
      </w:r>
      <w:r w:rsidR="005A16C9" w:rsidRPr="005A16C9">
        <w:t>=</w:t>
      </w:r>
      <w:r w:rsidR="000E73B0">
        <w:t xml:space="preserve"> </w:t>
      </w:r>
      <w:r w:rsidR="0026410F">
        <w:t xml:space="preserve">4), </w:t>
      </w:r>
      <w:r w:rsidR="005A16C9" w:rsidRPr="005A16C9">
        <w:t>CA184022 (n</w:t>
      </w:r>
      <w:r w:rsidR="000E73B0">
        <w:t xml:space="preserve"> </w:t>
      </w:r>
      <w:r w:rsidR="005A16C9" w:rsidRPr="005A16C9">
        <w:t>=</w:t>
      </w:r>
      <w:r w:rsidR="000E73B0">
        <w:t xml:space="preserve"> </w:t>
      </w:r>
      <w:r w:rsidR="005A16C9" w:rsidRPr="005A16C9">
        <w:t>16), CA184024 (n</w:t>
      </w:r>
      <w:r w:rsidR="000E73B0">
        <w:t xml:space="preserve"> </w:t>
      </w:r>
      <w:r w:rsidR="005A16C9" w:rsidRPr="005A16C9">
        <w:t>=</w:t>
      </w:r>
      <w:r w:rsidR="000E73B0">
        <w:t xml:space="preserve"> </w:t>
      </w:r>
      <w:r w:rsidR="005A16C9" w:rsidRPr="005A16C9">
        <w:t>6), and CA184078 (n</w:t>
      </w:r>
      <w:r w:rsidR="000E73B0">
        <w:t xml:space="preserve"> </w:t>
      </w:r>
      <w:r w:rsidR="005A16C9" w:rsidRPr="005A16C9">
        <w:t>=</w:t>
      </w:r>
      <w:r w:rsidR="000E73B0">
        <w:t xml:space="preserve"> </w:t>
      </w:r>
      <w:r w:rsidR="005A16C9" w:rsidRPr="005A16C9">
        <w:t>7) had at least one positive ADA at any time point. The majority of positive anti-</w:t>
      </w:r>
      <w:r w:rsidR="00F22D76">
        <w:t>ipilimumab</w:t>
      </w:r>
      <w:r w:rsidR="005A16C9" w:rsidRPr="005A16C9">
        <w:t xml:space="preserve"> reactions were of a low, borderline positive </w:t>
      </w:r>
      <w:r w:rsidR="0026410F" w:rsidRPr="005A16C9">
        <w:t>titre</w:t>
      </w:r>
      <w:r w:rsidR="005A16C9" w:rsidRPr="005A16C9">
        <w:t xml:space="preserve"> (</w:t>
      </w:r>
      <w:r w:rsidR="0026410F">
        <w:t>that is,</w:t>
      </w:r>
      <w:r w:rsidR="005A16C9" w:rsidRPr="005A16C9">
        <w:t xml:space="preserve"> </w:t>
      </w:r>
      <w:r w:rsidR="0026410F" w:rsidRPr="005A16C9">
        <w:t>titre</w:t>
      </w:r>
      <w:r w:rsidR="005A16C9" w:rsidRPr="005A16C9">
        <w:t xml:space="preserve"> of 10) except for 3 subjects in CA184022 who had </w:t>
      </w:r>
      <w:r w:rsidR="0026410F" w:rsidRPr="005A16C9">
        <w:t>titres</w:t>
      </w:r>
      <w:r w:rsidR="005A16C9" w:rsidRPr="005A16C9">
        <w:t xml:space="preserve"> of 50, 1 subject in CA184024 who had a </w:t>
      </w:r>
      <w:r w:rsidR="0026410F" w:rsidRPr="005A16C9">
        <w:t>titre</w:t>
      </w:r>
      <w:r w:rsidR="0026410F">
        <w:t xml:space="preserve"> of 80</w:t>
      </w:r>
      <w:r w:rsidR="005A16C9" w:rsidRPr="005A16C9">
        <w:t xml:space="preserve"> and 2 subjects in CA184078 who had </w:t>
      </w:r>
      <w:r w:rsidR="0026410F" w:rsidRPr="005A16C9">
        <w:t>titres</w:t>
      </w:r>
      <w:r w:rsidR="005A16C9" w:rsidRPr="005A16C9">
        <w:t xml:space="preserve"> &gt;</w:t>
      </w:r>
      <w:r w:rsidR="0026410F">
        <w:t xml:space="preserve"> </w:t>
      </w:r>
      <w:r w:rsidR="005A16C9" w:rsidRPr="005A16C9">
        <w:t xml:space="preserve">10. Across all positive samples, reactions were detected to both the common and the Fab region of </w:t>
      </w:r>
      <w:r w:rsidR="00F22D76">
        <w:t>ipilimumab</w:t>
      </w:r>
      <w:r w:rsidR="005A16C9" w:rsidRPr="005A16C9">
        <w:t>. No samples were positive in the neutral</w:t>
      </w:r>
      <w:r w:rsidR="00C91631">
        <w:t>is</w:t>
      </w:r>
      <w:r w:rsidR="005A16C9" w:rsidRPr="005A16C9">
        <w:t xml:space="preserve">ing assay. Furthermore, since the Fab region of </w:t>
      </w:r>
      <w:r w:rsidR="00F22D76">
        <w:t>ipilimumab</w:t>
      </w:r>
      <w:r w:rsidR="005A16C9" w:rsidRPr="005A16C9">
        <w:t xml:space="preserve"> is not a naturally occurring epitope, neutral</w:t>
      </w:r>
      <w:r w:rsidR="00C91631">
        <w:t>is</w:t>
      </w:r>
      <w:r w:rsidR="005A16C9" w:rsidRPr="005A16C9">
        <w:t xml:space="preserve">ing antibodies to this region of </w:t>
      </w:r>
      <w:r w:rsidR="00F22D76">
        <w:t>ipilimumab</w:t>
      </w:r>
      <w:r w:rsidR="005A16C9" w:rsidRPr="005A16C9">
        <w:t xml:space="preserve"> are not anticipated to have any physiologic significance aside from potential neutral</w:t>
      </w:r>
      <w:r w:rsidR="00C91631">
        <w:t>is</w:t>
      </w:r>
      <w:r w:rsidR="005A16C9" w:rsidRPr="005A16C9">
        <w:t xml:space="preserve">ation of </w:t>
      </w:r>
      <w:r w:rsidR="00F22D76">
        <w:t>ipilimumab</w:t>
      </w:r>
      <w:r w:rsidR="005A16C9">
        <w:t xml:space="preserve"> activity.</w:t>
      </w:r>
    </w:p>
    <w:p w:rsidR="005A16C9" w:rsidRPr="005A16C9" w:rsidRDefault="005A16C9" w:rsidP="005A16C9">
      <w:r w:rsidRPr="005A16C9">
        <w:t>None of t</w:t>
      </w:r>
      <w:r w:rsidR="0026410F">
        <w:t>he 39 subjects h</w:t>
      </w:r>
      <w:r w:rsidR="00216964">
        <w:t>ad any infusion related or peri-</w:t>
      </w:r>
      <w:r w:rsidRPr="005A16C9">
        <w:t xml:space="preserve">infusional hypersensitivity or anaphylactic reactions. These subjects did experience AEs that were inflammatory in nature (irAEs), such as dermatitis, erythema, pruritus, hepatitis, fever and fatigue; however these AEs were predominantly Grade </w:t>
      </w:r>
      <w:r w:rsidR="00A413D2">
        <w:t>≤</w:t>
      </w:r>
      <w:r w:rsidRPr="005A16C9">
        <w:t xml:space="preserve"> 2 and were not restricted to those exhibiting positive</w:t>
      </w:r>
      <w:r w:rsidRPr="00B45D53">
        <w:t xml:space="preserve"> </w:t>
      </w:r>
      <w:r w:rsidRPr="005A16C9">
        <w:t>i</w:t>
      </w:r>
      <w:r w:rsidR="00216964">
        <w:t>mmunogenicity and were not peri-</w:t>
      </w:r>
      <w:r w:rsidRPr="005A16C9">
        <w:t>infusional or consistently coincident with the presence of anti-</w:t>
      </w:r>
      <w:r w:rsidR="00F22D76">
        <w:t>ipilimumab</w:t>
      </w:r>
      <w:r w:rsidRPr="005A16C9">
        <w:t xml:space="preserve"> antibodies.</w:t>
      </w:r>
    </w:p>
    <w:p w:rsidR="005A16C9" w:rsidRPr="005A16C9" w:rsidRDefault="0026410F" w:rsidP="005A16C9">
      <w:r>
        <w:t>For the two P</w:t>
      </w:r>
      <w:r w:rsidR="005A16C9" w:rsidRPr="005A16C9">
        <w:t xml:space="preserve">hase III studies, in CA184024, the </w:t>
      </w:r>
      <w:r w:rsidR="00F22D76">
        <w:t>ipilimumab</w:t>
      </w:r>
      <w:r w:rsidR="005A16C9" w:rsidRPr="005A16C9">
        <w:t xml:space="preserve"> plus DTIC group 6</w:t>
      </w:r>
      <w:r w:rsidR="005853BB">
        <w:t xml:space="preserve"> out of </w:t>
      </w:r>
      <w:r w:rsidR="005A16C9" w:rsidRPr="005A16C9">
        <w:t>233 (2.6%) evaluated subjects were positive for anti-drug antibodies at any time point, and 2</w:t>
      </w:r>
      <w:r w:rsidR="005853BB">
        <w:t xml:space="preserve"> out of </w:t>
      </w:r>
      <w:r w:rsidR="005A16C9" w:rsidRPr="005A16C9">
        <w:t>191 (1.0%) evalua</w:t>
      </w:r>
      <w:r>
        <w:t xml:space="preserve">ted subjects were positive post </w:t>
      </w:r>
      <w:r w:rsidR="005A16C9" w:rsidRPr="005A16C9">
        <w:t>baseline for anti-</w:t>
      </w:r>
      <w:r w:rsidR="00F22D76">
        <w:t>ipilimumab</w:t>
      </w:r>
      <w:r w:rsidR="005A16C9" w:rsidRPr="005A16C9">
        <w:t xml:space="preserve"> antibodies. No subjects developed anti-</w:t>
      </w:r>
      <w:r w:rsidR="00F22D76">
        <w:t>ipilimumab</w:t>
      </w:r>
      <w:r w:rsidR="005A16C9" w:rsidRPr="005A16C9">
        <w:t xml:space="preserve"> antibodies after </w:t>
      </w:r>
      <w:r w:rsidR="00F22D76">
        <w:t>ipilimumab</w:t>
      </w:r>
      <w:r w:rsidR="005A16C9" w:rsidRPr="005A16C9">
        <w:t xml:space="preserve"> treatment in MDX010-20. The majority of positive samples were of low, borderline positive </w:t>
      </w:r>
      <w:r w:rsidRPr="005A16C9">
        <w:t>titre</w:t>
      </w:r>
      <w:r w:rsidR="005A16C9" w:rsidRPr="005A16C9">
        <w:t xml:space="preserve">. Review of the AEs in the subjects with positive immunogenicity did not reveal any clinically meaningful hypersensitivity reactions. The development of ADA did not impact significantly the CL of </w:t>
      </w:r>
      <w:r w:rsidR="00F22D76">
        <w:t>ipilimumab</w:t>
      </w:r>
      <w:r w:rsidR="005A16C9" w:rsidRPr="005A16C9">
        <w:t xml:space="preserve">. Based on the few subjects who seroconverted and the lack of significant effect on PK, it appears unlikely that the presence of antibodies to </w:t>
      </w:r>
      <w:r w:rsidR="00F22D76">
        <w:t>ipilimumab</w:t>
      </w:r>
      <w:r w:rsidR="005A16C9" w:rsidRPr="005A16C9">
        <w:t xml:space="preserve"> could affect the efficacy or safety of </w:t>
      </w:r>
      <w:r w:rsidR="00F22D76">
        <w:t>ipilimumab</w:t>
      </w:r>
      <w:r w:rsidR="005A16C9">
        <w:t>.</w:t>
      </w:r>
    </w:p>
    <w:p w:rsidR="005A16C9" w:rsidRPr="005A16C9" w:rsidRDefault="005A16C9" w:rsidP="005A16C9">
      <w:pPr>
        <w:pStyle w:val="Heading4"/>
      </w:pPr>
      <w:bookmarkStart w:id="97" w:name="_Toc241374294"/>
      <w:bookmarkStart w:id="98" w:name="_Toc272414632"/>
      <w:bookmarkStart w:id="99" w:name="_Toc290846255"/>
      <w:bookmarkStart w:id="100" w:name="_Toc390676196"/>
      <w:r w:rsidRPr="005A16C9">
        <w:t>Pharmacokinetic interactions</w:t>
      </w:r>
      <w:bookmarkEnd w:id="97"/>
      <w:bookmarkEnd w:id="98"/>
      <w:bookmarkEnd w:id="99"/>
      <w:bookmarkEnd w:id="100"/>
    </w:p>
    <w:p w:rsidR="005A16C9" w:rsidRPr="00EC57CB" w:rsidRDefault="005A16C9" w:rsidP="00EC57CB">
      <w:pPr>
        <w:pStyle w:val="Heading5"/>
      </w:pPr>
      <w:bookmarkStart w:id="101" w:name="_Toc272414633"/>
      <w:bookmarkStart w:id="102" w:name="_Toc290846256"/>
      <w:bookmarkStart w:id="103" w:name="_Toc390676197"/>
      <w:r w:rsidRPr="00EC57CB">
        <w:t>Pharmacokinetic interactions demonstrated in human studies</w:t>
      </w:r>
      <w:bookmarkEnd w:id="101"/>
      <w:bookmarkEnd w:id="102"/>
      <w:bookmarkEnd w:id="103"/>
    </w:p>
    <w:p w:rsidR="005A16C9" w:rsidRPr="00EC57CB" w:rsidRDefault="005A16C9" w:rsidP="00EC57CB">
      <w:pPr>
        <w:pStyle w:val="Heading6"/>
        <w:rPr>
          <w:rFonts w:eastAsia="TimesNewRoman"/>
        </w:rPr>
      </w:pPr>
      <w:r w:rsidRPr="00EC57CB">
        <w:rPr>
          <w:rFonts w:eastAsia="TimesNewRoman"/>
        </w:rPr>
        <w:t>CA184078</w:t>
      </w:r>
    </w:p>
    <w:p w:rsidR="005A16C9" w:rsidRPr="00EC57CB" w:rsidRDefault="005A16C9" w:rsidP="005A16C9">
      <w:r w:rsidRPr="00EC57CB">
        <w:t>There was n</w:t>
      </w:r>
      <w:r w:rsidR="00216964">
        <w:t>o clinically meaningful PK drug-</w:t>
      </w:r>
      <w:r w:rsidRPr="00EC57CB">
        <w:t xml:space="preserve">drug interaction observed between </w:t>
      </w:r>
      <w:r w:rsidR="00F22D76">
        <w:t>ipilimumab</w:t>
      </w:r>
      <w:r w:rsidRPr="00EC57CB">
        <w:t xml:space="preserve"> and either paclitaxel or DTIC and it metabolite, AIC. As therapeutic proteins are generally cleared through their interactions with spe</w:t>
      </w:r>
      <w:r w:rsidR="0026410F">
        <w:t xml:space="preserve">cific receptors on the target T </w:t>
      </w:r>
      <w:r w:rsidRPr="00EC57CB">
        <w:t>cell surfaces, as well as interactions with the Fc</w:t>
      </w:r>
      <w:r w:rsidR="0026410F">
        <w:t>γ</w:t>
      </w:r>
      <w:r w:rsidRPr="00EC57CB">
        <w:t xml:space="preserve">R1 receptors on the hepatic sinusoidal epithelial cells through proteolysis by proteases and peptidases in the Kupffer cells in the liver and macrophage activity in the spleen, these non-specific mechanisms of clearance are the presumed primary expected routes of elimination for </w:t>
      </w:r>
      <w:r w:rsidR="00F22D76">
        <w:t>ipilimumab</w:t>
      </w:r>
      <w:r w:rsidRPr="00EC57CB">
        <w:t xml:space="preserve">. Thus, </w:t>
      </w:r>
      <w:r w:rsidR="00F22D76">
        <w:t>ipilimumab</w:t>
      </w:r>
      <w:r w:rsidRPr="00EC57CB">
        <w:t xml:space="preserve"> is not metabolised by cytochrome P450 enzymes (CYPs) or other drug metabol</w:t>
      </w:r>
      <w:r w:rsidR="00C91631">
        <w:t>is</w:t>
      </w:r>
      <w:r w:rsidRPr="00EC57CB">
        <w:t xml:space="preserve">ing enzymes. Ipilimumab did not have a significant effect on the pharmacokinetics of substrates of CYP1A2, and CYP2E1 (for </w:t>
      </w:r>
      <w:r w:rsidRPr="00EC57CB">
        <w:lastRenderedPageBreak/>
        <w:t xml:space="preserve">(paclitaxel/carboplatin) or CYP2C8 and CYP3A4 (for DTIC/AIC) when co-administered with substrates of these CYP isozymes. In this study, untreated advanced melanoma subjects receiving 10 mg/kg of </w:t>
      </w:r>
      <w:r w:rsidR="00F22D76">
        <w:t>ipilimumab</w:t>
      </w:r>
      <w:r w:rsidRPr="00EC57CB">
        <w:t xml:space="preserve"> in combination with carboplatin (AUC = 6 mg/ml</w:t>
      </w:r>
      <w:r w:rsidR="0026410F">
        <w:t xml:space="preserve"> </w:t>
      </w:r>
      <w:r w:rsidRPr="00EC57CB">
        <w:t xml:space="preserve">min) and paclitaxel; or </w:t>
      </w:r>
      <w:r w:rsidR="00F22D76">
        <w:t>ipilimumab</w:t>
      </w:r>
      <w:r w:rsidRPr="00EC57CB">
        <w:t xml:space="preserve"> in combination with DTIC, </w:t>
      </w:r>
      <w:r w:rsidR="00F22D76">
        <w:t>ipilimumab</w:t>
      </w:r>
      <w:r w:rsidRPr="00EC57CB">
        <w:t xml:space="preserve"> had no major effect on the PK of paclitaxel or DTIC (pro-drug) and it major metabolite, AIC, as the 90% confidence intervals (CI) for the geometric mean ratio were either entirely contained within the usu</w:t>
      </w:r>
      <w:r w:rsidR="0026410F">
        <w:t>al equivalence criteria of 0.80 to 1.25.</w:t>
      </w:r>
    </w:p>
    <w:p w:rsidR="005A16C9" w:rsidRPr="00EC57CB" w:rsidRDefault="00BF0776" w:rsidP="00BF0776">
      <w:pPr>
        <w:pStyle w:val="Comment"/>
        <w:ind w:left="1134" w:hanging="1134"/>
      </w:pPr>
      <w:r>
        <w:rPr>
          <w:b/>
        </w:rPr>
        <w:t>C</w:t>
      </w:r>
      <w:r w:rsidR="006E15A4">
        <w:rPr>
          <w:b/>
        </w:rPr>
        <w:t>omment</w:t>
      </w:r>
      <w:r w:rsidR="005A16C9" w:rsidRPr="00BF0776">
        <w:rPr>
          <w:b/>
        </w:rPr>
        <w:t>:</w:t>
      </w:r>
      <w:r w:rsidR="005A16C9" w:rsidRPr="00EC57CB">
        <w:t xml:space="preserve"> Carboplatin is mainly renally excreted and the large size of the </w:t>
      </w:r>
      <w:r w:rsidR="00F22D76">
        <w:t>ipilimumab</w:t>
      </w:r>
      <w:r w:rsidR="005A16C9" w:rsidRPr="00EC57CB">
        <w:t xml:space="preserve"> protein makes it unlikely to be filtered through the glomerulus, thus no reference is made to PK interactions of this drug.</w:t>
      </w:r>
    </w:p>
    <w:p w:rsidR="005A16C9" w:rsidRPr="00EC57CB" w:rsidRDefault="005A16C9" w:rsidP="00EC57CB">
      <w:pPr>
        <w:pStyle w:val="Heading3"/>
      </w:pPr>
      <w:bookmarkStart w:id="104" w:name="_Toc241374296"/>
      <w:bookmarkStart w:id="105" w:name="_Ref269982040"/>
      <w:bookmarkStart w:id="106" w:name="_Ref271018704"/>
      <w:bookmarkStart w:id="107" w:name="_Ref271018755"/>
      <w:bookmarkStart w:id="108" w:name="_Toc272414635"/>
      <w:bookmarkStart w:id="109" w:name="_Toc290846258"/>
      <w:bookmarkStart w:id="110" w:name="_Ref387071716"/>
      <w:bookmarkStart w:id="111" w:name="_Ref389211873"/>
      <w:bookmarkStart w:id="112" w:name="_Toc390676198"/>
      <w:bookmarkStart w:id="113" w:name="_Toc475616211"/>
      <w:r w:rsidRPr="00EC57CB">
        <w:t>Evaluator’s overall conclusions on pharmacokinetics</w:t>
      </w:r>
      <w:bookmarkEnd w:id="104"/>
      <w:bookmarkEnd w:id="105"/>
      <w:bookmarkEnd w:id="106"/>
      <w:bookmarkEnd w:id="107"/>
      <w:bookmarkEnd w:id="108"/>
      <w:bookmarkEnd w:id="109"/>
      <w:bookmarkEnd w:id="110"/>
      <w:bookmarkEnd w:id="111"/>
      <w:bookmarkEnd w:id="112"/>
      <w:bookmarkEnd w:id="113"/>
    </w:p>
    <w:p w:rsidR="005A16C9" w:rsidRPr="00EC57CB" w:rsidRDefault="005A16C9" w:rsidP="00EC57CB">
      <w:r w:rsidRPr="00EC57CB">
        <w:t>There were no studies included in the dossier that investigated the treatment schedule of the proposed usage in the appropriate populat</w:t>
      </w:r>
      <w:r w:rsidR="00EC57CB">
        <w:t>ion for the current application</w:t>
      </w:r>
      <w:r w:rsidR="0026410F">
        <w:t>.</w:t>
      </w:r>
    </w:p>
    <w:p w:rsidR="0026410F" w:rsidRDefault="005A16C9" w:rsidP="005A16C9">
      <w:r w:rsidRPr="00EC57CB">
        <w:t>For the provision of bridging data, an extension of the previous PopPK analysis was performed with 3</w:t>
      </w:r>
      <w:r w:rsidR="00216964">
        <w:t>,</w:t>
      </w:r>
      <w:r w:rsidRPr="00EC57CB">
        <w:t xml:space="preserve">200 </w:t>
      </w:r>
      <w:r w:rsidR="00F22D76">
        <w:t>ipilimumab</w:t>
      </w:r>
      <w:r w:rsidRPr="00EC57CB">
        <w:t xml:space="preserve"> serum concentration values from 785 subjects with advanced melanoma, who were enrolled in the following </w:t>
      </w:r>
      <w:r w:rsidR="00216964">
        <w:t>heterogeneous clinical studies;</w:t>
      </w:r>
    </w:p>
    <w:p w:rsidR="0026410F" w:rsidRDefault="005A16C9" w:rsidP="0026410F">
      <w:pPr>
        <w:pStyle w:val="ListBullet"/>
      </w:pPr>
      <w:r w:rsidRPr="00EC57CB">
        <w:t>one chemo-co</w:t>
      </w:r>
      <w:r w:rsidR="00284E81">
        <w:t>mbination Phase I</w:t>
      </w:r>
      <w:r w:rsidRPr="00EC57CB">
        <w:t xml:space="preserve"> study (CA184078, n</w:t>
      </w:r>
      <w:r w:rsidR="000E73B0">
        <w:t xml:space="preserve"> </w:t>
      </w:r>
      <w:r w:rsidRPr="00EC57CB">
        <w:t>=</w:t>
      </w:r>
      <w:r w:rsidR="000E73B0">
        <w:t xml:space="preserve"> </w:t>
      </w:r>
      <w:r w:rsidR="00216964">
        <w:t>29)</w:t>
      </w:r>
    </w:p>
    <w:p w:rsidR="0026410F" w:rsidRDefault="005A16C9" w:rsidP="0026410F">
      <w:pPr>
        <w:pStyle w:val="ListBullet"/>
      </w:pPr>
      <w:r w:rsidRPr="00EC57CB">
        <w:t xml:space="preserve">four </w:t>
      </w:r>
      <w:r w:rsidR="00F22D76">
        <w:t>Phase II</w:t>
      </w:r>
      <w:r w:rsidRPr="00EC57CB">
        <w:t xml:space="preserve"> monotherapy clinical studies (CA184004: n</w:t>
      </w:r>
      <w:r w:rsidR="000E73B0">
        <w:t xml:space="preserve"> </w:t>
      </w:r>
      <w:r w:rsidRPr="00EC57CB">
        <w:t>=</w:t>
      </w:r>
      <w:r w:rsidR="000E73B0">
        <w:t xml:space="preserve"> </w:t>
      </w:r>
      <w:r w:rsidRPr="00EC57CB">
        <w:t>79, CA184007: n</w:t>
      </w:r>
      <w:r w:rsidR="000E73B0">
        <w:t xml:space="preserve"> </w:t>
      </w:r>
      <w:r w:rsidRPr="00EC57CB">
        <w:t>=</w:t>
      </w:r>
      <w:r w:rsidR="000E73B0">
        <w:t xml:space="preserve"> </w:t>
      </w:r>
      <w:r w:rsidRPr="00EC57CB">
        <w:t>112, CA184008: n</w:t>
      </w:r>
      <w:r w:rsidR="000E73B0">
        <w:t xml:space="preserve"> </w:t>
      </w:r>
      <w:r w:rsidRPr="00EC57CB">
        <w:t>=</w:t>
      </w:r>
      <w:r w:rsidR="000E73B0">
        <w:t xml:space="preserve"> </w:t>
      </w:r>
      <w:r w:rsidRPr="00EC57CB">
        <w:t>148 and CA184022: n</w:t>
      </w:r>
      <w:r w:rsidR="000E73B0">
        <w:t xml:space="preserve"> </w:t>
      </w:r>
      <w:r w:rsidRPr="00EC57CB">
        <w:t>=</w:t>
      </w:r>
      <w:r w:rsidR="000E73B0">
        <w:t xml:space="preserve"> </w:t>
      </w:r>
      <w:r w:rsidR="00216964">
        <w:t>177)</w:t>
      </w:r>
    </w:p>
    <w:p w:rsidR="0026410F" w:rsidRDefault="005A16C9" w:rsidP="0026410F">
      <w:pPr>
        <w:pStyle w:val="ListBullet"/>
      </w:pPr>
      <w:r w:rsidRPr="00EC57CB">
        <w:t>one random</w:t>
      </w:r>
      <w:r w:rsidR="00C91631">
        <w:t>is</w:t>
      </w:r>
      <w:r w:rsidRPr="00EC57CB">
        <w:t xml:space="preserve">ed </w:t>
      </w:r>
      <w:r w:rsidR="00F22D76">
        <w:t>Phase III</w:t>
      </w:r>
      <w:r w:rsidRPr="00EC57CB">
        <w:t xml:space="preserve"> study in combination with DTIC (CA184024, n</w:t>
      </w:r>
      <w:r w:rsidR="000E73B0">
        <w:t xml:space="preserve"> </w:t>
      </w:r>
      <w:r w:rsidRPr="00EC57CB">
        <w:t>=</w:t>
      </w:r>
      <w:r w:rsidR="000E73B0">
        <w:t xml:space="preserve"> </w:t>
      </w:r>
      <w:r w:rsidR="00216964">
        <w:t>240)</w:t>
      </w:r>
    </w:p>
    <w:p w:rsidR="005A16C9" w:rsidRDefault="005A16C9" w:rsidP="005A16C9">
      <w:r w:rsidRPr="00EC57CB">
        <w:t xml:space="preserve">Of these, 528 subjects received </w:t>
      </w:r>
      <w:r w:rsidR="00F22D76">
        <w:t>ipilimumab</w:t>
      </w:r>
      <w:r w:rsidRPr="00EC57CB">
        <w:t xml:space="preserve"> monotherapy, while 257 subjects received </w:t>
      </w:r>
      <w:r w:rsidR="00F22D76">
        <w:t>ipilimumab</w:t>
      </w:r>
      <w:r w:rsidRPr="00EC57CB">
        <w:t xml:space="preserve"> with DTIC. The dose of </w:t>
      </w:r>
      <w:r w:rsidR="00F22D76">
        <w:t>ipilimumab</w:t>
      </w:r>
      <w:r w:rsidRPr="00EC57CB">
        <w:t xml:space="preserve"> varied between trials. All studies included a maintenance phase in contrast to the proposed usage.</w:t>
      </w:r>
    </w:p>
    <w:p w:rsidR="005A16C9" w:rsidRPr="00EC57CB" w:rsidRDefault="005A16C9" w:rsidP="00EC57CB">
      <w:r w:rsidRPr="00EC57CB">
        <w:t xml:space="preserve">With respect to the current application, it should be noted that only 14 patients were included in the PopPK analysis that were previously untreated and received </w:t>
      </w:r>
      <w:r w:rsidR="00F22D76">
        <w:t>ipilimumab</w:t>
      </w:r>
      <w:r w:rsidRPr="00EC57CB">
        <w:t xml:space="preserve"> </w:t>
      </w:r>
      <w:r w:rsidR="00C108F1">
        <w:t>3 mg</w:t>
      </w:r>
      <w:r w:rsidRPr="00EC57CB">
        <w:t>/kg monotherapy. Furthermore, only 87previously treated patients received monotherapy at the same dose.</w:t>
      </w:r>
    </w:p>
    <w:p w:rsidR="005A16C9" w:rsidRPr="00EC57CB" w:rsidRDefault="005A16C9" w:rsidP="00EC57CB">
      <w:r w:rsidRPr="00EC57CB">
        <w:t xml:space="preserve">Based on the collation of data from the heterogeneous populations described, the analysis demonstrated that </w:t>
      </w:r>
      <w:r w:rsidR="00F22D76">
        <w:t>ipilimumab</w:t>
      </w:r>
      <w:r w:rsidRPr="00EC57CB">
        <w:t xml:space="preserve"> exhibits linear and time invariant PK. The CL and VC of </w:t>
      </w:r>
      <w:r w:rsidR="00F22D76">
        <w:t>ipilimumab</w:t>
      </w:r>
      <w:r w:rsidRPr="00EC57CB">
        <w:t xml:space="preserve"> increased with body weight. Ipilimumab CL also increases with baseline LDH, with baseline LDH values less than 675 IU/L (3 </w:t>
      </w:r>
      <w:r w:rsidR="00E407DD">
        <w:t>x</w:t>
      </w:r>
      <w:r w:rsidRPr="00EC57CB">
        <w:t xml:space="preserve"> ULN) being unlikely to have clinically meaningful impact on </w:t>
      </w:r>
      <w:r w:rsidR="00F22D76">
        <w:t>ipilimumab</w:t>
      </w:r>
      <w:r w:rsidRPr="00EC57CB">
        <w:t xml:space="preserve"> CL. Age, gender, mild to moderate renal impairment, mild hepatic impairment, immunogenicity, previous cancer therapy and concomitant DTIC administration were not clinically relevant predictors of </w:t>
      </w:r>
      <w:r w:rsidR="00F22D76">
        <w:t>ipilimumab</w:t>
      </w:r>
      <w:r w:rsidRPr="00EC57CB">
        <w:t xml:space="preserve"> clearance. Target trough concentrations were set for blockade of B7 molecules; </w:t>
      </w:r>
      <w:r w:rsidR="00A05B08" w:rsidRPr="00FA355C">
        <w:t>C</w:t>
      </w:r>
      <w:r w:rsidR="00A05B08" w:rsidRPr="00A05B08">
        <w:rPr>
          <w:vertAlign w:val="subscript"/>
        </w:rPr>
        <w:t>minss</w:t>
      </w:r>
      <w:r w:rsidRPr="00EC57CB">
        <w:t xml:space="preserve"> of </w:t>
      </w:r>
      <w:proofErr w:type="gramStart"/>
      <w:r w:rsidRPr="00EC57CB">
        <w:t>3</w:t>
      </w:r>
      <w:r w:rsidR="002C18DF">
        <w:t xml:space="preserve"> </w:t>
      </w:r>
      <w:r w:rsidR="00277C6F">
        <w:t>µ</w:t>
      </w:r>
      <w:r w:rsidR="00277C6F" w:rsidRPr="005A16C9">
        <w:t>g</w:t>
      </w:r>
      <w:r w:rsidR="002C18DF">
        <w:t>/mL to block CD86</w:t>
      </w:r>
      <w:proofErr w:type="gramEnd"/>
      <w:r w:rsidR="002C18DF">
        <w:t xml:space="preserve"> and 20 </w:t>
      </w:r>
      <w:r w:rsidR="00277C6F">
        <w:t>µ</w:t>
      </w:r>
      <w:r w:rsidR="00277C6F" w:rsidRPr="005A16C9">
        <w:t>g</w:t>
      </w:r>
      <w:r w:rsidRPr="00EC57CB">
        <w:t xml:space="preserve">/mL to block both CD86 and CD80. Distributions of predicted </w:t>
      </w:r>
      <w:r w:rsidR="00A05B08" w:rsidRPr="00FA355C">
        <w:t>C</w:t>
      </w:r>
      <w:r w:rsidR="00A05B08" w:rsidRPr="00A05B08">
        <w:rPr>
          <w:vertAlign w:val="subscript"/>
        </w:rPr>
        <w:t>minss</w:t>
      </w:r>
      <w:r w:rsidRPr="00EC57CB">
        <w:t xml:space="preserve"> showed that the 3 mg/kg dose yielded </w:t>
      </w:r>
      <w:r w:rsidR="00A05B08" w:rsidRPr="00FA355C">
        <w:t>C</w:t>
      </w:r>
      <w:r w:rsidR="00A05B08" w:rsidRPr="00A05B08">
        <w:rPr>
          <w:vertAlign w:val="subscript"/>
        </w:rPr>
        <w:t>minss</w:t>
      </w:r>
      <w:r w:rsidRPr="00EC57CB">
        <w:t xml:space="preserve"> values that were sufficient for maximal inhibition of CD86, but less than 50% exceeded the 20</w:t>
      </w:r>
      <w:r w:rsidR="002C18DF">
        <w:t xml:space="preserve"> </w:t>
      </w:r>
      <w:r w:rsidR="00277C6F">
        <w:t>µ</w:t>
      </w:r>
      <w:r w:rsidR="00277C6F" w:rsidRPr="005A16C9">
        <w:t>g</w:t>
      </w:r>
      <w:r w:rsidRPr="00EC57CB">
        <w:t>/mL concentration</w:t>
      </w:r>
      <w:r w:rsidR="00EC57CB">
        <w:t>.</w:t>
      </w:r>
    </w:p>
    <w:p w:rsidR="005A16C9" w:rsidRPr="00EC57CB" w:rsidRDefault="005A16C9" w:rsidP="00EC57CB">
      <w:r w:rsidRPr="00EC57CB">
        <w:t xml:space="preserve">With respect to the current application, the data collated from these heterogeneous studies demonstrated that </w:t>
      </w:r>
      <w:r w:rsidR="00F22D76">
        <w:t>ipilimumab</w:t>
      </w:r>
      <w:r w:rsidRPr="00EC57CB">
        <w:t xml:space="preserve"> PK appears similar between previously treated and untreated patients at all dose levels investigated. Importantly, </w:t>
      </w:r>
      <w:r w:rsidR="00A05B08" w:rsidRPr="00FA355C">
        <w:t>C</w:t>
      </w:r>
      <w:r w:rsidR="00A05B08" w:rsidRPr="00A05B08">
        <w:rPr>
          <w:vertAlign w:val="subscript"/>
        </w:rPr>
        <w:t>minss</w:t>
      </w:r>
      <w:r w:rsidRPr="00EC57CB">
        <w:t xml:space="preserve"> of </w:t>
      </w:r>
      <w:r w:rsidR="00F22D76">
        <w:t>ipilimumab</w:t>
      </w:r>
      <w:r w:rsidRPr="00EC57CB">
        <w:t xml:space="preserve"> at the </w:t>
      </w:r>
      <w:r w:rsidR="00C108F1">
        <w:t>3 mg</w:t>
      </w:r>
      <w:r w:rsidRPr="00EC57CB">
        <w:t>/kg dosing was similar for previously treated and untreated patients. However, the small number of patients providing data for the relevant analysis is emphasised.</w:t>
      </w:r>
    </w:p>
    <w:p w:rsidR="00E56650" w:rsidRPr="00E56650" w:rsidRDefault="005A16C9" w:rsidP="00E56650">
      <w:r w:rsidRPr="00EC57CB">
        <w:t>Overall, interpretation of PK modelling should include consideration of the small number of patients relevant to the current application (n</w:t>
      </w:r>
      <w:r w:rsidR="000435F5">
        <w:t xml:space="preserve"> </w:t>
      </w:r>
      <w:r w:rsidRPr="00EC57CB">
        <w:t>=</w:t>
      </w:r>
      <w:r w:rsidR="000435F5">
        <w:t xml:space="preserve"> </w:t>
      </w:r>
      <w:r w:rsidRPr="00EC57CB">
        <w:t xml:space="preserve">14 for previously untreated patients dosed at </w:t>
      </w:r>
      <w:r w:rsidR="002C18DF">
        <w:t>3 </w:t>
      </w:r>
      <w:r w:rsidR="00C108F1">
        <w:t>mg</w:t>
      </w:r>
      <w:r w:rsidRPr="00EC57CB">
        <w:t>/kg)</w:t>
      </w:r>
      <w:r w:rsidR="00EC57CB">
        <w:t>.</w:t>
      </w:r>
    </w:p>
    <w:p w:rsidR="00586F98" w:rsidRDefault="00586F98" w:rsidP="00586F98">
      <w:pPr>
        <w:pStyle w:val="Heading2"/>
      </w:pPr>
      <w:bookmarkStart w:id="114" w:name="_Toc475616212"/>
      <w:r>
        <w:lastRenderedPageBreak/>
        <w:t>Pharmacodynamics</w:t>
      </w:r>
      <w:bookmarkEnd w:id="114"/>
    </w:p>
    <w:p w:rsidR="00E407DD" w:rsidRPr="009E58CC" w:rsidRDefault="00A31967" w:rsidP="00E407DD">
      <w:pPr>
        <w:pStyle w:val="Heading3"/>
      </w:pPr>
      <w:bookmarkStart w:id="115" w:name="_Toc272414637"/>
      <w:bookmarkStart w:id="116" w:name="_Toc290846260"/>
      <w:bookmarkStart w:id="117" w:name="_Toc390676200"/>
      <w:bookmarkStart w:id="118" w:name="_Toc475616213"/>
      <w:r w:rsidRPr="00A31967">
        <w:t>Studies providing pharmacodynamic data</w:t>
      </w:r>
      <w:bookmarkEnd w:id="115"/>
      <w:bookmarkEnd w:id="116"/>
      <w:bookmarkEnd w:id="117"/>
      <w:bookmarkEnd w:id="118"/>
    </w:p>
    <w:p w:rsidR="00A31967" w:rsidRPr="00E407DD" w:rsidRDefault="004572B9" w:rsidP="00A31967">
      <w:r>
        <w:t>Table 16</w:t>
      </w:r>
      <w:r w:rsidR="00A31967" w:rsidRPr="00CF0E37">
        <w:t xml:space="preserve"> shows</w:t>
      </w:r>
      <w:r w:rsidR="00A31967" w:rsidRPr="00A31967">
        <w:t xml:space="preserve"> the studies relating to each pharmacodynamic topic and the location of each study </w:t>
      </w:r>
      <w:r w:rsidR="00A31967" w:rsidRPr="00E407DD">
        <w:t>summary.</w:t>
      </w:r>
      <w:bookmarkStart w:id="119" w:name="_Ref269985397"/>
      <w:bookmarkStart w:id="120" w:name="_Toc390676297"/>
    </w:p>
    <w:p w:rsidR="00A31967" w:rsidRDefault="00A31967" w:rsidP="00A31967">
      <w:pPr>
        <w:pStyle w:val="Tabletitle"/>
      </w:pPr>
      <w:r w:rsidRPr="00A31967">
        <w:t>Table</w:t>
      </w:r>
      <w:bookmarkEnd w:id="119"/>
      <w:r w:rsidR="004572B9">
        <w:t xml:space="preserve"> 16</w:t>
      </w:r>
      <w:r w:rsidR="00BF0776">
        <w:t>:</w:t>
      </w:r>
      <w:r w:rsidRPr="00A31967">
        <w:t xml:space="preserve"> Submitted pharmacodynamic studies</w:t>
      </w:r>
      <w:bookmarkEnd w:id="120"/>
    </w:p>
    <w:tbl>
      <w:tblPr>
        <w:tblStyle w:val="TableTGAblue"/>
        <w:tblW w:w="7934" w:type="dxa"/>
        <w:tblLayout w:type="fixed"/>
        <w:tblLook w:val="04A0" w:firstRow="1" w:lastRow="0" w:firstColumn="1" w:lastColumn="0" w:noHBand="0" w:noVBand="1"/>
      </w:tblPr>
      <w:tblGrid>
        <w:gridCol w:w="2235"/>
        <w:gridCol w:w="3260"/>
        <w:gridCol w:w="2439"/>
      </w:tblGrid>
      <w:tr w:rsidR="009E58CC" w:rsidTr="00D367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9E58CC" w:rsidRPr="007A7D84" w:rsidRDefault="009E58CC" w:rsidP="00D367DE">
            <w:pPr>
              <w:rPr>
                <w:b w:val="0"/>
              </w:rPr>
            </w:pPr>
            <w:r w:rsidRPr="007A7D84">
              <w:t>PD Topic</w:t>
            </w:r>
          </w:p>
        </w:tc>
        <w:tc>
          <w:tcPr>
            <w:tcW w:w="3260" w:type="dxa"/>
          </w:tcPr>
          <w:p w:rsidR="009E58CC" w:rsidRPr="007A7D84" w:rsidRDefault="009E58CC" w:rsidP="00D367DE">
            <w:pPr>
              <w:cnfStyle w:val="100000000000" w:firstRow="1" w:lastRow="0" w:firstColumn="0" w:lastColumn="0" w:oddVBand="0" w:evenVBand="0" w:oddHBand="0" w:evenHBand="0" w:firstRowFirstColumn="0" w:firstRowLastColumn="0" w:lastRowFirstColumn="0" w:lastRowLastColumn="0"/>
              <w:rPr>
                <w:b w:val="0"/>
              </w:rPr>
            </w:pPr>
            <w:r w:rsidRPr="007A7D84">
              <w:t>Subtopic</w:t>
            </w:r>
          </w:p>
        </w:tc>
        <w:tc>
          <w:tcPr>
            <w:tcW w:w="2439" w:type="dxa"/>
          </w:tcPr>
          <w:p w:rsidR="009E58CC" w:rsidRPr="007A7D84" w:rsidRDefault="009E58CC" w:rsidP="00D367DE">
            <w:pPr>
              <w:cnfStyle w:val="100000000000" w:firstRow="1" w:lastRow="0" w:firstColumn="0" w:lastColumn="0" w:oddVBand="0" w:evenVBand="0" w:oddHBand="0" w:evenHBand="0" w:firstRowFirstColumn="0" w:firstRowLastColumn="0" w:lastRowFirstColumn="0" w:lastRowLastColumn="0"/>
              <w:rPr>
                <w:b w:val="0"/>
              </w:rPr>
            </w:pPr>
            <w:r w:rsidRPr="007A7D84">
              <w:t>Study ID</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tcPr>
          <w:p w:rsidR="009E58CC" w:rsidRPr="007A7D84" w:rsidRDefault="009E58CC" w:rsidP="00D367DE">
            <w:r w:rsidRPr="007A7D84">
              <w:t>Primary Pharmacology</w:t>
            </w:r>
          </w:p>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A92644">
              <w:t>No studies</w:t>
            </w:r>
          </w:p>
        </w:tc>
      </w:tr>
      <w:tr w:rsidR="009E58CC" w:rsidTr="00E407DD">
        <w:trPr>
          <w:trHeight w:val="841"/>
        </w:trPr>
        <w:tc>
          <w:tcPr>
            <w:cnfStyle w:val="001000000000" w:firstRow="0" w:lastRow="0" w:firstColumn="1" w:lastColumn="0" w:oddVBand="0" w:evenVBand="0" w:oddHBand="0" w:evenHBand="0" w:firstRowFirstColumn="0" w:firstRowLastColumn="0" w:lastRowFirstColumn="0" w:lastRowLastColumn="0"/>
            <w:tcW w:w="2235" w:type="dxa"/>
          </w:tcPr>
          <w:p w:rsidR="009E58CC" w:rsidRPr="007A7D84" w:rsidRDefault="009E58CC" w:rsidP="00D367DE">
            <w:r w:rsidRPr="007A7D84">
              <w:t>Secondary Pharmacology</w:t>
            </w:r>
          </w:p>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A92644">
              <w:t>Effect on absolute lymphocyte count (ALC)</w:t>
            </w: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CA184078</w:t>
            </w:r>
            <w:r w:rsidR="00D367DE">
              <w:t xml:space="preserve"> </w:t>
            </w:r>
            <w:r>
              <w:t>CA184024</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vMerge w:val="restart"/>
          </w:tcPr>
          <w:p w:rsidR="009E58CC" w:rsidRPr="007A7D84" w:rsidRDefault="009E58CC" w:rsidP="00D367DE">
            <w:r w:rsidRPr="007A7D84">
              <w:t xml:space="preserve">Gender </w:t>
            </w:r>
            <w:r>
              <w:t xml:space="preserve">other genetic </w:t>
            </w:r>
            <w:r w:rsidRPr="007A7D84">
              <w:t>and Age-Related Differences in PD Response</w:t>
            </w:r>
          </w:p>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0800CC">
              <w:t>Effect of gender</w:t>
            </w: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No studies</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vMerge/>
          </w:tcPr>
          <w:p w:rsidR="009E58CC" w:rsidRPr="007A7D84" w:rsidRDefault="009E58CC" w:rsidP="00D367DE"/>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0800CC">
              <w:t>Effect of age</w:t>
            </w: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No studies</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tcPr>
          <w:p w:rsidR="009E58CC" w:rsidRPr="007A7D84" w:rsidRDefault="009E58CC" w:rsidP="00D367DE">
            <w:r w:rsidRPr="007A7D84">
              <w:t>PD Interactions</w:t>
            </w:r>
          </w:p>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No studies</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vMerge w:val="restart"/>
          </w:tcPr>
          <w:p w:rsidR="009E58CC" w:rsidRPr="007A7D84" w:rsidRDefault="009E58CC" w:rsidP="00D367DE">
            <w:r w:rsidRPr="007A7D84">
              <w:t>Population PD and PK-PD analyses</w:t>
            </w:r>
          </w:p>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0800CC">
              <w:t>Healthy subjects</w:t>
            </w: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No studies</w:t>
            </w:r>
          </w:p>
        </w:tc>
      </w:tr>
      <w:tr w:rsidR="009E58CC" w:rsidTr="009E58CC">
        <w:tc>
          <w:tcPr>
            <w:cnfStyle w:val="001000000000" w:firstRow="0" w:lastRow="0" w:firstColumn="1" w:lastColumn="0" w:oddVBand="0" w:evenVBand="0" w:oddHBand="0" w:evenHBand="0" w:firstRowFirstColumn="0" w:firstRowLastColumn="0" w:lastRowFirstColumn="0" w:lastRowLastColumn="0"/>
            <w:tcW w:w="2235" w:type="dxa"/>
            <w:vMerge/>
          </w:tcPr>
          <w:p w:rsidR="009E58CC" w:rsidRPr="000800CC" w:rsidRDefault="009E58CC" w:rsidP="00D367DE"/>
        </w:tc>
        <w:tc>
          <w:tcPr>
            <w:tcW w:w="3260"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rsidRPr="000800CC">
              <w:t>Target population</w:t>
            </w:r>
          </w:p>
        </w:tc>
        <w:tc>
          <w:tcPr>
            <w:tcW w:w="2439" w:type="dxa"/>
          </w:tcPr>
          <w:p w:rsidR="009E58CC" w:rsidRPr="000800CC" w:rsidRDefault="009E58CC" w:rsidP="00D367DE">
            <w:pPr>
              <w:cnfStyle w:val="000000000000" w:firstRow="0" w:lastRow="0" w:firstColumn="0" w:lastColumn="0" w:oddVBand="0" w:evenVBand="0" w:oddHBand="0" w:evenHBand="0" w:firstRowFirstColumn="0" w:firstRowLastColumn="0" w:lastRowFirstColumn="0" w:lastRowLastColumn="0"/>
            </w:pPr>
            <w:r>
              <w:t>No studies</w:t>
            </w:r>
          </w:p>
        </w:tc>
      </w:tr>
    </w:tbl>
    <w:p w:rsidR="00A31967" w:rsidRDefault="00A31967" w:rsidP="00A31967">
      <w:r>
        <w:t>None of the pharmacodynamic studies had deficiencies that excluded their results from consideration.</w:t>
      </w:r>
    </w:p>
    <w:p w:rsidR="00A31967" w:rsidRPr="00A31967" w:rsidRDefault="00A31967" w:rsidP="00A31967">
      <w:pPr>
        <w:pStyle w:val="Heading3"/>
      </w:pPr>
      <w:bookmarkStart w:id="121" w:name="_Ref269119989"/>
      <w:bookmarkStart w:id="122" w:name="_Toc272414639"/>
      <w:bookmarkStart w:id="123" w:name="_Toc290846261"/>
      <w:bookmarkStart w:id="124" w:name="_Toc390676201"/>
      <w:bookmarkStart w:id="125" w:name="_Toc475616214"/>
      <w:r w:rsidRPr="00A31967">
        <w:t>Summary of pharmacodynamics</w:t>
      </w:r>
      <w:bookmarkEnd w:id="121"/>
      <w:bookmarkEnd w:id="122"/>
      <w:bookmarkEnd w:id="123"/>
      <w:bookmarkEnd w:id="124"/>
      <w:bookmarkEnd w:id="125"/>
    </w:p>
    <w:p w:rsidR="00A31967" w:rsidRDefault="00A31967" w:rsidP="00A31967">
      <w:r w:rsidRPr="00A31967">
        <w:t>The information in the following summary is derived from conventional pharmacodynamic studies in humans unless otherwise stated.</w:t>
      </w:r>
    </w:p>
    <w:p w:rsidR="00A31967" w:rsidRPr="00A31967" w:rsidRDefault="00A31967" w:rsidP="00A31967">
      <w:pPr>
        <w:pStyle w:val="Heading4"/>
      </w:pPr>
      <w:bookmarkStart w:id="126" w:name="_Ref384225309"/>
      <w:bookmarkStart w:id="127" w:name="_Toc390676202"/>
      <w:r w:rsidRPr="00A31967">
        <w:t>CA184078</w:t>
      </w:r>
      <w:bookmarkEnd w:id="126"/>
      <w:bookmarkEnd w:id="127"/>
    </w:p>
    <w:p w:rsidR="00A31967" w:rsidRPr="00A31967" w:rsidRDefault="00A31967" w:rsidP="00A31967">
      <w:r w:rsidRPr="00A31967">
        <w:t>Please see previous PK section for summary of the study. Only PD relevant information will be summarised here.</w:t>
      </w:r>
    </w:p>
    <w:p w:rsidR="00A31967" w:rsidRPr="00A31967" w:rsidRDefault="00A31967" w:rsidP="00A31967">
      <w:r w:rsidRPr="00A31967">
        <w:t xml:space="preserve">The primary objective of this study was to estimate the effect of </w:t>
      </w:r>
      <w:r w:rsidR="00F22D76">
        <w:t>ipilimumab</w:t>
      </w:r>
      <w:r w:rsidRPr="00A31967">
        <w:t xml:space="preserve"> </w:t>
      </w:r>
      <w:r w:rsidR="00C108F1">
        <w:t>10 mg</w:t>
      </w:r>
      <w:r w:rsidRPr="00A31967">
        <w:t xml:space="preserve">/kg on the pharmacokinetics of paclitaxel/carboplatin and DTIC, and to estimate the effect of paclitaxel/carboplatin and DTIC on the PK of </w:t>
      </w:r>
      <w:r w:rsidR="00F22D76">
        <w:t>ipilimumab</w:t>
      </w:r>
      <w:r w:rsidRPr="00A31967">
        <w:t xml:space="preserve"> in patients with untreated melanoma.</w:t>
      </w:r>
      <w:r w:rsidR="000E73B0">
        <w:t xml:space="preserve"> </w:t>
      </w:r>
      <w:r w:rsidR="009E58CC">
        <w:t>CA184078 was a 3 arm, parallel, random</w:t>
      </w:r>
      <w:r w:rsidR="00C91631">
        <w:t>is</w:t>
      </w:r>
      <w:r w:rsidR="009E58CC">
        <w:t xml:space="preserve">ed, open </w:t>
      </w:r>
      <w:r w:rsidRPr="00A31967">
        <w:t>l</w:t>
      </w:r>
      <w:r w:rsidR="00284E81">
        <w:t>abel Phase I</w:t>
      </w:r>
      <w:r w:rsidRPr="00A31967">
        <w:t xml:space="preserve"> study, with an induction and mainten</w:t>
      </w:r>
      <w:r>
        <w:t>ance phase, over four centres.</w:t>
      </w:r>
    </w:p>
    <w:p w:rsidR="00A31967" w:rsidRPr="00A31967" w:rsidRDefault="00A31967" w:rsidP="00A31967">
      <w:pPr>
        <w:pStyle w:val="Heading5"/>
      </w:pPr>
      <w:r>
        <w:t>Methodology</w:t>
      </w:r>
    </w:p>
    <w:p w:rsidR="009E58CC" w:rsidRDefault="00A31967" w:rsidP="009E58CC">
      <w:pPr>
        <w:pStyle w:val="Heading6"/>
      </w:pPr>
      <w:r w:rsidRPr="00A31967">
        <w:t>Data co</w:t>
      </w:r>
      <w:r w:rsidR="009E58CC">
        <w:t>llection and analysis</w:t>
      </w:r>
    </w:p>
    <w:p w:rsidR="00A31967" w:rsidRPr="00A31967" w:rsidRDefault="00A31967" w:rsidP="00A31967">
      <w:r w:rsidRPr="00A31967">
        <w:t>ALC was measured with other haematology parameters prior to treatment (up to 28days), during induction (W</w:t>
      </w:r>
      <w:r w:rsidR="009E58CC">
        <w:t>ee</w:t>
      </w:r>
      <w:r w:rsidRPr="00A31967">
        <w:t>k 1, 4, 7, 10, 12, 13, 16, 19, 22), Maintenance (W</w:t>
      </w:r>
      <w:r w:rsidR="009E58CC">
        <w:t>ee</w:t>
      </w:r>
      <w:r w:rsidRPr="00A31967">
        <w:t>k 24, 36, 48</w:t>
      </w:r>
      <w:r w:rsidR="003538BC">
        <w:t xml:space="preserve"> </w:t>
      </w:r>
      <w:r w:rsidR="009E58CC">
        <w:t>+</w:t>
      </w:r>
      <w:r w:rsidRPr="00A31967">
        <w:t xml:space="preserve">), and at the end of the study. An extended linear model for longitudinal data was used to estimate mean ALC as a function of both time and treatment arm. Derived ALC measures included ALC at </w:t>
      </w:r>
      <w:r w:rsidRPr="00A31967">
        <w:lastRenderedPageBreak/>
        <w:t>baseline (ALC1), and the rate of change in ALC from baseline to at or just prior to the third infusion (</w:t>
      </w:r>
      <w:r w:rsidR="00C108F1">
        <w:t>‘</w:t>
      </w:r>
      <w:r w:rsidRPr="00A31967">
        <w:t>Slope3</w:t>
      </w:r>
      <w:r w:rsidR="00C108F1">
        <w:t>’</w:t>
      </w:r>
      <w:r w:rsidRPr="00A31967">
        <w:t xml:space="preserve"> to assess first half of the induction period) or to the end of the Induction-Dosing Period (</w:t>
      </w:r>
      <w:r w:rsidR="00C108F1">
        <w:t>‘</w:t>
      </w:r>
      <w:r w:rsidRPr="00A31967">
        <w:t>Slope5</w:t>
      </w:r>
      <w:r w:rsidR="00C108F1">
        <w:t>’</w:t>
      </w:r>
      <w:r w:rsidRPr="00A31967">
        <w:t xml:space="preserve">). Slopes were calculated for each subject individually as the estimated slope parameter from simple linear Ordinary Least Squares (OLS) regression. Frequencies and absolute count of activate CD4+/CD8+ cells were assessed by flow cytometry and their relationship with immune response clinical activity was investigated. Mean gene expression for 14 genes </w:t>
      </w:r>
      <w:r w:rsidR="000618B8">
        <w:t>(CD8A, FOXP3, TRA, MS4A1, GBP1, MX1, OAS2, RSAD2, KLRB1, TNFRSF2, IGKC, IGG, IGL, RRM2)</w:t>
      </w:r>
      <w:r w:rsidRPr="00A31967">
        <w:t xml:space="preserve"> was assessed by qRT-PCR was assessed for each time point, and the relationship with </w:t>
      </w:r>
      <w:r w:rsidR="00F22D76">
        <w:t>ipilimumab</w:t>
      </w:r>
      <w:r w:rsidRPr="00A31967">
        <w:t xml:space="preserve"> anti-tumour effect was examined. Based on previous findings, humoral response to NY-ESO-1 antigen was assessed, and the relationship between </w:t>
      </w:r>
      <w:r w:rsidR="003538BC">
        <w:t xml:space="preserve">a positive baseline versus post </w:t>
      </w:r>
      <w:r w:rsidRPr="00A31967">
        <w:t xml:space="preserve">baseline status and immune related clinical activity of </w:t>
      </w:r>
      <w:r w:rsidR="00F22D76">
        <w:t>ipilimumab</w:t>
      </w:r>
      <w:r w:rsidRPr="00A31967">
        <w:t xml:space="preserve"> was investigated. The mean change in ALC over time for each trea</w:t>
      </w:r>
      <w:r w:rsidR="003538BC">
        <w:t xml:space="preserve">tment arm and corresponding two </w:t>
      </w:r>
      <w:r w:rsidRPr="00A31967">
        <w:t>sided 95% CIs were estimated using an extended (</w:t>
      </w:r>
      <w:r w:rsidR="0026410F">
        <w:t>that is</w:t>
      </w:r>
      <w:r w:rsidRPr="00A31967">
        <w:t>, mixed) linear model. Linear logistic regression was used to estimate and test dependence of immune related clinical activity (irCA) on each ALC measure, by treatment arm.</w:t>
      </w:r>
    </w:p>
    <w:p w:rsidR="009E58CC" w:rsidRDefault="009E58CC" w:rsidP="009E58CC">
      <w:pPr>
        <w:pStyle w:val="Heading6"/>
      </w:pPr>
      <w:r>
        <w:t>Study participants</w:t>
      </w:r>
    </w:p>
    <w:p w:rsidR="00A31967" w:rsidRPr="00A31967" w:rsidRDefault="00A31967" w:rsidP="00A31967">
      <w:r w:rsidRPr="00A31967">
        <w:t xml:space="preserve">All 59 treated subjects were included in the pharmacodynamic </w:t>
      </w:r>
      <w:r w:rsidR="008E7212">
        <w:t xml:space="preserve">dataset, and of the 51 response </w:t>
      </w:r>
      <w:r w:rsidRPr="00A31967">
        <w:t>evaluable subjects in this study, between 44 (86.3%) and 51 (100%) were included in the analyses of association between ALC and immune related clinical activity.</w:t>
      </w:r>
      <w:r w:rsidR="000E73B0">
        <w:t xml:space="preserve"> </w:t>
      </w:r>
      <w:r w:rsidRPr="00A31967">
        <w:t>All 59 treated subjects had at least 2 and up to 9 ALC e</w:t>
      </w:r>
      <w:r w:rsidR="003538BC">
        <w:t>valuations during the induction dosing period, with a median of </w:t>
      </w:r>
      <w:r w:rsidRPr="00A31967">
        <w:t>6. The distribution of number of ALC evaluations per subject was similar among treatment arms.</w:t>
      </w:r>
    </w:p>
    <w:p w:rsidR="00A31967" w:rsidRPr="00A31967" w:rsidRDefault="00A31967" w:rsidP="00A31967">
      <w:r w:rsidRPr="00A31967">
        <w:t>With relevance to the contribution of this study to PD data, it is pertinent to review the number of patients in each arm.</w:t>
      </w:r>
      <w:r w:rsidR="000E73B0">
        <w:t xml:space="preserve"> </w:t>
      </w:r>
      <w:r w:rsidR="003538BC">
        <w:t xml:space="preserve">Some </w:t>
      </w:r>
      <w:r w:rsidRPr="00A31967">
        <w:t>59 were random</w:t>
      </w:r>
      <w:r w:rsidR="00C91631">
        <w:t>is</w:t>
      </w:r>
      <w:r w:rsidRPr="00A31967">
        <w:t xml:space="preserve">ed to treatment and received </w:t>
      </w:r>
      <w:r w:rsidR="00F22D76">
        <w:t>ipilimumab</w:t>
      </w:r>
      <w:r w:rsidRPr="00A31967">
        <w:t xml:space="preserve"> </w:t>
      </w:r>
      <w:r w:rsidR="003538BC">
        <w:t>+</w:t>
      </w:r>
      <w:r w:rsidRPr="00A31967">
        <w:t xml:space="preserve"> paclitaxel/carboplatin (Arm A, n = 20), </w:t>
      </w:r>
      <w:r w:rsidR="00F22D76">
        <w:t>ipilimumab</w:t>
      </w:r>
      <w:r w:rsidRPr="00A31967">
        <w:t xml:space="preserve"> + </w:t>
      </w:r>
      <w:r w:rsidR="00851B52">
        <w:t>dacarbazine</w:t>
      </w:r>
      <w:r w:rsidRPr="00A31967">
        <w:t xml:space="preserve"> (Arm B, n = 19), or </w:t>
      </w:r>
      <w:r w:rsidR="00F22D76">
        <w:t>ipilimumab</w:t>
      </w:r>
      <w:r w:rsidRPr="00A31967">
        <w:t xml:space="preserve"> alone (Arm C, n = 20). </w:t>
      </w:r>
      <w:r w:rsidR="003538BC">
        <w:t xml:space="preserve">Some </w:t>
      </w:r>
      <w:r w:rsidRPr="00A31967">
        <w:t>59 patients received one dose, but the majority of 41 (70%) patients did not complete induction due to PD (63%) or toxicity/death (34%).</w:t>
      </w:r>
      <w:r w:rsidR="000E73B0">
        <w:t xml:space="preserve"> </w:t>
      </w:r>
      <w:r w:rsidRPr="00A31967">
        <w:t xml:space="preserve">Thus, each conclusion below should be interpreted with caution due to small numbers per treatment arm. This study did not contribute any data directly relevant to the current application for use of </w:t>
      </w:r>
      <w:r w:rsidR="003538BC">
        <w:t>3 </w:t>
      </w:r>
      <w:r w:rsidR="00C108F1">
        <w:t>mg</w:t>
      </w:r>
      <w:r w:rsidRPr="00A31967">
        <w:t>/kg dosing in a previously untreated population.</w:t>
      </w:r>
    </w:p>
    <w:p w:rsidR="00A31967" w:rsidRPr="00A31967" w:rsidRDefault="00A31967" w:rsidP="00A31967">
      <w:pPr>
        <w:pStyle w:val="Heading5"/>
      </w:pPr>
      <w:r w:rsidRPr="00A31967">
        <w:t>PD results</w:t>
      </w:r>
    </w:p>
    <w:p w:rsidR="00A31967" w:rsidRPr="00A31967" w:rsidRDefault="00A31967" w:rsidP="00A31967">
      <w:pPr>
        <w:pStyle w:val="ListBullet"/>
      </w:pPr>
      <w:r w:rsidRPr="00A31967">
        <w:t xml:space="preserve">Mean ALC increased over time after initiation of </w:t>
      </w:r>
      <w:r w:rsidR="00F22D76">
        <w:t>ipilimumab</w:t>
      </w:r>
      <w:r w:rsidRPr="00A31967">
        <w:t xml:space="preserve"> treatment sim</w:t>
      </w:r>
      <w:r w:rsidR="008E7212">
        <w:t>ilarly in the 3 treatment arms</w:t>
      </w:r>
    </w:p>
    <w:p w:rsidR="00A31967" w:rsidRPr="00A31967" w:rsidRDefault="00A31967" w:rsidP="00A31967">
      <w:pPr>
        <w:pStyle w:val="ListBullet"/>
      </w:pPr>
      <w:r w:rsidRPr="00A31967">
        <w:t>Positive associations between irCA and increases in ALC were not statistically significant when analysed as a dic</w:t>
      </w:r>
      <w:r w:rsidR="008E7212">
        <w:t>hotomous or continuous variable</w:t>
      </w:r>
    </w:p>
    <w:p w:rsidR="00A31967" w:rsidRPr="00A31967" w:rsidRDefault="00A31967" w:rsidP="00A31967">
      <w:pPr>
        <w:pStyle w:val="ListBullet"/>
      </w:pPr>
      <w:r w:rsidRPr="00A31967">
        <w:t xml:space="preserve">Mean relative frequencies and absolute counts of activated CD4+ and CD8+ T cells increased significantly over time after initiation of </w:t>
      </w:r>
      <w:r w:rsidR="00F22D76">
        <w:t>ipilimumab</w:t>
      </w:r>
      <w:r w:rsidRPr="00A31967">
        <w:t xml:space="preserve"> treatment similarly in the 3 treatment arms. No associations between irCA and T cell s</w:t>
      </w:r>
      <w:r w:rsidR="008E7212">
        <w:t>ubset frequencies were apparent</w:t>
      </w:r>
    </w:p>
    <w:p w:rsidR="00A31967" w:rsidRPr="00A31967" w:rsidRDefault="00A31967" w:rsidP="00A31967">
      <w:pPr>
        <w:pStyle w:val="ListBullet"/>
      </w:pPr>
      <w:r w:rsidRPr="00A31967">
        <w:t>Expression of 12 of 14 immu</w:t>
      </w:r>
      <w:r w:rsidR="003538BC">
        <w:t xml:space="preserve">ne </w:t>
      </w:r>
      <w:r w:rsidRPr="00A31967">
        <w:t xml:space="preserve">related genes in peripheral blood changed significantly over time during </w:t>
      </w:r>
      <w:r w:rsidR="00F22D76">
        <w:t>ipilimumab</w:t>
      </w:r>
      <w:r w:rsidRPr="00A31967">
        <w:t xml:space="preserve"> induction dosing in at least one treatment arm. In the </w:t>
      </w:r>
      <w:r w:rsidR="00F22D76">
        <w:t>ipilimumab</w:t>
      </w:r>
      <w:r w:rsidRPr="00A31967">
        <w:t xml:space="preserve"> </w:t>
      </w:r>
      <w:r w:rsidR="003538BC">
        <w:t>+</w:t>
      </w:r>
      <w:r w:rsidRPr="00A31967">
        <w:t xml:space="preserve"> paclitaxel/carboplatin arm, me</w:t>
      </w:r>
      <w:r w:rsidR="003538BC">
        <w:t xml:space="preserve">an expression of several immune </w:t>
      </w:r>
      <w:r w:rsidRPr="00A31967">
        <w:t xml:space="preserve">related genes either increased more slowly, or </w:t>
      </w:r>
      <w:r w:rsidR="00DC6ED4">
        <w:t>d</w:t>
      </w:r>
      <w:r w:rsidR="00661517">
        <w:t>ec</w:t>
      </w:r>
      <w:r w:rsidRPr="00A31967">
        <w:t xml:space="preserve">reased more rapidly, than in the other arms. Statistically significant associations between irCA and baseline expression of 5 of the 14 genes were observed, predominantly for the </w:t>
      </w:r>
      <w:r w:rsidR="00F22D76">
        <w:t>ipilimumab</w:t>
      </w:r>
      <w:r w:rsidRPr="00A31967">
        <w:t xml:space="preserve"> </w:t>
      </w:r>
      <w:r w:rsidR="003538BC">
        <w:t>+</w:t>
      </w:r>
      <w:r w:rsidRPr="00A31967">
        <w:t xml:space="preserve"> chemotherapy treatment arms. Interpretation of these results should be performed with caution due to small numbers, and in the context of the current app</w:t>
      </w:r>
      <w:r w:rsidR="008E7212">
        <w:t>lication have limited relevance</w:t>
      </w:r>
    </w:p>
    <w:p w:rsidR="00A31967" w:rsidRPr="00A31967" w:rsidRDefault="00A31967" w:rsidP="00A31967">
      <w:pPr>
        <w:pStyle w:val="ListBullet"/>
      </w:pPr>
      <w:r w:rsidRPr="00A31967">
        <w:t>Concentrations of serum antibodies to NY-ESO-1 were stable over time in a large majority of subjects. No evidence of associ</w:t>
      </w:r>
      <w:r w:rsidR="003538BC">
        <w:t xml:space="preserve">ation between baseline or post </w:t>
      </w:r>
      <w:r w:rsidRPr="00A31967">
        <w:t>baseline NY-ESO-1 antibody concentration and irCA was observed.</w:t>
      </w:r>
    </w:p>
    <w:p w:rsidR="00A31967" w:rsidRPr="00A31967" w:rsidRDefault="00A31967" w:rsidP="00A31967">
      <w:pPr>
        <w:pStyle w:val="Heading5"/>
      </w:pPr>
      <w:r w:rsidRPr="00A31967">
        <w:lastRenderedPageBreak/>
        <w:t>Safety</w:t>
      </w:r>
    </w:p>
    <w:p w:rsidR="00A31967" w:rsidRPr="00A31967" w:rsidRDefault="00A31967" w:rsidP="00A31967">
      <w:r w:rsidRPr="00A31967">
        <w:t>See the PK section for this study. No additional comments are made.</w:t>
      </w:r>
    </w:p>
    <w:p w:rsidR="00A31967" w:rsidRPr="00E53D04" w:rsidRDefault="00BF0776" w:rsidP="00BF0776">
      <w:pPr>
        <w:pStyle w:val="Comment"/>
        <w:ind w:left="1134" w:hanging="1134"/>
      </w:pPr>
      <w:r>
        <w:rPr>
          <w:b/>
        </w:rPr>
        <w:t>C</w:t>
      </w:r>
      <w:r w:rsidR="00A31967" w:rsidRPr="008E7212">
        <w:rPr>
          <w:b/>
        </w:rPr>
        <w:t>omments</w:t>
      </w:r>
      <w:r w:rsidR="008E7212" w:rsidRPr="008E7212">
        <w:rPr>
          <w:b/>
        </w:rPr>
        <w:t>:</w:t>
      </w:r>
      <w:r w:rsidR="008E7212">
        <w:t xml:space="preserve"> </w:t>
      </w:r>
      <w:r w:rsidR="00A31967" w:rsidRPr="00A31967">
        <w:t>The study design, conduct and analysis were satisfactory.</w:t>
      </w:r>
      <w:r w:rsidR="000E73B0">
        <w:t xml:space="preserve"> </w:t>
      </w:r>
      <w:r w:rsidR="00A31967" w:rsidRPr="00A31967">
        <w:t xml:space="preserve">However, the </w:t>
      </w:r>
      <w:r w:rsidR="005F5E22">
        <w:t>sponsor</w:t>
      </w:r>
      <w:r w:rsidR="00A31967" w:rsidRPr="00A31967">
        <w:t xml:space="preserve"> notes that studies based on small numbers (approximately 20 patients per study Arm) should be interpreted with caution, and no PD data within this study addressed the current application for a </w:t>
      </w:r>
      <w:r w:rsidR="00C108F1">
        <w:t>3 mg</w:t>
      </w:r>
      <w:r w:rsidR="00A31967" w:rsidRPr="00A31967">
        <w:t>/kg posology</w:t>
      </w:r>
      <w:r w:rsidR="00A31967">
        <w:t>.</w:t>
      </w:r>
    </w:p>
    <w:p w:rsidR="00A31967" w:rsidRPr="00A31967" w:rsidRDefault="00A31967" w:rsidP="00A31967">
      <w:pPr>
        <w:pStyle w:val="Heading4"/>
      </w:pPr>
      <w:bookmarkStart w:id="128" w:name="_Ref384225315"/>
      <w:bookmarkStart w:id="129" w:name="_Toc390676203"/>
      <w:r w:rsidRPr="00A31967">
        <w:t>CA184024</w:t>
      </w:r>
      <w:bookmarkEnd w:id="128"/>
      <w:bookmarkEnd w:id="129"/>
    </w:p>
    <w:p w:rsidR="00A31967" w:rsidRPr="0049742D" w:rsidRDefault="00A31967" w:rsidP="00A31967">
      <w:r w:rsidRPr="0049742D">
        <w:t xml:space="preserve">A comprehensive summary of this study is provided </w:t>
      </w:r>
      <w:r w:rsidR="008E7212">
        <w:t xml:space="preserve">in the </w:t>
      </w:r>
      <w:r w:rsidRPr="0049742D">
        <w:t xml:space="preserve">Clinical Efficacy </w:t>
      </w:r>
      <w:r w:rsidR="008E7212">
        <w:t xml:space="preserve">section </w:t>
      </w:r>
      <w:r w:rsidRPr="0049742D">
        <w:t xml:space="preserve">and Safety </w:t>
      </w:r>
      <w:r w:rsidR="008E7212">
        <w:t>data is summarised in Section 8</w:t>
      </w:r>
      <w:r w:rsidRPr="0049742D">
        <w:t>.</w:t>
      </w:r>
      <w:r w:rsidR="000E73B0">
        <w:t xml:space="preserve"> </w:t>
      </w:r>
      <w:r w:rsidRPr="0049742D">
        <w:t>Only information relevant to PD parameters is described here.</w:t>
      </w:r>
    </w:p>
    <w:p w:rsidR="00A31967" w:rsidRPr="0049742D" w:rsidRDefault="00A31967" w:rsidP="0049742D">
      <w:pPr>
        <w:pStyle w:val="Heading5"/>
      </w:pPr>
      <w:r w:rsidRPr="0049742D">
        <w:t>Objectives</w:t>
      </w:r>
    </w:p>
    <w:p w:rsidR="00A31967" w:rsidRPr="0049742D" w:rsidRDefault="00A31967" w:rsidP="0049742D">
      <w:r w:rsidRPr="0049742D">
        <w:t>Briefly, CA184024 is a random</w:t>
      </w:r>
      <w:r w:rsidR="00C91631">
        <w:t>is</w:t>
      </w:r>
      <w:r w:rsidRPr="0049742D">
        <w:t xml:space="preserve">ed, double-blind, multicentre, </w:t>
      </w:r>
      <w:r w:rsidR="00F22D76">
        <w:t>Phase III</w:t>
      </w:r>
      <w:r w:rsidRPr="0049742D">
        <w:t xml:space="preserve"> study in untreated subjects with un</w:t>
      </w:r>
      <w:r w:rsidR="003538BC">
        <w:t xml:space="preserve"> </w:t>
      </w:r>
      <w:r w:rsidRPr="0049742D">
        <w:t xml:space="preserve">resectable Stage III or IV melanoma receiving DTIC plus placebo or DTIC plus 10 mg/kg of </w:t>
      </w:r>
      <w:r w:rsidR="00F22D76">
        <w:t>ipilimumab</w:t>
      </w:r>
      <w:r w:rsidRPr="0049742D">
        <w:t>. Ipilimumab was admin</w:t>
      </w:r>
      <w:r w:rsidR="003538BC">
        <w:t xml:space="preserve">istered as 4 single doses as 90 </w:t>
      </w:r>
      <w:r w:rsidRPr="0049742D">
        <w:t xml:space="preserve">minute IV infusions at Weeks 1, 4, 7 and 10 (treatment period) in combination with DTIC treatment. Subjects who were eligible for extended doses in the maintenance period received the same doses of </w:t>
      </w:r>
      <w:r w:rsidR="00F22D76">
        <w:t>ipilimumab</w:t>
      </w:r>
      <w:r w:rsidRPr="0049742D">
        <w:t xml:space="preserve"> on Weeks 24, 36, 48 and every 12 weeks on study thereafter until unacceptable toxicity, tumour progre</w:t>
      </w:r>
      <w:r w:rsidR="0049742D">
        <w:t>ssion or withdrawal of consent.</w:t>
      </w:r>
    </w:p>
    <w:p w:rsidR="00A31967" w:rsidRPr="0049742D" w:rsidRDefault="00A31967" w:rsidP="0049742D">
      <w:pPr>
        <w:pStyle w:val="Heading5"/>
      </w:pPr>
      <w:r w:rsidRPr="0049742D">
        <w:t>Methodology</w:t>
      </w:r>
    </w:p>
    <w:p w:rsidR="003538BC" w:rsidRDefault="00A31967" w:rsidP="003538BC">
      <w:pPr>
        <w:pStyle w:val="Heading6"/>
      </w:pPr>
      <w:r w:rsidRPr="0049742D">
        <w:t>P</w:t>
      </w:r>
      <w:r w:rsidR="003538BC">
        <w:t>D Data collection and analysis</w:t>
      </w:r>
    </w:p>
    <w:p w:rsidR="00A31967" w:rsidRPr="0049742D" w:rsidRDefault="00A31967" w:rsidP="0049742D">
      <w:r w:rsidRPr="0049742D">
        <w:t xml:space="preserve">Absolute lymphocyte count (ALC), which was measured as part of the haematology panel, was analysed as a potential pharmacodynamic marker of </w:t>
      </w:r>
      <w:r w:rsidR="00F22D76">
        <w:t>ipilimumab</w:t>
      </w:r>
      <w:r w:rsidRPr="0049742D">
        <w:t xml:space="preserve"> biologic activity.</w:t>
      </w:r>
    </w:p>
    <w:p w:rsidR="00A31967" w:rsidRPr="0049742D" w:rsidRDefault="00A31967" w:rsidP="0049742D">
      <w:r w:rsidRPr="0049742D">
        <w:t>Derived ALC measures included ALC at baseline (ALC1), and the rate of change in ALC from baseline to at or just prior to the third infusion (</w:t>
      </w:r>
      <w:r w:rsidR="00C108F1">
        <w:t>‘</w:t>
      </w:r>
      <w:r w:rsidRPr="0049742D">
        <w:t>Slope</w:t>
      </w:r>
      <w:r w:rsidR="008E7212">
        <w:t xml:space="preserve"> </w:t>
      </w:r>
      <w:r w:rsidRPr="0049742D">
        <w:t>3</w:t>
      </w:r>
      <w:r w:rsidR="00C108F1">
        <w:t>’</w:t>
      </w:r>
      <w:r w:rsidRPr="0049742D">
        <w:t xml:space="preserve"> to assess first half of the induction period)</w:t>
      </w:r>
      <w:r w:rsidR="003538BC">
        <w:t xml:space="preserve"> or to the end of the Induction </w:t>
      </w:r>
      <w:r w:rsidRPr="0049742D">
        <w:t>Dosing Period (</w:t>
      </w:r>
      <w:r w:rsidR="00C108F1">
        <w:t>‘</w:t>
      </w:r>
      <w:r w:rsidRPr="0049742D">
        <w:t>Slope</w:t>
      </w:r>
      <w:r w:rsidR="008E7212">
        <w:t xml:space="preserve"> </w:t>
      </w:r>
      <w:r w:rsidRPr="0049742D">
        <w:t>5</w:t>
      </w:r>
      <w:r w:rsidR="00C108F1">
        <w:t>’</w:t>
      </w:r>
      <w:r w:rsidRPr="0049742D">
        <w:t xml:space="preserve">). The slope of ALC versus weeks since first dose was estimated by simple linear regression for each subject </w:t>
      </w:r>
      <w:r w:rsidR="008E7212">
        <w:t>separately</w:t>
      </w:r>
      <w:r w:rsidRPr="0049742D">
        <w:t>. Haematology included were collected at baseline (up to 28 days prior to first study dosing), during Induction (W</w:t>
      </w:r>
      <w:r w:rsidR="003538BC">
        <w:t>ee</w:t>
      </w:r>
      <w:r w:rsidRPr="0049742D">
        <w:t>k1, 4, 7, 10, 12 and 24), during Maintenance (W</w:t>
      </w:r>
      <w:r w:rsidR="003538BC">
        <w:t>ee</w:t>
      </w:r>
      <w:r w:rsidRPr="0049742D">
        <w:t>k 36, 40) and at the study completion. Linear logistic regression was used to estimate and test dependence of clinical activity on ea</w:t>
      </w:r>
      <w:r w:rsidR="003538BC">
        <w:t xml:space="preserve">ch ALC measure (as a continuous </w:t>
      </w:r>
      <w:r w:rsidRPr="0049742D">
        <w:t>valued predictor), treatment group, and treatment-by-measure interaction. Reported Odds Ratios were scaled to give the fold change in odds of clinical activity when increasing ALC1 by 1 unit, or Slope</w:t>
      </w:r>
      <w:r w:rsidR="008E7212">
        <w:t xml:space="preserve"> </w:t>
      </w:r>
      <w:r w:rsidRPr="0049742D">
        <w:t>3 or Slope</w:t>
      </w:r>
      <w:r w:rsidR="008E7212">
        <w:t xml:space="preserve"> </w:t>
      </w:r>
      <w:r w:rsidRPr="0049742D">
        <w:t>5 by 0.1 units. Slope</w:t>
      </w:r>
      <w:r w:rsidR="008E7212">
        <w:t> </w:t>
      </w:r>
      <w:r w:rsidRPr="0049742D">
        <w:t>3 versus ALC1 and Slope</w:t>
      </w:r>
      <w:r w:rsidR="008E7212">
        <w:t xml:space="preserve"> </w:t>
      </w:r>
      <w:r w:rsidRPr="0049742D">
        <w:t>5 versus ALC1 were plotted, by treatment and CA group. Cox proportional hazards (PH) models were used to assess the dependence of OS on ALC measures.</w:t>
      </w:r>
    </w:p>
    <w:p w:rsidR="00A31967" w:rsidRPr="0049742D" w:rsidRDefault="00A31967" w:rsidP="0049742D">
      <w:r w:rsidRPr="0049742D">
        <w:t>The relationship between OS and baseline ALC and ALC1 as a continuous variable and dichotomous variable (</w:t>
      </w:r>
      <w:r w:rsidRPr="00717AA9">
        <w:t>threshold of 1 x</w:t>
      </w:r>
      <w:r w:rsidR="008E7212">
        <w:t xml:space="preserve"> </w:t>
      </w:r>
      <w:r w:rsidRPr="00717AA9">
        <w:t>103 c/</w:t>
      </w:r>
      <w:r w:rsidR="00717AA9" w:rsidRPr="00717AA9">
        <w:t>µ</w:t>
      </w:r>
      <w:r w:rsidRPr="00717AA9">
        <w:t>L)</w:t>
      </w:r>
      <w:r w:rsidRPr="0049742D">
        <w:t xml:space="preserve"> was assessed with Cox </w:t>
      </w:r>
      <w:r w:rsidR="0049742D">
        <w:t>proportional hazards modelling.</w:t>
      </w:r>
    </w:p>
    <w:p w:rsidR="0049742D" w:rsidRPr="0049742D" w:rsidRDefault="00717AA9" w:rsidP="0049742D">
      <w:pPr>
        <w:pStyle w:val="Heading5"/>
      </w:pPr>
      <w:r>
        <w:t>Study participants</w:t>
      </w:r>
    </w:p>
    <w:p w:rsidR="00A31967" w:rsidRPr="0049742D" w:rsidRDefault="00717AA9" w:rsidP="00A31967">
      <w:r>
        <w:t xml:space="preserve">Some </w:t>
      </w:r>
      <w:r w:rsidR="00A31967" w:rsidRPr="0049742D">
        <w:t>497</w:t>
      </w:r>
      <w:r w:rsidR="005853BB">
        <w:t xml:space="preserve"> out of </w:t>
      </w:r>
      <w:r w:rsidR="00A31967" w:rsidRPr="0049742D">
        <w:t xml:space="preserve">498 of the treated subjects who had an unambiguous date of first </w:t>
      </w:r>
      <w:r w:rsidR="00F22D76">
        <w:t>ipilimumab</w:t>
      </w:r>
      <w:r w:rsidR="00A31967" w:rsidRPr="0049742D">
        <w:t xml:space="preserve"> dose and at least one ALC evaluation during the </w:t>
      </w:r>
      <w:r>
        <w:t>i</w:t>
      </w:r>
      <w:r w:rsidR="00A31967" w:rsidRPr="0049742D">
        <w:t>nductio</w:t>
      </w:r>
      <w:r>
        <w:t>n d</w:t>
      </w:r>
      <w:r w:rsidR="00A31967" w:rsidRPr="0049742D">
        <w:t xml:space="preserve">osing </w:t>
      </w:r>
      <w:r>
        <w:t>p</w:t>
      </w:r>
      <w:r w:rsidR="00A31967" w:rsidRPr="0049742D">
        <w:t>eriod were included in the Pharmacodynamic dataset. Correlation between AL</w:t>
      </w:r>
      <w:r>
        <w:t xml:space="preserve">C and OS included only response </w:t>
      </w:r>
      <w:r w:rsidR="00A31967" w:rsidRPr="0049742D">
        <w:t>evaluable subjects.</w:t>
      </w:r>
      <w:r w:rsidR="000E73B0">
        <w:t xml:space="preserve"> </w:t>
      </w:r>
      <w:r w:rsidR="00A31967" w:rsidRPr="0049742D">
        <w:t>For analyses described there were for Slope</w:t>
      </w:r>
      <w:r w:rsidR="00A71C22">
        <w:t xml:space="preserve"> </w:t>
      </w:r>
      <w:r w:rsidR="00A31967" w:rsidRPr="0049742D">
        <w:t>3, 345 (69.3%) patients and for Slope</w:t>
      </w:r>
      <w:r w:rsidR="00A71C22">
        <w:t xml:space="preserve"> </w:t>
      </w:r>
      <w:r w:rsidR="00A31967" w:rsidRPr="0049742D">
        <w:t>5, 286 (57.4%) subjects available.</w:t>
      </w:r>
      <w:r w:rsidR="000E73B0">
        <w:t xml:space="preserve"> </w:t>
      </w:r>
      <w:r w:rsidR="00A31967" w:rsidRPr="0049742D">
        <w:t>For analyses of associations between OS and ALC measures, between 328 (65.9%) and 482 (96.8%) treated subjects were available. All treated subjects had at least 1 and up to 22 ALC e</w:t>
      </w:r>
      <w:r>
        <w:t xml:space="preserve">valuations during the induction </w:t>
      </w:r>
      <w:r w:rsidR="00A31967" w:rsidRPr="0049742D">
        <w:t>dosing period, with a median of 6. The distribution of number of ALC evaluations per subject was similar between treatment groups.</w:t>
      </w:r>
    </w:p>
    <w:p w:rsidR="00A31967" w:rsidRPr="0049742D" w:rsidRDefault="00A31967" w:rsidP="0049742D">
      <w:pPr>
        <w:pStyle w:val="Heading5"/>
      </w:pPr>
      <w:r w:rsidRPr="0049742D">
        <w:lastRenderedPageBreak/>
        <w:t>PD results</w:t>
      </w:r>
    </w:p>
    <w:p w:rsidR="00A31967" w:rsidRPr="0049742D" w:rsidRDefault="00A31967" w:rsidP="0049742D">
      <w:r w:rsidRPr="0049742D">
        <w:t xml:space="preserve">Mean ALC was similar at first dose between treatment groups, and then increased over time after initiation of treatment in the </w:t>
      </w:r>
      <w:r w:rsidR="00F22D76">
        <w:t>ipilimumab</w:t>
      </w:r>
      <w:r w:rsidRPr="0049742D">
        <w:t xml:space="preserve"> plus DTIC group, but not in the DTIC monotherapy group. Baseline ALC was not associated with clinical activity of </w:t>
      </w:r>
      <w:r w:rsidR="00F22D76">
        <w:t>ipilimumab</w:t>
      </w:r>
      <w:r w:rsidRPr="0049742D">
        <w:t xml:space="preserve">. The estimated HR comparing the ALC1 </w:t>
      </w:r>
      <w:r w:rsidR="00A413D2">
        <w:t>≥</w:t>
      </w:r>
      <w:r w:rsidRPr="0049742D">
        <w:t xml:space="preserve"> 1 x</w:t>
      </w:r>
      <w:r w:rsidR="00A71C22">
        <w:t xml:space="preserve"> </w:t>
      </w:r>
      <w:r w:rsidRPr="0049742D">
        <w:t>10</w:t>
      </w:r>
      <w:r w:rsidRPr="00806C69">
        <w:rPr>
          <w:vertAlign w:val="superscript"/>
        </w:rPr>
        <w:t>3</w:t>
      </w:r>
      <w:r w:rsidRPr="0049742D">
        <w:t xml:space="preserve"> c/</w:t>
      </w:r>
      <w:r w:rsidR="00717AA9">
        <w:t>µ</w:t>
      </w:r>
      <w:r w:rsidRPr="0049742D">
        <w:t>L and ALC1 &lt; 1 x</w:t>
      </w:r>
      <w:r w:rsidR="00A71C22">
        <w:t xml:space="preserve"> </w:t>
      </w:r>
      <w:r w:rsidRPr="0049742D">
        <w:t>10</w:t>
      </w:r>
      <w:r w:rsidRPr="00806C69">
        <w:rPr>
          <w:vertAlign w:val="superscript"/>
        </w:rPr>
        <w:t>3</w:t>
      </w:r>
      <w:r w:rsidRPr="0049742D">
        <w:t xml:space="preserve"> c/</w:t>
      </w:r>
      <w:r w:rsidR="00717AA9">
        <w:t>µ</w:t>
      </w:r>
      <w:r w:rsidRPr="0049742D">
        <w:t xml:space="preserve">L was 0.61 (95% CI: 0.40, 0.92) for the </w:t>
      </w:r>
      <w:r w:rsidR="00F22D76">
        <w:t>ipilimumab</w:t>
      </w:r>
      <w:r w:rsidRPr="0049742D">
        <w:t xml:space="preserve"> plus DTIC group and 0.79 (95% CI: 0.55, 1.12) for the DTIC monotherapy group, suggesting a greater ALC1 effect on OS in the former group. However, the ALC1 effect did not differ significantly between the 2 treatment groups (p = 0.370). The rate of change in ALC over time was not significantly associated with OS. Thus, a higher ALC at baseline may be an independent prognostic variable given that it was significantly associated with longer OS independent of treatment assignment. Thus, the results show that ALC is not a pharmacodynamic marker of </w:t>
      </w:r>
      <w:r w:rsidR="00F22D76">
        <w:t>ipilimumab</w:t>
      </w:r>
      <w:r w:rsidRPr="0049742D">
        <w:t xml:space="preserve"> activity.</w:t>
      </w:r>
    </w:p>
    <w:p w:rsidR="00BF0776" w:rsidRPr="00E53D04" w:rsidRDefault="00BF0776" w:rsidP="00BF0776">
      <w:pPr>
        <w:pStyle w:val="Comment"/>
        <w:ind w:left="1134" w:hanging="1134"/>
      </w:pPr>
      <w:r>
        <w:rPr>
          <w:b/>
        </w:rPr>
        <w:t>C</w:t>
      </w:r>
      <w:r w:rsidR="006E15A4">
        <w:rPr>
          <w:b/>
        </w:rPr>
        <w:t>omment</w:t>
      </w:r>
      <w:r w:rsidR="0049742D" w:rsidRPr="00BF0776">
        <w:rPr>
          <w:b/>
        </w:rPr>
        <w:t>:</w:t>
      </w:r>
      <w:r w:rsidR="0049742D" w:rsidRPr="0049742D">
        <w:t xml:space="preserve"> </w:t>
      </w:r>
      <w:r w:rsidRPr="0049742D">
        <w:t xml:space="preserve">The study design, conduct </w:t>
      </w:r>
      <w:r>
        <w:t xml:space="preserve">and analysis were satisfactory. </w:t>
      </w:r>
      <w:r w:rsidRPr="0049742D">
        <w:t xml:space="preserve">With respect to the current application, the posology of this study differs. The data on ALC </w:t>
      </w:r>
      <w:r>
        <w:t>changes is similar to previous.</w:t>
      </w:r>
    </w:p>
    <w:p w:rsidR="00A31967" w:rsidRPr="001C5E73" w:rsidRDefault="00A31967" w:rsidP="00BF0776">
      <w:pPr>
        <w:pStyle w:val="Comment"/>
        <w:ind w:left="1134" w:firstLine="0"/>
      </w:pPr>
      <w:r w:rsidRPr="0049742D">
        <w:t xml:space="preserve">The correlative analyses with respect to PD are annotated here given the </w:t>
      </w:r>
      <w:r w:rsidR="005F5E22">
        <w:t>sponsor</w:t>
      </w:r>
      <w:r w:rsidRPr="0049742D">
        <w:t xml:space="preserve">’s presentation of the data, but ultimately it has no relevance to </w:t>
      </w:r>
      <w:r w:rsidR="00F22D76">
        <w:t>ipilimumab</w:t>
      </w:r>
      <w:r w:rsidRPr="0049742D">
        <w:t xml:space="preserve"> PD as the measure of baseline AL</w:t>
      </w:r>
      <w:r w:rsidR="0049742D" w:rsidRPr="0049742D">
        <w:t>C was independent of treatment.</w:t>
      </w:r>
    </w:p>
    <w:p w:rsidR="00A31967" w:rsidRPr="0049742D" w:rsidRDefault="00A31967" w:rsidP="0049742D">
      <w:pPr>
        <w:pStyle w:val="Heading4"/>
      </w:pPr>
      <w:bookmarkStart w:id="130" w:name="_Toc241374299"/>
      <w:bookmarkStart w:id="131" w:name="_Toc272414640"/>
      <w:bookmarkStart w:id="132" w:name="_Toc290846262"/>
      <w:bookmarkStart w:id="133" w:name="_Toc390676204"/>
      <w:r w:rsidRPr="0049742D">
        <w:t>Mechanism of action</w:t>
      </w:r>
      <w:bookmarkEnd w:id="130"/>
      <w:bookmarkEnd w:id="131"/>
      <w:bookmarkEnd w:id="132"/>
      <w:bookmarkEnd w:id="133"/>
    </w:p>
    <w:p w:rsidR="00A31967" w:rsidRPr="00A83B61" w:rsidRDefault="00A31967" w:rsidP="00A31967">
      <w:r w:rsidRPr="0049742D">
        <w:t>No new studies have been submitted that are relevant.</w:t>
      </w:r>
    </w:p>
    <w:p w:rsidR="00A31967" w:rsidRPr="0049742D" w:rsidRDefault="00A31967" w:rsidP="0049742D">
      <w:pPr>
        <w:pStyle w:val="Heading4"/>
      </w:pPr>
      <w:bookmarkStart w:id="134" w:name="_Toc241374300"/>
      <w:bookmarkStart w:id="135" w:name="_Toc272414641"/>
      <w:bookmarkStart w:id="136" w:name="_Toc290846263"/>
      <w:bookmarkStart w:id="137" w:name="_Toc390676205"/>
      <w:r w:rsidRPr="0049742D">
        <w:t>Pharmacodynamic effects</w:t>
      </w:r>
      <w:bookmarkEnd w:id="134"/>
      <w:bookmarkEnd w:id="135"/>
      <w:bookmarkEnd w:id="136"/>
      <w:bookmarkEnd w:id="137"/>
    </w:p>
    <w:p w:rsidR="00A31967" w:rsidRPr="0049742D" w:rsidRDefault="00A31967" w:rsidP="0049742D">
      <w:pPr>
        <w:pStyle w:val="Heading5"/>
      </w:pPr>
      <w:bookmarkStart w:id="138" w:name="_Toc272414642"/>
      <w:bookmarkStart w:id="139" w:name="_Toc290846264"/>
      <w:bookmarkStart w:id="140" w:name="_Toc390676206"/>
      <w:r w:rsidRPr="0049742D">
        <w:t>Primary pharmacodynamic effects</w:t>
      </w:r>
      <w:bookmarkEnd w:id="138"/>
      <w:bookmarkEnd w:id="139"/>
      <w:bookmarkEnd w:id="140"/>
    </w:p>
    <w:p w:rsidR="00A31967" w:rsidRPr="00A83B61" w:rsidRDefault="00A31967" w:rsidP="00A31967">
      <w:bookmarkStart w:id="141" w:name="_Toc272414643"/>
      <w:bookmarkStart w:id="142" w:name="_Toc290846265"/>
      <w:r w:rsidRPr="00A83B61">
        <w:t>No new studies have been submitted that are relevant.</w:t>
      </w:r>
    </w:p>
    <w:p w:rsidR="00A31967" w:rsidRPr="0049742D" w:rsidRDefault="00A31967" w:rsidP="0049742D">
      <w:pPr>
        <w:pStyle w:val="Heading5"/>
      </w:pPr>
      <w:bookmarkStart w:id="143" w:name="_Toc390676207"/>
      <w:r w:rsidRPr="0049742D">
        <w:t>Secondary pharmacodynamic effects</w:t>
      </w:r>
      <w:bookmarkEnd w:id="141"/>
      <w:bookmarkEnd w:id="142"/>
      <w:bookmarkEnd w:id="143"/>
    </w:p>
    <w:p w:rsidR="00A31967" w:rsidRPr="0049742D" w:rsidRDefault="00A31967" w:rsidP="0049742D">
      <w:r w:rsidRPr="0049742D">
        <w:t xml:space="preserve">New PD data from both CA184078 (relatively sparse) and CA184024 addressed the effect of </w:t>
      </w:r>
      <w:r w:rsidR="00F22D76">
        <w:t>ipilimumab</w:t>
      </w:r>
      <w:r w:rsidRPr="0049742D">
        <w:t xml:space="preserve"> on absolute lymphocyte count (ALC). Taking note that these studies utilised a </w:t>
      </w:r>
      <w:r w:rsidR="00717AA9">
        <w:t>10 </w:t>
      </w:r>
      <w:r w:rsidR="00C108F1">
        <w:t>mg</w:t>
      </w:r>
      <w:r w:rsidRPr="0049742D">
        <w:t xml:space="preserve">/kg posology, CA184078 had three treatment arms including monotherapy with </w:t>
      </w:r>
      <w:r w:rsidR="00F22D76">
        <w:t>ipilimumab</w:t>
      </w:r>
      <w:r w:rsidRPr="0049742D">
        <w:t xml:space="preserve">, and CA184024 utilised an investigational arm of combination therapy </w:t>
      </w:r>
      <w:r w:rsidR="00F22D76">
        <w:t>ipilimumab</w:t>
      </w:r>
      <w:r w:rsidR="00395D30">
        <w:t> </w:t>
      </w:r>
      <w:r w:rsidRPr="0049742D">
        <w:t>+</w:t>
      </w:r>
      <w:r w:rsidR="00395D30">
        <w:t> </w:t>
      </w:r>
      <w:r w:rsidRPr="0049742D">
        <w:t>DTIC</w:t>
      </w:r>
      <w:r w:rsidR="0049742D">
        <w:t xml:space="preserve"> versus DTIC + placebo.</w:t>
      </w:r>
    </w:p>
    <w:p w:rsidR="00A31967" w:rsidRDefault="00A31967" w:rsidP="00A31967">
      <w:r w:rsidRPr="0049742D">
        <w:t xml:space="preserve">As observed in previous studies, mean ALC increased over time with repeated dosing of </w:t>
      </w:r>
      <w:r w:rsidR="00F22D76">
        <w:t>ipilimumab</w:t>
      </w:r>
      <w:r w:rsidRPr="0049742D">
        <w:t xml:space="preserve">, with no differences noted between treatment arms that contained </w:t>
      </w:r>
      <w:r w:rsidR="00F22D76">
        <w:t>ipilimumab</w:t>
      </w:r>
      <w:r w:rsidRPr="0049742D">
        <w:t xml:space="preserve"> (irrespective of concurrent chemotherapy). Increases in ALC were not s</w:t>
      </w:r>
      <w:r w:rsidR="0049742D">
        <w:t>een in the DTIC + placebo arm.</w:t>
      </w:r>
      <w:r w:rsidR="00BF0776">
        <w:t xml:space="preserve"> </w:t>
      </w:r>
      <w:r w:rsidRPr="0049742D">
        <w:t>Other exploratory studies have been described in the pre</w:t>
      </w:r>
      <w:r w:rsidR="0049742D">
        <w:t>vious section.</w:t>
      </w:r>
    </w:p>
    <w:p w:rsidR="00A31967" w:rsidRPr="0049742D" w:rsidRDefault="00A31967" w:rsidP="0049742D">
      <w:pPr>
        <w:pStyle w:val="Heading3"/>
      </w:pPr>
      <w:bookmarkStart w:id="144" w:name="_Ref269983272"/>
      <w:bookmarkStart w:id="145" w:name="_Toc272414648"/>
      <w:bookmarkStart w:id="146" w:name="_Toc290846270"/>
      <w:bookmarkStart w:id="147" w:name="_Toc390676208"/>
      <w:bookmarkStart w:id="148" w:name="_Toc475616215"/>
      <w:r w:rsidRPr="0049742D">
        <w:t>Evaluator’s overall conclusions on pharmacodynamics</w:t>
      </w:r>
      <w:bookmarkEnd w:id="144"/>
      <w:bookmarkEnd w:id="145"/>
      <w:bookmarkEnd w:id="146"/>
      <w:bookmarkEnd w:id="147"/>
      <w:bookmarkEnd w:id="148"/>
    </w:p>
    <w:p w:rsidR="00A31967" w:rsidRDefault="00A31967" w:rsidP="00A31967">
      <w:r w:rsidRPr="0049742D">
        <w:t xml:space="preserve">New PD data using the </w:t>
      </w:r>
      <w:r w:rsidR="00C108F1">
        <w:t>10 mg</w:t>
      </w:r>
      <w:r w:rsidRPr="0049742D">
        <w:t xml:space="preserve">/kg posology confirms previous observations regarding increases in ALC with repeated </w:t>
      </w:r>
      <w:r w:rsidR="00F22D76">
        <w:t>ipilimumab</w:t>
      </w:r>
      <w:r w:rsidRPr="0049742D">
        <w:t xml:space="preserve"> doses over time.</w:t>
      </w:r>
      <w:r w:rsidR="00A71C22">
        <w:t xml:space="preserve"> </w:t>
      </w:r>
      <w:r w:rsidRPr="0049742D">
        <w:t>Overall, no new data addressing the current application for the</w:t>
      </w:r>
      <w:r w:rsidR="0049742D">
        <w:t xml:space="preserve"> </w:t>
      </w:r>
      <w:r w:rsidR="00C108F1">
        <w:t>3 mg</w:t>
      </w:r>
      <w:r w:rsidR="0049742D">
        <w:t>/kg posology is presented.</w:t>
      </w:r>
    </w:p>
    <w:p w:rsidR="00552E3D" w:rsidRPr="00552E3D" w:rsidRDefault="00552E3D" w:rsidP="00552E3D">
      <w:pPr>
        <w:pStyle w:val="Heading3"/>
      </w:pPr>
      <w:bookmarkStart w:id="149" w:name="_Toc475616216"/>
      <w:r w:rsidRPr="00552E3D">
        <w:t>Population Pharmacokinetic report</w:t>
      </w:r>
      <w:bookmarkEnd w:id="149"/>
    </w:p>
    <w:p w:rsidR="00552E3D" w:rsidRDefault="00552E3D" w:rsidP="00552E3D">
      <w:r>
        <w:t xml:space="preserve">A separate PopPK evaluation was prepared for this submission. </w:t>
      </w:r>
      <w:r w:rsidR="00AE2D9F">
        <w:t>This section contains an extract from that report.</w:t>
      </w:r>
    </w:p>
    <w:p w:rsidR="004D2D70" w:rsidRDefault="004D2D70" w:rsidP="004D2D70">
      <w:pPr>
        <w:pStyle w:val="Heading4"/>
      </w:pPr>
      <w:r>
        <w:t>Analysis of Study</w:t>
      </w:r>
    </w:p>
    <w:p w:rsidR="00552E3D" w:rsidRDefault="004D2D70" w:rsidP="00552E3D">
      <w:r>
        <w:t xml:space="preserve">Analysis of Study </w:t>
      </w:r>
      <w:r w:rsidR="00552E3D" w:rsidRPr="008240FF">
        <w:t xml:space="preserve">Ipilimumab </w:t>
      </w:r>
      <w:r w:rsidR="00AE2D9F">
        <w:t>PopPK</w:t>
      </w:r>
      <w:r w:rsidR="00552E3D" w:rsidRPr="008240FF">
        <w:t xml:space="preserve"> </w:t>
      </w:r>
      <w:r w:rsidRPr="008240FF">
        <w:t xml:space="preserve">and </w:t>
      </w:r>
      <w:r>
        <w:t xml:space="preserve">exposure – response analyses in </w:t>
      </w:r>
      <w:r w:rsidRPr="008240FF">
        <w:t>previously treated or untreated subjects with advanced melanoma</w:t>
      </w:r>
      <w:r>
        <w:t>.</w:t>
      </w:r>
    </w:p>
    <w:p w:rsidR="00552E3D" w:rsidRPr="008240FF" w:rsidRDefault="00552E3D" w:rsidP="004D2D70">
      <w:pPr>
        <w:pStyle w:val="Heading5"/>
        <w:rPr>
          <w:rFonts w:eastAsiaTheme="minorHAnsi"/>
        </w:rPr>
      </w:pPr>
      <w:r w:rsidRPr="008240FF">
        <w:rPr>
          <w:rFonts w:eastAsiaTheme="minorHAnsi"/>
        </w:rPr>
        <w:lastRenderedPageBreak/>
        <w:t>Study summary</w:t>
      </w:r>
    </w:p>
    <w:p w:rsidR="00552E3D" w:rsidRPr="008240FF" w:rsidRDefault="00552E3D" w:rsidP="00552E3D">
      <w:r w:rsidRPr="008240FF">
        <w:t>A population pharmacokinetic (P</w:t>
      </w:r>
      <w:r>
        <w:t>op</w:t>
      </w:r>
      <w:r w:rsidRPr="008240FF">
        <w:t>PK) analysis was use</w:t>
      </w:r>
      <w:r>
        <w:t xml:space="preserve">d to describe the intensive and </w:t>
      </w:r>
      <w:r w:rsidRPr="008240FF">
        <w:t>sparse pharmacokinetic (PK) data from 785 subj</w:t>
      </w:r>
      <w:r>
        <w:t xml:space="preserve">ects with advanced melanoma who </w:t>
      </w:r>
      <w:r w:rsidRPr="008240FF">
        <w:t>received 0.3 mg/kg, 3 mg/kg, or 10 mg/kg ipilimumab</w:t>
      </w:r>
      <w:r>
        <w:t xml:space="preserve"> during the treatment period in one Phase I</w:t>
      </w:r>
      <w:r w:rsidRPr="008240FF">
        <w:t xml:space="preserve"> study (CA184078), four Phase</w:t>
      </w:r>
      <w:r>
        <w:t xml:space="preserve"> II studies (CA184004, CA184007, </w:t>
      </w:r>
      <w:r w:rsidRPr="008240FF">
        <w:t>CA1840</w:t>
      </w:r>
      <w:r>
        <w:t>08, and CA184022) and one PhaseIII</w:t>
      </w:r>
      <w:r w:rsidRPr="008240FF">
        <w:t xml:space="preserve"> study</w:t>
      </w:r>
      <w:r>
        <w:t xml:space="preserve"> (CA184024). PK data for </w:t>
      </w:r>
      <w:r w:rsidRPr="008240FF">
        <w:t xml:space="preserve">intravenous administered ipilimumab are available </w:t>
      </w:r>
      <w:r>
        <w:t xml:space="preserve">from Phase I, II, and III clinical </w:t>
      </w:r>
      <w:r w:rsidRPr="008240FF">
        <w:t>studies.</w:t>
      </w:r>
    </w:p>
    <w:p w:rsidR="00552E3D" w:rsidRDefault="00552E3D" w:rsidP="00552E3D">
      <w:r w:rsidRPr="008240FF">
        <w:t>Non-compartmental analysis provided PK param</w:t>
      </w:r>
      <w:r>
        <w:t xml:space="preserve">eters derived from intensive PK </w:t>
      </w:r>
      <w:r w:rsidRPr="008240FF">
        <w:t>data collected from subjects with advanced melanoma who received</w:t>
      </w:r>
      <w:r>
        <w:t xml:space="preserve"> 3 or 10 mg/kg </w:t>
      </w:r>
      <w:r w:rsidRPr="008240FF">
        <w:t>ipilimumab during the treatment period. No st</w:t>
      </w:r>
      <w:r>
        <w:t xml:space="preserve">udies were performed in healthy </w:t>
      </w:r>
      <w:r w:rsidRPr="008240FF">
        <w:t>subjects due to the safety profile of ipilimumab. In addition, a P</w:t>
      </w:r>
      <w:r>
        <w:t>op</w:t>
      </w:r>
      <w:r w:rsidRPr="008240FF">
        <w:t>PK analysis was used</w:t>
      </w:r>
      <w:r>
        <w:t xml:space="preserve"> </w:t>
      </w:r>
      <w:r w:rsidRPr="008240FF">
        <w:t>to describe the intensive and sparse PK data from 785 subjects with advanced</w:t>
      </w:r>
      <w:r>
        <w:t xml:space="preserve"> </w:t>
      </w:r>
      <w:r w:rsidRPr="008240FF">
        <w:t>melanoma. Additionally, the exposure response (</w:t>
      </w:r>
      <w:r w:rsidR="0039038B">
        <w:t>ER</w:t>
      </w:r>
      <w:r>
        <w:t>) relationship between trough concentration at steady-state (</w:t>
      </w:r>
      <w:r w:rsidR="00A05B08" w:rsidRPr="00FA355C">
        <w:t>C</w:t>
      </w:r>
      <w:r w:rsidR="00A05B08" w:rsidRPr="00A05B08">
        <w:rPr>
          <w:vertAlign w:val="subscript"/>
        </w:rPr>
        <w:t>minss</w:t>
      </w:r>
      <w:r w:rsidRPr="008240FF">
        <w:t>) and overall s</w:t>
      </w:r>
      <w:r>
        <w:t xml:space="preserve">urvival (OS) and immune-related </w:t>
      </w:r>
      <w:r w:rsidRPr="008240FF">
        <w:t>adverse effects (irAE) were described.</w:t>
      </w:r>
    </w:p>
    <w:p w:rsidR="00552E3D" w:rsidRPr="008240FF" w:rsidRDefault="00AE2D9F" w:rsidP="004D2D70">
      <w:pPr>
        <w:pStyle w:val="Heading5"/>
      </w:pPr>
      <w:r>
        <w:t>Study objectives</w:t>
      </w:r>
    </w:p>
    <w:p w:rsidR="00AE2D9F" w:rsidRDefault="00AE2D9F" w:rsidP="00552E3D">
      <w:pPr>
        <w:pStyle w:val="ListBullet"/>
        <w:numPr>
          <w:ilvl w:val="0"/>
          <w:numId w:val="0"/>
        </w:numPr>
      </w:pPr>
      <w:r>
        <w:t>The objectives of the study were:</w:t>
      </w:r>
    </w:p>
    <w:p w:rsidR="00552E3D" w:rsidRPr="00AE2D9F" w:rsidRDefault="00AE2D9F" w:rsidP="00AE2D9F">
      <w:pPr>
        <w:pStyle w:val="ListBullet"/>
      </w:pPr>
      <w:r w:rsidRPr="00AE2D9F">
        <w:t>T</w:t>
      </w:r>
      <w:r w:rsidR="00552E3D" w:rsidRPr="00AE2D9F">
        <w:t>o describe the PK of ipilimumab in previously treated or untreated patients with advanced melanoma, and to quantify the sources and correlates of variability in ipilimumab exposure in this population</w:t>
      </w:r>
    </w:p>
    <w:p w:rsidR="00552E3D" w:rsidRPr="00AE2D9F" w:rsidRDefault="00552E3D" w:rsidP="00AE2D9F">
      <w:pPr>
        <w:pStyle w:val="ListBullet"/>
      </w:pPr>
      <w:r w:rsidRPr="00AE2D9F">
        <w:t>To describe the relationship between ipilimumab exposure (cminss) and efficacy (OS) in previously untreated patients with advanced melanoma</w:t>
      </w:r>
    </w:p>
    <w:p w:rsidR="00552E3D" w:rsidRPr="00AE2D9F" w:rsidRDefault="00552E3D" w:rsidP="00AE2D9F">
      <w:pPr>
        <w:pStyle w:val="ListBullet"/>
      </w:pPr>
      <w:r w:rsidRPr="00AE2D9F">
        <w:t>To describe the relationship between ipilimumab exposure and safety of irAEs in previously treated or untreated patients with advanced melanoma. This included any irAEs and irAEs occurring in skin, gastrointestinal, or liver specifically.</w:t>
      </w:r>
    </w:p>
    <w:p w:rsidR="00552E3D" w:rsidRPr="008240FF" w:rsidRDefault="00552E3D" w:rsidP="004D2D70">
      <w:pPr>
        <w:pStyle w:val="Heading5"/>
      </w:pPr>
      <w:r w:rsidRPr="008240FF">
        <w:rPr>
          <w:rFonts w:eastAsiaTheme="minorHAnsi"/>
        </w:rPr>
        <w:t xml:space="preserve">Critical Summary - Repeat of the key analysis of the </w:t>
      </w:r>
      <w:r>
        <w:t>PopPK</w:t>
      </w:r>
      <w:r w:rsidRPr="008240FF">
        <w:rPr>
          <w:rFonts w:eastAsiaTheme="minorHAnsi"/>
        </w:rPr>
        <w:t xml:space="preserve"> study</w:t>
      </w:r>
    </w:p>
    <w:p w:rsidR="00552E3D" w:rsidRPr="008240FF" w:rsidRDefault="00552E3D" w:rsidP="00552E3D">
      <w:r w:rsidRPr="008240FF">
        <w:t>The key models (base model, full model and final model) of the P</w:t>
      </w:r>
      <w:r>
        <w:t>opPK</w:t>
      </w:r>
      <w:r w:rsidRPr="008240FF">
        <w:t xml:space="preserve"> study provided were rep</w:t>
      </w:r>
      <w:r>
        <w:t>eated using the software NONMEM version 7.2</w:t>
      </w:r>
      <w:r w:rsidRPr="008240FF">
        <w:t xml:space="preserve"> </w:t>
      </w:r>
      <w:r>
        <w:t xml:space="preserve">and software PsN version 3.7.6. </w:t>
      </w:r>
      <w:r w:rsidRPr="008240FF">
        <w:t>No deviations from the submitted results present</w:t>
      </w:r>
      <w:r>
        <w:t xml:space="preserve">ed for the </w:t>
      </w:r>
      <w:r w:rsidRPr="008240FF">
        <w:t>base P</w:t>
      </w:r>
      <w:r>
        <w:t>opPK model, for the full PopPK model or</w:t>
      </w:r>
      <w:r w:rsidRPr="008240FF">
        <w:t xml:space="preserve"> for the final </w:t>
      </w:r>
      <w:r w:rsidR="004D2D70">
        <w:t>PopPK</w:t>
      </w:r>
      <w:r>
        <w:t xml:space="preserve"> model </w:t>
      </w:r>
      <w:r w:rsidRPr="008240FF">
        <w:t xml:space="preserve">were found. The </w:t>
      </w:r>
      <w:r>
        <w:t xml:space="preserve">results submitted in the report </w:t>
      </w:r>
      <w:r w:rsidRPr="008240FF">
        <w:t>can be confirmed according to the assessment performed.</w:t>
      </w:r>
    </w:p>
    <w:p w:rsidR="00552E3D" w:rsidRPr="008240FF" w:rsidRDefault="00552E3D" w:rsidP="00552E3D">
      <w:r w:rsidRPr="008240FF">
        <w:t>Additionally to repeating the three main models su</w:t>
      </w:r>
      <w:r>
        <w:t xml:space="preserve">bmitted, the covariate analysis </w:t>
      </w:r>
      <w:r w:rsidRPr="008240FF">
        <w:t>was repeated as well according to the methods descr</w:t>
      </w:r>
      <w:r>
        <w:t>ibed</w:t>
      </w:r>
      <w:r w:rsidRPr="008240FF">
        <w:t xml:space="preserve">. </w:t>
      </w:r>
      <w:r>
        <w:t xml:space="preserve">Again, the results are </w:t>
      </w:r>
      <w:r w:rsidRPr="008240FF">
        <w:t>comp</w:t>
      </w:r>
      <w:r>
        <w:t>arable to the results presented.</w:t>
      </w:r>
    </w:p>
    <w:p w:rsidR="00552E3D" w:rsidRPr="00061EB3" w:rsidRDefault="00552E3D" w:rsidP="00552E3D">
      <w:r w:rsidRPr="00061EB3">
        <w:t>The analysis performed for the purpose of this report has confirmed the results</w:t>
      </w:r>
      <w:r>
        <w:t xml:space="preserve"> </w:t>
      </w:r>
      <w:r w:rsidRPr="00061EB3">
        <w:t>submitted in the report. No deficiencies or inconsistencies were found.</w:t>
      </w:r>
    </w:p>
    <w:p w:rsidR="00552E3D" w:rsidRDefault="00552E3D" w:rsidP="004D2D70">
      <w:pPr>
        <w:pStyle w:val="Heading4"/>
      </w:pPr>
      <w:r w:rsidRPr="00061EB3">
        <w:t>Cri</w:t>
      </w:r>
      <w:r>
        <w:t>tical s</w:t>
      </w:r>
      <w:r w:rsidRPr="00061EB3">
        <w:t xml:space="preserve">ummary </w:t>
      </w:r>
      <w:r>
        <w:t>– r</w:t>
      </w:r>
      <w:r w:rsidRPr="00061EB3">
        <w:t>eview the report of study using the Guideline</w:t>
      </w:r>
      <w:bookmarkStart w:id="150" w:name="_Ref468968562"/>
      <w:r>
        <w:rPr>
          <w:rStyle w:val="FootnoteReference"/>
        </w:rPr>
        <w:footnoteReference w:id="1"/>
      </w:r>
      <w:bookmarkEnd w:id="150"/>
    </w:p>
    <w:p w:rsidR="00552E3D" w:rsidRDefault="00552E3D" w:rsidP="00552E3D">
      <w:r w:rsidRPr="00061EB3">
        <w:t>The sponsors report titled ‘Ipilimumab Population</w:t>
      </w:r>
      <w:r>
        <w:t xml:space="preserve"> Pharmacokinetic and Exposure – </w:t>
      </w:r>
      <w:r w:rsidRPr="00061EB3">
        <w:t>Response Analyses in Previously Treated or U</w:t>
      </w:r>
      <w:r>
        <w:t xml:space="preserve">ntreated Subjects with Advanced </w:t>
      </w:r>
      <w:r w:rsidRPr="00061EB3">
        <w:t>Melanom</w:t>
      </w:r>
      <w:r>
        <w:t xml:space="preserve">a’ has been reviewed using the </w:t>
      </w:r>
      <w:r w:rsidRPr="00061EB3">
        <w:t>Guidel</w:t>
      </w:r>
      <w:r>
        <w:t>ine.</w:t>
      </w:r>
      <w:r w:rsidR="00AE2D9F" w:rsidRPr="00AE2D9F">
        <w:rPr>
          <w:vertAlign w:val="superscript"/>
        </w:rPr>
        <w:fldChar w:fldCharType="begin"/>
      </w:r>
      <w:r w:rsidR="00AE2D9F" w:rsidRPr="00AE2D9F">
        <w:rPr>
          <w:vertAlign w:val="superscript"/>
        </w:rPr>
        <w:instrText xml:space="preserve"> NOTEREF _Ref468968562 \h </w:instrText>
      </w:r>
      <w:r w:rsidR="00AE2D9F">
        <w:rPr>
          <w:vertAlign w:val="superscript"/>
        </w:rPr>
        <w:instrText xml:space="preserve"> \* MERGEFORMAT </w:instrText>
      </w:r>
      <w:r w:rsidR="00AE2D9F" w:rsidRPr="00AE2D9F">
        <w:rPr>
          <w:vertAlign w:val="superscript"/>
        </w:rPr>
      </w:r>
      <w:r w:rsidR="00AE2D9F" w:rsidRPr="00AE2D9F">
        <w:rPr>
          <w:vertAlign w:val="superscript"/>
        </w:rPr>
        <w:fldChar w:fldCharType="separate"/>
      </w:r>
      <w:r w:rsidR="005744BA">
        <w:rPr>
          <w:vertAlign w:val="superscript"/>
        </w:rPr>
        <w:t>1</w:t>
      </w:r>
      <w:r w:rsidR="00AE2D9F" w:rsidRPr="00AE2D9F">
        <w:rPr>
          <w:vertAlign w:val="superscript"/>
        </w:rPr>
        <w:fldChar w:fldCharType="end"/>
      </w:r>
    </w:p>
    <w:p w:rsidR="00552E3D" w:rsidRPr="00061EB3" w:rsidRDefault="00552E3D" w:rsidP="00552E3D">
      <w:r w:rsidRPr="00061EB3">
        <w:t xml:space="preserve">The report has been assessed on all points from analysis plan to discussion of the guideline and has been found to </w:t>
      </w:r>
      <w:r>
        <w:t xml:space="preserve">agree or largely agree with the </w:t>
      </w:r>
      <w:r w:rsidRPr="00061EB3">
        <w:t>requirements outlined in the guidelines. A detailed cr</w:t>
      </w:r>
      <w:r>
        <w:t xml:space="preserve">itical summary, addressing each </w:t>
      </w:r>
      <w:r w:rsidRPr="00061EB3">
        <w:t>of the points, can be found below. Overall the particul</w:t>
      </w:r>
      <w:r>
        <w:t xml:space="preserve">ar points not in agreement with </w:t>
      </w:r>
      <w:r w:rsidRPr="00061EB3">
        <w:t>the guidelines are:</w:t>
      </w:r>
    </w:p>
    <w:p w:rsidR="00552E3D" w:rsidRPr="00AE2D9F" w:rsidRDefault="00552E3D" w:rsidP="00AE2D9F">
      <w:pPr>
        <w:pStyle w:val="ListBullet"/>
      </w:pPr>
      <w:r w:rsidRPr="00AE2D9F">
        <w:lastRenderedPageBreak/>
        <w:t>No raw data plots provided, limiting the graphical evaluation of the available data for the analyses;</w:t>
      </w:r>
    </w:p>
    <w:p w:rsidR="00552E3D" w:rsidRPr="00AE2D9F" w:rsidRDefault="00552E3D" w:rsidP="00AE2D9F">
      <w:pPr>
        <w:pStyle w:val="ListBullet"/>
      </w:pPr>
      <w:r w:rsidRPr="00AE2D9F">
        <w:t>No discussion on pre-defined covariate selection procedure included in the report;</w:t>
      </w:r>
    </w:p>
    <w:p w:rsidR="00552E3D" w:rsidRPr="00AE2D9F" w:rsidRDefault="00552E3D" w:rsidP="00AE2D9F">
      <w:pPr>
        <w:pStyle w:val="ListBullet"/>
      </w:pPr>
      <w:r w:rsidRPr="00AE2D9F">
        <w:t>Analysis plan list insufficient details about handling data below the limit of quantification and provides no discussion on the consequences of their method selected;</w:t>
      </w:r>
    </w:p>
    <w:p w:rsidR="00552E3D" w:rsidRPr="00AE2D9F" w:rsidRDefault="00552E3D" w:rsidP="00AE2D9F">
      <w:pPr>
        <w:pStyle w:val="ListBullet"/>
      </w:pPr>
      <w:r w:rsidRPr="00AE2D9F">
        <w:t xml:space="preserve">Several tables and figures are presented with limited/missing details, </w:t>
      </w:r>
      <w:r w:rsidR="00AE2D9F">
        <w:t>for example;</w:t>
      </w:r>
      <w:r w:rsidRPr="00AE2D9F">
        <w:t xml:space="preserve"> missing units, to be appropriately evaluated.</w:t>
      </w:r>
    </w:p>
    <w:p w:rsidR="00552E3D" w:rsidRPr="008433A1" w:rsidRDefault="00552E3D" w:rsidP="00552E3D">
      <w:r w:rsidRPr="008433A1">
        <w:t>Overall, the report was found to use appropriate data, method and evaluation</w:t>
      </w:r>
      <w:r>
        <w:t xml:space="preserve"> </w:t>
      </w:r>
      <w:r w:rsidRPr="008433A1">
        <w:t>standards for a P</w:t>
      </w:r>
      <w:r>
        <w:t>op</w:t>
      </w:r>
      <w:r w:rsidRPr="008433A1">
        <w:t>PK analysis. Additionally, the an</w:t>
      </w:r>
      <w:r>
        <w:t xml:space="preserve">alysis of the exposure-response </w:t>
      </w:r>
      <w:r w:rsidRPr="008433A1">
        <w:t>relationship seems similarly appropriate. For a</w:t>
      </w:r>
      <w:r>
        <w:t xml:space="preserve">ll three presented models (PopPK, </w:t>
      </w:r>
      <w:r w:rsidR="0039038B">
        <w:t>ER</w:t>
      </w:r>
      <w:proofErr w:type="gramStart"/>
      <w:r>
        <w:t>:OS</w:t>
      </w:r>
      <w:proofErr w:type="gramEnd"/>
      <w:r>
        <w:t xml:space="preserve">, </w:t>
      </w:r>
      <w:r w:rsidR="0039038B">
        <w:t>ER</w:t>
      </w:r>
      <w:r>
        <w:t>:irAEs</w:t>
      </w:r>
      <w:r w:rsidRPr="008433A1">
        <w:t>) the base model and covariate selection are</w:t>
      </w:r>
      <w:r>
        <w:t xml:space="preserve"> </w:t>
      </w:r>
      <w:r w:rsidRPr="008433A1">
        <w:t>appropriate, however as listed above the discussion on</w:t>
      </w:r>
      <w:r>
        <w:t xml:space="preserve"> the covariate selection within </w:t>
      </w:r>
      <w:r w:rsidRPr="008433A1">
        <w:t>the report has been limited. The final models are b</w:t>
      </w:r>
      <w:r>
        <w:t xml:space="preserve">ased on rigorous model building </w:t>
      </w:r>
      <w:r w:rsidRPr="008433A1">
        <w:t>and evaluations, which are appropriate to use and</w:t>
      </w:r>
      <w:r>
        <w:t xml:space="preserve"> are according to the guideline </w:t>
      </w:r>
      <w:r w:rsidRPr="008433A1">
        <w:t>recommendation and the standard current pra</w:t>
      </w:r>
      <w:r>
        <w:t xml:space="preserve">ctice. The consequences and the </w:t>
      </w:r>
      <w:r w:rsidRPr="008433A1">
        <w:t>impact of the final models have been discussed in det</w:t>
      </w:r>
      <w:r>
        <w:t xml:space="preserve">ail and are relevant in regards </w:t>
      </w:r>
      <w:r w:rsidRPr="008433A1">
        <w:t>to clinical decision making, particularly in regards to influential covariates.</w:t>
      </w:r>
    </w:p>
    <w:p w:rsidR="00552E3D" w:rsidRDefault="00552E3D" w:rsidP="00552E3D">
      <w:r w:rsidRPr="008433A1">
        <w:t>The results found in the P</w:t>
      </w:r>
      <w:r>
        <w:t>op</w:t>
      </w:r>
      <w:r w:rsidRPr="008433A1">
        <w:t>PK study have been com</w:t>
      </w:r>
      <w:r>
        <w:t xml:space="preserve">pared and agree with previously </w:t>
      </w:r>
      <w:r w:rsidRPr="008433A1">
        <w:t>obtained information on the PK of ipilimumab</w:t>
      </w:r>
      <w:r>
        <w:t xml:space="preserve">. This comparison has been done </w:t>
      </w:r>
      <w:r w:rsidRPr="008433A1">
        <w:t xml:space="preserve">based on presented data in the report and in </w:t>
      </w:r>
      <w:r>
        <w:t xml:space="preserve">the clinical summary. It found that ipilimumab </w:t>
      </w:r>
      <w:r w:rsidRPr="008433A1">
        <w:t>clearance is related to the weight of a patient and do</w:t>
      </w:r>
      <w:r>
        <w:t xml:space="preserve">ses should be based on patient’s </w:t>
      </w:r>
      <w:r w:rsidRPr="008433A1">
        <w:t>weight. Again, this was a confirmation of previous results.</w:t>
      </w:r>
    </w:p>
    <w:p w:rsidR="00552E3D" w:rsidRPr="008433A1" w:rsidRDefault="00552E3D" w:rsidP="00552E3D">
      <w:r w:rsidRPr="008433A1">
        <w:t>Differences between previously treated and untreated patients were not found in the</w:t>
      </w:r>
      <w:r>
        <w:t xml:space="preserve"> </w:t>
      </w:r>
      <w:r w:rsidRPr="008433A1">
        <w:t>PK of the drug, however showed to have a difference i</w:t>
      </w:r>
      <w:r>
        <w:t xml:space="preserve">n the toxicity. The odds of any </w:t>
      </w:r>
      <w:r w:rsidRPr="008433A1">
        <w:t xml:space="preserve">irAE occurring was found to be approximately half in subjects who </w:t>
      </w:r>
      <w:r>
        <w:t xml:space="preserve">have been </w:t>
      </w:r>
      <w:r w:rsidRPr="008433A1">
        <w:t>previously treated with anticancer therapy relati</w:t>
      </w:r>
      <w:r>
        <w:t xml:space="preserve">ve to those who were previously </w:t>
      </w:r>
      <w:r w:rsidRPr="008433A1">
        <w:t>untreated.</w:t>
      </w:r>
    </w:p>
    <w:p w:rsidR="00AE2D9F" w:rsidRPr="008433A1" w:rsidRDefault="00552E3D" w:rsidP="00552E3D">
      <w:r w:rsidRPr="008433A1">
        <w:t>The discussion section provides information on how t</w:t>
      </w:r>
      <w:r>
        <w:t xml:space="preserve">he results of the analysis were </w:t>
      </w:r>
      <w:r w:rsidRPr="008433A1">
        <w:t>used to support the extension to monotherapy of ipilimumab for treatme</w:t>
      </w:r>
      <w:r>
        <w:t xml:space="preserve">nt of patients </w:t>
      </w:r>
      <w:r w:rsidRPr="008433A1">
        <w:t>with unresectable or metastatic melanoma and t</w:t>
      </w:r>
      <w:r>
        <w:t xml:space="preserve">o support dosing based on total </w:t>
      </w:r>
      <w:r w:rsidRPr="008433A1">
        <w:t>body weight. Conclusions drawn from the final models a</w:t>
      </w:r>
      <w:r>
        <w:t xml:space="preserve">re valid and the results of the </w:t>
      </w:r>
      <w:r w:rsidRPr="008433A1">
        <w:t>P</w:t>
      </w:r>
      <w:r>
        <w:t>op</w:t>
      </w:r>
      <w:r w:rsidRPr="008433A1">
        <w:t>PK model could be replicated in this assessment and found appropriate.</w:t>
      </w:r>
    </w:p>
    <w:p w:rsidR="00552E3D" w:rsidRDefault="00AE2D9F" w:rsidP="004D2D70">
      <w:pPr>
        <w:pStyle w:val="Heading4"/>
      </w:pPr>
      <w:r w:rsidRPr="00AE2D9F">
        <w:t>Repeat of the key models of the P</w:t>
      </w:r>
      <w:r w:rsidR="004D2D70">
        <w:t>opPK</w:t>
      </w:r>
      <w:r>
        <w:t xml:space="preserve"> </w:t>
      </w:r>
      <w:r w:rsidRPr="00AE2D9F">
        <w:t>Study</w:t>
      </w:r>
    </w:p>
    <w:p w:rsidR="00AE2D9F" w:rsidRPr="00AE2D9F" w:rsidRDefault="00AE2D9F" w:rsidP="004D2D70">
      <w:pPr>
        <w:pStyle w:val="Heading5"/>
      </w:pPr>
      <w:r w:rsidRPr="00AE2D9F">
        <w:t>Models repeated</w:t>
      </w:r>
    </w:p>
    <w:p w:rsidR="00AE2D9F" w:rsidRPr="00AE2D9F" w:rsidRDefault="00AE2D9F" w:rsidP="00AE2D9F">
      <w:r w:rsidRPr="00AE2D9F">
        <w:t>The models that were repeated for the assessme</w:t>
      </w:r>
      <w:r>
        <w:t xml:space="preserve">nt are </w:t>
      </w:r>
      <w:r w:rsidRPr="000C5666">
        <w:t>listed in Table 1</w:t>
      </w:r>
      <w:r w:rsidR="004572B9">
        <w:t>7</w:t>
      </w:r>
      <w:r w:rsidRPr="000C5666">
        <w:t xml:space="preserve"> below</w:t>
      </w:r>
      <w:r>
        <w:t xml:space="preserve">. </w:t>
      </w:r>
      <w:r w:rsidRPr="00AE2D9F">
        <w:t xml:space="preserve">Three models for the </w:t>
      </w:r>
      <w:r w:rsidR="004D2D70">
        <w:t>PopPK</w:t>
      </w:r>
      <w:r w:rsidRPr="00AE2D9F">
        <w:t xml:space="preserve"> analysis were provided and</w:t>
      </w:r>
      <w:r>
        <w:t xml:space="preserve"> the base, full and final model </w:t>
      </w:r>
      <w:r w:rsidRPr="00AE2D9F">
        <w:t xml:space="preserve">of the </w:t>
      </w:r>
      <w:r w:rsidR="004D2D70">
        <w:t>PopPK</w:t>
      </w:r>
      <w:r w:rsidRPr="00AE2D9F">
        <w:t xml:space="preserve"> analysis was repeated. Models of the </w:t>
      </w:r>
      <w:r>
        <w:t xml:space="preserve">Exposure-Response analyses (ER: </w:t>
      </w:r>
      <w:r w:rsidRPr="00AE2D9F">
        <w:t xml:space="preserve">OS, </w:t>
      </w:r>
      <w:r w:rsidR="0039038B">
        <w:t>ER</w:t>
      </w:r>
      <w:proofErr w:type="gramStart"/>
      <w:r w:rsidRPr="00AE2D9F">
        <w:t>:irAE</w:t>
      </w:r>
      <w:proofErr w:type="gramEnd"/>
      <w:r w:rsidRPr="00AE2D9F">
        <w:t>) were not available for assessment.</w:t>
      </w:r>
    </w:p>
    <w:p w:rsidR="00AE2D9F" w:rsidRPr="00AE2D9F" w:rsidRDefault="00AE2D9F" w:rsidP="004D2D70">
      <w:pPr>
        <w:pStyle w:val="Tabletitle"/>
      </w:pPr>
      <w:r w:rsidRPr="000C5666">
        <w:t>Table 1</w:t>
      </w:r>
      <w:r w:rsidR="004572B9">
        <w:t>7</w:t>
      </w:r>
      <w:r w:rsidRPr="000C5666">
        <w:t xml:space="preserve">: List of models repeated for the </w:t>
      </w:r>
      <w:r w:rsidR="004D2D70" w:rsidRPr="000C5666">
        <w:t>a</w:t>
      </w:r>
      <w:r w:rsidRPr="000C5666">
        <w:t>ssessment</w:t>
      </w:r>
    </w:p>
    <w:p w:rsidR="00AE2D9F" w:rsidRPr="00AE2D9F" w:rsidRDefault="00AE2D9F" w:rsidP="00AE2D9F">
      <w:r w:rsidRPr="00AE2D9F">
        <w:rPr>
          <w:noProof/>
          <w:lang w:eastAsia="en-AU"/>
        </w:rPr>
        <w:drawing>
          <wp:inline distT="0" distB="0" distL="0" distR="0" wp14:anchorId="0BF1495E" wp14:editId="429848EE">
            <wp:extent cx="3818534" cy="1074575"/>
            <wp:effectExtent l="0" t="0" r="0" b="0"/>
            <wp:docPr id="7179" name="Picture 7179" descr="Table 17: List of models repeated for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26986" cy="1076953"/>
                    </a:xfrm>
                    <a:prstGeom prst="rect">
                      <a:avLst/>
                    </a:prstGeom>
                  </pic:spPr>
                </pic:pic>
              </a:graphicData>
            </a:graphic>
          </wp:inline>
        </w:drawing>
      </w:r>
    </w:p>
    <w:p w:rsidR="00AE2D9F" w:rsidRPr="00AE2D9F" w:rsidRDefault="00AE2D9F" w:rsidP="004D2D70">
      <w:pPr>
        <w:pStyle w:val="Heading5"/>
      </w:pPr>
      <w:r w:rsidRPr="00AE2D9F">
        <w:t>Software used for the evaluation</w:t>
      </w:r>
    </w:p>
    <w:p w:rsidR="00AE2D9F" w:rsidRPr="00AE2D9F" w:rsidRDefault="00AE2D9F" w:rsidP="00AE2D9F">
      <w:r w:rsidRPr="00AE2D9F">
        <w:t>The runs were repeated using NONMEM version 7.</w:t>
      </w:r>
      <w:r>
        <w:t xml:space="preserve">2, in conjunction with an Intel </w:t>
      </w:r>
      <w:r w:rsidRPr="00AE2D9F">
        <w:t>FORTRAN compiler and PsN (Perl-speaks-NONME</w:t>
      </w:r>
      <w:r>
        <w:t xml:space="preserve">M) version 3.7.6 on a Microsoft </w:t>
      </w:r>
      <w:r w:rsidRPr="00AE2D9F">
        <w:t>Windows Servers.</w:t>
      </w:r>
    </w:p>
    <w:p w:rsidR="00AE2D9F" w:rsidRPr="00AE2D9F" w:rsidRDefault="00AE2D9F" w:rsidP="004D2D70">
      <w:pPr>
        <w:pStyle w:val="Heading5"/>
      </w:pPr>
      <w:r w:rsidRPr="00AE2D9F">
        <w:lastRenderedPageBreak/>
        <w:t>Results</w:t>
      </w:r>
    </w:p>
    <w:p w:rsidR="00AE2D9F" w:rsidRPr="00AE2D9F" w:rsidRDefault="00AE2D9F" w:rsidP="004D2D70">
      <w:pPr>
        <w:pStyle w:val="Heading6"/>
      </w:pPr>
      <w:r w:rsidRPr="00AE2D9F">
        <w:t>Repeat of the key model</w:t>
      </w:r>
    </w:p>
    <w:p w:rsidR="00AE2D9F" w:rsidRPr="00AE2D9F" w:rsidRDefault="00AE2D9F" w:rsidP="00AE2D9F">
      <w:r w:rsidRPr="00AE2D9F">
        <w:t xml:space="preserve">Key analysis models of the </w:t>
      </w:r>
      <w:r w:rsidR="004D2D70">
        <w:t>PopPK</w:t>
      </w:r>
      <w:r w:rsidRPr="00AE2D9F">
        <w:t xml:space="preserve"> study were repea</w:t>
      </w:r>
      <w:r>
        <w:t xml:space="preserve">ted in the assessment. Note the </w:t>
      </w:r>
      <w:r w:rsidRPr="00AE2D9F">
        <w:t>data set provided for the assessment was ‘ca184ph3</w:t>
      </w:r>
      <w:r>
        <w:t xml:space="preserve">-csv.txt’. However in the model </w:t>
      </w:r>
      <w:r w:rsidRPr="00AE2D9F">
        <w:t>files 001.txt, 101.txt and 410.txt the data set ‘ca184ph3_1</w:t>
      </w:r>
      <w:r>
        <w:t xml:space="preserve">.csv’ was specified in the </w:t>
      </w:r>
      <w:r w:rsidRPr="00AE2D9F">
        <w:t>code: “</w:t>
      </w:r>
      <w:r w:rsidR="004D2D70">
        <w:t>$</w:t>
      </w:r>
      <w:r w:rsidRPr="00AE2D9F">
        <w:t>DATA ca184ph3_1.csv IGNORE=C”. To be a</w:t>
      </w:r>
      <w:r>
        <w:t xml:space="preserve">ble to rerun the analysis using </w:t>
      </w:r>
      <w:r w:rsidRPr="00AE2D9F">
        <w:t>the same model files, the data set provided fo</w:t>
      </w:r>
      <w:r>
        <w:t xml:space="preserve">r the assessment was renamed to </w:t>
      </w:r>
      <w:r w:rsidRPr="00AE2D9F">
        <w:t>‘ca184ph3_1.csv’. It was assumed in this assessm</w:t>
      </w:r>
      <w:r>
        <w:t xml:space="preserve">ent that the right data set was </w:t>
      </w:r>
      <w:r w:rsidRPr="00AE2D9F">
        <w:t>used and there was a transcription error at some stag</w:t>
      </w:r>
      <w:r>
        <w:t xml:space="preserve">e. The data content in the data </w:t>
      </w:r>
      <w:r w:rsidRPr="00AE2D9F">
        <w:t>set and the order of the data items were exactly as described in the report.</w:t>
      </w:r>
    </w:p>
    <w:p w:rsidR="00AE2D9F" w:rsidRDefault="004572B9" w:rsidP="00AE2D9F">
      <w:r>
        <w:t>Table 18</w:t>
      </w:r>
      <w:r w:rsidR="00AE2D9F" w:rsidRPr="000C5666">
        <w:t xml:space="preserve"> shows</w:t>
      </w:r>
      <w:r w:rsidR="00AE2D9F" w:rsidRPr="00AE2D9F">
        <w:t xml:space="preserve"> the list of the parameter estimates pr</w:t>
      </w:r>
      <w:r w:rsidR="00AE2D9F">
        <w:t xml:space="preserve">ovided in the ‘930057648-poppk. </w:t>
      </w:r>
      <w:proofErr w:type="gramStart"/>
      <w:r w:rsidR="00AE2D9F" w:rsidRPr="00AE2D9F">
        <w:t>pdf</w:t>
      </w:r>
      <w:proofErr w:type="gramEnd"/>
      <w:r w:rsidR="00AE2D9F" w:rsidRPr="00AE2D9F">
        <w:t>’ report in comparison to the results of the rep</w:t>
      </w:r>
      <w:r w:rsidR="00AE2D9F">
        <w:t xml:space="preserve">eated models performed for this </w:t>
      </w:r>
      <w:r w:rsidR="00AE2D9F" w:rsidRPr="00AE2D9F">
        <w:t>assessme</w:t>
      </w:r>
      <w:r w:rsidR="004D2D70">
        <w:t xml:space="preserve">nt. </w:t>
      </w:r>
      <w:r w:rsidR="004D2D70" w:rsidRPr="000C5666">
        <w:t>Table </w:t>
      </w:r>
      <w:r>
        <w:t>18</w:t>
      </w:r>
      <w:r w:rsidR="00AE2D9F" w:rsidRPr="000C5666">
        <w:t xml:space="preserve"> shows</w:t>
      </w:r>
      <w:r w:rsidR="00AE2D9F" w:rsidRPr="00AE2D9F">
        <w:t xml:space="preserve"> the results from the repea</w:t>
      </w:r>
      <w:r w:rsidR="00AE2D9F">
        <w:t xml:space="preserve">t of the key analysis models of </w:t>
      </w:r>
      <w:r w:rsidR="00AE2D9F" w:rsidRPr="00AE2D9F">
        <w:t xml:space="preserve">the </w:t>
      </w:r>
      <w:r w:rsidR="004D2D70">
        <w:t>PopPK</w:t>
      </w:r>
      <w:r w:rsidR="00AE2D9F" w:rsidRPr="00AE2D9F">
        <w:t xml:space="preserve"> study match exactly the results submitted in </w:t>
      </w:r>
      <w:r w:rsidR="00AE2D9F">
        <w:t xml:space="preserve">the report. No differences have </w:t>
      </w:r>
      <w:r w:rsidR="00AE2D9F" w:rsidRPr="00AE2D9F">
        <w:t>been noted when comprehensively comparing t</w:t>
      </w:r>
      <w:r w:rsidR="00AE2D9F">
        <w:t xml:space="preserve">he output files. </w:t>
      </w:r>
      <w:r w:rsidR="00AE2D9F" w:rsidRPr="000C5666">
        <w:t xml:space="preserve">In Table </w:t>
      </w:r>
      <w:r>
        <w:t>18</w:t>
      </w:r>
      <w:r w:rsidR="00AE2D9F" w:rsidRPr="000C5666">
        <w:t xml:space="preserve"> the parameter</w:t>
      </w:r>
      <w:r w:rsidR="00AE2D9F" w:rsidRPr="00AE2D9F">
        <w:t xml:space="preserve"> estimates are listed. Further comparison of the output files in regards to</w:t>
      </w:r>
      <w:r w:rsidR="00AE2D9F">
        <w:t xml:space="preserve"> </w:t>
      </w:r>
      <w:r w:rsidR="00AE2D9F" w:rsidRPr="00AE2D9F">
        <w:t>the reported standard errors, the covariance matrix, the correlation matrix, the</w:t>
      </w:r>
      <w:r w:rsidR="00AE2D9F">
        <w:t xml:space="preserve"> </w:t>
      </w:r>
      <w:r w:rsidR="00AE2D9F" w:rsidRPr="00AE2D9F">
        <w:t>inverse covariance matrix and the eigenvalues of the corr</w:t>
      </w:r>
      <w:r w:rsidR="00AE2D9F">
        <w:t xml:space="preserve">elation matrix were found </w:t>
      </w:r>
      <w:r w:rsidR="00AE2D9F" w:rsidRPr="00AE2D9F">
        <w:t>to also match the sponsors report results. The resul</w:t>
      </w:r>
      <w:r w:rsidR="00AE2D9F">
        <w:t xml:space="preserve">ts submitted by the sponsor can </w:t>
      </w:r>
      <w:r w:rsidR="00AE2D9F" w:rsidRPr="00AE2D9F">
        <w:t>be confirmed according to the assessment performed.</w:t>
      </w:r>
    </w:p>
    <w:p w:rsidR="00AE2D9F" w:rsidRDefault="00AE2D9F" w:rsidP="00AE2D9F">
      <w:pPr>
        <w:pStyle w:val="Tabletitle"/>
      </w:pPr>
      <w:r w:rsidRPr="000C5666">
        <w:lastRenderedPageBreak/>
        <w:t xml:space="preserve">Table </w:t>
      </w:r>
      <w:r w:rsidR="004572B9">
        <w:t>18</w:t>
      </w:r>
      <w:r w:rsidRPr="000C5666">
        <w:t>: Comparison</w:t>
      </w:r>
      <w:r w:rsidRPr="00AE2D9F">
        <w:t xml:space="preserve"> of parameter estimates for the </w:t>
      </w:r>
      <w:r w:rsidR="004D2D70">
        <w:t>PopPK</w:t>
      </w:r>
      <w:r w:rsidRPr="00AE2D9F">
        <w:t xml:space="preserve"> analysis reported in the output</w:t>
      </w:r>
      <w:r>
        <w:t xml:space="preserve"> </w:t>
      </w:r>
      <w:r w:rsidR="00806C69">
        <w:t>files (.</w:t>
      </w:r>
      <w:r w:rsidRPr="00AE2D9F">
        <w:t xml:space="preserve">lst) of the study report and obtained in the output files </w:t>
      </w:r>
      <w:r w:rsidR="004D2D70">
        <w:t>(.lst) from the repeated models</w:t>
      </w:r>
    </w:p>
    <w:p w:rsidR="00AE2D9F" w:rsidRDefault="00AE2D9F" w:rsidP="00AE2D9F">
      <w:r>
        <w:rPr>
          <w:noProof/>
          <w:lang w:eastAsia="en-AU"/>
        </w:rPr>
        <w:drawing>
          <wp:inline distT="0" distB="0" distL="0" distR="0" wp14:anchorId="6732ABA0" wp14:editId="1DEEF8D0">
            <wp:extent cx="5731510" cy="6455297"/>
            <wp:effectExtent l="0" t="0" r="0" b="0"/>
            <wp:docPr id="7180" name="Picture 7180" descr="Table 18: Comparison of parameter estimates for the PopPK analysis reported in the output files (.lst) of the study report and obtained in the output files (.lst) from the repeate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6455297"/>
                    </a:xfrm>
                    <a:prstGeom prst="rect">
                      <a:avLst/>
                    </a:prstGeom>
                  </pic:spPr>
                </pic:pic>
              </a:graphicData>
            </a:graphic>
          </wp:inline>
        </w:drawing>
      </w:r>
    </w:p>
    <w:p w:rsidR="00AE2D9F" w:rsidRPr="00AE2D9F" w:rsidRDefault="00AE2D9F" w:rsidP="004D2D70">
      <w:pPr>
        <w:pStyle w:val="Heading6"/>
      </w:pPr>
      <w:r w:rsidRPr="00AE2D9F">
        <w:t>Evaluation of the covariate model building steps</w:t>
      </w:r>
    </w:p>
    <w:p w:rsidR="00FA355C" w:rsidRPr="00FA355C" w:rsidRDefault="00AE2D9F" w:rsidP="00FA355C">
      <w:r w:rsidRPr="00AE2D9F">
        <w:t>Additionally, the covariate model building steps wer</w:t>
      </w:r>
      <w:r>
        <w:t xml:space="preserve">e repeated as well. Model files </w:t>
      </w:r>
      <w:r w:rsidRPr="00AE2D9F">
        <w:t>and result files for each of the covariate model build</w:t>
      </w:r>
      <w:r>
        <w:t xml:space="preserve">ing steps were not provided for </w:t>
      </w:r>
      <w:r w:rsidRPr="00AE2D9F">
        <w:t>evaluation. However, the provided base model was</w:t>
      </w:r>
      <w:r w:rsidR="00FA355C">
        <w:t xml:space="preserve"> used together with the methods </w:t>
      </w:r>
      <w:r w:rsidR="00FA355C" w:rsidRPr="00FA355C">
        <w:t>described in the report and the steps leading to the full</w:t>
      </w:r>
      <w:r w:rsidR="004D2D70">
        <w:t xml:space="preserve"> </w:t>
      </w:r>
      <w:r w:rsidR="00FA355C" w:rsidRPr="00FA355C">
        <w:t>model could be confirmed.</w:t>
      </w:r>
    </w:p>
    <w:p w:rsidR="00FA355C" w:rsidRPr="00FA355C" w:rsidRDefault="00FA355C" w:rsidP="00FA355C">
      <w:r w:rsidRPr="00FA355C">
        <w:t xml:space="preserve">It should be noted that </w:t>
      </w:r>
      <w:r w:rsidR="004D2D70">
        <w:t>the report</w:t>
      </w:r>
      <w:r w:rsidRPr="00FA355C">
        <w:t xml:space="preserve"> did not specify why only the listed covariate</w:t>
      </w:r>
      <w:r w:rsidR="004D2D70">
        <w:t xml:space="preserve"> </w:t>
      </w:r>
      <w:r w:rsidRPr="00FA355C">
        <w:t>parameters</w:t>
      </w:r>
      <w:r>
        <w:t xml:space="preserve"> </w:t>
      </w:r>
      <w:r w:rsidRPr="00FA355C">
        <w:t xml:space="preserve">relationships were tested. </w:t>
      </w:r>
      <w:r>
        <w:t xml:space="preserve">Several potentially influential </w:t>
      </w:r>
      <w:r w:rsidRPr="00FA355C">
        <w:t xml:space="preserve">covariates available in the data set such </w:t>
      </w:r>
      <w:r w:rsidRPr="00FA355C">
        <w:lastRenderedPageBreak/>
        <w:t>as: BBSA, BIBW, BHT</w:t>
      </w:r>
      <w:r>
        <w:t xml:space="preserve">, BALB, BALT, </w:t>
      </w:r>
      <w:r w:rsidRPr="00FA355C">
        <w:t>RACE, BUDEN</w:t>
      </w:r>
      <w:r w:rsidR="00140EA8">
        <w:rPr>
          <w:rStyle w:val="FootnoteReference"/>
        </w:rPr>
        <w:footnoteReference w:id="2"/>
      </w:r>
      <w:r w:rsidRPr="00FA355C">
        <w:t xml:space="preserve"> were o</w:t>
      </w:r>
      <w:r>
        <w:t xml:space="preserve">mitted by the sponsor according </w:t>
      </w:r>
      <w:r w:rsidRPr="00FA355C">
        <w:t>to the method section. No reason had been li</w:t>
      </w:r>
      <w:r>
        <w:t xml:space="preserve">sted for omitting them from the </w:t>
      </w:r>
      <w:r w:rsidRPr="00FA355C">
        <w:t>covariate analysis in the report.</w:t>
      </w:r>
    </w:p>
    <w:p w:rsidR="00FA355C" w:rsidRPr="00FA355C" w:rsidRDefault="00FA355C" w:rsidP="00FA355C">
      <w:r w:rsidRPr="00FA355C">
        <w:t>In the assessment of the covariate analysis steps the</w:t>
      </w:r>
      <w:r>
        <w:t xml:space="preserve">se omitted covariates were not </w:t>
      </w:r>
      <w:r w:rsidRPr="00FA355C">
        <w:t>included and not tested either.</w:t>
      </w:r>
    </w:p>
    <w:p w:rsidR="00140EA8" w:rsidRDefault="00FA355C" w:rsidP="00140EA8">
      <w:pPr>
        <w:pStyle w:val="Heading4"/>
      </w:pPr>
      <w:r w:rsidRPr="00FA355C">
        <w:t xml:space="preserve">Review using the </w:t>
      </w:r>
      <w:r w:rsidR="00D367DE">
        <w:t>g</w:t>
      </w:r>
      <w:r w:rsidRPr="00FA355C">
        <w:t>uideline</w:t>
      </w:r>
    </w:p>
    <w:p w:rsidR="00FA355C" w:rsidRPr="00140EA8" w:rsidRDefault="00FA355C" w:rsidP="00140EA8">
      <w:r w:rsidRPr="00140EA8">
        <w:t xml:space="preserve">The following part includes a detailed description addressing each of the points in turn from </w:t>
      </w:r>
      <w:r w:rsidR="00140EA8" w:rsidRPr="00140EA8">
        <w:t xml:space="preserve">analysis plan to discussion </w:t>
      </w:r>
      <w:r w:rsidRPr="00140EA8">
        <w:t xml:space="preserve">according to the </w:t>
      </w:r>
      <w:r w:rsidR="00140EA8">
        <w:t>EMEA guideline.</w:t>
      </w:r>
      <w:r w:rsidR="00140EA8" w:rsidRPr="00140EA8">
        <w:rPr>
          <w:vertAlign w:val="superscript"/>
        </w:rPr>
        <w:fldChar w:fldCharType="begin"/>
      </w:r>
      <w:r w:rsidR="00140EA8" w:rsidRPr="00140EA8">
        <w:rPr>
          <w:vertAlign w:val="superscript"/>
        </w:rPr>
        <w:instrText xml:space="preserve"> NOTEREF _Ref468968562 \h </w:instrText>
      </w:r>
      <w:r w:rsidR="00140EA8">
        <w:rPr>
          <w:vertAlign w:val="superscript"/>
        </w:rPr>
        <w:instrText xml:space="preserve"> \* MERGEFORMAT </w:instrText>
      </w:r>
      <w:r w:rsidR="00140EA8" w:rsidRPr="00140EA8">
        <w:rPr>
          <w:vertAlign w:val="superscript"/>
        </w:rPr>
      </w:r>
      <w:r w:rsidR="00140EA8" w:rsidRPr="00140EA8">
        <w:rPr>
          <w:vertAlign w:val="superscript"/>
        </w:rPr>
        <w:fldChar w:fldCharType="separate"/>
      </w:r>
      <w:r w:rsidR="005744BA">
        <w:rPr>
          <w:vertAlign w:val="superscript"/>
        </w:rPr>
        <w:t>1</w:t>
      </w:r>
      <w:r w:rsidR="00140EA8" w:rsidRPr="00140EA8">
        <w:rPr>
          <w:vertAlign w:val="superscript"/>
        </w:rPr>
        <w:fldChar w:fldCharType="end"/>
      </w:r>
      <w:r w:rsidRPr="00140EA8">
        <w:t xml:space="preserve"> This guideline will be </w:t>
      </w:r>
      <w:r w:rsidR="00140EA8">
        <w:t>referred to as ‘EMEA guideline’.</w:t>
      </w:r>
    </w:p>
    <w:p w:rsidR="00FA355C" w:rsidRPr="00FA355C" w:rsidRDefault="00FA355C" w:rsidP="00140EA8">
      <w:pPr>
        <w:pStyle w:val="Heading5"/>
      </w:pPr>
      <w:r w:rsidRPr="00FA355C">
        <w:t xml:space="preserve">Analysis </w:t>
      </w:r>
      <w:r w:rsidR="00D367DE">
        <w:t>p</w:t>
      </w:r>
      <w:r w:rsidRPr="00FA355C">
        <w:t>lan</w:t>
      </w:r>
    </w:p>
    <w:p w:rsidR="00FA355C" w:rsidRPr="00FA355C" w:rsidRDefault="00FA355C" w:rsidP="00FA355C">
      <w:r w:rsidRPr="00FA355C">
        <w:t>The analysis plan “Pharmacometric Analyses Plan:</w:t>
      </w:r>
      <w:r>
        <w:t xml:space="preserve"> Ipilimumab (BMS-734016) </w:t>
      </w:r>
      <w:r w:rsidRPr="00FA355C">
        <w:t>Population pharmacokinetics and exposure-respo</w:t>
      </w:r>
      <w:r>
        <w:t xml:space="preserve">nse in patients with previously </w:t>
      </w:r>
      <w:r w:rsidRPr="00FA355C">
        <w:t xml:space="preserve">untreated advanced melanoma” was submitted as </w:t>
      </w:r>
      <w:r>
        <w:t xml:space="preserve">a separate document to the main </w:t>
      </w:r>
      <w:r w:rsidRPr="00FA355C">
        <w:t>report.</w:t>
      </w:r>
    </w:p>
    <w:p w:rsidR="00AE2D9F" w:rsidRPr="00FA355C" w:rsidRDefault="00FA355C" w:rsidP="00FA355C">
      <w:r w:rsidRPr="00FA355C">
        <w:t>The separately submitted analysis plan largely mee</w:t>
      </w:r>
      <w:r>
        <w:t xml:space="preserve">ts the requirements of the EMEA </w:t>
      </w:r>
      <w:r w:rsidRPr="00FA355C">
        <w:t>guideline, specific comments are listed below:</w:t>
      </w:r>
    </w:p>
    <w:p w:rsidR="00FA355C" w:rsidRPr="00FA355C" w:rsidRDefault="00FA355C" w:rsidP="00FA355C">
      <w:pPr>
        <w:pStyle w:val="ListBullet"/>
      </w:pPr>
      <w:r w:rsidRPr="00FA355C">
        <w:t>The objective(s) of the analysis were stated clearly, the background</w:t>
      </w:r>
      <w:r>
        <w:t xml:space="preserve"> </w:t>
      </w:r>
      <w:r w:rsidRPr="00FA355C">
        <w:t>information on the drug and the rational are described sufficiently.</w:t>
      </w:r>
    </w:p>
    <w:p w:rsidR="00FA355C" w:rsidRPr="00FA355C" w:rsidRDefault="00FA355C" w:rsidP="00FA355C">
      <w:pPr>
        <w:pStyle w:val="ListBullet"/>
      </w:pPr>
      <w:r w:rsidRPr="00FA355C">
        <w:t>A description of the studies from which the data</w:t>
      </w:r>
      <w:r>
        <w:t xml:space="preserve"> originate was presented in the </w:t>
      </w:r>
      <w:r w:rsidRPr="00FA355C">
        <w:t>analysis plan.</w:t>
      </w:r>
    </w:p>
    <w:p w:rsidR="00FA355C" w:rsidRPr="00FA355C" w:rsidRDefault="00FA355C" w:rsidP="00FA355C">
      <w:pPr>
        <w:pStyle w:val="ListBullet"/>
      </w:pPr>
      <w:r w:rsidRPr="00FA355C">
        <w:t xml:space="preserve">The nature of the data to be analysed (how </w:t>
      </w:r>
      <w:r>
        <w:t xml:space="preserve">many subjects, sampling design) </w:t>
      </w:r>
      <w:r w:rsidRPr="00FA355C">
        <w:t>was clearly outlined in the plan.</w:t>
      </w:r>
    </w:p>
    <w:p w:rsidR="00FA355C" w:rsidRPr="00FA355C" w:rsidRDefault="00FA355C" w:rsidP="00FA355C">
      <w:pPr>
        <w:pStyle w:val="ListBullet"/>
      </w:pPr>
      <w:r w:rsidRPr="00FA355C">
        <w:t>The data analyses method for three differen</w:t>
      </w:r>
      <w:r>
        <w:t xml:space="preserve">t analyses: </w:t>
      </w:r>
      <w:r w:rsidR="004D2D70">
        <w:t>PopPK</w:t>
      </w:r>
      <w:r>
        <w:t xml:space="preserve">, </w:t>
      </w:r>
      <w:r w:rsidR="0039038B">
        <w:t>ER</w:t>
      </w:r>
      <w:r>
        <w:t xml:space="preserve">:OS and ER: </w:t>
      </w:r>
      <w:r w:rsidRPr="00FA355C">
        <w:t>irAE were described in detail, specifically:</w:t>
      </w:r>
    </w:p>
    <w:p w:rsidR="00FA355C" w:rsidRPr="00FA355C" w:rsidRDefault="00FA355C" w:rsidP="00FA355C">
      <w:pPr>
        <w:pStyle w:val="ListBullet2"/>
      </w:pPr>
      <w:r w:rsidRPr="00FA355C">
        <w:t>The procedures for handling missing d</w:t>
      </w:r>
      <w:r>
        <w:t xml:space="preserve">ose data and outlying data were </w:t>
      </w:r>
      <w:r w:rsidRPr="00FA355C">
        <w:t>described and seem appropriate and according to standard.</w:t>
      </w:r>
    </w:p>
    <w:p w:rsidR="00FA355C" w:rsidRPr="00FA355C" w:rsidRDefault="00FA355C" w:rsidP="00FA355C">
      <w:pPr>
        <w:pStyle w:val="ListBullet2"/>
      </w:pPr>
      <w:r w:rsidRPr="00FA355C">
        <w:t>The handling of data below the limit of qu</w:t>
      </w:r>
      <w:r>
        <w:t xml:space="preserve">antification (BLOQ) should have </w:t>
      </w:r>
      <w:r w:rsidRPr="00FA355C">
        <w:t>been more detailed and structured d</w:t>
      </w:r>
      <w:r>
        <w:t xml:space="preserve">epending on the percent of BLOQ </w:t>
      </w:r>
      <w:r w:rsidRPr="00FA355C">
        <w:t>data to be seen in the data set. The anal</w:t>
      </w:r>
      <w:r>
        <w:t xml:space="preserve">ysis plan presents a method for </w:t>
      </w:r>
      <w:r w:rsidRPr="00FA355C">
        <w:t>handling BLOQ data that is only acceptable if small</w:t>
      </w:r>
      <w:r>
        <w:t xml:space="preserve"> amounts of BLOQ </w:t>
      </w:r>
      <w:r w:rsidRPr="00FA355C">
        <w:t>data are to be expected. If the amount of B</w:t>
      </w:r>
      <w:r>
        <w:t xml:space="preserve">LOQ data, particular at certain </w:t>
      </w:r>
      <w:r w:rsidRPr="00FA355C">
        <w:t>times within a doing interval is high, t</w:t>
      </w:r>
      <w:r>
        <w:t xml:space="preserve">hen the method presented in the </w:t>
      </w:r>
      <w:r w:rsidRPr="00FA355C">
        <w:t>analysis plan (omitting the BLOQ d</w:t>
      </w:r>
      <w:r>
        <w:t xml:space="preserve">ata) can lead to bias parameter </w:t>
      </w:r>
      <w:r w:rsidRPr="00FA355C">
        <w:t>estimates</w:t>
      </w:r>
      <w:r w:rsidR="00A05B08">
        <w:t>.</w:t>
      </w:r>
      <w:r w:rsidR="00140EA8">
        <w:rPr>
          <w:rStyle w:val="FootnoteReference"/>
        </w:rPr>
        <w:footnoteReference w:id="3"/>
      </w:r>
      <w:r w:rsidRPr="00FA355C">
        <w:t xml:space="preserve"> </w:t>
      </w:r>
      <w:r w:rsidR="00140EA8">
        <w:rPr>
          <w:rStyle w:val="FootnoteReference"/>
        </w:rPr>
        <w:footnoteReference w:id="4"/>
      </w:r>
      <w:r w:rsidR="00A05B08">
        <w:t xml:space="preserve"> </w:t>
      </w:r>
      <w:r w:rsidR="00A05B08">
        <w:rPr>
          <w:rStyle w:val="FootnoteReference"/>
        </w:rPr>
        <w:footnoteReference w:id="5"/>
      </w:r>
      <w:r w:rsidRPr="00FA355C">
        <w:t>. No discussion about the</w:t>
      </w:r>
      <w:r>
        <w:t xml:space="preserve"> choice of method was available </w:t>
      </w:r>
      <w:r w:rsidRPr="00FA355C">
        <w:t>in the analysis plan.</w:t>
      </w:r>
    </w:p>
    <w:p w:rsidR="00FA355C" w:rsidRPr="00FA355C" w:rsidRDefault="00FA355C" w:rsidP="00FA355C">
      <w:pPr>
        <w:pStyle w:val="ListBullet2"/>
      </w:pPr>
      <w:r w:rsidRPr="00FA355C">
        <w:t>The general modelling aspects speci</w:t>
      </w:r>
      <w:r>
        <w:t xml:space="preserve">fically in regards to software, </w:t>
      </w:r>
      <w:r w:rsidRPr="00FA355C">
        <w:t>estimation methods and diagnostic</w:t>
      </w:r>
      <w:r>
        <w:t xml:space="preserve">s to be used were described and </w:t>
      </w:r>
      <w:r w:rsidRPr="00FA355C">
        <w:t>considered appropriate.</w:t>
      </w:r>
    </w:p>
    <w:p w:rsidR="00FA355C" w:rsidRPr="00FA355C" w:rsidRDefault="00FA355C" w:rsidP="00FA355C">
      <w:pPr>
        <w:pStyle w:val="ListBullet2"/>
      </w:pPr>
      <w:r w:rsidRPr="00FA355C">
        <w:t>The overall modelling procedure/str</w:t>
      </w:r>
      <w:r>
        <w:t xml:space="preserve">ategy was described and appears </w:t>
      </w:r>
      <w:r w:rsidRPr="00FA355C">
        <w:t>appropriate.</w:t>
      </w:r>
    </w:p>
    <w:p w:rsidR="00AE2D9F" w:rsidRPr="00FA355C" w:rsidRDefault="00FA355C" w:rsidP="00FA355C">
      <w:pPr>
        <w:pStyle w:val="ListBullet2"/>
      </w:pPr>
      <w:r w:rsidRPr="00FA355C">
        <w:lastRenderedPageBreak/>
        <w:t xml:space="preserve">Structural and variability models to be tested for the </w:t>
      </w:r>
      <w:r w:rsidR="004D2D70">
        <w:t>PopPK</w:t>
      </w:r>
      <w:r w:rsidRPr="00FA355C">
        <w:t xml:space="preserve"> model were</w:t>
      </w:r>
      <w:r>
        <w:t xml:space="preserve"> </w:t>
      </w:r>
      <w:r w:rsidRPr="00FA355C">
        <w:t>based on a previous analysis accordin</w:t>
      </w:r>
      <w:r>
        <w:t xml:space="preserve">g to the analysis plan. This is </w:t>
      </w:r>
      <w:r w:rsidRPr="00FA355C">
        <w:t>appropriate as some of the data used in the previous analysis w</w:t>
      </w:r>
      <w:r>
        <w:t xml:space="preserve">as to be </w:t>
      </w:r>
      <w:r w:rsidRPr="00FA355C">
        <w:t>used for this analysis again.</w:t>
      </w:r>
    </w:p>
    <w:p w:rsidR="00FA355C" w:rsidRPr="00FA355C" w:rsidRDefault="00FA355C" w:rsidP="00FA355C">
      <w:pPr>
        <w:pStyle w:val="ListBullet2"/>
      </w:pPr>
      <w:r w:rsidRPr="00FA355C">
        <w:t>The covariates and covariate models to be tested were listed for each of</w:t>
      </w:r>
      <w:r>
        <w:t xml:space="preserve"> </w:t>
      </w:r>
      <w:r w:rsidRPr="00FA355C">
        <w:t>the models.</w:t>
      </w:r>
    </w:p>
    <w:p w:rsidR="00FA355C" w:rsidRPr="00FA355C" w:rsidRDefault="00FA355C" w:rsidP="00FA355C">
      <w:pPr>
        <w:pStyle w:val="ListBullet2"/>
      </w:pPr>
      <w:r w:rsidRPr="00FA355C">
        <w:t>The algorithms/methods to be used for c</w:t>
      </w:r>
      <w:r>
        <w:t xml:space="preserve">ovariate model building and the </w:t>
      </w:r>
      <w:r w:rsidRPr="00FA355C">
        <w:t>criteria to be used for selection of m</w:t>
      </w:r>
      <w:r>
        <w:t xml:space="preserve">odels during model building and </w:t>
      </w:r>
      <w:r w:rsidRPr="00FA355C">
        <w:t>inclusion of covariates (</w:t>
      </w:r>
      <w:r w:rsidR="00A05B08">
        <w:t>for example,</w:t>
      </w:r>
      <w:r w:rsidRPr="00FA355C">
        <w:t xml:space="preserve"> objective funct</w:t>
      </w:r>
      <w:r>
        <w:t xml:space="preserve">ion value, level of statistical </w:t>
      </w:r>
      <w:r w:rsidRPr="00FA355C">
        <w:t>significance, goodness of fit plots, s</w:t>
      </w:r>
      <w:r>
        <w:t xml:space="preserve">tandard error, inter-individual </w:t>
      </w:r>
      <w:r w:rsidRPr="00FA355C">
        <w:t>variability, clinical relevance) were listed in the analysis plan.</w:t>
      </w:r>
    </w:p>
    <w:p w:rsidR="00FA355C" w:rsidRPr="00FA355C" w:rsidRDefault="00FA355C" w:rsidP="00FA355C">
      <w:pPr>
        <w:pStyle w:val="ListBullet2"/>
      </w:pPr>
      <w:r w:rsidRPr="00FA355C">
        <w:t>The model evaluation/qualification proce</w:t>
      </w:r>
      <w:r>
        <w:t xml:space="preserve">dures to be used were listed in </w:t>
      </w:r>
      <w:r w:rsidRPr="00FA355C">
        <w:t>the plan and are considered appropriate.</w:t>
      </w:r>
    </w:p>
    <w:p w:rsidR="00FA355C" w:rsidRPr="00FA355C" w:rsidRDefault="00FA355C" w:rsidP="00FA355C">
      <w:pPr>
        <w:pStyle w:val="ListBullet2"/>
      </w:pPr>
      <w:r w:rsidRPr="00FA355C">
        <w:t>Model application procedures were liste</w:t>
      </w:r>
      <w:r>
        <w:t xml:space="preserve">d in the analysis plan and were </w:t>
      </w:r>
      <w:r w:rsidRPr="00FA355C">
        <w:t>deemed appropriate.</w:t>
      </w:r>
    </w:p>
    <w:p w:rsidR="00AE2D9F" w:rsidRPr="00FA355C" w:rsidRDefault="00A05B08" w:rsidP="00A05B08">
      <w:pPr>
        <w:pStyle w:val="Heading5"/>
      </w:pPr>
      <w:r>
        <w:t>Final r</w:t>
      </w:r>
      <w:r w:rsidR="00FA355C" w:rsidRPr="00FA355C">
        <w:t>eport sub-sections</w:t>
      </w:r>
    </w:p>
    <w:p w:rsidR="00FA355C" w:rsidRPr="00FA355C" w:rsidRDefault="00FA355C" w:rsidP="00A05B08">
      <w:pPr>
        <w:pStyle w:val="Heading6"/>
      </w:pPr>
      <w:r w:rsidRPr="00FA355C">
        <w:t>Summary</w:t>
      </w:r>
    </w:p>
    <w:p w:rsidR="00FA355C" w:rsidRPr="00FA355C" w:rsidRDefault="00FA355C" w:rsidP="00FA355C">
      <w:r w:rsidRPr="00FA355C">
        <w:t>The synopsis in the sponsor’s report meets the crit</w:t>
      </w:r>
      <w:r>
        <w:t xml:space="preserve">eria of the EMEA guidelines. It </w:t>
      </w:r>
      <w:r w:rsidRPr="00FA355C">
        <w:t>contains sufficient information on the context of the s</w:t>
      </w:r>
      <w:r>
        <w:t xml:space="preserve">tudy, objectives, study design, </w:t>
      </w:r>
      <w:r w:rsidRPr="00FA355C">
        <w:t xml:space="preserve">data (number of subjects and samples), methods, results and the main </w:t>
      </w:r>
      <w:r>
        <w:t xml:space="preserve">findings and </w:t>
      </w:r>
      <w:r w:rsidRPr="00FA355C">
        <w:t>conclusions of the population PK analysis summaries a</w:t>
      </w:r>
      <w:r>
        <w:t xml:space="preserve">nd clearly presented in logical </w:t>
      </w:r>
      <w:r w:rsidRPr="00FA355C">
        <w:t>order.</w:t>
      </w:r>
    </w:p>
    <w:p w:rsidR="00FA355C" w:rsidRPr="00FA355C" w:rsidRDefault="00FA355C" w:rsidP="00A05B08">
      <w:pPr>
        <w:pStyle w:val="Heading6"/>
      </w:pPr>
      <w:r w:rsidRPr="00FA355C">
        <w:t>Introduction</w:t>
      </w:r>
    </w:p>
    <w:p w:rsidR="00FA355C" w:rsidRPr="00FA355C" w:rsidRDefault="00FA355C" w:rsidP="00FA355C">
      <w:r w:rsidRPr="00FA355C">
        <w:t>The introduction in the report provides backgr</w:t>
      </w:r>
      <w:r>
        <w:t xml:space="preserve">ound information about the drug </w:t>
      </w:r>
      <w:r w:rsidR="00A05B08">
        <w:t>i</w:t>
      </w:r>
      <w:r w:rsidRPr="00FA355C">
        <w:t xml:space="preserve">pilimumab and the rational for this analysis, which was to </w:t>
      </w:r>
      <w:r>
        <w:t xml:space="preserve">support the extension to </w:t>
      </w:r>
      <w:r w:rsidRPr="00FA355C">
        <w:t>first-line treatment for stage III or IV melanoma pat</w:t>
      </w:r>
      <w:r>
        <w:t xml:space="preserve">ients, provide insight into the </w:t>
      </w:r>
      <w:r w:rsidRPr="00FA355C">
        <w:t xml:space="preserve">relationship between ipilimumab </w:t>
      </w:r>
      <w:r w:rsidR="00A05B08" w:rsidRPr="00FA355C">
        <w:t>C</w:t>
      </w:r>
      <w:r w:rsidR="00A05B08" w:rsidRPr="00A05B08">
        <w:rPr>
          <w:vertAlign w:val="subscript"/>
        </w:rPr>
        <w:t>minss</w:t>
      </w:r>
      <w:r w:rsidRPr="00FA355C">
        <w:t xml:space="preserve"> and patient</w:t>
      </w:r>
      <w:r>
        <w:t xml:space="preserve"> covariates that are associated </w:t>
      </w:r>
      <w:r w:rsidRPr="00FA355C">
        <w:t>with key efficacy overall survival (OS) and safety immune-relate</w:t>
      </w:r>
      <w:r>
        <w:t xml:space="preserve">d adverse events </w:t>
      </w:r>
      <w:r w:rsidRPr="00FA355C">
        <w:t>(irAEs) endpoints, in particular adverse events regardi</w:t>
      </w:r>
      <w:r>
        <w:t xml:space="preserve">ng skin, gastrointestinal tract </w:t>
      </w:r>
      <w:r w:rsidRPr="00FA355C">
        <w:t>and liver.</w:t>
      </w:r>
    </w:p>
    <w:p w:rsidR="00FA355C" w:rsidRPr="00FA355C" w:rsidRDefault="00FA355C" w:rsidP="00FA355C">
      <w:r w:rsidRPr="00FA355C">
        <w:t>The report provides sufficient background informa</w:t>
      </w:r>
      <w:r>
        <w:t xml:space="preserve">tion to place the analysis into </w:t>
      </w:r>
      <w:r w:rsidRPr="00FA355C">
        <w:t>context within the drug's clinical development. The introduc</w:t>
      </w:r>
      <w:r>
        <w:t xml:space="preserve">tion in the sponsor’s </w:t>
      </w:r>
      <w:r w:rsidRPr="00FA355C">
        <w:t>report meets the criteria of the EMEA guidelines.</w:t>
      </w:r>
    </w:p>
    <w:p w:rsidR="00FA355C" w:rsidRPr="00FA355C" w:rsidRDefault="00FA355C" w:rsidP="00A05B08">
      <w:pPr>
        <w:pStyle w:val="Heading6"/>
      </w:pPr>
      <w:r w:rsidRPr="00FA355C">
        <w:t>Objectives</w:t>
      </w:r>
    </w:p>
    <w:p w:rsidR="00FA355C" w:rsidRPr="00FA355C" w:rsidRDefault="00FA355C" w:rsidP="00FA355C">
      <w:r w:rsidRPr="00FA355C">
        <w:t xml:space="preserve">The objectives are clearly stated in the </w:t>
      </w:r>
      <w:r>
        <w:t xml:space="preserve">sponsors report. These analyses </w:t>
      </w:r>
      <w:r w:rsidRPr="00FA355C">
        <w:t>aimed to describe the PK of ipilimumab in previousl</w:t>
      </w:r>
      <w:r>
        <w:t xml:space="preserve">y treated or untreated patients </w:t>
      </w:r>
      <w:r w:rsidRPr="00FA355C">
        <w:t>with advanced melanoma, and to quantify the sources a</w:t>
      </w:r>
      <w:r>
        <w:t xml:space="preserve">nd correlates of variability in </w:t>
      </w:r>
      <w:r w:rsidRPr="00FA355C">
        <w:t xml:space="preserve">ipilimumab exposure in this population, the </w:t>
      </w:r>
      <w:r>
        <w:t xml:space="preserve">relationship between ipilimumab </w:t>
      </w:r>
      <w:r w:rsidRPr="00FA355C">
        <w:t>exposure and efficacy (OS) in previously u</w:t>
      </w:r>
      <w:r>
        <w:t xml:space="preserve">ntreated patients with advanced </w:t>
      </w:r>
      <w:r w:rsidRPr="00FA355C">
        <w:t xml:space="preserve">melanoma as well as the describe the relationship </w:t>
      </w:r>
      <w:r>
        <w:t xml:space="preserve">between ipilimumab exposure and </w:t>
      </w:r>
      <w:r w:rsidRPr="00FA355C">
        <w:t>safety (irAEs) in previously treated or untreated patients with advanced melanoma.</w:t>
      </w:r>
    </w:p>
    <w:p w:rsidR="00AE2D9F" w:rsidRPr="00FA355C" w:rsidRDefault="00FA355C" w:rsidP="00FA355C">
      <w:r w:rsidRPr="00FA355C">
        <w:t>The objectives section meets the criteria of the EMEA guideline.</w:t>
      </w:r>
    </w:p>
    <w:p w:rsidR="00FA355C" w:rsidRPr="00FA355C" w:rsidRDefault="00FA355C" w:rsidP="00A05B08">
      <w:pPr>
        <w:pStyle w:val="Heading6"/>
      </w:pPr>
      <w:r w:rsidRPr="00FA355C">
        <w:t>Data</w:t>
      </w:r>
    </w:p>
    <w:p w:rsidR="00FA355C" w:rsidRPr="00FA355C" w:rsidRDefault="00FA355C" w:rsidP="00FA355C">
      <w:r w:rsidRPr="00FA355C">
        <w:t xml:space="preserve">The data that was included in the analysis and it’s </w:t>
      </w:r>
      <w:r>
        <w:t xml:space="preserve">originate were described in the </w:t>
      </w:r>
      <w:r w:rsidRPr="00FA355C">
        <w:t>report in great detail. Information regarding nomina</w:t>
      </w:r>
      <w:r>
        <w:t xml:space="preserve">l number of samples per subject </w:t>
      </w:r>
      <w:r w:rsidRPr="00FA355C">
        <w:t>per visit and sampling times in each stud</w:t>
      </w:r>
      <w:r w:rsidR="00A05B08">
        <w:t>y we</w:t>
      </w:r>
      <w:r w:rsidRPr="00FA355C">
        <w:t>re provid</w:t>
      </w:r>
      <w:r w:rsidR="00A05B08">
        <w:t>ed</w:t>
      </w:r>
      <w:r w:rsidRPr="00FA355C">
        <w:t>. A graphical display of the concentration versus</w:t>
      </w:r>
      <w:r w:rsidR="00C05E49">
        <w:t xml:space="preserve"> time should have supported and </w:t>
      </w:r>
      <w:r w:rsidRPr="00FA355C">
        <w:t>illustrated the data available; however this was not included in the report.</w:t>
      </w:r>
    </w:p>
    <w:p w:rsidR="00FA355C" w:rsidRPr="00FA355C" w:rsidRDefault="00FA355C" w:rsidP="00FA355C">
      <w:r w:rsidRPr="00FA355C">
        <w:t>The methods for calculating derived covariates were</w:t>
      </w:r>
      <w:r w:rsidR="00C05E49">
        <w:t xml:space="preserve"> listed </w:t>
      </w:r>
      <w:r w:rsidRPr="00FA355C">
        <w:t>within the report and seem appropriate. Handling of missing data has been</w:t>
      </w:r>
      <w:r w:rsidR="00C05E49">
        <w:t xml:space="preserve"> </w:t>
      </w:r>
      <w:r w:rsidRPr="00FA355C">
        <w:t>descri</w:t>
      </w:r>
      <w:r w:rsidR="00A05B08">
        <w:t>bed at several points in detail</w:t>
      </w:r>
      <w:r w:rsidRPr="00FA355C">
        <w:t>.</w:t>
      </w:r>
      <w:r w:rsidR="00C05E49">
        <w:t xml:space="preserve"> </w:t>
      </w:r>
      <w:r w:rsidRPr="00FA355C">
        <w:t>Identification and handling of outliners have been</w:t>
      </w:r>
      <w:r w:rsidR="00C05E49">
        <w:t xml:space="preserve"> described in detail </w:t>
      </w:r>
      <w:r w:rsidRPr="00FA355C">
        <w:t xml:space="preserve">and appears appropriate </w:t>
      </w:r>
      <w:r w:rsidRPr="00FA355C">
        <w:lastRenderedPageBreak/>
        <w:t>for the analy</w:t>
      </w:r>
      <w:r w:rsidR="00C05E49">
        <w:t xml:space="preserve">sis. Outliners </w:t>
      </w:r>
      <w:r w:rsidRPr="00FA355C">
        <w:t>were identified based on the conditional weighted r</w:t>
      </w:r>
      <w:r w:rsidR="00C05E49">
        <w:t xml:space="preserve">esiduals (CWRES) throughout the </w:t>
      </w:r>
      <w:r w:rsidRPr="00FA355C">
        <w:t>model building process and distributional checks</w:t>
      </w:r>
      <w:r w:rsidR="00C05E49">
        <w:t xml:space="preserve"> suggested by Tukey. The report </w:t>
      </w:r>
      <w:r w:rsidRPr="00FA355C">
        <w:t>describes and justifies the procedures that were taken in handling outliers an</w:t>
      </w:r>
      <w:r w:rsidR="00C05E49">
        <w:t xml:space="preserve">d are </w:t>
      </w:r>
      <w:r w:rsidRPr="00FA355C">
        <w:t>appropriate.</w:t>
      </w:r>
    </w:p>
    <w:p w:rsidR="00AE2D9F" w:rsidRPr="00FA355C" w:rsidRDefault="00FA355C" w:rsidP="00FA355C">
      <w:r w:rsidRPr="00FA355C">
        <w:t>The handling of data below the limit of quantificati</w:t>
      </w:r>
      <w:r w:rsidR="00C05E49">
        <w:t xml:space="preserve">on (BLOQ) has been described in </w:t>
      </w:r>
      <w:r w:rsidRPr="00FA355C">
        <w:t>the report. All BLOQ were omit</w:t>
      </w:r>
      <w:r w:rsidR="00C05E49">
        <w:t xml:space="preserve">ted in this analysis. From data </w:t>
      </w:r>
      <w:r w:rsidRPr="00FA355C">
        <w:t>provided a 5.7% rate of data omission du</w:t>
      </w:r>
      <w:r w:rsidR="00C05E49">
        <w:t xml:space="preserve">e to this </w:t>
      </w:r>
      <w:r w:rsidRPr="00FA355C">
        <w:t xml:space="preserve">reason in relation to the total number of samples </w:t>
      </w:r>
      <w:r w:rsidR="00C05E49">
        <w:t xml:space="preserve">used in the </w:t>
      </w:r>
      <w:r w:rsidR="004D2D70">
        <w:t>PopPK</w:t>
      </w:r>
      <w:r w:rsidR="00C05E49">
        <w:t xml:space="preserve"> analysis can be </w:t>
      </w:r>
      <w:r w:rsidRPr="00FA355C">
        <w:t>calculated. 5.7 % can be considered a small a</w:t>
      </w:r>
      <w:r w:rsidR="00C05E49">
        <w:t xml:space="preserve">nd negligible omission of data, </w:t>
      </w:r>
      <w:r w:rsidRPr="00FA355C">
        <w:t xml:space="preserve">however this was not stated in </w:t>
      </w:r>
      <w:r w:rsidR="00C05E49">
        <w:t xml:space="preserve">the report and possible </w:t>
      </w:r>
      <w:r w:rsidRPr="00FA355C">
        <w:t>consequences of this censoring were not discussed ei</w:t>
      </w:r>
      <w:r w:rsidR="00C05E49">
        <w:t xml:space="preserve">ther. It is difficult to assess </w:t>
      </w:r>
      <w:r w:rsidRPr="00FA355C">
        <w:t>from the report at which time points during the d</w:t>
      </w:r>
      <w:r w:rsidR="00C05E49">
        <w:t xml:space="preserve">osing interval the BLOQ samples </w:t>
      </w:r>
      <w:r w:rsidRPr="00FA355C">
        <w:t>occurred and consequences of data censoring cannot</w:t>
      </w:r>
      <w:r w:rsidR="00C05E49">
        <w:t xml:space="preserve"> be judged fully. All data used </w:t>
      </w:r>
      <w:r w:rsidRPr="00FA355C">
        <w:t>in the analysis compared to censored data ar</w:t>
      </w:r>
      <w:r w:rsidR="00C05E49">
        <w:t xml:space="preserve">e not graphically displayed for </w:t>
      </w:r>
      <w:r w:rsidRPr="00FA355C">
        <w:t>judgement of the possible consequences of the omission of the BLOQ data.</w:t>
      </w:r>
    </w:p>
    <w:p w:rsidR="00C05E49" w:rsidRPr="00C05E49" w:rsidRDefault="00C05E49" w:rsidP="00C05E49">
      <w:r w:rsidRPr="00C05E49">
        <w:t>Electronic files of the analysis datasets as comma separated values and space</w:t>
      </w:r>
      <w:r>
        <w:t xml:space="preserve"> </w:t>
      </w:r>
      <w:r w:rsidRPr="00C05E49">
        <w:t xml:space="preserve">delimited text files were provided for the </w:t>
      </w:r>
      <w:r w:rsidR="004D2D70">
        <w:t>PopPK</w:t>
      </w:r>
      <w:r w:rsidRPr="00C05E49">
        <w:t xml:space="preserve"> analy</w:t>
      </w:r>
      <w:r>
        <w:t xml:space="preserve">sis (‘ca184ph3-csv.txt’). Other </w:t>
      </w:r>
      <w:r w:rsidRPr="00C05E49">
        <w:t>data files such as preddata.csv and pkirAE.v1.csv u</w:t>
      </w:r>
      <w:r>
        <w:t xml:space="preserve">sed for the other two models in </w:t>
      </w:r>
      <w:r w:rsidRPr="00C05E49">
        <w:t>this report were not provided. Detailed specifications o</w:t>
      </w:r>
      <w:r>
        <w:t xml:space="preserve">f the data were included in the </w:t>
      </w:r>
      <w:r w:rsidRPr="00C05E49">
        <w:t>report.</w:t>
      </w:r>
    </w:p>
    <w:p w:rsidR="00AE2D9F" w:rsidRPr="00C05E49" w:rsidRDefault="00C05E49" w:rsidP="00C05E49">
      <w:r w:rsidRPr="00C05E49">
        <w:t>In conclusion the nature of the data and the studies</w:t>
      </w:r>
      <w:r>
        <w:t xml:space="preserve"> from which the data originated </w:t>
      </w:r>
      <w:r w:rsidRPr="00C05E49">
        <w:t>from are comprehensively described in the re</w:t>
      </w:r>
      <w:r>
        <w:t xml:space="preserve">port </w:t>
      </w:r>
      <w:r w:rsidRPr="00C05E49">
        <w:t>and the procedures for handling missing d</w:t>
      </w:r>
      <w:r>
        <w:t xml:space="preserve">ata and outlying data have been </w:t>
      </w:r>
      <w:r w:rsidRPr="00C05E49">
        <w:t>descri</w:t>
      </w:r>
      <w:r w:rsidR="00863038">
        <w:t>bed</w:t>
      </w:r>
      <w:r w:rsidRPr="00C05E49">
        <w:t xml:space="preserve"> in detail</w:t>
      </w:r>
      <w:r>
        <w:t xml:space="preserve">. The report largely meets the </w:t>
      </w:r>
      <w:r w:rsidRPr="00C05E49">
        <w:t>criteria of the EMEA guideline. Discussion on th</w:t>
      </w:r>
      <w:r>
        <w:t xml:space="preserve">e omission of the BLOQ data was </w:t>
      </w:r>
      <w:r w:rsidRPr="00C05E49">
        <w:t>not available and no graphical display of the data use</w:t>
      </w:r>
      <w:r>
        <w:t xml:space="preserve">d for the analysis was provided </w:t>
      </w:r>
      <w:r w:rsidRPr="00C05E49">
        <w:t>in the report. The data available and the study designs</w:t>
      </w:r>
      <w:r>
        <w:t xml:space="preserve"> of the studies, as well as the </w:t>
      </w:r>
      <w:r w:rsidRPr="00C05E49">
        <w:t xml:space="preserve">merging of the data from several different studies </w:t>
      </w:r>
      <w:r>
        <w:t xml:space="preserve">were appropriate to be analysed </w:t>
      </w:r>
      <w:r w:rsidRPr="00C05E49">
        <w:t xml:space="preserve">using a </w:t>
      </w:r>
      <w:r w:rsidR="004D2D70">
        <w:t>PopPK</w:t>
      </w:r>
      <w:r w:rsidRPr="00C05E49">
        <w:t xml:space="preserve"> approach.</w:t>
      </w:r>
    </w:p>
    <w:p w:rsidR="00C05E49" w:rsidRPr="00C05E49" w:rsidRDefault="00C05E49" w:rsidP="00863038">
      <w:pPr>
        <w:pStyle w:val="Heading6"/>
      </w:pPr>
      <w:r w:rsidRPr="00C05E49">
        <w:t>Methods</w:t>
      </w:r>
    </w:p>
    <w:p w:rsidR="00C05E49" w:rsidRPr="00C05E49" w:rsidRDefault="00C05E49" w:rsidP="00C05E49">
      <w:r w:rsidRPr="00C05E49">
        <w:t xml:space="preserve">The methods for the development and evaluation </w:t>
      </w:r>
      <w:r>
        <w:t xml:space="preserve">of the </w:t>
      </w:r>
      <w:r w:rsidR="004D2D70">
        <w:t>PopPK</w:t>
      </w:r>
      <w:r>
        <w:t xml:space="preserve"> model </w:t>
      </w:r>
      <w:r w:rsidRPr="00C05E49">
        <w:t>and those relating to the exposur</w:t>
      </w:r>
      <w:r>
        <w:t>e-response (</w:t>
      </w:r>
      <w:r w:rsidR="0039038B">
        <w:t>ER</w:t>
      </w:r>
      <w:r>
        <w:t xml:space="preserve">) models (OS and </w:t>
      </w:r>
      <w:r w:rsidRPr="00C05E49">
        <w:t>irAEs) were described.</w:t>
      </w:r>
    </w:p>
    <w:p w:rsidR="00C05E49" w:rsidRPr="00C05E49" w:rsidRDefault="00C05E49" w:rsidP="00863038">
      <w:pPr>
        <w:pStyle w:val="Heading6"/>
      </w:pPr>
      <w:r w:rsidRPr="00C05E49">
        <w:t xml:space="preserve">Bioanalytical </w:t>
      </w:r>
      <w:r w:rsidR="00D367DE">
        <w:t>m</w:t>
      </w:r>
      <w:r w:rsidRPr="00C05E49">
        <w:t>ethods</w:t>
      </w:r>
    </w:p>
    <w:p w:rsidR="00C05E49" w:rsidRPr="00C05E49" w:rsidRDefault="00C05E49" w:rsidP="00C05E49">
      <w:r w:rsidRPr="00C05E49">
        <w:t>The bioanalytical methods used and the limit of qu</w:t>
      </w:r>
      <w:r>
        <w:t xml:space="preserve">antification for ipilimumab and </w:t>
      </w:r>
      <w:r w:rsidRPr="00C05E49">
        <w:t xml:space="preserve">inter-assay and intra-assay coefficients of variation </w:t>
      </w:r>
      <w:r>
        <w:t xml:space="preserve">were specified according to the </w:t>
      </w:r>
      <w:r w:rsidRPr="00C05E49">
        <w:t>guidelines in the data section of the report.</w:t>
      </w:r>
    </w:p>
    <w:p w:rsidR="00C05E49" w:rsidRPr="00C05E49" w:rsidRDefault="00C05E49" w:rsidP="00863038">
      <w:pPr>
        <w:pStyle w:val="Heading6"/>
      </w:pPr>
      <w:r w:rsidRPr="00C05E49">
        <w:t xml:space="preserve">Analysis </w:t>
      </w:r>
      <w:r w:rsidR="00D367DE">
        <w:t>p</w:t>
      </w:r>
      <w:r w:rsidRPr="00C05E49">
        <w:t>lan</w:t>
      </w:r>
    </w:p>
    <w:p w:rsidR="00C05E49" w:rsidRPr="00C05E49" w:rsidRDefault="00C05E49" w:rsidP="00C05E49">
      <w:r w:rsidRPr="00C05E49">
        <w:t>No deviations from the analysis plan during the analys</w:t>
      </w:r>
      <w:r>
        <w:t xml:space="preserve">is could be identified and none </w:t>
      </w:r>
      <w:r w:rsidRPr="00C05E49">
        <w:t>were discussed within the report.</w:t>
      </w:r>
    </w:p>
    <w:p w:rsidR="00AE2D9F" w:rsidRPr="00C05E49" w:rsidRDefault="00C05E49" w:rsidP="00C05E49">
      <w:r w:rsidRPr="00C05E49">
        <w:t xml:space="preserve">Criteria to be used for selection of models during </w:t>
      </w:r>
      <w:r>
        <w:t xml:space="preserve">model building and inclusion of </w:t>
      </w:r>
      <w:r w:rsidRPr="00C05E49">
        <w:t xml:space="preserve">covariates and the model evaluation/qualification </w:t>
      </w:r>
      <w:r>
        <w:t xml:space="preserve">procedures to be used have been </w:t>
      </w:r>
      <w:r w:rsidRPr="00C05E49">
        <w:t>listed in the method section and are the same as li</w:t>
      </w:r>
      <w:r>
        <w:t xml:space="preserve">sted in the separately provided </w:t>
      </w:r>
      <w:r w:rsidRPr="00C05E49">
        <w:t>analysis plan. Specific methods used have been re</w:t>
      </w:r>
      <w:r>
        <w:t xml:space="preserve">ferenced throughout the report, </w:t>
      </w:r>
      <w:r w:rsidRPr="00C05E49">
        <w:t>similarly to the ones r</w:t>
      </w:r>
      <w:r>
        <w:t xml:space="preserve">eferenced in the analysis plan. </w:t>
      </w:r>
      <w:r w:rsidRPr="00C05E49">
        <w:t>Models, covariates and covariate models that were te</w:t>
      </w:r>
      <w:r>
        <w:t xml:space="preserve">sted are the same as predefined </w:t>
      </w:r>
      <w:r w:rsidRPr="00C05E49">
        <w:t>in the analysis plan.</w:t>
      </w:r>
    </w:p>
    <w:p w:rsidR="00C05E49" w:rsidRPr="00C05E49" w:rsidRDefault="004D2D70" w:rsidP="00863038">
      <w:pPr>
        <w:pStyle w:val="Heading6"/>
      </w:pPr>
      <w:r>
        <w:t>PopPK</w:t>
      </w:r>
      <w:r w:rsidR="00C05E49" w:rsidRPr="00C05E49">
        <w:t xml:space="preserve"> </w:t>
      </w:r>
      <w:r w:rsidR="0039038B">
        <w:t>ER</w:t>
      </w:r>
      <w:r w:rsidR="00C05E49" w:rsidRPr="00C05E49">
        <w:t xml:space="preserve"> </w:t>
      </w:r>
      <w:r w:rsidR="00D367DE">
        <w:t>a</w:t>
      </w:r>
      <w:r w:rsidR="00C05E49" w:rsidRPr="00C05E49">
        <w:t>nalyses</w:t>
      </w:r>
    </w:p>
    <w:p w:rsidR="00C05E49" w:rsidRDefault="00C05E49" w:rsidP="00C05E49">
      <w:r w:rsidRPr="00C05E49">
        <w:t xml:space="preserve">The methods outlined for the </w:t>
      </w:r>
      <w:r w:rsidR="004D2D70">
        <w:t>PopPK</w:t>
      </w:r>
      <w:r w:rsidRPr="00C05E49">
        <w:t xml:space="preserve"> and </w:t>
      </w:r>
      <w:r w:rsidR="0039038B">
        <w:t>ER</w:t>
      </w:r>
      <w:r>
        <w:t xml:space="preserve"> analysis largely meet the EMEA </w:t>
      </w:r>
      <w:r w:rsidRPr="00C05E49">
        <w:t>guidelines. Missing information in the report, required by the EMEA guideline:</w:t>
      </w:r>
    </w:p>
    <w:p w:rsidR="00C05E49" w:rsidRPr="00C05E49" w:rsidRDefault="00C05E49" w:rsidP="00C05E49">
      <w:pPr>
        <w:pStyle w:val="ListBullet"/>
      </w:pPr>
      <w:r w:rsidRPr="00C05E49">
        <w:t>Rational for testing selected covariates in the data set.</w:t>
      </w:r>
    </w:p>
    <w:p w:rsidR="00C05E49" w:rsidRPr="00C05E49" w:rsidRDefault="00C05E49" w:rsidP="00C05E49">
      <w:r w:rsidRPr="00C05E49">
        <w:t xml:space="preserve">The steps and components of the </w:t>
      </w:r>
      <w:r w:rsidR="004D2D70">
        <w:t>PopPK</w:t>
      </w:r>
      <w:r w:rsidRPr="00C05E49">
        <w:t xml:space="preserve"> model and the </w:t>
      </w:r>
      <w:r w:rsidR="0039038B">
        <w:t>ER</w:t>
      </w:r>
      <w:r>
        <w:t xml:space="preserve"> models were stated and </w:t>
      </w:r>
      <w:r w:rsidRPr="00C05E49">
        <w:t>specified along with a list of the hardware an</w:t>
      </w:r>
      <w:r>
        <w:t xml:space="preserve">d software used (NONMEM, Splus, </w:t>
      </w:r>
      <w:r w:rsidRPr="00C05E49">
        <w:t>PsN). The analysis methods and the choice of es</w:t>
      </w:r>
      <w:r>
        <w:t>timation method (</w:t>
      </w:r>
      <w:r w:rsidR="00863038">
        <w:t>for example,</w:t>
      </w:r>
      <w:r>
        <w:t xml:space="preserve"> FOCE with </w:t>
      </w:r>
      <w:r w:rsidRPr="00C05E49">
        <w:t xml:space="preserve">interaction for </w:t>
      </w:r>
      <w:r w:rsidR="004D2D70">
        <w:t>PopPK</w:t>
      </w:r>
      <w:r w:rsidRPr="00C05E49">
        <w:t xml:space="preserve">, no </w:t>
      </w:r>
      <w:r w:rsidRPr="00C05E49">
        <w:lastRenderedPageBreak/>
        <w:t>methods listed for the Exposure-Safety Response a</w:t>
      </w:r>
      <w:r>
        <w:t xml:space="preserve">nalyses) </w:t>
      </w:r>
      <w:r w:rsidRPr="00C05E49">
        <w:t xml:space="preserve">were also stated. Justifications for these choices have </w:t>
      </w:r>
      <w:r>
        <w:t xml:space="preserve">been limited within the report. </w:t>
      </w:r>
      <w:r w:rsidRPr="00C05E49">
        <w:t>The assumptions made during the analysis were dis</w:t>
      </w:r>
      <w:r>
        <w:t xml:space="preserve">cussed only to a limited extent </w:t>
      </w:r>
      <w:r w:rsidRPr="00C05E49">
        <w:t>for some of the models.</w:t>
      </w:r>
    </w:p>
    <w:p w:rsidR="00C05E49" w:rsidRPr="00C05E49" w:rsidRDefault="00C05E49" w:rsidP="00C05E49">
      <w:r w:rsidRPr="00C05E49">
        <w:t>The model selection criterion during model building an</w:t>
      </w:r>
      <w:r>
        <w:t xml:space="preserve">d inclusion of covariates was </w:t>
      </w:r>
      <w:r w:rsidRPr="00C05E49">
        <w:t>specified as the Bayesian Information Criterion</w:t>
      </w:r>
      <w:r>
        <w:t xml:space="preserve"> (BIC) (calculated based on the </w:t>
      </w:r>
      <w:r w:rsidRPr="00C05E49">
        <w:t xml:space="preserve">objective function value, number of observations </w:t>
      </w:r>
      <w:r>
        <w:t xml:space="preserve">and the number of parameters in </w:t>
      </w:r>
      <w:r w:rsidRPr="00C05E49">
        <w:t>the model). No level of statistical significance was defined. Mode</w:t>
      </w:r>
      <w:r>
        <w:t xml:space="preserve">l selection was </w:t>
      </w:r>
      <w:r w:rsidRPr="00C05E49">
        <w:t>guided by the magnitude of change in BIC values.</w:t>
      </w:r>
    </w:p>
    <w:p w:rsidR="00AE2D9F" w:rsidRPr="00C05E49" w:rsidRDefault="00C05E49" w:rsidP="00C05E49">
      <w:r w:rsidRPr="00C05E49">
        <w:t>The following criteria were also considered during</w:t>
      </w:r>
      <w:r>
        <w:t xml:space="preserve"> the covariate model process to </w:t>
      </w:r>
      <w:r w:rsidRPr="00C05E49">
        <w:t>arrive at the final model:</w:t>
      </w:r>
    </w:p>
    <w:p w:rsidR="00C05E49" w:rsidRPr="00C05E49" w:rsidRDefault="00C05E49" w:rsidP="00C05E49">
      <w:pPr>
        <w:pStyle w:val="ListBullet"/>
      </w:pPr>
      <w:r w:rsidRPr="00C05E49">
        <w:t>Diagnostic goodness-of-fit plots (conditional weighted residuals versus</w:t>
      </w:r>
      <w:r>
        <w:t xml:space="preserve"> </w:t>
      </w:r>
      <w:r w:rsidR="00863038">
        <w:t>time/population predictions)</w:t>
      </w:r>
    </w:p>
    <w:p w:rsidR="00C05E49" w:rsidRPr="00C05E49" w:rsidRDefault="00C05E49" w:rsidP="00C05E49">
      <w:pPr>
        <w:pStyle w:val="ListBullet"/>
      </w:pPr>
      <w:r w:rsidRPr="00C05E49">
        <w:t>Plots of observed data versus po</w:t>
      </w:r>
      <w:r w:rsidR="00863038">
        <w:t>pulation/individual predictions</w:t>
      </w:r>
    </w:p>
    <w:p w:rsidR="00C05E49" w:rsidRPr="00C05E49" w:rsidRDefault="00C05E49" w:rsidP="00C05E49">
      <w:pPr>
        <w:pStyle w:val="ListBullet"/>
      </w:pPr>
      <w:r w:rsidRPr="00C05E49">
        <w:t xml:space="preserve">The extent to which the model could explain </w:t>
      </w:r>
      <w:r>
        <w:t xml:space="preserve">the variability in the data, as </w:t>
      </w:r>
      <w:r w:rsidRPr="00C05E49">
        <w:t>measured by inter-subject variability an</w:t>
      </w:r>
      <w:r>
        <w:t xml:space="preserve">d residual-error parameters and </w:t>
      </w:r>
      <w:r w:rsidRPr="00C05E49">
        <w:t>bootstrap procedures.</w:t>
      </w:r>
    </w:p>
    <w:p w:rsidR="00C05E49" w:rsidRPr="00C05E49" w:rsidRDefault="00C05E49" w:rsidP="00C05E49">
      <w:r w:rsidRPr="00C05E49">
        <w:t>All of the above can be considered appropriate.</w:t>
      </w:r>
    </w:p>
    <w:p w:rsidR="00C05E49" w:rsidRPr="00C05E49" w:rsidRDefault="00C05E49" w:rsidP="00863038">
      <w:pPr>
        <w:pStyle w:val="Heading6"/>
      </w:pPr>
      <w:r w:rsidRPr="00C05E49">
        <w:t>Structural model</w:t>
      </w:r>
    </w:p>
    <w:p w:rsidR="00C05E49" w:rsidRPr="00C05E49" w:rsidRDefault="00C05E49" w:rsidP="00C05E49">
      <w:r w:rsidRPr="00C05E49">
        <w:t>For each of the three models (</w:t>
      </w:r>
      <w:r w:rsidR="004D2D70">
        <w:t>PopPK</w:t>
      </w:r>
      <w:r w:rsidRPr="00C05E49">
        <w:t xml:space="preserve"> and </w:t>
      </w:r>
      <w:r w:rsidR="0039038B">
        <w:t>ER</w:t>
      </w:r>
      <w:r w:rsidRPr="00C05E49">
        <w:t xml:space="preserve"> models) the report presents the </w:t>
      </w:r>
      <w:r>
        <w:t xml:space="preserve">a priori </w:t>
      </w:r>
      <w:r w:rsidRPr="00C05E49">
        <w:t>information available regarding the model struct</w:t>
      </w:r>
      <w:r>
        <w:t xml:space="preserve">ure or the assumptions that the </w:t>
      </w:r>
      <w:r w:rsidRPr="00C05E49">
        <w:t>structural model was based on.</w:t>
      </w:r>
    </w:p>
    <w:p w:rsidR="00C05E49" w:rsidRPr="00C05E49" w:rsidRDefault="00C05E49" w:rsidP="00863038">
      <w:pPr>
        <w:pStyle w:val="Heading6"/>
      </w:pPr>
      <w:r w:rsidRPr="00C05E49">
        <w:t>Covariate model</w:t>
      </w:r>
    </w:p>
    <w:p w:rsidR="00C05E49" w:rsidRPr="00C05E49" w:rsidRDefault="00C05E49" w:rsidP="00C05E49">
      <w:r w:rsidRPr="00C05E49">
        <w:t>The covariates tested for inclusion in the model wer</w:t>
      </w:r>
      <w:r>
        <w:t xml:space="preserve">e presented for the </w:t>
      </w:r>
      <w:r w:rsidR="004D2D70">
        <w:t>PopPK</w:t>
      </w:r>
      <w:r>
        <w:t xml:space="preserve"> and the </w:t>
      </w:r>
      <w:r w:rsidR="0039038B">
        <w:t>ER</w:t>
      </w:r>
      <w:r w:rsidR="00863038">
        <w:t>: </w:t>
      </w:r>
      <w:r w:rsidRPr="00C05E49">
        <w:t>irAEs model, however no rationale for testing t</w:t>
      </w:r>
      <w:r>
        <w:t xml:space="preserve">hese covariates and none of the </w:t>
      </w:r>
      <w:r w:rsidRPr="00C05E49">
        <w:t>other available covariates in the data set were gi</w:t>
      </w:r>
      <w:r>
        <w:t xml:space="preserve">ven. The EMEA guidelines states </w:t>
      </w:r>
      <w:r w:rsidRPr="00C05E49">
        <w:t>that this should be discussed. A discussion was mi</w:t>
      </w:r>
      <w:r>
        <w:t xml:space="preserve">ssing on why covariates such as </w:t>
      </w:r>
      <w:r w:rsidRPr="00C05E49">
        <w:t>body surface area and albumin were not cons</w:t>
      </w:r>
      <w:r>
        <w:t xml:space="preserve">idered in the </w:t>
      </w:r>
      <w:r w:rsidR="004D2D70">
        <w:t>PopPK</w:t>
      </w:r>
      <w:r>
        <w:t xml:space="preserve"> analysis, for </w:t>
      </w:r>
      <w:r w:rsidRPr="00C05E49">
        <w:t xml:space="preserve">example. For the </w:t>
      </w:r>
      <w:proofErr w:type="gramStart"/>
      <w:r w:rsidR="0039038B">
        <w:t>ER</w:t>
      </w:r>
      <w:r w:rsidR="00863038">
        <w:t xml:space="preserve"> </w:t>
      </w:r>
      <w:r w:rsidRPr="00C05E49">
        <w:t>:OS</w:t>
      </w:r>
      <w:proofErr w:type="gramEnd"/>
      <w:r w:rsidRPr="00C05E49">
        <w:t xml:space="preserve"> model the selected covariates were</w:t>
      </w:r>
      <w:r>
        <w:t xml:space="preserve"> not listed, however it </w:t>
      </w:r>
      <w:r w:rsidRPr="00C05E49">
        <w:t>was specified that the selection was based on ex</w:t>
      </w:r>
      <w:r>
        <w:t xml:space="preserve">tensive data visualisation (not </w:t>
      </w:r>
      <w:r w:rsidRPr="00C05E49">
        <w:t xml:space="preserve">presented in the report). The parameterisation of </w:t>
      </w:r>
      <w:r>
        <w:t xml:space="preserve">the covariate model for the </w:t>
      </w:r>
      <w:r w:rsidR="004D2D70">
        <w:t>PopPK</w:t>
      </w:r>
      <w:r>
        <w:t xml:space="preserve"> </w:t>
      </w:r>
      <w:r w:rsidRPr="00C05E49">
        <w:t>analysis was specified in the report. This was not explicitly done for</w:t>
      </w:r>
      <w:r>
        <w:t xml:space="preserve"> the </w:t>
      </w:r>
      <w:r w:rsidR="0039038B">
        <w:t>ER</w:t>
      </w:r>
      <w:r>
        <w:t xml:space="preserve"> models. </w:t>
      </w:r>
      <w:r w:rsidRPr="00C05E49">
        <w:t xml:space="preserve">The covariate model building procedures were </w:t>
      </w:r>
      <w:r>
        <w:t xml:space="preserve">described in agreement with the </w:t>
      </w:r>
      <w:r w:rsidRPr="00C05E49">
        <w:t xml:space="preserve">guidelines and extensive tables listing the steps </w:t>
      </w:r>
      <w:r w:rsidR="00863038">
        <w:t>were included</w:t>
      </w:r>
      <w:r w:rsidRPr="00C05E49">
        <w:t>.</w:t>
      </w:r>
    </w:p>
    <w:p w:rsidR="00C05E49" w:rsidRPr="00C05E49" w:rsidRDefault="00C05E49" w:rsidP="00C05E49">
      <w:r w:rsidRPr="00C05E49">
        <w:t>In conclusion, only limited information on the specific criteria for covariate sel</w:t>
      </w:r>
      <w:r>
        <w:t xml:space="preserve">ection </w:t>
      </w:r>
      <w:r w:rsidRPr="00C05E49">
        <w:t>was presented for the three data analyses.</w:t>
      </w:r>
    </w:p>
    <w:p w:rsidR="00C05E49" w:rsidRPr="00C05E49" w:rsidRDefault="00863038" w:rsidP="00863038">
      <w:pPr>
        <w:pStyle w:val="Heading6"/>
      </w:pPr>
      <w:r>
        <w:t>Variability models / s</w:t>
      </w:r>
      <w:r w:rsidR="00C05E49" w:rsidRPr="00C05E49">
        <w:t>tochastic models</w:t>
      </w:r>
    </w:p>
    <w:p w:rsidR="00C05E49" w:rsidRPr="00C05E49" w:rsidRDefault="00C05E49" w:rsidP="00C05E49">
      <w:r w:rsidRPr="00C05E49">
        <w:t>Models applied to describe inter-individual and res</w:t>
      </w:r>
      <w:r>
        <w:t xml:space="preserve">idual were described </w:t>
      </w:r>
      <w:r w:rsidRPr="00C05E49">
        <w:t xml:space="preserve">for the </w:t>
      </w:r>
      <w:r w:rsidR="004D2D70">
        <w:t>PopPK</w:t>
      </w:r>
      <w:r w:rsidRPr="00C05E49">
        <w:t xml:space="preserve"> model. Inter-occasion variabil</w:t>
      </w:r>
      <w:r>
        <w:t xml:space="preserve">ity was not investigated in the </w:t>
      </w:r>
      <w:r w:rsidRPr="00C05E49">
        <w:t>model. No rational for this was provided.</w:t>
      </w:r>
    </w:p>
    <w:p w:rsidR="00C05E49" w:rsidRPr="00C05E49" w:rsidRDefault="00C05E49" w:rsidP="00863038">
      <w:pPr>
        <w:pStyle w:val="Heading6"/>
      </w:pPr>
      <w:r w:rsidRPr="00C05E49">
        <w:t>Model evaluation</w:t>
      </w:r>
    </w:p>
    <w:p w:rsidR="00C05E49" w:rsidRPr="00C05E49" w:rsidRDefault="00C05E49" w:rsidP="00C05E49">
      <w:r w:rsidRPr="00C05E49">
        <w:t>Model evaluation procedures to support the obj</w:t>
      </w:r>
      <w:r>
        <w:t xml:space="preserve">ective to describe the data and </w:t>
      </w:r>
      <w:r w:rsidRPr="00C05E49">
        <w:t>evaluate potential covariate effects in this report mee</w:t>
      </w:r>
      <w:r>
        <w:t xml:space="preserve">t the standards required by the </w:t>
      </w:r>
      <w:r w:rsidRPr="00C05E49">
        <w:t>EMEA guideline.</w:t>
      </w:r>
    </w:p>
    <w:p w:rsidR="00C05E49" w:rsidRPr="00C05E49" w:rsidRDefault="00C05E49" w:rsidP="00C05E49">
      <w:r w:rsidRPr="00C05E49">
        <w:t>The model evaluation procedures were descr</w:t>
      </w:r>
      <w:r>
        <w:t xml:space="preserve">ibed and include both graphical </w:t>
      </w:r>
      <w:r w:rsidRPr="00C05E49">
        <w:t>evaluation and statistical procedures. Justification of the model evaluation</w:t>
      </w:r>
      <w:r>
        <w:t xml:space="preserve"> </w:t>
      </w:r>
      <w:r w:rsidRPr="00C05E49">
        <w:t>procedures chosen was limited in the report, overall they were appropriate.</w:t>
      </w:r>
    </w:p>
    <w:p w:rsidR="00C05E49" w:rsidRPr="00C05E49" w:rsidRDefault="00C05E49" w:rsidP="00C05E49">
      <w:r w:rsidRPr="00C05E49">
        <w:t>The following tools were used for the three models were: assessment of goodness</w:t>
      </w:r>
      <w:r>
        <w:t xml:space="preserve"> </w:t>
      </w:r>
      <w:r w:rsidRPr="00C05E49">
        <w:t>of-</w:t>
      </w:r>
      <w:r>
        <w:t xml:space="preserve"> </w:t>
      </w:r>
      <w:r w:rsidRPr="00C05E49">
        <w:t>fit plots, precision of parameter estimates, bootstra</w:t>
      </w:r>
      <w:r>
        <w:t xml:space="preserve">pping, visual predictive checks </w:t>
      </w:r>
      <w:r w:rsidRPr="00C05E49">
        <w:t>(VPC) and prediction corrected visual predictive checks (pcVPC).</w:t>
      </w:r>
    </w:p>
    <w:p w:rsidR="00C05E49" w:rsidRPr="00C05E49" w:rsidRDefault="00C05E49" w:rsidP="00863038">
      <w:pPr>
        <w:pStyle w:val="Heading5"/>
      </w:pPr>
      <w:r w:rsidRPr="00C05E49">
        <w:lastRenderedPageBreak/>
        <w:t>Results</w:t>
      </w:r>
    </w:p>
    <w:p w:rsidR="00C05E49" w:rsidRPr="00C05E49" w:rsidRDefault="00C05E49" w:rsidP="00C05E49">
      <w:r w:rsidRPr="00C05E49">
        <w:t>The results of the three analyses were presented in</w:t>
      </w:r>
      <w:r>
        <w:t xml:space="preserve"> a sequential manner</w:t>
      </w:r>
      <w:r w:rsidRPr="00C05E49">
        <w:t xml:space="preserve">. The results of the </w:t>
      </w:r>
      <w:r w:rsidR="004D2D70">
        <w:t>PopPK</w:t>
      </w:r>
      <w:r w:rsidRPr="00C05E49">
        <w:t xml:space="preserve"> analysis the results of the </w:t>
      </w:r>
      <w:r w:rsidR="0039038B">
        <w:t>ER</w:t>
      </w:r>
      <w:proofErr w:type="gramStart"/>
      <w:r w:rsidRPr="00C05E49">
        <w:t>:OS</w:t>
      </w:r>
      <w:proofErr w:type="gramEnd"/>
      <w:r w:rsidRPr="00C05E49">
        <w:t xml:space="preserve"> analysis, an</w:t>
      </w:r>
      <w:r w:rsidR="00D1142A">
        <w:t xml:space="preserve">d the ER: </w:t>
      </w:r>
      <w:r w:rsidRPr="00C05E49">
        <w:t>irAEs model results</w:t>
      </w:r>
      <w:r w:rsidR="0091142B">
        <w:t xml:space="preserve"> were all provided.</w:t>
      </w:r>
    </w:p>
    <w:p w:rsidR="00C05E49" w:rsidRPr="00C05E49" w:rsidRDefault="00C05E49" w:rsidP="0091142B">
      <w:pPr>
        <w:pStyle w:val="Heading6"/>
      </w:pPr>
      <w:r w:rsidRPr="00C05E49">
        <w:t>Data</w:t>
      </w:r>
    </w:p>
    <w:p w:rsidR="00C05E49" w:rsidRPr="00C05E49" w:rsidRDefault="00C05E49" w:rsidP="00C05E49">
      <w:r w:rsidRPr="00C05E49">
        <w:t>Results on the data is not discussed or reported</w:t>
      </w:r>
      <w:r w:rsidR="00D1142A">
        <w:t xml:space="preserve">. Data used for the </w:t>
      </w:r>
      <w:r w:rsidRPr="00C05E49">
        <w:t>analyses is described. Additional detai</w:t>
      </w:r>
      <w:r w:rsidR="00D1142A">
        <w:t xml:space="preserve">ls on the data set used for the </w:t>
      </w:r>
      <w:r w:rsidR="004D2D70">
        <w:t>PopPK</w:t>
      </w:r>
      <w:r w:rsidRPr="00C05E49">
        <w:t xml:space="preserve"> analysis was </w:t>
      </w:r>
      <w:r w:rsidR="0091142B">
        <w:t xml:space="preserve">presented in appendixes and </w:t>
      </w:r>
      <w:r w:rsidRPr="00C05E49">
        <w:t>information on the data sets use</w:t>
      </w:r>
      <w:r w:rsidR="00D1142A">
        <w:t xml:space="preserve">d for the </w:t>
      </w:r>
      <w:r w:rsidR="0039038B">
        <w:t>ER</w:t>
      </w:r>
      <w:proofErr w:type="gramStart"/>
      <w:r w:rsidR="00D1142A">
        <w:t>:OS</w:t>
      </w:r>
      <w:proofErr w:type="gramEnd"/>
      <w:r w:rsidR="00D1142A">
        <w:t xml:space="preserve"> and </w:t>
      </w:r>
      <w:r w:rsidR="0039038B">
        <w:t>ER</w:t>
      </w:r>
      <w:r w:rsidR="00D1142A">
        <w:t xml:space="preserve">:irAEs </w:t>
      </w:r>
      <w:r w:rsidRPr="00C05E49">
        <w:t>analysis</w:t>
      </w:r>
      <w:r w:rsidR="0091142B">
        <w:t xml:space="preserve"> was also presented in appendixes</w:t>
      </w:r>
      <w:r w:rsidRPr="00C05E49">
        <w:t>.</w:t>
      </w:r>
    </w:p>
    <w:p w:rsidR="00C05E49" w:rsidRPr="00C05E49" w:rsidRDefault="00C05E49" w:rsidP="00C05E49">
      <w:r w:rsidRPr="00C05E49">
        <w:t>Information on the total number of subject</w:t>
      </w:r>
      <w:r w:rsidR="00D1142A">
        <w:t xml:space="preserve">s, the total number of observed </w:t>
      </w:r>
      <w:r w:rsidRPr="00C05E49">
        <w:t>concentrations used in the analysis, the distributio</w:t>
      </w:r>
      <w:r w:rsidR="00D1142A">
        <w:t xml:space="preserve">n of the used data presented in </w:t>
      </w:r>
      <w:r w:rsidRPr="00C05E49">
        <w:t>graphics and tables, presentations of the actual number o</w:t>
      </w:r>
      <w:r w:rsidR="00D1142A">
        <w:t xml:space="preserve">f samples per subject, </w:t>
      </w:r>
      <w:r w:rsidRPr="00C05E49">
        <w:t>summary statistics and histograms of the continuou</w:t>
      </w:r>
      <w:r w:rsidR="00D1142A">
        <w:t xml:space="preserve">s covariates and frequencies of </w:t>
      </w:r>
      <w:r w:rsidRPr="00C05E49">
        <w:t>categorical covariates, missing data (missing d</w:t>
      </w:r>
      <w:r w:rsidR="00D1142A">
        <w:t xml:space="preserve">osing and sample times, missing </w:t>
      </w:r>
      <w:r w:rsidRPr="00C05E49">
        <w:t>covariates), outliers specified with all relevant data available and lis</w:t>
      </w:r>
      <w:r w:rsidR="00D1142A">
        <w:t xml:space="preserve">ts of subjects </w:t>
      </w:r>
      <w:r w:rsidRPr="00C05E49">
        <w:t>removed from the analysis listed with relevant patien</w:t>
      </w:r>
      <w:r w:rsidR="00D1142A">
        <w:t xml:space="preserve">t characteristics were found in </w:t>
      </w:r>
      <w:r w:rsidRPr="00C05E49">
        <w:t>the above mentioned data section not in the result section of the report.</w:t>
      </w:r>
    </w:p>
    <w:p w:rsidR="00C05E49" w:rsidRPr="00C05E49" w:rsidRDefault="00C05E49" w:rsidP="00C05E49">
      <w:r w:rsidRPr="00C05E49">
        <w:t>The information presented in the report in the data section largely meets the crit</w:t>
      </w:r>
      <w:r w:rsidR="00D1142A">
        <w:t xml:space="preserve">eria </w:t>
      </w:r>
      <w:r w:rsidRPr="00C05E49">
        <w:t>of the EMEA guideline for the result/data section.</w:t>
      </w:r>
    </w:p>
    <w:p w:rsidR="0091142B" w:rsidRDefault="0091142B" w:rsidP="0091142B">
      <w:pPr>
        <w:pStyle w:val="Heading6"/>
      </w:pPr>
      <w:r w:rsidRPr="00D1142A">
        <w:t>Missing information</w:t>
      </w:r>
    </w:p>
    <w:p w:rsidR="00D1142A" w:rsidRPr="00D1142A" w:rsidRDefault="00D1142A" w:rsidP="00D1142A">
      <w:r w:rsidRPr="00D1142A">
        <w:t>Missing information in the report, required by the EMEA guideline, are:</w:t>
      </w:r>
    </w:p>
    <w:p w:rsidR="00D1142A" w:rsidRPr="00D1142A" w:rsidRDefault="00D1142A" w:rsidP="00D1142A">
      <w:pPr>
        <w:pStyle w:val="ListBullet"/>
      </w:pPr>
      <w:r w:rsidRPr="00D1142A">
        <w:t>Graphics of the raw data provided on linear scal</w:t>
      </w:r>
      <w:r>
        <w:t>e and usually also on log</w:t>
      </w:r>
      <w:r w:rsidR="00395D30">
        <w:t>-</w:t>
      </w:r>
      <w:r>
        <w:t xml:space="preserve">linear </w:t>
      </w:r>
      <w:r w:rsidRPr="00D1142A">
        <w:t xml:space="preserve">scale. The available data was not displayed in </w:t>
      </w:r>
      <w:r>
        <w:t xml:space="preserve">any raw format within the </w:t>
      </w:r>
      <w:r w:rsidRPr="00D1142A">
        <w:t>report.</w:t>
      </w:r>
    </w:p>
    <w:p w:rsidR="00D1142A" w:rsidRPr="00D1142A" w:rsidRDefault="00D1142A" w:rsidP="00D1142A">
      <w:pPr>
        <w:pStyle w:val="ListBullet"/>
      </w:pPr>
      <w:r w:rsidRPr="00D1142A">
        <w:t xml:space="preserve">Information regarding drop-outs during the study </w:t>
      </w:r>
      <w:proofErr w:type="gramStart"/>
      <w:r w:rsidRPr="00D1142A">
        <w:t>were</w:t>
      </w:r>
      <w:proofErr w:type="gramEnd"/>
      <w:r w:rsidRPr="00D1142A">
        <w:t xml:space="preserve"> not found in the report.</w:t>
      </w:r>
    </w:p>
    <w:p w:rsidR="00D1142A" w:rsidRPr="00D1142A" w:rsidRDefault="00D1142A" w:rsidP="0091142B">
      <w:pPr>
        <w:pStyle w:val="Heading6"/>
      </w:pPr>
      <w:r w:rsidRPr="00D1142A">
        <w:t>Base model</w:t>
      </w:r>
    </w:p>
    <w:p w:rsidR="00D1142A" w:rsidRPr="00D1142A" w:rsidRDefault="00D1142A" w:rsidP="00D1142A">
      <w:r w:rsidRPr="00D1142A">
        <w:t xml:space="preserve">For the </w:t>
      </w:r>
      <w:r w:rsidR="004D2D70">
        <w:t>PopPK</w:t>
      </w:r>
      <w:r w:rsidRPr="00D1142A">
        <w:t xml:space="preserve"> model and the </w:t>
      </w:r>
      <w:r w:rsidR="0039038B">
        <w:t>ER</w:t>
      </w:r>
      <w:proofErr w:type="gramStart"/>
      <w:r w:rsidRPr="00D1142A">
        <w:t>:OS</w:t>
      </w:r>
      <w:proofErr w:type="gramEnd"/>
      <w:r w:rsidRPr="00D1142A">
        <w:t xml:space="preserve"> model the major </w:t>
      </w:r>
      <w:r>
        <w:t xml:space="preserve">decisions taken during the base </w:t>
      </w:r>
      <w:r w:rsidRPr="00D1142A">
        <w:t>model development were not found in the report.</w:t>
      </w:r>
      <w:r>
        <w:t xml:space="preserve"> No overview of the steps taken </w:t>
      </w:r>
      <w:r w:rsidRPr="00D1142A">
        <w:t xml:space="preserve">during model development (a run record) that, </w:t>
      </w:r>
      <w:r>
        <w:t xml:space="preserve">at a minimum, clearly describes </w:t>
      </w:r>
      <w:r w:rsidRPr="00D1142A">
        <w:t>important decisions taken during the building o</w:t>
      </w:r>
      <w:r>
        <w:t xml:space="preserve">f the base population model was </w:t>
      </w:r>
      <w:r w:rsidRPr="00D1142A">
        <w:t>presented. Furthermore, no comparison to other structural mod</w:t>
      </w:r>
      <w:r>
        <w:t xml:space="preserve">els tested was </w:t>
      </w:r>
      <w:r w:rsidRPr="00D1142A">
        <w:t>presented.</w:t>
      </w:r>
    </w:p>
    <w:p w:rsidR="00D1142A" w:rsidRPr="00D1142A" w:rsidRDefault="00D1142A" w:rsidP="00D1142A">
      <w:r w:rsidRPr="00D1142A">
        <w:t>Data set alterations, excluding outliners</w:t>
      </w:r>
      <w:r>
        <w:t xml:space="preserve"> done during the </w:t>
      </w:r>
      <w:r w:rsidR="004D2D70">
        <w:t>PopPK</w:t>
      </w:r>
      <w:r>
        <w:t xml:space="preserve"> base model </w:t>
      </w:r>
      <w:r w:rsidRPr="00D1142A">
        <w:t>development, were described in detail. For both these</w:t>
      </w:r>
      <w:r>
        <w:t xml:space="preserve"> </w:t>
      </w:r>
      <w:r w:rsidRPr="00D1142A">
        <w:t>models an</w:t>
      </w:r>
      <w:r w:rsidR="0091142B">
        <w:t>,</w:t>
      </w:r>
      <w:r w:rsidRPr="00D1142A">
        <w:t xml:space="preserve"> </w:t>
      </w:r>
      <w:r w:rsidRPr="0091142B">
        <w:rPr>
          <w:i/>
        </w:rPr>
        <w:t>a priori</w:t>
      </w:r>
      <w:r w:rsidRPr="00D1142A">
        <w:t xml:space="preserve"> base model was suggested in the </w:t>
      </w:r>
      <w:r w:rsidR="0091142B" w:rsidRPr="00D1142A">
        <w:t>m</w:t>
      </w:r>
      <w:r w:rsidRPr="00D1142A">
        <w:t>ethod sections based on</w:t>
      </w:r>
      <w:r>
        <w:t xml:space="preserve"> </w:t>
      </w:r>
      <w:r w:rsidRPr="00D1142A">
        <w:t>previous analyses.</w:t>
      </w:r>
    </w:p>
    <w:p w:rsidR="00D1142A" w:rsidRPr="00D1142A" w:rsidRDefault="00D1142A" w:rsidP="00D1142A">
      <w:r w:rsidRPr="00D1142A">
        <w:t xml:space="preserve">The models tested for the </w:t>
      </w:r>
      <w:r w:rsidR="0039038B">
        <w:t>ER</w:t>
      </w:r>
      <w:proofErr w:type="gramStart"/>
      <w:r w:rsidRPr="00D1142A">
        <w:t>:irAE</w:t>
      </w:r>
      <w:proofErr w:type="gramEnd"/>
      <w:r w:rsidRPr="00D1142A">
        <w:t xml:space="preserve"> base model we</w:t>
      </w:r>
      <w:r>
        <w:t xml:space="preserve">re listed </w:t>
      </w:r>
      <w:r w:rsidRPr="00D1142A">
        <w:t>for the separate irAEs and any irAEs. A run reco</w:t>
      </w:r>
      <w:r>
        <w:t xml:space="preserve">rds listing the model selection </w:t>
      </w:r>
      <w:r w:rsidRPr="00D1142A">
        <w:t>criterion (BIC) for each of the models conside</w:t>
      </w:r>
      <w:r>
        <w:t>red was displayed</w:t>
      </w:r>
      <w:r w:rsidRPr="00D1142A">
        <w:t>. The run</w:t>
      </w:r>
      <w:r>
        <w:t xml:space="preserve"> record however did not include </w:t>
      </w:r>
      <w:r w:rsidRPr="00D1142A">
        <w:t>parameter estimates. It was specified that th</w:t>
      </w:r>
      <w:r>
        <w:t xml:space="preserve">e model with the lowest BIC was </w:t>
      </w:r>
      <w:r w:rsidRPr="00D1142A">
        <w:t>selected as the base model.</w:t>
      </w:r>
    </w:p>
    <w:p w:rsidR="00D1142A" w:rsidRPr="00D1142A" w:rsidRDefault="00D1142A" w:rsidP="00D1142A">
      <w:r w:rsidRPr="00D1142A">
        <w:t xml:space="preserve">All three </w:t>
      </w:r>
      <w:r w:rsidR="0091142B" w:rsidRPr="00D1142A">
        <w:t xml:space="preserve">base models </w:t>
      </w:r>
      <w:r w:rsidRPr="00D1142A">
        <w:t>are presented in the report in tables listing the paramete</w:t>
      </w:r>
      <w:r>
        <w:t xml:space="preserve">r </w:t>
      </w:r>
      <w:r w:rsidRPr="00D1142A">
        <w:t xml:space="preserve">estimates, their standard errors and/or confidence </w:t>
      </w:r>
      <w:r>
        <w:t xml:space="preserve">intervals, inter-individual and </w:t>
      </w:r>
      <w:r w:rsidRPr="00D1142A">
        <w:t>residual variability models.</w:t>
      </w:r>
    </w:p>
    <w:p w:rsidR="00D1142A" w:rsidRPr="00D1142A" w:rsidRDefault="00D1142A" w:rsidP="00D1142A">
      <w:r w:rsidRPr="00D1142A">
        <w:t xml:space="preserve">Goodness-of fit (GOF) plots were presented for the </w:t>
      </w:r>
      <w:r w:rsidR="004D2D70">
        <w:t>PopPK</w:t>
      </w:r>
      <w:r w:rsidRPr="00D1142A">
        <w:t xml:space="preserve"> model, including information</w:t>
      </w:r>
      <w:r>
        <w:t xml:space="preserve"> </w:t>
      </w:r>
      <w:r w:rsidRPr="00D1142A">
        <w:t>on shrinkage for the parameters. The following GOF plots were appropriately</w:t>
      </w:r>
      <w:r>
        <w:t xml:space="preserve"> </w:t>
      </w:r>
      <w:r w:rsidRPr="00D1142A">
        <w:t xml:space="preserve">presented in </w:t>
      </w:r>
      <w:r w:rsidR="0091142B" w:rsidRPr="00D1142A">
        <w:t>the base model sections of</w:t>
      </w:r>
      <w:r w:rsidRPr="00D1142A">
        <w:t xml:space="preserve"> the three models:</w:t>
      </w:r>
    </w:p>
    <w:p w:rsidR="00D1142A" w:rsidRPr="00D1142A" w:rsidRDefault="00D1142A" w:rsidP="00D1142A">
      <w:pPr>
        <w:pStyle w:val="ListBullet"/>
      </w:pPr>
      <w:r w:rsidRPr="00D1142A">
        <w:t>Observed data versus predicted data an</w:t>
      </w:r>
      <w:r>
        <w:t xml:space="preserve">d individual predicted data. An </w:t>
      </w:r>
      <w:r w:rsidRPr="00D1142A">
        <w:t>identity line and a trend line are included an</w:t>
      </w:r>
      <w:r>
        <w:t xml:space="preserve">d the plot was provided in both </w:t>
      </w:r>
      <w:r w:rsidR="0091142B">
        <w:t>linear and log scale</w:t>
      </w:r>
    </w:p>
    <w:p w:rsidR="00D1142A" w:rsidRPr="00D1142A" w:rsidRDefault="00D1142A" w:rsidP="00D1142A">
      <w:pPr>
        <w:pStyle w:val="ListBullet"/>
      </w:pPr>
      <w:r w:rsidRPr="00D1142A">
        <w:t>Weighted residuals and/or conditional weig</w:t>
      </w:r>
      <w:r>
        <w:t xml:space="preserve">hted residuals versus predicted </w:t>
      </w:r>
      <w:r w:rsidRPr="00D1142A">
        <w:t>data and versus time includi</w:t>
      </w:r>
      <w:r w:rsidR="0091142B">
        <w:t>ng a zero line and a trend line</w:t>
      </w:r>
    </w:p>
    <w:p w:rsidR="00D1142A" w:rsidRPr="00D1142A" w:rsidRDefault="00D1142A" w:rsidP="00D1142A">
      <w:pPr>
        <w:pStyle w:val="ListBullet"/>
      </w:pPr>
      <w:r w:rsidRPr="00D1142A">
        <w:lastRenderedPageBreak/>
        <w:t>Absolute individual weighted residuals v</w:t>
      </w:r>
      <w:r>
        <w:t xml:space="preserve">ersus individual predicted data </w:t>
      </w:r>
      <w:r w:rsidRPr="00D1142A">
        <w:t>including a trend line.</w:t>
      </w:r>
    </w:p>
    <w:p w:rsidR="00C05E49" w:rsidRPr="00D1142A" w:rsidRDefault="00D1142A" w:rsidP="00D1142A">
      <w:r w:rsidRPr="00D1142A">
        <w:t>The results describing the three base models fro</w:t>
      </w:r>
      <w:r>
        <w:t xml:space="preserve">m the analyses presented in the </w:t>
      </w:r>
      <w:r w:rsidRPr="00D1142A">
        <w:t>report largely meet the EMEA guidelines.</w:t>
      </w:r>
    </w:p>
    <w:p w:rsidR="00D1142A" w:rsidRPr="00D1142A" w:rsidRDefault="00D1142A" w:rsidP="00D1636B">
      <w:pPr>
        <w:pStyle w:val="Heading6"/>
      </w:pPr>
      <w:r w:rsidRPr="00D1142A">
        <w:t>Covariate selection</w:t>
      </w:r>
    </w:p>
    <w:p w:rsidR="00D1142A" w:rsidRPr="00D1142A" w:rsidRDefault="00D1142A" w:rsidP="00D1142A">
      <w:r w:rsidRPr="00D1142A">
        <w:t xml:space="preserve">The description of the covariate selection processes </w:t>
      </w:r>
      <w:r>
        <w:t xml:space="preserve">for the </w:t>
      </w:r>
      <w:r w:rsidR="004D2D70">
        <w:t>PopPK</w:t>
      </w:r>
      <w:r>
        <w:t xml:space="preserve"> model in the report </w:t>
      </w:r>
      <w:r w:rsidRPr="00D1142A">
        <w:t>was limited. It was only stated that the covaria</w:t>
      </w:r>
      <w:r>
        <w:t xml:space="preserve">te included into the model were </w:t>
      </w:r>
      <w:r w:rsidRPr="00D1142A">
        <w:t>informed by prior knowledge gained from an ipil</w:t>
      </w:r>
      <w:r>
        <w:t xml:space="preserve">imumab </w:t>
      </w:r>
      <w:r w:rsidR="004D2D70">
        <w:t>PopPK</w:t>
      </w:r>
      <w:r>
        <w:t xml:space="preserve"> model developed with </w:t>
      </w:r>
      <w:r w:rsidR="00D1636B">
        <w:t>data from Phase II</w:t>
      </w:r>
      <w:r w:rsidRPr="00D1142A">
        <w:t xml:space="preserve"> studies</w:t>
      </w:r>
      <w:r w:rsidR="00395D30">
        <w:t> </w:t>
      </w:r>
      <w:r w:rsidR="00D1636B">
        <w:rPr>
          <w:rStyle w:val="FootnoteReference"/>
        </w:rPr>
        <w:footnoteReference w:id="6"/>
      </w:r>
      <w:r w:rsidR="00D1636B">
        <w:t xml:space="preserve"> </w:t>
      </w:r>
      <w:r w:rsidRPr="00D1142A">
        <w:t>and other specific cov</w:t>
      </w:r>
      <w:r>
        <w:t xml:space="preserve">ariates of interest were tested </w:t>
      </w:r>
      <w:r w:rsidRPr="00D1142A">
        <w:t>and listed. No graphics generated to screen for potenti</w:t>
      </w:r>
      <w:r>
        <w:t xml:space="preserve">al covariate relationships were </w:t>
      </w:r>
      <w:r w:rsidRPr="00D1142A">
        <w:t>provided in this report. The covariate model building step</w:t>
      </w:r>
      <w:r>
        <w:t xml:space="preserve">s to illustrate covariates that </w:t>
      </w:r>
      <w:r w:rsidRPr="00D1142A">
        <w:t xml:space="preserve">are included in the final model and those that were </w:t>
      </w:r>
      <w:r>
        <w:t xml:space="preserve">tested but were not retained in </w:t>
      </w:r>
      <w:r w:rsidRPr="00D1142A">
        <w:t>the final model were presented in a separate run r</w:t>
      </w:r>
      <w:r w:rsidR="00D1636B">
        <w:t>ecord</w:t>
      </w:r>
      <w:r>
        <w:t xml:space="preserve">. The </w:t>
      </w:r>
      <w:r w:rsidRPr="00D1142A">
        <w:t xml:space="preserve">criteria on which the decision was based (BIC) was </w:t>
      </w:r>
      <w:r>
        <w:t xml:space="preserve">outlined in the method section. </w:t>
      </w:r>
      <w:r w:rsidRPr="00D1142A">
        <w:t>The results for the final and full covariate m</w:t>
      </w:r>
      <w:r>
        <w:t xml:space="preserve">odel were presented in terms of </w:t>
      </w:r>
      <w:r w:rsidRPr="00D1142A">
        <w:t xml:space="preserve">parameter estimates </w:t>
      </w:r>
      <w:r>
        <w:t xml:space="preserve">in the report sufficiently. The </w:t>
      </w:r>
      <w:r w:rsidRPr="00D1142A">
        <w:t>values of the</w:t>
      </w:r>
      <w:r w:rsidR="00D1636B">
        <w:t xml:space="preserve"> affected parameter at the 5th to </w:t>
      </w:r>
      <w:r w:rsidRPr="00D1142A">
        <w:t>95th per</w:t>
      </w:r>
      <w:r>
        <w:t xml:space="preserve">centiles of the covariate range </w:t>
      </w:r>
      <w:r w:rsidRPr="00D1142A">
        <w:t>were presented. No simulations were performed.</w:t>
      </w:r>
    </w:p>
    <w:p w:rsidR="00D1142A" w:rsidRPr="00D1142A" w:rsidRDefault="00D1142A" w:rsidP="00D1142A">
      <w:r w:rsidRPr="00D1142A">
        <w:t>The results and the steps of the covariate analysis c</w:t>
      </w:r>
      <w:r>
        <w:t xml:space="preserve">learly show that prior systemic </w:t>
      </w:r>
      <w:r w:rsidRPr="00D1142A">
        <w:t>cancer therapy age, as well as concomitant th</w:t>
      </w:r>
      <w:r>
        <w:t xml:space="preserve">erapy with dacarbazine, hepatic </w:t>
      </w:r>
      <w:r w:rsidRPr="00D1142A">
        <w:t>impairment, and HAHA status as predictors of clearance (CL) could be excluded</w:t>
      </w:r>
      <w:r>
        <w:t xml:space="preserve"> </w:t>
      </w:r>
      <w:r w:rsidRPr="00D1142A">
        <w:t>from the full model and showed no clinical significant effect on CL. For some</w:t>
      </w:r>
      <w:r>
        <w:t xml:space="preserve"> </w:t>
      </w:r>
      <w:r w:rsidRPr="00D1142A">
        <w:t>covariates the influence of missing covariates in</w:t>
      </w:r>
      <w:r>
        <w:t xml:space="preserve"> the data set was evaluated and </w:t>
      </w:r>
      <w:r w:rsidRPr="00D1142A">
        <w:t>tested further in regards to their potential clinical relevance.</w:t>
      </w:r>
    </w:p>
    <w:p w:rsidR="00D1142A" w:rsidRPr="00D1142A" w:rsidRDefault="00D1142A" w:rsidP="00D1142A">
      <w:r w:rsidRPr="00D1142A">
        <w:t>The covariat</w:t>
      </w:r>
      <w:r w:rsidR="00D1636B">
        <w:t>e selection processes for the E</w:t>
      </w:r>
      <w:r w:rsidRPr="00D1142A">
        <w:t>R</w:t>
      </w:r>
      <w:proofErr w:type="gramStart"/>
      <w:r>
        <w:t>:OS</w:t>
      </w:r>
      <w:proofErr w:type="gramEnd"/>
      <w:r>
        <w:t xml:space="preserve"> model was described in more </w:t>
      </w:r>
      <w:r w:rsidRPr="00D1142A">
        <w:t>detail. Graphics are presented that demonstrated the screeni</w:t>
      </w:r>
      <w:r>
        <w:t xml:space="preserve">ng for potential </w:t>
      </w:r>
      <w:r w:rsidRPr="00D1142A">
        <w:t xml:space="preserve">covariate relationships. The covariate model building </w:t>
      </w:r>
      <w:r>
        <w:t xml:space="preserve">steps to illustrate covariate – </w:t>
      </w:r>
      <w:r w:rsidRPr="00D1142A">
        <w:t xml:space="preserve">parameter relationships that are included in the </w:t>
      </w:r>
      <w:r>
        <w:t xml:space="preserve">final model and those that were </w:t>
      </w:r>
      <w:r w:rsidRPr="00D1142A">
        <w:t>tested but were not retained in the final model were clearly presented i</w:t>
      </w:r>
      <w:r>
        <w:t xml:space="preserve">n a separate </w:t>
      </w:r>
      <w:r w:rsidRPr="00D1142A">
        <w:t xml:space="preserve">run record. The criteria on </w:t>
      </w:r>
      <w:r>
        <w:t xml:space="preserve">which the decision was based (- </w:t>
      </w:r>
      <w:r w:rsidRPr="00D1142A">
        <w:t>2LL, BIC) was outlined in the method section and th</w:t>
      </w:r>
      <w:r>
        <w:t xml:space="preserve">e appendix. The results for the </w:t>
      </w:r>
      <w:r w:rsidRPr="00D1142A">
        <w:t xml:space="preserve">final and full covariate model were presented in </w:t>
      </w:r>
      <w:r>
        <w:t xml:space="preserve">terms of parameter estimates </w:t>
      </w:r>
      <w:r w:rsidRPr="00D1142A">
        <w:t>sufficiently. The valu</w:t>
      </w:r>
      <w:r>
        <w:t xml:space="preserve">es of the affected parameter at </w:t>
      </w:r>
      <w:r w:rsidR="00D1636B">
        <w:t>the 5th to</w:t>
      </w:r>
      <w:r w:rsidRPr="00D1142A">
        <w:t xml:space="preserve"> 95th percentiles of the covariate range wer</w:t>
      </w:r>
      <w:r>
        <w:t>e presented in graphics</w:t>
      </w:r>
      <w:r w:rsidRPr="00D1142A">
        <w:t>. No simulations were performed.</w:t>
      </w:r>
    </w:p>
    <w:p w:rsidR="00D1142A" w:rsidRPr="00D1142A" w:rsidRDefault="00D1142A" w:rsidP="00D1142A">
      <w:r w:rsidRPr="00D1142A">
        <w:t>The covariate selection pro</w:t>
      </w:r>
      <w:r w:rsidR="00D1636B">
        <w:t>cesses for the E</w:t>
      </w:r>
      <w:r w:rsidRPr="00D1142A">
        <w:t>R</w:t>
      </w:r>
      <w:proofErr w:type="gramStart"/>
      <w:r w:rsidRPr="00D1142A">
        <w:t>:irAE</w:t>
      </w:r>
      <w:proofErr w:type="gramEnd"/>
      <w:r>
        <w:t xml:space="preserve"> model was described in detail. </w:t>
      </w:r>
      <w:r w:rsidRPr="00D1142A">
        <w:t>However, a discussion on the pre-specified covari</w:t>
      </w:r>
      <w:r w:rsidR="00D1636B">
        <w:t xml:space="preserve">ate </w:t>
      </w:r>
      <w:r>
        <w:t xml:space="preserve">parameter relationships was </w:t>
      </w:r>
      <w:r w:rsidRPr="00D1142A">
        <w:t>not found in the report. The full model for each irAE ty</w:t>
      </w:r>
      <w:r>
        <w:t xml:space="preserve">pe was subjected to a stepwise </w:t>
      </w:r>
      <w:r w:rsidRPr="00D1142A">
        <w:t>backward elimination procedure to achieve a pa</w:t>
      </w:r>
      <w:r>
        <w:t xml:space="preserve">rsimonious model. The change in </w:t>
      </w:r>
      <w:r w:rsidRPr="00D1142A">
        <w:t>BIC value from the model including the covariate t</w:t>
      </w:r>
      <w:r>
        <w:t xml:space="preserve">o one excluding it governed the </w:t>
      </w:r>
      <w:r w:rsidRPr="00D1142A">
        <w:t>order of covariate removal at each step. No graphics are presente</w:t>
      </w:r>
      <w:r>
        <w:t xml:space="preserve">d that </w:t>
      </w:r>
      <w:r w:rsidRPr="00D1142A">
        <w:t>demonstrated the screening for potential covaria</w:t>
      </w:r>
      <w:r>
        <w:t xml:space="preserve">te relationships. The covariate </w:t>
      </w:r>
      <w:r w:rsidRPr="00D1142A">
        <w:t xml:space="preserve">model building steps to illustrate covariates that are </w:t>
      </w:r>
      <w:r>
        <w:t xml:space="preserve">included in the final model and </w:t>
      </w:r>
      <w:r w:rsidRPr="00D1142A">
        <w:t xml:space="preserve">those that were tested but were not retained </w:t>
      </w:r>
      <w:r>
        <w:t xml:space="preserve">in the final model were clearly </w:t>
      </w:r>
      <w:r w:rsidRPr="00D1142A">
        <w:t>presented in a separate run record. The criteria on which the</w:t>
      </w:r>
      <w:r>
        <w:t xml:space="preserve"> </w:t>
      </w:r>
      <w:r w:rsidRPr="00D1142A">
        <w:t>decision was based (BIC) was outlined in the method section and the appendix. The</w:t>
      </w:r>
      <w:r>
        <w:t xml:space="preserve"> </w:t>
      </w:r>
      <w:r w:rsidRPr="00D1142A">
        <w:t xml:space="preserve">results for the final and full covariate model were </w:t>
      </w:r>
      <w:r>
        <w:t xml:space="preserve">presented in terms of parameter </w:t>
      </w:r>
      <w:r w:rsidR="00D1636B">
        <w:t>estimates</w:t>
      </w:r>
      <w:r w:rsidRPr="00D1142A">
        <w:t xml:space="preserve"> </w:t>
      </w:r>
      <w:r>
        <w:t xml:space="preserve">sufficiently. The values of the </w:t>
      </w:r>
      <w:r w:rsidR="00D1636B">
        <w:t>affected parameter at the 5th to</w:t>
      </w:r>
      <w:r w:rsidRPr="00D1142A">
        <w:t xml:space="preserve"> 95th percentiles of the</w:t>
      </w:r>
      <w:r>
        <w:t xml:space="preserve"> covariate range were presented </w:t>
      </w:r>
      <w:r w:rsidRPr="00D1142A">
        <w:t>in graphics. No simulat</w:t>
      </w:r>
      <w:r>
        <w:t xml:space="preserve">ions were performed to evaluate </w:t>
      </w:r>
      <w:r w:rsidRPr="00D1142A">
        <w:t>the impact of the covariates to illustrate the effect of</w:t>
      </w:r>
      <w:r>
        <w:t xml:space="preserve"> various covariate combinations </w:t>
      </w:r>
      <w:r w:rsidRPr="00D1142A">
        <w:t>for a series of different ‘typical’ subjects.</w:t>
      </w:r>
    </w:p>
    <w:p w:rsidR="00D1142A" w:rsidRPr="00D1142A" w:rsidRDefault="00D1142A" w:rsidP="00D1142A">
      <w:r w:rsidRPr="00D1142A">
        <w:t xml:space="preserve">The results describing the covariate selection process for all three models: the </w:t>
      </w:r>
      <w:r w:rsidR="004D2D70">
        <w:t>PopPK</w:t>
      </w:r>
      <w:r>
        <w:t xml:space="preserve"> </w:t>
      </w:r>
      <w:r w:rsidR="0039038B">
        <w:t>model, the ER</w:t>
      </w:r>
      <w:proofErr w:type="gramStart"/>
      <w:r w:rsidR="0039038B">
        <w:t>:OS</w:t>
      </w:r>
      <w:proofErr w:type="gramEnd"/>
      <w:r w:rsidR="0039038B">
        <w:t xml:space="preserve"> and E</w:t>
      </w:r>
      <w:r w:rsidRPr="00D1142A">
        <w:t>R:irAE, presented in the repo</w:t>
      </w:r>
      <w:r>
        <w:t xml:space="preserve">rt largely meet the EMEA </w:t>
      </w:r>
      <w:r w:rsidRPr="00D1142A">
        <w:t>guidelines.</w:t>
      </w:r>
    </w:p>
    <w:p w:rsidR="00D1142A" w:rsidRPr="00D1142A" w:rsidRDefault="00D1142A" w:rsidP="0039038B">
      <w:pPr>
        <w:pStyle w:val="Heading6"/>
      </w:pPr>
      <w:r w:rsidRPr="00D1142A">
        <w:lastRenderedPageBreak/>
        <w:t xml:space="preserve">Final </w:t>
      </w:r>
      <w:r w:rsidR="00D367DE" w:rsidRPr="00D1142A">
        <w:t>model</w:t>
      </w:r>
    </w:p>
    <w:p w:rsidR="00D1142A" w:rsidRPr="00D1142A" w:rsidRDefault="00D1142A" w:rsidP="00D1142A">
      <w:r w:rsidRPr="00D1142A">
        <w:t xml:space="preserve">The final </w:t>
      </w:r>
      <w:r w:rsidR="004D2D70">
        <w:t>PopPK</w:t>
      </w:r>
      <w:r w:rsidRPr="00D1142A">
        <w:t xml:space="preserve"> model was clearly described in the </w:t>
      </w:r>
      <w:r>
        <w:t xml:space="preserve">report. The parameter estimates </w:t>
      </w:r>
      <w:r w:rsidRPr="00D1142A">
        <w:t>for all parameters in the final model were presented</w:t>
      </w:r>
      <w:r>
        <w:t xml:space="preserve">, together with </w:t>
      </w:r>
      <w:r w:rsidRPr="00D1142A">
        <w:t xml:space="preserve">their confidence intervals. The final </w:t>
      </w:r>
      <w:r w:rsidR="004D2D70">
        <w:t>PopPK</w:t>
      </w:r>
      <w:r w:rsidRPr="00D1142A">
        <w:t xml:space="preserve"> model c</w:t>
      </w:r>
      <w:r>
        <w:t xml:space="preserve">ontained baseline BW, LDH, ECOG </w:t>
      </w:r>
      <w:r w:rsidRPr="00D1142A">
        <w:t xml:space="preserve">status, sex, and eGFR </w:t>
      </w:r>
      <w:r>
        <w:t xml:space="preserve">as explanatory covariates </w:t>
      </w:r>
      <w:r w:rsidRPr="00D1142A">
        <w:t>for the variability on CL. Weight and sex were included</w:t>
      </w:r>
      <w:r>
        <w:t xml:space="preserve"> on volume of distribution (</w:t>
      </w:r>
      <w:proofErr w:type="gramStart"/>
      <w:r>
        <w:t>Vd</w:t>
      </w:r>
      <w:proofErr w:type="gramEnd"/>
      <w:r>
        <w:t xml:space="preserve">) </w:t>
      </w:r>
      <w:r w:rsidRPr="00D1142A">
        <w:t>in the final model. A discussion on the extent of decrease of inter-individual variability</w:t>
      </w:r>
      <w:r w:rsidR="001D1554">
        <w:t xml:space="preserve"> </w:t>
      </w:r>
      <w:r w:rsidRPr="00D1142A">
        <w:t xml:space="preserve">on CL and </w:t>
      </w:r>
      <w:proofErr w:type="gramStart"/>
      <w:r w:rsidRPr="00D1142A">
        <w:t>Vd</w:t>
      </w:r>
      <w:proofErr w:type="gramEnd"/>
      <w:r w:rsidRPr="00D1142A">
        <w:t xml:space="preserve"> by the inclusion of the covariates in the model was provided. The fundamental GOF plots were su</w:t>
      </w:r>
      <w:r w:rsidR="001D1554">
        <w:t xml:space="preserve">pplied for the final </w:t>
      </w:r>
      <w:r w:rsidR="004D2D70">
        <w:t>PopPK</w:t>
      </w:r>
      <w:r w:rsidR="001D1554">
        <w:t xml:space="preserve"> model. </w:t>
      </w:r>
      <w:r w:rsidRPr="00D1142A">
        <w:t>The NONMEM input and output files for the base an</w:t>
      </w:r>
      <w:r w:rsidR="001D1554">
        <w:t>d final models were provided</w:t>
      </w:r>
      <w:r w:rsidRPr="00D1142A">
        <w:t>.</w:t>
      </w:r>
    </w:p>
    <w:p w:rsidR="00D1142A" w:rsidRPr="00D1142A" w:rsidRDefault="00D1142A" w:rsidP="00D1142A">
      <w:r w:rsidRPr="00D1142A">
        <w:t xml:space="preserve">The final </w:t>
      </w:r>
      <w:r w:rsidR="0039038B">
        <w:t>ER</w:t>
      </w:r>
      <w:proofErr w:type="gramStart"/>
      <w:r w:rsidRPr="00D1142A">
        <w:t>:OS</w:t>
      </w:r>
      <w:proofErr w:type="gramEnd"/>
      <w:r w:rsidRPr="00D1142A">
        <w:t xml:space="preserve"> model was clearly described in</w:t>
      </w:r>
      <w:r w:rsidR="001D1554">
        <w:t xml:space="preserve"> the report and model parameter </w:t>
      </w:r>
      <w:r w:rsidRPr="00D1142A">
        <w:t>estimates were summar</w:t>
      </w:r>
      <w:r w:rsidR="001A330A">
        <w:t>ise</w:t>
      </w:r>
      <w:r w:rsidRPr="00D1142A">
        <w:t xml:space="preserve">d together </w:t>
      </w:r>
      <w:r w:rsidR="001D1554">
        <w:t xml:space="preserve">with their confidence intervals </w:t>
      </w:r>
      <w:r w:rsidRPr="00D1142A">
        <w:t>and with hazard ratios calculated for each retained co</w:t>
      </w:r>
      <w:r w:rsidR="001D1554">
        <w:t xml:space="preserve">variate. Details of final model </w:t>
      </w:r>
      <w:r w:rsidRPr="00D1142A">
        <w:t>development were presented. The</w:t>
      </w:r>
      <w:r w:rsidR="001D1554">
        <w:t xml:space="preserve"> magnitude of covariate effects </w:t>
      </w:r>
      <w:r w:rsidRPr="00D1142A">
        <w:t>were assessed by the ratio of parameter estimate</w:t>
      </w:r>
      <w:r w:rsidR="001D1554">
        <w:t xml:space="preserve">s relative to typical parameter </w:t>
      </w:r>
      <w:r w:rsidRPr="00D1142A">
        <w:t>value for a reference subject a</w:t>
      </w:r>
      <w:r w:rsidR="0039038B">
        <w:t>n</w:t>
      </w:r>
      <w:r w:rsidRPr="00D1142A">
        <w:t>d graphically displaye</w:t>
      </w:r>
      <w:r w:rsidR="001D1554">
        <w:t xml:space="preserve">d. The final </w:t>
      </w:r>
      <w:r w:rsidR="0039038B">
        <w:t>ER</w:t>
      </w:r>
      <w:proofErr w:type="gramStart"/>
      <w:r w:rsidR="001D1554">
        <w:t>:OS</w:t>
      </w:r>
      <w:proofErr w:type="gramEnd"/>
      <w:r w:rsidR="001D1554">
        <w:t xml:space="preserve"> </w:t>
      </w:r>
      <w:r w:rsidRPr="00D1142A">
        <w:t>model included metastatic status, ECOG, and lactate dehydrogenase (LDH) status.</w:t>
      </w:r>
    </w:p>
    <w:p w:rsidR="00D1142A" w:rsidRPr="00D1142A" w:rsidRDefault="00D1142A" w:rsidP="00D1142A">
      <w:r w:rsidRPr="00D1142A">
        <w:t>The NONMEM input and output files for the base an</w:t>
      </w:r>
      <w:r w:rsidR="001D1554">
        <w:t xml:space="preserve">d final models were </w:t>
      </w:r>
      <w:r w:rsidR="00A9457F">
        <w:t>provided</w:t>
      </w:r>
      <w:r w:rsidRPr="00D1142A">
        <w:t>.</w:t>
      </w:r>
    </w:p>
    <w:p w:rsidR="001D1554" w:rsidRPr="001D1554" w:rsidRDefault="001D1554" w:rsidP="001D1554">
      <w:r w:rsidRPr="001D1554">
        <w:t xml:space="preserve">The final </w:t>
      </w:r>
      <w:r w:rsidR="0039038B">
        <w:t>ER</w:t>
      </w:r>
      <w:proofErr w:type="gramStart"/>
      <w:r w:rsidRPr="001D1554">
        <w:t>:irAEs</w:t>
      </w:r>
      <w:proofErr w:type="gramEnd"/>
      <w:r w:rsidRPr="001D1554">
        <w:t xml:space="preserve"> model was clearly described in the report and model parameter</w:t>
      </w:r>
      <w:r>
        <w:t xml:space="preserve"> </w:t>
      </w:r>
      <w:r w:rsidRPr="001D1554">
        <w:t>estimates were summar</w:t>
      </w:r>
      <w:r w:rsidR="001A330A">
        <w:t>ise</w:t>
      </w:r>
      <w:r w:rsidRPr="001D1554">
        <w:t xml:space="preserve">d. A </w:t>
      </w:r>
      <w:r w:rsidR="0039038B">
        <w:t xml:space="preserve">table </w:t>
      </w:r>
      <w:r w:rsidRPr="001D1554">
        <w:t>sum</w:t>
      </w:r>
      <w:r>
        <w:t>mar</w:t>
      </w:r>
      <w:r w:rsidR="001A330A">
        <w:t>ise</w:t>
      </w:r>
      <w:r>
        <w:t xml:space="preserve">d the parameter estimates </w:t>
      </w:r>
      <w:r w:rsidRPr="001D1554">
        <w:t>and 95% confidence intervals for the final gastroint</w:t>
      </w:r>
      <w:r>
        <w:t xml:space="preserve">estinal irAE model. Concomitant </w:t>
      </w:r>
      <w:r w:rsidRPr="001D1554">
        <w:t>dacarbazine was the only covariate retained in th</w:t>
      </w:r>
      <w:r>
        <w:t xml:space="preserve">e model and resulted in a lower </w:t>
      </w:r>
      <w:r w:rsidRPr="001D1554">
        <w:t xml:space="preserve">probability of gastrointestinal irAEs. </w:t>
      </w:r>
      <w:r w:rsidR="0039038B">
        <w:t>T</w:t>
      </w:r>
      <w:r>
        <w:t xml:space="preserve">he parameter </w:t>
      </w:r>
      <w:r w:rsidRPr="001D1554">
        <w:t xml:space="preserve">estimates and 95% confidence intervals for the </w:t>
      </w:r>
      <w:r>
        <w:t>final hepatobiliary irAE model</w:t>
      </w:r>
      <w:r w:rsidR="0039038B">
        <w:t xml:space="preserve"> were summarised</w:t>
      </w:r>
      <w:r>
        <w:t xml:space="preserve">. </w:t>
      </w:r>
      <w:r w:rsidRPr="001D1554">
        <w:t>Concomitant dacarbazine was again the only co</w:t>
      </w:r>
      <w:r>
        <w:t xml:space="preserve">variate retained in the final </w:t>
      </w:r>
      <w:r w:rsidRPr="001D1554">
        <w:t>gastrointestinal irAE model, but showed here that</w:t>
      </w:r>
      <w:r>
        <w:t xml:space="preserve"> concomitant use of dacarbazine </w:t>
      </w:r>
      <w:r w:rsidRPr="001D1554">
        <w:t>increased the probability of hepatobiliary irAEs</w:t>
      </w:r>
      <w:r>
        <w:t xml:space="preserve">. </w:t>
      </w:r>
      <w:r w:rsidR="00A9457F">
        <w:t>A Table provided the summar</w:t>
      </w:r>
      <w:r w:rsidR="001A330A">
        <w:t>ise</w:t>
      </w:r>
      <w:r w:rsidR="00A9457F">
        <w:t>d</w:t>
      </w:r>
      <w:r>
        <w:t xml:space="preserve"> </w:t>
      </w:r>
      <w:r w:rsidRPr="001D1554">
        <w:t>parameter estimates and 95% confidence intervals for the final sk</w:t>
      </w:r>
      <w:r>
        <w:t xml:space="preserve">in irAE model. No </w:t>
      </w:r>
      <w:r w:rsidRPr="001D1554">
        <w:t xml:space="preserve">covariate was retained in the final model. </w:t>
      </w:r>
      <w:r w:rsidR="00A9457F">
        <w:t>T</w:t>
      </w:r>
      <w:r>
        <w:t xml:space="preserve">he parameter </w:t>
      </w:r>
      <w:r w:rsidRPr="001D1554">
        <w:t xml:space="preserve">estimates and 95% confidence intervals for the </w:t>
      </w:r>
      <w:r>
        <w:t>final model for any irAE</w:t>
      </w:r>
      <w:r w:rsidR="00A9457F">
        <w:t xml:space="preserve"> were summar</w:t>
      </w:r>
      <w:r w:rsidR="001A330A">
        <w:t>ise</w:t>
      </w:r>
      <w:r w:rsidR="00A9457F">
        <w:t>d in a table</w:t>
      </w:r>
      <w:r>
        <w:t xml:space="preserve">. Prior </w:t>
      </w:r>
      <w:r w:rsidRPr="001D1554">
        <w:t>anticancer therapy was the only covariate retained in the final model for an</w:t>
      </w:r>
      <w:r>
        <w:t xml:space="preserve">y irAE </w:t>
      </w:r>
      <w:r w:rsidRPr="001D1554">
        <w:t>type. The odds of any irAE occurring was found to be</w:t>
      </w:r>
      <w:r>
        <w:t xml:space="preserve"> approximately half in subjects </w:t>
      </w:r>
      <w:r w:rsidRPr="001D1554">
        <w:t>who have been previously treated with anticancer the</w:t>
      </w:r>
      <w:r>
        <w:t xml:space="preserve">rapy relative to those who were </w:t>
      </w:r>
      <w:r w:rsidRPr="001D1554">
        <w:t>previously untreated. Details of the final mode</w:t>
      </w:r>
      <w:r>
        <w:t>l development were presented</w:t>
      </w:r>
      <w:r w:rsidRPr="001D1554">
        <w:t>. The magnitude of covariate effect</w:t>
      </w:r>
      <w:r>
        <w:t xml:space="preserve">s were assessed by the ratio of </w:t>
      </w:r>
      <w:r w:rsidRPr="001D1554">
        <w:t>parameter estimates relative to typical parameter va</w:t>
      </w:r>
      <w:r>
        <w:t xml:space="preserve">lue for a reference subject and </w:t>
      </w:r>
      <w:r w:rsidRPr="001D1554">
        <w:t>graphically displayed</w:t>
      </w:r>
      <w:r>
        <w:t xml:space="preserve">. The NONMEM input and </w:t>
      </w:r>
      <w:r w:rsidRPr="001D1554">
        <w:t>output files for the base and final models were provided.</w:t>
      </w:r>
    </w:p>
    <w:p w:rsidR="001D1554" w:rsidRPr="001D1554" w:rsidRDefault="001D1554" w:rsidP="001D1554">
      <w:r w:rsidRPr="001D1554">
        <w:t>The results section describing the final models: th</w:t>
      </w:r>
      <w:r>
        <w:t xml:space="preserve">e </w:t>
      </w:r>
      <w:r w:rsidR="004D2D70">
        <w:t>PopPK</w:t>
      </w:r>
      <w:r>
        <w:t xml:space="preserve"> model, the </w:t>
      </w:r>
      <w:r w:rsidR="0039038B">
        <w:t>ER</w:t>
      </w:r>
      <w:proofErr w:type="gramStart"/>
      <w:r>
        <w:t>:OS</w:t>
      </w:r>
      <w:proofErr w:type="gramEnd"/>
      <w:r>
        <w:t xml:space="preserve"> and ER: </w:t>
      </w:r>
      <w:r w:rsidRPr="001D1554">
        <w:t>irAE, presented in the report largely meet the EMEA guidelines.</w:t>
      </w:r>
    </w:p>
    <w:p w:rsidR="001D1554" w:rsidRPr="001D1554" w:rsidRDefault="001D1554" w:rsidP="00A9457F">
      <w:pPr>
        <w:pStyle w:val="Heading6"/>
      </w:pPr>
      <w:r w:rsidRPr="001D1554">
        <w:t>Model evaluation</w:t>
      </w:r>
    </w:p>
    <w:p w:rsidR="001D1554" w:rsidRPr="001D1554" w:rsidRDefault="001D1554" w:rsidP="001D1554">
      <w:r w:rsidRPr="001D1554">
        <w:t xml:space="preserve">All model evaluation procedure performed for each </w:t>
      </w:r>
      <w:r>
        <w:t xml:space="preserve">of the separate models meet the </w:t>
      </w:r>
      <w:r w:rsidRPr="001D1554">
        <w:t>criteria listed on page10 of the EMEA guidelines</w:t>
      </w:r>
      <w:r w:rsidR="00A9457F">
        <w:t>.</w:t>
      </w:r>
      <w:r w:rsidR="00A9457F" w:rsidRPr="00A9457F">
        <w:rPr>
          <w:vertAlign w:val="superscript"/>
        </w:rPr>
        <w:fldChar w:fldCharType="begin"/>
      </w:r>
      <w:r w:rsidR="00A9457F" w:rsidRPr="00A9457F">
        <w:rPr>
          <w:vertAlign w:val="superscript"/>
        </w:rPr>
        <w:instrText xml:space="preserve"> NOTEREF _Ref468968562 \h </w:instrText>
      </w:r>
      <w:r w:rsidR="00A9457F">
        <w:rPr>
          <w:vertAlign w:val="superscript"/>
        </w:rPr>
        <w:instrText xml:space="preserve"> \* MERGEFORMAT </w:instrText>
      </w:r>
      <w:r w:rsidR="00A9457F" w:rsidRPr="00A9457F">
        <w:rPr>
          <w:vertAlign w:val="superscript"/>
        </w:rPr>
      </w:r>
      <w:r w:rsidR="00A9457F" w:rsidRPr="00A9457F">
        <w:rPr>
          <w:vertAlign w:val="superscript"/>
        </w:rPr>
        <w:fldChar w:fldCharType="separate"/>
      </w:r>
      <w:r w:rsidR="005744BA">
        <w:rPr>
          <w:vertAlign w:val="superscript"/>
        </w:rPr>
        <w:t>1</w:t>
      </w:r>
      <w:r w:rsidR="00A9457F" w:rsidRPr="00A9457F">
        <w:rPr>
          <w:vertAlign w:val="superscript"/>
        </w:rPr>
        <w:fldChar w:fldCharType="end"/>
      </w:r>
    </w:p>
    <w:p w:rsidR="001D1554" w:rsidRPr="001D1554" w:rsidRDefault="001D1554" w:rsidP="001D1554">
      <w:r w:rsidRPr="001D1554">
        <w:t>Several different procedures have been used during the model building process and for the evaluation of the three final models. All model evaluation procedures are</w:t>
      </w:r>
      <w:r>
        <w:t xml:space="preserve"> </w:t>
      </w:r>
      <w:r w:rsidRPr="001D1554">
        <w:t>displayed in a manner appropriate to demonstrate tha</w:t>
      </w:r>
      <w:r>
        <w:t xml:space="preserve">t the final model is robust and </w:t>
      </w:r>
      <w:r w:rsidRPr="001D1554">
        <w:t xml:space="preserve">sufficiently good in describing the data so that the </w:t>
      </w:r>
      <w:r>
        <w:t xml:space="preserve">objectives of the analysis were </w:t>
      </w:r>
      <w:r w:rsidRPr="001D1554">
        <w:t>met.</w:t>
      </w:r>
    </w:p>
    <w:p w:rsidR="001D1554" w:rsidRPr="001D1554" w:rsidRDefault="001D1554" w:rsidP="001D1554">
      <w:r w:rsidRPr="001D1554">
        <w:t>Two slight deviations were found in the predictive performance of the fina</w:t>
      </w:r>
      <w:r>
        <w:t xml:space="preserve">l models, </w:t>
      </w:r>
      <w:r w:rsidRPr="001D1554">
        <w:t>however can be considered of minor importance. T</w:t>
      </w:r>
      <w:r>
        <w:t xml:space="preserve">hey models seem to deviate from </w:t>
      </w:r>
      <w:r w:rsidRPr="001D1554">
        <w:t>the observed data on the following two occasions:</w:t>
      </w:r>
    </w:p>
    <w:p w:rsidR="001D1554" w:rsidRPr="001D1554" w:rsidRDefault="001D1554" w:rsidP="001D1554">
      <w:pPr>
        <w:pStyle w:val="ListBullet"/>
      </w:pPr>
      <w:r w:rsidRPr="001D1554">
        <w:t xml:space="preserve">For the </w:t>
      </w:r>
      <w:r w:rsidR="0039038B">
        <w:t>ER</w:t>
      </w:r>
      <w:r w:rsidRPr="001D1554">
        <w:t xml:space="preserve">:OS model </w:t>
      </w:r>
      <w:r>
        <w:t xml:space="preserve">a deviation of the median </w:t>
      </w:r>
      <w:r w:rsidRPr="001D1554">
        <w:t xml:space="preserve">trend </w:t>
      </w:r>
      <w:r w:rsidR="00A9457F">
        <w:t>after 10 months of time in the i</w:t>
      </w:r>
      <w:r w:rsidRPr="001D1554">
        <w:t>p</w:t>
      </w:r>
      <w:r>
        <w:t xml:space="preserve">ilimumab </w:t>
      </w:r>
      <w:r w:rsidR="00A9457F">
        <w:t>and</w:t>
      </w:r>
      <w:r>
        <w:t xml:space="preserve"> ECOG</w:t>
      </w:r>
      <w:r w:rsidR="00A9457F">
        <w:t xml:space="preserve"> </w:t>
      </w:r>
      <w:r>
        <w:t>=</w:t>
      </w:r>
      <w:r w:rsidR="00A9457F">
        <w:t xml:space="preserve"> </w:t>
      </w:r>
      <w:r>
        <w:t xml:space="preserve">1 group can be </w:t>
      </w:r>
      <w:r w:rsidRPr="001D1554">
        <w:t>seen;</w:t>
      </w:r>
    </w:p>
    <w:p w:rsidR="001D1554" w:rsidRPr="001D1554" w:rsidRDefault="001D1554" w:rsidP="001D1554">
      <w:pPr>
        <w:pStyle w:val="ListBullet"/>
      </w:pPr>
      <w:r w:rsidRPr="001D1554">
        <w:lastRenderedPageBreak/>
        <w:t xml:space="preserve">For the </w:t>
      </w:r>
      <w:r w:rsidR="0039038B">
        <w:t>ER</w:t>
      </w:r>
      <w:proofErr w:type="gramStart"/>
      <w:r w:rsidRPr="001D1554">
        <w:t>:irAE</w:t>
      </w:r>
      <w:proofErr w:type="gramEnd"/>
      <w:r w:rsidRPr="001D1554">
        <w:t xml:space="preserve"> model for gastrointestinal irAE</w:t>
      </w:r>
      <w:r w:rsidR="00A9457F">
        <w:t>s,</w:t>
      </w:r>
      <w:r>
        <w:t xml:space="preserve"> </w:t>
      </w:r>
      <w:r w:rsidRPr="001D1554">
        <w:t>a deviation</w:t>
      </w:r>
      <w:r w:rsidR="00A9457F">
        <w:t xml:space="preserve"> from the observed i</w:t>
      </w:r>
      <w:r w:rsidRPr="001D1554">
        <w:t>ncidence to th</w:t>
      </w:r>
      <w:r>
        <w:t xml:space="preserve">e average predicted probability </w:t>
      </w:r>
      <w:r w:rsidRPr="001D1554">
        <w:t>of gastrointestinal irAE can be seen. This shows that the m</w:t>
      </w:r>
      <w:r>
        <w:t xml:space="preserve">odel has limited </w:t>
      </w:r>
      <w:r w:rsidRPr="001D1554">
        <w:t>capability to predict the grades for the irAEs with high concentrations.</w:t>
      </w:r>
    </w:p>
    <w:p w:rsidR="001D1554" w:rsidRPr="001D1554" w:rsidRDefault="001D1554" w:rsidP="00A9457F">
      <w:pPr>
        <w:pStyle w:val="Heading6"/>
      </w:pPr>
      <w:r w:rsidRPr="001D1554">
        <w:t>Model application</w:t>
      </w:r>
    </w:p>
    <w:p w:rsidR="001D1554" w:rsidRPr="001D1554" w:rsidRDefault="001D1554" w:rsidP="001D1554">
      <w:r w:rsidRPr="001D1554">
        <w:t xml:space="preserve">The report has utilised the models and applied </w:t>
      </w:r>
      <w:r>
        <w:t xml:space="preserve">them to present the results and </w:t>
      </w:r>
      <w:r w:rsidRPr="001D1554">
        <w:t xml:space="preserve">discuss the clinical implications of the model results </w:t>
      </w:r>
      <w:r>
        <w:t xml:space="preserve">for each of the models within a </w:t>
      </w:r>
      <w:r w:rsidRPr="001D1554">
        <w:t xml:space="preserve">specific ‘Model application’ section. There are </w:t>
      </w:r>
      <w:r>
        <w:t xml:space="preserve">no explicit guidelines on which </w:t>
      </w:r>
      <w:r w:rsidRPr="001D1554">
        <w:t>application tests are deemed appropriate by the EMEA.</w:t>
      </w:r>
    </w:p>
    <w:p w:rsidR="001D1554" w:rsidRPr="001D1554" w:rsidRDefault="001D1554" w:rsidP="001D1554">
      <w:r w:rsidRPr="001D1554">
        <w:t xml:space="preserve">However, after assessment of all of these sections, </w:t>
      </w:r>
      <w:r>
        <w:t xml:space="preserve">the conclusions drawn from them </w:t>
      </w:r>
      <w:r w:rsidRPr="001D1554">
        <w:t>and the model application presented in this section</w:t>
      </w:r>
      <w:r>
        <w:t xml:space="preserve"> can be considered appropriate. </w:t>
      </w:r>
      <w:r w:rsidRPr="001D1554">
        <w:t>The results from the model application section have</w:t>
      </w:r>
      <w:r>
        <w:t xml:space="preserve"> been used to a great extent to </w:t>
      </w:r>
      <w:r w:rsidRPr="001D1554">
        <w:t>support the discussion and are evaluated there in more detail.</w:t>
      </w:r>
    </w:p>
    <w:p w:rsidR="00D1142A" w:rsidRPr="001D1554" w:rsidRDefault="001D1554" w:rsidP="00A9457F">
      <w:pPr>
        <w:pStyle w:val="Heading6"/>
      </w:pPr>
      <w:r w:rsidRPr="001D1554">
        <w:t xml:space="preserve">Assessment conclusion for the </w:t>
      </w:r>
      <w:r w:rsidR="00D367DE" w:rsidRPr="001D1554">
        <w:t xml:space="preserve">results </w:t>
      </w:r>
      <w:r w:rsidRPr="001D1554">
        <w:t>section</w:t>
      </w:r>
    </w:p>
    <w:p w:rsidR="001D1554" w:rsidRPr="001D1554" w:rsidRDefault="001D1554" w:rsidP="001D1554">
      <w:r w:rsidRPr="001D1554">
        <w:t>No major breach of the reporting guidelines for the result section was found. Some</w:t>
      </w:r>
      <w:r>
        <w:t xml:space="preserve"> </w:t>
      </w:r>
      <w:r w:rsidRPr="001D1554">
        <w:t>information particular discussion on decision m</w:t>
      </w:r>
      <w:r>
        <w:t xml:space="preserve">aking was limited; however, all </w:t>
      </w:r>
      <w:r w:rsidRPr="001D1554">
        <w:t>models, model building steps, criteria for model select</w:t>
      </w:r>
      <w:r>
        <w:t xml:space="preserve">ion and evaluation steps are in </w:t>
      </w:r>
      <w:r w:rsidRPr="001D1554">
        <w:t>agreement with the guidelines and appear reasonable</w:t>
      </w:r>
      <w:r>
        <w:t xml:space="preserve">. The final models presented in </w:t>
      </w:r>
      <w:r w:rsidRPr="001D1554">
        <w:t xml:space="preserve">the report appear reasonable and based on </w:t>
      </w:r>
      <w:r>
        <w:t xml:space="preserve">appropriate model selection and </w:t>
      </w:r>
      <w:r w:rsidRPr="001D1554">
        <w:t xml:space="preserve">evaluation criteria. Graphical plots supporting </w:t>
      </w:r>
      <w:r>
        <w:t xml:space="preserve">the decision making such as GOF </w:t>
      </w:r>
      <w:r w:rsidRPr="001D1554">
        <w:t>plots are consistent with the EMEA Guideline</w:t>
      </w:r>
      <w:r>
        <w:t xml:space="preserve">. The models </w:t>
      </w:r>
      <w:r w:rsidRPr="001D1554">
        <w:t>have been tested rigorously using relevant g</w:t>
      </w:r>
      <w:r>
        <w:t xml:space="preserve">raphics, given the data and the </w:t>
      </w:r>
      <w:r w:rsidRPr="001D1554">
        <w:t>assumptions made in the process, as well accor</w:t>
      </w:r>
      <w:r>
        <w:t xml:space="preserve">ding to current evidenced based </w:t>
      </w:r>
      <w:r w:rsidRPr="001D1554">
        <w:t>standards (</w:t>
      </w:r>
      <w:r w:rsidR="00A9457F">
        <w:t>for example,</w:t>
      </w:r>
      <w:r w:rsidRPr="001D1554">
        <w:t xml:space="preserve"> shrinkage was reported when requ</w:t>
      </w:r>
      <w:r>
        <w:t xml:space="preserve">ired). The quality of the model </w:t>
      </w:r>
      <w:r w:rsidRPr="001D1554">
        <w:t>evaluation procedures was of appropriate standard.</w:t>
      </w:r>
    </w:p>
    <w:p w:rsidR="001D1554" w:rsidRPr="001D1554" w:rsidRDefault="001D1554" w:rsidP="001D1554">
      <w:r w:rsidRPr="001D1554">
        <w:t>Points of concern noted above and summarised here for completion are:</w:t>
      </w:r>
    </w:p>
    <w:p w:rsidR="001D1554" w:rsidRPr="001D1554" w:rsidRDefault="00A9457F" w:rsidP="001D1554">
      <w:pPr>
        <w:pStyle w:val="ListBullet"/>
      </w:pPr>
      <w:r>
        <w:t xml:space="preserve">Covariate </w:t>
      </w:r>
      <w:r w:rsidR="001D1554" w:rsidRPr="001D1554">
        <w:t>parameter selection was discusse</w:t>
      </w:r>
      <w:r w:rsidR="001D1554">
        <w:t xml:space="preserve">d minimally in this report. The </w:t>
      </w:r>
      <w:r w:rsidR="001D1554" w:rsidRPr="001D1554">
        <w:t>guidelines recommend that these are discussed.</w:t>
      </w:r>
      <w:r w:rsidR="001D1554">
        <w:t xml:space="preserve"> It was difficult to assess the </w:t>
      </w:r>
      <w:r w:rsidR="001D1554" w:rsidRPr="001D1554">
        <w:t>appropriateness of the covariates selected f</w:t>
      </w:r>
      <w:r w:rsidR="001D1554">
        <w:t xml:space="preserve">or the covariate model building </w:t>
      </w:r>
      <w:r w:rsidR="001D1554" w:rsidRPr="001D1554">
        <w:t>steps, based on the content provided in the report. For example it is unclear:</w:t>
      </w:r>
      <w:r w:rsidR="001D1554">
        <w:t xml:space="preserve"> </w:t>
      </w:r>
      <w:r w:rsidR="001D1554" w:rsidRPr="001D1554">
        <w:t xml:space="preserve">Why was total body weight tested on CL and </w:t>
      </w:r>
      <w:proofErr w:type="gramStart"/>
      <w:r w:rsidR="001D1554" w:rsidRPr="001D1554">
        <w:t>Vd</w:t>
      </w:r>
      <w:proofErr w:type="gramEnd"/>
      <w:r w:rsidR="001D1554" w:rsidRPr="001D1554">
        <w:t xml:space="preserve"> in the </w:t>
      </w:r>
      <w:r w:rsidR="004D2D70">
        <w:t>PopPK</w:t>
      </w:r>
      <w:r w:rsidR="001D1554" w:rsidRPr="001D1554">
        <w:t xml:space="preserve"> model and not</w:t>
      </w:r>
      <w:r w:rsidR="001D1554">
        <w:t xml:space="preserve"> </w:t>
      </w:r>
      <w:r w:rsidR="001D1554" w:rsidRPr="001D1554">
        <w:t>BSA or lean body weight? Furthermore, why was albumin not a covariate</w:t>
      </w:r>
      <w:r w:rsidR="001D1554">
        <w:t xml:space="preserve"> </w:t>
      </w:r>
      <w:r w:rsidR="001D1554" w:rsidRPr="001D1554">
        <w:t>selected for the covariate model building step? There might have been</w:t>
      </w:r>
      <w:r w:rsidR="001D1554">
        <w:t xml:space="preserve"> </w:t>
      </w:r>
      <w:r w:rsidR="001D1554" w:rsidRPr="001D1554">
        <w:t>reasonable criteria for this, however it can’t be evaluated.</w:t>
      </w:r>
    </w:p>
    <w:p w:rsidR="001D1554" w:rsidRPr="001D1554" w:rsidRDefault="001D1554" w:rsidP="001D1554">
      <w:pPr>
        <w:pStyle w:val="ListBullet"/>
      </w:pPr>
      <w:r w:rsidRPr="001D1554">
        <w:t xml:space="preserve">It was noted that units for parameters and </w:t>
      </w:r>
      <w:r>
        <w:t xml:space="preserve">concentrations presented in the </w:t>
      </w:r>
      <w:r w:rsidRPr="001D1554">
        <w:t xml:space="preserve">tables in the result sections were missing </w:t>
      </w:r>
      <w:r>
        <w:t xml:space="preserve">on several occasions throughout </w:t>
      </w:r>
      <w:r w:rsidRPr="001D1554">
        <w:t>the report. This made it difficult to evaluate</w:t>
      </w:r>
      <w:r>
        <w:t xml:space="preserve"> the appropriateness of some of </w:t>
      </w:r>
      <w:r w:rsidRPr="001D1554">
        <w:t>the parameter values. The parameter valu</w:t>
      </w:r>
      <w:r>
        <w:t xml:space="preserve">es presented in the tables seem </w:t>
      </w:r>
      <w:r w:rsidRPr="001D1554">
        <w:t>reasonable, based on the assumpti</w:t>
      </w:r>
      <w:r>
        <w:t xml:space="preserve">on that units of the values are </w:t>
      </w:r>
      <w:r w:rsidRPr="001D1554">
        <w:t>appropriately.</w:t>
      </w:r>
    </w:p>
    <w:p w:rsidR="001D1554" w:rsidRPr="001D1554" w:rsidRDefault="001D1554" w:rsidP="00A9457F">
      <w:pPr>
        <w:pStyle w:val="Heading5"/>
      </w:pPr>
      <w:r w:rsidRPr="001D1554">
        <w:t>Discussion</w:t>
      </w:r>
    </w:p>
    <w:p w:rsidR="001D1554" w:rsidRDefault="001D1554" w:rsidP="001D1554">
      <w:r w:rsidRPr="001D1554">
        <w:t>The discussion of the report addresses how well the</w:t>
      </w:r>
      <w:r>
        <w:t xml:space="preserve"> final models describe the data </w:t>
      </w:r>
      <w:r w:rsidRPr="001D1554">
        <w:t>and the clinical relevance of any covariate influence</w:t>
      </w:r>
      <w:r>
        <w:t xml:space="preserve">s in detail. The results of the </w:t>
      </w:r>
      <w:r w:rsidR="004D2D70">
        <w:t>PopPK</w:t>
      </w:r>
      <w:r w:rsidRPr="001D1554">
        <w:t xml:space="preserve"> analysis have been related to previously obtain</w:t>
      </w:r>
      <w:r>
        <w:t xml:space="preserve">ed results and are in agreement </w:t>
      </w:r>
      <w:r w:rsidRPr="001D1554">
        <w:t>with them. The discussion of the re</w:t>
      </w:r>
      <w:r w:rsidR="00A9457F">
        <w:t>port meets the EMEA guidelines.</w:t>
      </w:r>
    </w:p>
    <w:p w:rsidR="001D1554" w:rsidRPr="001D1554" w:rsidRDefault="001D1554" w:rsidP="001D1554">
      <w:r w:rsidRPr="001D1554">
        <w:t xml:space="preserve">Explicit discussion points for the </w:t>
      </w:r>
      <w:r w:rsidR="004D2D70">
        <w:t>PopPK</w:t>
      </w:r>
      <w:r w:rsidRPr="001D1554">
        <w:t xml:space="preserve"> model have been:</w:t>
      </w:r>
    </w:p>
    <w:p w:rsidR="001D1554" w:rsidRPr="001D1554" w:rsidRDefault="001D1554" w:rsidP="001D1554">
      <w:pPr>
        <w:pStyle w:val="ListBullet"/>
      </w:pPr>
      <w:r w:rsidRPr="001D1554">
        <w:t>PK of ipilimumab is linear in the dose range tested.</w:t>
      </w:r>
    </w:p>
    <w:p w:rsidR="001D1554" w:rsidRPr="001D1554" w:rsidRDefault="001D1554" w:rsidP="001D1554">
      <w:pPr>
        <w:pStyle w:val="ListBullet"/>
      </w:pPr>
      <w:r w:rsidRPr="001D1554">
        <w:t>The PK of ipilimumab is time invariant.</w:t>
      </w:r>
    </w:p>
    <w:p w:rsidR="001D1554" w:rsidRPr="001D1554" w:rsidRDefault="001D1554" w:rsidP="001D1554">
      <w:pPr>
        <w:pStyle w:val="ListBullet"/>
      </w:pPr>
      <w:r w:rsidRPr="001D1554">
        <w:t>No difference in the PK of ipilimumab in previously un</w:t>
      </w:r>
      <w:r>
        <w:t xml:space="preserve">treated versus </w:t>
      </w:r>
      <w:r w:rsidRPr="001D1554">
        <w:t>previously treated patients.</w:t>
      </w:r>
    </w:p>
    <w:p w:rsidR="001D1554" w:rsidRPr="001D1554" w:rsidRDefault="001D1554" w:rsidP="001D1554">
      <w:pPr>
        <w:pStyle w:val="ListBullet"/>
      </w:pPr>
      <w:r w:rsidRPr="001D1554">
        <w:lastRenderedPageBreak/>
        <w:t>Ipilimumab should be dosed according to the to</w:t>
      </w:r>
      <w:r>
        <w:t xml:space="preserve">tal body weight of the patient, </w:t>
      </w:r>
      <w:r w:rsidRPr="001D1554">
        <w:t xml:space="preserve">due to the significant impact of total </w:t>
      </w:r>
      <w:r>
        <w:t xml:space="preserve">body weight WT on ipilimumab CL </w:t>
      </w:r>
      <w:r w:rsidRPr="001D1554">
        <w:t>found, effecting overall exposure to the drug.</w:t>
      </w:r>
    </w:p>
    <w:p w:rsidR="001D1554" w:rsidRPr="001D1554" w:rsidRDefault="001D1554" w:rsidP="001D1554">
      <w:pPr>
        <w:pStyle w:val="ListBullet"/>
      </w:pPr>
      <w:r w:rsidRPr="001D1554">
        <w:t>Ipilimumab CL increases with increasing</w:t>
      </w:r>
      <w:r>
        <w:t xml:space="preserve"> baseline LDH. However patients </w:t>
      </w:r>
      <w:r w:rsidRPr="001D1554">
        <w:t>with sufficiently high LDH to cause clinica</w:t>
      </w:r>
      <w:r>
        <w:t xml:space="preserve">l meaningful changes in CL have </w:t>
      </w:r>
      <w:r w:rsidRPr="001D1554">
        <w:t xml:space="preserve">been found to be rare and are unlikely to have </w:t>
      </w:r>
      <w:r>
        <w:t xml:space="preserve">clinically meaningful impact of </w:t>
      </w:r>
      <w:r w:rsidRPr="001D1554">
        <w:t>LDH on their ipilimumab CL.</w:t>
      </w:r>
    </w:p>
    <w:p w:rsidR="001D1554" w:rsidRPr="001D1554" w:rsidRDefault="001D1554" w:rsidP="001D1554">
      <w:pPr>
        <w:pStyle w:val="ListBullet"/>
      </w:pPr>
      <w:r w:rsidRPr="001D1554">
        <w:t>Renal function and mild hepatic impairme</w:t>
      </w:r>
      <w:r>
        <w:t xml:space="preserve">nt have no impact on ipilimumab </w:t>
      </w:r>
      <w:r w:rsidRPr="001D1554">
        <w:t>CL.</w:t>
      </w:r>
    </w:p>
    <w:p w:rsidR="001D1554" w:rsidRPr="001D1554" w:rsidRDefault="001D1554" w:rsidP="001D1554">
      <w:pPr>
        <w:pStyle w:val="ListBullet"/>
      </w:pPr>
      <w:r w:rsidRPr="001D1554">
        <w:t>Dacarbazine did not affect ipilimumab CL.</w:t>
      </w:r>
    </w:p>
    <w:p w:rsidR="001D1554" w:rsidRPr="001D1554" w:rsidRDefault="001D1554" w:rsidP="001D1554">
      <w:r w:rsidRPr="001D1554">
        <w:t>All of the above claims have been supported by rigorous evaluation of the model and</w:t>
      </w:r>
      <w:r>
        <w:t xml:space="preserve"> </w:t>
      </w:r>
      <w:r w:rsidRPr="001D1554">
        <w:t>model outcomes. The claim of PK being time invariant and linear ov</w:t>
      </w:r>
      <w:r>
        <w:t xml:space="preserve">er the tested </w:t>
      </w:r>
      <w:r w:rsidRPr="001D1554">
        <w:t xml:space="preserve">dose range is adequate and appropriate. The most </w:t>
      </w:r>
      <w:r>
        <w:t xml:space="preserve">clinical influential covariates </w:t>
      </w:r>
      <w:r w:rsidRPr="001D1554">
        <w:t xml:space="preserve">found were total body weight on CL and </w:t>
      </w:r>
      <w:proofErr w:type="gramStart"/>
      <w:r w:rsidRPr="001D1554">
        <w:t>Vd</w:t>
      </w:r>
      <w:proofErr w:type="gramEnd"/>
      <w:r w:rsidRPr="001D1554">
        <w:t xml:space="preserve">, both </w:t>
      </w:r>
      <w:r>
        <w:t xml:space="preserve">increase with increasing weight </w:t>
      </w:r>
      <w:r w:rsidRPr="001D1554">
        <w:t xml:space="preserve">and the patient with the smallest weight and </w:t>
      </w:r>
      <w:r>
        <w:t xml:space="preserve">the largest weight in the study </w:t>
      </w:r>
      <w:r w:rsidRPr="001D1554">
        <w:t>population had significantly smaller and larger CL</w:t>
      </w:r>
      <w:r>
        <w:t xml:space="preserve">, respectively, compared to the </w:t>
      </w:r>
      <w:r w:rsidRPr="001D1554">
        <w:t xml:space="preserve">average weight patients in the study population. In particular, </w:t>
      </w:r>
      <w:r w:rsidR="00A05B08" w:rsidRPr="00FA355C">
        <w:t>C</w:t>
      </w:r>
      <w:r w:rsidR="00A05B08" w:rsidRPr="00A05B08">
        <w:rPr>
          <w:vertAlign w:val="subscript"/>
        </w:rPr>
        <w:t>minss</w:t>
      </w:r>
      <w:r w:rsidRPr="001D1554">
        <w:t xml:space="preserve"> </w:t>
      </w:r>
      <w:r>
        <w:t xml:space="preserve">concentrations </w:t>
      </w:r>
      <w:r w:rsidRPr="001D1554">
        <w:t>have been linked to efficacy and safety of ipilimumab.</w:t>
      </w:r>
      <w:r>
        <w:t xml:space="preserve"> It has been shown that a fixed </w:t>
      </w:r>
      <w:r w:rsidRPr="001D1554">
        <w:t xml:space="preserve">dose for all patients will underexpose heavier </w:t>
      </w:r>
      <w:r>
        <w:t xml:space="preserve">patients leading potentially to </w:t>
      </w:r>
      <w:r w:rsidRPr="001D1554">
        <w:t>treatment failure. Vice versa, overexposure in lighter p</w:t>
      </w:r>
      <w:r>
        <w:t xml:space="preserve">atients might lead to increased </w:t>
      </w:r>
      <w:r w:rsidRPr="001D1554">
        <w:t>risk of adverse events. The conclusion dosing of ipi</w:t>
      </w:r>
      <w:r>
        <w:t xml:space="preserve">limumab based on patient’s body </w:t>
      </w:r>
      <w:r w:rsidRPr="001D1554">
        <w:t>weight is appropriate.</w:t>
      </w:r>
    </w:p>
    <w:p w:rsidR="001D1554" w:rsidRPr="001D1554" w:rsidRDefault="001D1554" w:rsidP="001D1554">
      <w:r w:rsidRPr="001D1554">
        <w:t>The impact of LDH on ipilimumab CL has been disc</w:t>
      </w:r>
      <w:r w:rsidR="00805CA5">
        <w:t xml:space="preserve">ussed and it was concluded that </w:t>
      </w:r>
      <w:r w:rsidRPr="001D1554">
        <w:t>baseline LDH values less than 675 IU/L are unlikel</w:t>
      </w:r>
      <w:r w:rsidR="00805CA5">
        <w:t xml:space="preserve">y to have clinically meaningful </w:t>
      </w:r>
      <w:r w:rsidR="00A9457F">
        <w:t>impact on ipilimumab </w:t>
      </w:r>
      <w:r w:rsidRPr="001D1554">
        <w:t>CL, and that the additional incr</w:t>
      </w:r>
      <w:r w:rsidR="00805CA5">
        <w:t xml:space="preserve">ease in CL in patients with LDH </w:t>
      </w:r>
      <w:r w:rsidRPr="001D1554">
        <w:t>values as high as 5</w:t>
      </w:r>
      <w:r w:rsidR="00A9457F">
        <w:t> </w:t>
      </w:r>
      <w:r w:rsidRPr="001D1554">
        <w:t>x</w:t>
      </w:r>
      <w:r w:rsidR="00A9457F">
        <w:t> </w:t>
      </w:r>
      <w:r w:rsidRPr="001D1554">
        <w:t>ULN is only approximately 10% r</w:t>
      </w:r>
      <w:r w:rsidR="00805CA5">
        <w:t xml:space="preserve">elative to patients with LDH of </w:t>
      </w:r>
      <w:r w:rsidRPr="001D1554">
        <w:t>3</w:t>
      </w:r>
      <w:r w:rsidR="00A9457F">
        <w:t xml:space="preserve"> </w:t>
      </w:r>
      <w:r w:rsidRPr="001D1554">
        <w:t>x</w:t>
      </w:r>
      <w:r w:rsidR="00A9457F">
        <w:t xml:space="preserve"> </w:t>
      </w:r>
      <w:r w:rsidRPr="001D1554">
        <w:t>ULN. It should also be noted that LDH is a key pro</w:t>
      </w:r>
      <w:r w:rsidR="00805CA5">
        <w:t xml:space="preserve">gnostic factor indicating worse </w:t>
      </w:r>
      <w:r w:rsidRPr="001D1554">
        <w:t>outcomes; consequently this may lead to a highe</w:t>
      </w:r>
      <w:r w:rsidR="00805CA5">
        <w:t xml:space="preserve">r ipilimumab CL, in higher risk </w:t>
      </w:r>
      <w:r w:rsidRPr="001D1554">
        <w:t>patients and should be considered when these are b</w:t>
      </w:r>
      <w:r w:rsidR="00805CA5">
        <w:t xml:space="preserve">eing treated. It is however not </w:t>
      </w:r>
      <w:r w:rsidRPr="001D1554">
        <w:t>discussed in further details if dose changes sho</w:t>
      </w:r>
      <w:r w:rsidR="00805CA5">
        <w:t xml:space="preserve">uld be recommended in high risk </w:t>
      </w:r>
      <w:r w:rsidRPr="001D1554">
        <w:t>patients.</w:t>
      </w:r>
    </w:p>
    <w:p w:rsidR="001D1554" w:rsidRPr="001D1554" w:rsidRDefault="001D1554" w:rsidP="001D1554">
      <w:r w:rsidRPr="001D1554">
        <w:t>Renal function and mild hepatic impairment showed</w:t>
      </w:r>
      <w:r w:rsidR="00805CA5">
        <w:t xml:space="preserve"> to have no clinically relevant </w:t>
      </w:r>
      <w:r w:rsidRPr="001D1554">
        <w:t>effect on ipilimumab CL. Estimated glomerular filtrat</w:t>
      </w:r>
      <w:r w:rsidR="00805CA5">
        <w:t xml:space="preserve">ion rate (eGFR) was included in </w:t>
      </w:r>
      <w:r w:rsidRPr="001D1554">
        <w:t>the final model however, the explorations of t</w:t>
      </w:r>
      <w:r w:rsidR="00805CA5">
        <w:t xml:space="preserve">he effect magnitude showed that </w:t>
      </w:r>
      <w:r w:rsidRPr="001D1554">
        <w:t>ipilimumab CL changed by less than 20% for</w:t>
      </w:r>
      <w:r w:rsidR="00805CA5">
        <w:t xml:space="preserve"> the lowest and highest eGFR in </w:t>
      </w:r>
      <w:r w:rsidRPr="001D1554">
        <w:t>comparison to the population median value. The e</w:t>
      </w:r>
      <w:r w:rsidR="00805CA5">
        <w:t xml:space="preserve">ffect of hepatic impairment on </w:t>
      </w:r>
      <w:r w:rsidRPr="001D1554">
        <w:t>ipilimumab CL is based mainly on a comparis</w:t>
      </w:r>
      <w:r w:rsidR="00805CA5">
        <w:t xml:space="preserve">on between patients with normal </w:t>
      </w:r>
      <w:r w:rsidRPr="001D1554">
        <w:t xml:space="preserve">hepatic function and mild impairment. The effect </w:t>
      </w:r>
      <w:r w:rsidR="00805CA5">
        <w:t xml:space="preserve">of hepatic impairment should be </w:t>
      </w:r>
      <w:r w:rsidRPr="001D1554">
        <w:t xml:space="preserve">revaluated again in future studies when more data from patients with </w:t>
      </w:r>
      <w:r w:rsidR="00805CA5">
        <w:t xml:space="preserve">moderate to </w:t>
      </w:r>
      <w:r w:rsidRPr="001D1554">
        <w:t>severe impairment are available.</w:t>
      </w:r>
    </w:p>
    <w:p w:rsidR="001D1554" w:rsidRPr="001D1554" w:rsidRDefault="001D1554" w:rsidP="001D1554">
      <w:r w:rsidRPr="001D1554">
        <w:t>Additionally, the influence of concomitant therapy w</w:t>
      </w:r>
      <w:r w:rsidR="00805CA5">
        <w:t xml:space="preserve">ith Dacarbazine, immunogenicity </w:t>
      </w:r>
      <w:r w:rsidRPr="001D1554">
        <w:t>(</w:t>
      </w:r>
      <w:r w:rsidR="00A9457F" w:rsidRPr="00A9457F">
        <w:t>Human-anti-human antibod</w:t>
      </w:r>
      <w:r w:rsidR="00A9457F">
        <w:rPr>
          <w:rFonts w:ascii="Arial" w:eastAsiaTheme="minorHAnsi" w:hAnsi="Arial" w:cs="Arial"/>
          <w:sz w:val="24"/>
          <w:szCs w:val="24"/>
        </w:rPr>
        <w:t>y</w:t>
      </w:r>
      <w:r w:rsidR="00A9457F" w:rsidRPr="001D1554">
        <w:t xml:space="preserve"> </w:t>
      </w:r>
      <w:r w:rsidR="00A9457F">
        <w:t>(</w:t>
      </w:r>
      <w:r w:rsidRPr="001D1554">
        <w:t>HAHA</w:t>
      </w:r>
      <w:r w:rsidR="00A9457F">
        <w:t>)</w:t>
      </w:r>
      <w:r w:rsidRPr="001D1554">
        <w:t xml:space="preserve"> status) and patient’s age were discussed</w:t>
      </w:r>
      <w:r w:rsidR="00805CA5">
        <w:t xml:space="preserve"> and found not to be clinically </w:t>
      </w:r>
      <w:r w:rsidRPr="001D1554">
        <w:t>relevant predictors of ipilimumab CL. These are ap</w:t>
      </w:r>
      <w:r w:rsidR="00805CA5">
        <w:t xml:space="preserve">propriate conclusions given the </w:t>
      </w:r>
      <w:r w:rsidRPr="001D1554">
        <w:t xml:space="preserve">results of the </w:t>
      </w:r>
      <w:r w:rsidR="004D2D70">
        <w:t>PopPK</w:t>
      </w:r>
      <w:r w:rsidRPr="001D1554">
        <w:t xml:space="preserve"> analysis.</w:t>
      </w:r>
    </w:p>
    <w:p w:rsidR="001D1554" w:rsidRPr="001D1554" w:rsidRDefault="001D1554" w:rsidP="001D1554">
      <w:r w:rsidRPr="001D1554">
        <w:t xml:space="preserve">The </w:t>
      </w:r>
      <w:r w:rsidR="004D2D70">
        <w:t>PopPK</w:t>
      </w:r>
      <w:r w:rsidRPr="001D1554">
        <w:t xml:space="preserve"> model predicted that 3 and 10 mg/kg doses yield pharmacologically active</w:t>
      </w:r>
      <w:r w:rsidR="00805CA5">
        <w:t xml:space="preserve"> </w:t>
      </w:r>
      <w:r w:rsidRPr="001D1554">
        <w:t xml:space="preserve">ipilimumab </w:t>
      </w:r>
      <w:r w:rsidR="00A05B08" w:rsidRPr="00FA355C">
        <w:t>C</w:t>
      </w:r>
      <w:r w:rsidR="00A05B08" w:rsidRPr="00A05B08">
        <w:rPr>
          <w:vertAlign w:val="subscript"/>
        </w:rPr>
        <w:t>minss</w:t>
      </w:r>
      <w:r w:rsidRPr="001D1554">
        <w:t xml:space="preserve"> values when the target trough c</w:t>
      </w:r>
      <w:r w:rsidR="00805CA5">
        <w:t xml:space="preserve">oncentrations of 3 and </w:t>
      </w:r>
      <w:proofErr w:type="gramStart"/>
      <w:r w:rsidR="00805CA5">
        <w:t>20</w:t>
      </w:r>
      <w:r w:rsidR="00A9457F">
        <w:t xml:space="preserve"> µ</w:t>
      </w:r>
      <w:r w:rsidR="00805CA5">
        <w:t>g/mL</w:t>
      </w:r>
      <w:proofErr w:type="gramEnd"/>
      <w:r w:rsidR="00805CA5">
        <w:t xml:space="preserve"> </w:t>
      </w:r>
      <w:r w:rsidRPr="001D1554">
        <w:t>are considered. Again, the application of the fin</w:t>
      </w:r>
      <w:r w:rsidR="00805CA5">
        <w:t xml:space="preserve">al </w:t>
      </w:r>
      <w:r w:rsidR="004D2D70">
        <w:t>PopPK</w:t>
      </w:r>
      <w:r w:rsidR="00805CA5">
        <w:t xml:space="preserve"> model is supporting this </w:t>
      </w:r>
      <w:r w:rsidRPr="001D1554">
        <w:t>discussion.</w:t>
      </w:r>
    </w:p>
    <w:p w:rsidR="001D1554" w:rsidRPr="001D1554" w:rsidRDefault="001D1554" w:rsidP="001D1554">
      <w:r w:rsidRPr="001D1554">
        <w:t xml:space="preserve">In conclusion the discussion points regarding the </w:t>
      </w:r>
      <w:r w:rsidR="004D2D70">
        <w:t>PopPK</w:t>
      </w:r>
      <w:r w:rsidR="00805CA5">
        <w:t xml:space="preserve"> model for ipilimumab in the </w:t>
      </w:r>
      <w:r w:rsidRPr="001D1554">
        <w:t>advanced melanoma patient population are all sup</w:t>
      </w:r>
      <w:r w:rsidR="00805CA5">
        <w:t xml:space="preserve">ported by the models and by the </w:t>
      </w:r>
      <w:r w:rsidRPr="001D1554">
        <w:t>model evaluations and application performed.</w:t>
      </w:r>
    </w:p>
    <w:p w:rsidR="00805CA5" w:rsidRPr="00805CA5" w:rsidRDefault="00805CA5" w:rsidP="00805CA5">
      <w:r w:rsidRPr="00805CA5">
        <w:t>Explicit discussion points for the ER</w:t>
      </w:r>
      <w:proofErr w:type="gramStart"/>
      <w:r w:rsidRPr="00805CA5">
        <w:t>:OS</w:t>
      </w:r>
      <w:proofErr w:type="gramEnd"/>
      <w:r w:rsidRPr="00805CA5">
        <w:t xml:space="preserve"> model have been:</w:t>
      </w:r>
    </w:p>
    <w:p w:rsidR="00805CA5" w:rsidRPr="00805CA5" w:rsidRDefault="00805CA5" w:rsidP="00805CA5">
      <w:pPr>
        <w:pStyle w:val="ListBullet"/>
      </w:pPr>
      <w:r w:rsidRPr="00805CA5">
        <w:t xml:space="preserve">The relationship between ipilimumab </w:t>
      </w:r>
      <w:r w:rsidR="00A05B08" w:rsidRPr="00FA355C">
        <w:t>C</w:t>
      </w:r>
      <w:r w:rsidR="00A05B08" w:rsidRPr="00A05B08">
        <w:rPr>
          <w:vertAlign w:val="subscript"/>
        </w:rPr>
        <w:t>minss</w:t>
      </w:r>
      <w:r w:rsidRPr="00805CA5">
        <w:t xml:space="preserve"> </w:t>
      </w:r>
      <w:r>
        <w:t xml:space="preserve">and OS hazard ratio was found </w:t>
      </w:r>
      <w:r w:rsidRPr="00805CA5">
        <w:t xml:space="preserve">to be significant. </w:t>
      </w:r>
      <w:r w:rsidR="00A05B08" w:rsidRPr="00FA355C">
        <w:t>C</w:t>
      </w:r>
      <w:r w:rsidR="00A05B08" w:rsidRPr="00A05B08">
        <w:rPr>
          <w:vertAlign w:val="subscript"/>
        </w:rPr>
        <w:t>minss</w:t>
      </w:r>
      <w:r w:rsidRPr="00805CA5">
        <w:t xml:space="preserve"> was sel</w:t>
      </w:r>
      <w:r>
        <w:t xml:space="preserve">ected as the summary measure of </w:t>
      </w:r>
      <w:r w:rsidRPr="00805CA5">
        <w:t>ipilimumab exposure for this analys</w:t>
      </w:r>
      <w:r>
        <w:t xml:space="preserve">is and was based on mechanistic </w:t>
      </w:r>
      <w:r w:rsidRPr="00805CA5">
        <w:t>rationale and previous report</w:t>
      </w:r>
    </w:p>
    <w:p w:rsidR="00805CA5" w:rsidRPr="00805CA5" w:rsidRDefault="00805CA5" w:rsidP="00805CA5">
      <w:pPr>
        <w:pStyle w:val="ListBullet"/>
      </w:pPr>
      <w:r w:rsidRPr="00805CA5">
        <w:lastRenderedPageBreak/>
        <w:t>LDH, ECOG status and metastatic status</w:t>
      </w:r>
      <w:r>
        <w:t xml:space="preserve"> were identified as significant </w:t>
      </w:r>
      <w:r w:rsidRPr="00805CA5">
        <w:t>predictors of overall survival (OS).</w:t>
      </w:r>
    </w:p>
    <w:p w:rsidR="00805CA5" w:rsidRPr="00805CA5" w:rsidRDefault="00805CA5" w:rsidP="00805CA5">
      <w:r w:rsidRPr="00805CA5">
        <w:t>The final ER</w:t>
      </w:r>
      <w:proofErr w:type="gramStart"/>
      <w:r w:rsidRPr="00805CA5">
        <w:t>:OS</w:t>
      </w:r>
      <w:proofErr w:type="gramEnd"/>
      <w:r w:rsidRPr="00805CA5">
        <w:t xml:space="preserve"> model showed a lower OS hazard ratio in patients with higher </w:t>
      </w:r>
      <w:r w:rsidR="00A05B08" w:rsidRPr="00FA355C">
        <w:t>C</w:t>
      </w:r>
      <w:r w:rsidR="00A05B08" w:rsidRPr="00A05B08">
        <w:rPr>
          <w:vertAlign w:val="subscript"/>
        </w:rPr>
        <w:t>minss</w:t>
      </w:r>
      <w:r w:rsidRPr="00805CA5">
        <w:t xml:space="preserve"> values. It is appropriate to conclude that survival of previously untreated advanced</w:t>
      </w:r>
      <w:r>
        <w:t xml:space="preserve"> </w:t>
      </w:r>
      <w:r w:rsidRPr="00805CA5">
        <w:t xml:space="preserve">melanoma patients increased with increasing ipilimumab </w:t>
      </w:r>
      <w:r w:rsidR="00A05B08" w:rsidRPr="00FA355C">
        <w:t>C</w:t>
      </w:r>
      <w:r w:rsidR="00A05B08" w:rsidRPr="00A05B08">
        <w:rPr>
          <w:vertAlign w:val="subscript"/>
        </w:rPr>
        <w:t>minss</w:t>
      </w:r>
      <w:r w:rsidRPr="00805CA5">
        <w:t xml:space="preserve"> </w:t>
      </w:r>
      <w:r>
        <w:t xml:space="preserve">over the range of </w:t>
      </w:r>
      <w:r w:rsidR="00770DD1">
        <w:t>exposures achieved with the 10 </w:t>
      </w:r>
      <w:r w:rsidRPr="00805CA5">
        <w:t>mg/kg dose, based on the final ER</w:t>
      </w:r>
      <w:proofErr w:type="gramStart"/>
      <w:r w:rsidRPr="00805CA5">
        <w:t>:OS</w:t>
      </w:r>
      <w:proofErr w:type="gramEnd"/>
      <w:r w:rsidRPr="00805CA5">
        <w:t xml:space="preserve"> mode</w:t>
      </w:r>
      <w:r>
        <w:t xml:space="preserve">l and </w:t>
      </w:r>
      <w:r w:rsidRPr="00805CA5">
        <w:t>the model evaluation and application reported here.</w:t>
      </w:r>
    </w:p>
    <w:p w:rsidR="00805CA5" w:rsidRPr="00805CA5" w:rsidRDefault="00805CA5" w:rsidP="00805CA5">
      <w:r w:rsidRPr="00805CA5">
        <w:t>Additionally, elevated LDH, reduced ECOG stat</w:t>
      </w:r>
      <w:r>
        <w:t xml:space="preserve">us and more advanced metastatic </w:t>
      </w:r>
      <w:r w:rsidRPr="00805CA5">
        <w:t>status increased the risk of death in patients. M</w:t>
      </w:r>
      <w:r>
        <w:t xml:space="preserve">etastatic stage at study entry, </w:t>
      </w:r>
      <w:r w:rsidRPr="00805CA5">
        <w:t>abnormal LDH, and poor ECOG performance status a</w:t>
      </w:r>
      <w:r>
        <w:t xml:space="preserve">re known prognostic factors for </w:t>
      </w:r>
      <w:r w:rsidRPr="00805CA5">
        <w:t>poorer survival from metastatic melanoma a</w:t>
      </w:r>
      <w:r>
        <w:t xml:space="preserve">nd could be confirmed here. The </w:t>
      </w:r>
      <w:r w:rsidRPr="00805CA5">
        <w:t>influence of gender on OS was inconclusive from this study.</w:t>
      </w:r>
    </w:p>
    <w:p w:rsidR="00805CA5" w:rsidRPr="00805CA5" w:rsidRDefault="00805CA5" w:rsidP="00805CA5">
      <w:r w:rsidRPr="00805CA5">
        <w:t>The relationship between ipilimumab e</w:t>
      </w:r>
      <w:r>
        <w:t xml:space="preserve">xposure and OS seems to be well </w:t>
      </w:r>
      <w:r w:rsidRPr="00805CA5">
        <w:t>character</w:t>
      </w:r>
      <w:r w:rsidR="001A330A">
        <w:t>ise</w:t>
      </w:r>
      <w:r w:rsidRPr="00805CA5">
        <w:t>d by the model in the advanced mela</w:t>
      </w:r>
      <w:r>
        <w:t xml:space="preserve">noma patient population studied </w:t>
      </w:r>
      <w:r w:rsidRPr="00805CA5">
        <w:t>and supported by model evaluations performed.</w:t>
      </w:r>
    </w:p>
    <w:p w:rsidR="00805CA5" w:rsidRPr="00805CA5" w:rsidRDefault="00805CA5" w:rsidP="00805CA5">
      <w:r w:rsidRPr="00805CA5">
        <w:t>Explicit discussion points for the ER</w:t>
      </w:r>
      <w:proofErr w:type="gramStart"/>
      <w:r w:rsidRPr="00805CA5">
        <w:t>:iAR</w:t>
      </w:r>
      <w:proofErr w:type="gramEnd"/>
      <w:r w:rsidRPr="00805CA5">
        <w:t xml:space="preserve"> model have been:</w:t>
      </w:r>
    </w:p>
    <w:p w:rsidR="00805CA5" w:rsidRPr="00805CA5" w:rsidRDefault="00805CA5" w:rsidP="00805CA5">
      <w:pPr>
        <w:pStyle w:val="ListBullet"/>
      </w:pPr>
      <w:r w:rsidRPr="00805CA5">
        <w:t xml:space="preserve">Log-odds of immune-related irAEs increase with increasing </w:t>
      </w:r>
      <w:r w:rsidR="00A05B08" w:rsidRPr="00FA355C">
        <w:t>C</w:t>
      </w:r>
      <w:r w:rsidR="00A05B08" w:rsidRPr="00A05B08">
        <w:rPr>
          <w:vertAlign w:val="subscript"/>
        </w:rPr>
        <w:t>minss</w:t>
      </w:r>
      <w:r>
        <w:t xml:space="preserve"> </w:t>
      </w:r>
      <w:r w:rsidRPr="00805CA5">
        <w:t>according to an E</w:t>
      </w:r>
      <w:r w:rsidRPr="00770DD1">
        <w:rPr>
          <w:vertAlign w:val="subscript"/>
        </w:rPr>
        <w:t>max</w:t>
      </w:r>
      <w:r w:rsidRPr="00805CA5">
        <w:t xml:space="preserve"> pharmacodynamic model.</w:t>
      </w:r>
    </w:p>
    <w:p w:rsidR="00805CA5" w:rsidRPr="00805CA5" w:rsidRDefault="00805CA5" w:rsidP="00805CA5">
      <w:pPr>
        <w:pStyle w:val="ListBullet"/>
      </w:pPr>
      <w:r w:rsidRPr="00805CA5">
        <w:t xml:space="preserve">Dacarbazine had a marked effect on </w:t>
      </w:r>
      <w:proofErr w:type="gramStart"/>
      <w:r w:rsidRPr="00805CA5">
        <w:t>irAEs,</w:t>
      </w:r>
      <w:proofErr w:type="gramEnd"/>
      <w:r w:rsidRPr="00805CA5">
        <w:t xml:space="preserve"> t</w:t>
      </w:r>
      <w:r>
        <w:t xml:space="preserve">herefore it was included in the </w:t>
      </w:r>
      <w:r w:rsidRPr="00805CA5">
        <w:t>base model.</w:t>
      </w:r>
    </w:p>
    <w:p w:rsidR="00805CA5" w:rsidRPr="00805CA5" w:rsidRDefault="00805CA5" w:rsidP="00805CA5">
      <w:pPr>
        <w:pStyle w:val="ListBullet"/>
      </w:pPr>
      <w:r>
        <w:t>I</w:t>
      </w:r>
      <w:r w:rsidRPr="00805CA5">
        <w:t>pilimumab potency for inducin</w:t>
      </w:r>
      <w:r>
        <w:t xml:space="preserve">g irAE is generally similar for </w:t>
      </w:r>
      <w:r w:rsidRPr="00805CA5">
        <w:t xml:space="preserve">gastrointestinal and skin and any irAE and the probability </w:t>
      </w:r>
      <w:r>
        <w:t xml:space="preserve">of having these </w:t>
      </w:r>
      <w:r w:rsidRPr="00805CA5">
        <w:t xml:space="preserve">irAEs </w:t>
      </w:r>
      <w:proofErr w:type="gramStart"/>
      <w:r w:rsidRPr="00805CA5">
        <w:t>is</w:t>
      </w:r>
      <w:proofErr w:type="gramEnd"/>
      <w:r w:rsidRPr="00805CA5">
        <w:t xml:space="preserve"> near maximal for </w:t>
      </w:r>
      <w:r w:rsidR="00A05B08" w:rsidRPr="00FA355C">
        <w:t>C</w:t>
      </w:r>
      <w:r w:rsidR="00A05B08" w:rsidRPr="00A05B08">
        <w:rPr>
          <w:vertAlign w:val="subscript"/>
        </w:rPr>
        <w:t>minss</w:t>
      </w:r>
      <w:r w:rsidRPr="00805CA5">
        <w:t xml:space="preserve"> values gr</w:t>
      </w:r>
      <w:r>
        <w:t xml:space="preserve">eater than the median of the 10 </w:t>
      </w:r>
      <w:r w:rsidRPr="00805CA5">
        <w:t>mg/kg dose.</w:t>
      </w:r>
    </w:p>
    <w:p w:rsidR="001D1554" w:rsidRDefault="00805CA5" w:rsidP="00AE2D9F">
      <w:pPr>
        <w:pStyle w:val="ListBullet"/>
      </w:pPr>
      <w:r w:rsidRPr="00805CA5">
        <w:t xml:space="preserve">Prior anticancer therapy was an important </w:t>
      </w:r>
      <w:r>
        <w:t xml:space="preserve">covariate on the probability of </w:t>
      </w:r>
      <w:r w:rsidRPr="00805CA5">
        <w:t>irAE occurrences.</w:t>
      </w:r>
    </w:p>
    <w:p w:rsidR="00805CA5" w:rsidRPr="00805CA5" w:rsidRDefault="00805CA5" w:rsidP="00805CA5">
      <w:r w:rsidRPr="00805CA5">
        <w:t>The final ER</w:t>
      </w:r>
      <w:proofErr w:type="gramStart"/>
      <w:r w:rsidRPr="00805CA5">
        <w:t>:iAR</w:t>
      </w:r>
      <w:proofErr w:type="gramEnd"/>
      <w:r w:rsidRPr="00805CA5">
        <w:t xml:space="preserve"> model supported an E</w:t>
      </w:r>
      <w:r w:rsidRPr="00770DD1">
        <w:rPr>
          <w:vertAlign w:val="subscript"/>
        </w:rPr>
        <w:t>max</w:t>
      </w:r>
      <w:r w:rsidRPr="00805CA5">
        <w:t xml:space="preserve"> pharmacodynamic model to describe</w:t>
      </w:r>
      <w:r>
        <w:t xml:space="preserve"> </w:t>
      </w:r>
      <w:r w:rsidRPr="00805CA5">
        <w:t xml:space="preserve">the relationship between increasing irAEs with increasing </w:t>
      </w:r>
      <w:r w:rsidR="00A05B08" w:rsidRPr="00FA355C">
        <w:t>C</w:t>
      </w:r>
      <w:r w:rsidR="00A05B08" w:rsidRPr="00A05B08">
        <w:rPr>
          <w:vertAlign w:val="subscript"/>
        </w:rPr>
        <w:t>minss</w:t>
      </w:r>
      <w:r>
        <w:t xml:space="preserve"> </w:t>
      </w:r>
      <w:r w:rsidRPr="00805CA5">
        <w:t>values. This is an extension to a previous pharma</w:t>
      </w:r>
      <w:r>
        <w:t xml:space="preserve">cometric analysis, supported by </w:t>
      </w:r>
      <w:r w:rsidRPr="00805CA5">
        <w:t xml:space="preserve">more data and a broader </w:t>
      </w:r>
      <w:r w:rsidR="00A05B08" w:rsidRPr="00FA355C">
        <w:t>C</w:t>
      </w:r>
      <w:r w:rsidR="00A05B08" w:rsidRPr="00A05B08">
        <w:rPr>
          <w:vertAlign w:val="subscript"/>
        </w:rPr>
        <w:t>minss</w:t>
      </w:r>
      <w:r w:rsidRPr="00805CA5">
        <w:t xml:space="preserve"> values in this study. The model was built accordin</w:t>
      </w:r>
      <w:r>
        <w:t xml:space="preserve">g </w:t>
      </w:r>
      <w:r w:rsidRPr="00805CA5">
        <w:t>to standard practice and was evaluated extensive</w:t>
      </w:r>
      <w:r>
        <w:t xml:space="preserve">ly consequently this conclusion </w:t>
      </w:r>
      <w:r w:rsidRPr="00805CA5">
        <w:t>seems appropriate. Also the a priori inclusion of da</w:t>
      </w:r>
      <w:r>
        <w:t xml:space="preserve">carbazine co-administration was </w:t>
      </w:r>
      <w:r w:rsidRPr="00805CA5">
        <w:t>appropriate. Co- administration of dacarbazin</w:t>
      </w:r>
      <w:r>
        <w:t xml:space="preserve">e with ipilimumab increased the </w:t>
      </w:r>
      <w:r w:rsidRPr="00805CA5">
        <w:t xml:space="preserve">incidence of hepatobiliary </w:t>
      </w:r>
      <w:r w:rsidR="00770DD1" w:rsidRPr="00805CA5">
        <w:t>irAEs</w:t>
      </w:r>
      <w:r w:rsidR="00770DD1">
        <w:t xml:space="preserve"> </w:t>
      </w:r>
      <w:r>
        <w:t xml:space="preserve">but lowered the incidence </w:t>
      </w:r>
      <w:r w:rsidRPr="00805CA5">
        <w:t>o</w:t>
      </w:r>
      <w:r w:rsidR="00770DD1">
        <w:t xml:space="preserve">f gastrointestinal irAEs. Model </w:t>
      </w:r>
      <w:r w:rsidRPr="00805CA5">
        <w:t>based es</w:t>
      </w:r>
      <w:r>
        <w:t xml:space="preserve">timates of the odds ratios were </w:t>
      </w:r>
      <w:r w:rsidR="00770DD1">
        <w:t xml:space="preserve">approximately 9 fold and 0.5 </w:t>
      </w:r>
      <w:r w:rsidRPr="00805CA5">
        <w:t>fold, respectively.</w:t>
      </w:r>
    </w:p>
    <w:p w:rsidR="00805CA5" w:rsidRPr="00805CA5" w:rsidRDefault="00805CA5" w:rsidP="00805CA5">
      <w:r w:rsidRPr="00805CA5">
        <w:t xml:space="preserve">The probability of gastrointestinal and skin irAEs was near maximal for </w:t>
      </w:r>
      <w:r w:rsidR="00A05B08" w:rsidRPr="00FA355C">
        <w:t>C</w:t>
      </w:r>
      <w:r w:rsidR="00A05B08" w:rsidRPr="00A05B08">
        <w:rPr>
          <w:vertAlign w:val="subscript"/>
        </w:rPr>
        <w:t>minss</w:t>
      </w:r>
      <w:r w:rsidRPr="00805CA5">
        <w:t xml:space="preserve"> </w:t>
      </w:r>
      <w:r>
        <w:t xml:space="preserve">values </w:t>
      </w:r>
      <w:r w:rsidRPr="00805CA5">
        <w:t>greater than the median of the 10 mg/kg d</w:t>
      </w:r>
      <w:r>
        <w:t xml:space="preserve">ose, whereas the probability of </w:t>
      </w:r>
      <w:r w:rsidRPr="00805CA5">
        <w:t xml:space="preserve">hepatobiliary irAEs increased over most of the </w:t>
      </w:r>
      <w:r w:rsidR="00A05B08" w:rsidRPr="00FA355C">
        <w:t>C</w:t>
      </w:r>
      <w:r w:rsidR="00A05B08" w:rsidRPr="00A05B08">
        <w:rPr>
          <w:vertAlign w:val="subscript"/>
        </w:rPr>
        <w:t>minss</w:t>
      </w:r>
      <w:r w:rsidRPr="00805CA5">
        <w:t xml:space="preserve"> </w:t>
      </w:r>
      <w:r>
        <w:t xml:space="preserve">value range produced by 10 </w:t>
      </w:r>
      <w:r w:rsidRPr="00805CA5">
        <w:t>mg/kg. The potency of ipilimumab to cause irAE differs by target organ, however the</w:t>
      </w:r>
      <w:r>
        <w:t xml:space="preserve"> </w:t>
      </w:r>
      <w:r w:rsidRPr="00805CA5">
        <w:t>probability of having mild or more severe irAEs differs l</w:t>
      </w:r>
      <w:r>
        <w:t xml:space="preserve">ittle. Prior anticancer therapy </w:t>
      </w:r>
      <w:r w:rsidRPr="00805CA5">
        <w:t>reduced the risk of any irAE, particularly gastroint</w:t>
      </w:r>
      <w:r>
        <w:t xml:space="preserve">estinal and hepatobiliary irAE, </w:t>
      </w:r>
      <w:r w:rsidRPr="00805CA5">
        <w:t>however the underlying physiological reasons seem still unknown. The results fr</w:t>
      </w:r>
      <w:r>
        <w:t xml:space="preserve">om </w:t>
      </w:r>
      <w:r w:rsidRPr="00805CA5">
        <w:t xml:space="preserve">the </w:t>
      </w:r>
      <w:r w:rsidR="0039038B">
        <w:t>ER</w:t>
      </w:r>
      <w:proofErr w:type="gramStart"/>
      <w:r w:rsidRPr="00805CA5">
        <w:t>:irAE</w:t>
      </w:r>
      <w:proofErr w:type="gramEnd"/>
      <w:r w:rsidRPr="00805CA5">
        <w:t xml:space="preserve"> model show an increasing odds ratio for irAEs with increasing </w:t>
      </w:r>
      <w:r w:rsidR="00A05B08" w:rsidRPr="00FA355C">
        <w:t>C</w:t>
      </w:r>
      <w:r w:rsidR="00A05B08" w:rsidRPr="00A05B08">
        <w:rPr>
          <w:vertAlign w:val="subscript"/>
        </w:rPr>
        <w:t>minss</w:t>
      </w:r>
      <w:r w:rsidRPr="00805CA5">
        <w:t>,</w:t>
      </w:r>
      <w:r>
        <w:t xml:space="preserve"> </w:t>
      </w:r>
      <w:r w:rsidRPr="00805CA5">
        <w:t>which provides strong support for a role of ipilimumab in the frequency and severity</w:t>
      </w:r>
      <w:r>
        <w:t xml:space="preserve"> </w:t>
      </w:r>
      <w:r w:rsidRPr="00805CA5">
        <w:t>of irAEs.</w:t>
      </w:r>
    </w:p>
    <w:p w:rsidR="00805CA5" w:rsidRPr="00805CA5" w:rsidRDefault="00805CA5" w:rsidP="00805CA5">
      <w:r w:rsidRPr="00805CA5">
        <w:t>The relationship between ipilimumab expo</w:t>
      </w:r>
      <w:r>
        <w:t xml:space="preserve">sure and irAEs seems to be well </w:t>
      </w:r>
      <w:r w:rsidRPr="00805CA5">
        <w:t>character</w:t>
      </w:r>
      <w:r w:rsidR="001A330A">
        <w:t>ise</w:t>
      </w:r>
      <w:r w:rsidRPr="00805CA5">
        <w:t>d by the models in the advanced mela</w:t>
      </w:r>
      <w:r>
        <w:t xml:space="preserve">noma patient population studied </w:t>
      </w:r>
      <w:r w:rsidRPr="00805CA5">
        <w:t xml:space="preserve">and supported </w:t>
      </w:r>
      <w:r w:rsidR="00770DD1">
        <w:t>by model evaluations performed.</w:t>
      </w:r>
    </w:p>
    <w:p w:rsidR="00586F98" w:rsidRDefault="00C22678" w:rsidP="00586F98">
      <w:pPr>
        <w:pStyle w:val="Heading2"/>
      </w:pPr>
      <w:bookmarkStart w:id="151" w:name="_Toc475616217"/>
      <w:r>
        <w:t>Dosage selection for the pivotal studies</w:t>
      </w:r>
      <w:bookmarkEnd w:id="151"/>
    </w:p>
    <w:p w:rsidR="000E73B0" w:rsidRDefault="000E73B0" w:rsidP="000E73B0">
      <w:r w:rsidRPr="00307D0C">
        <w:t>No pivotal studies have been submitted with this application. There are no newly submitted studies that address dosage selection.</w:t>
      </w:r>
    </w:p>
    <w:p w:rsidR="000E73B0" w:rsidRPr="00307D0C" w:rsidRDefault="000E73B0" w:rsidP="00307D0C">
      <w:pPr>
        <w:pStyle w:val="Heading3"/>
      </w:pPr>
      <w:bookmarkStart w:id="152" w:name="_Ref384806336"/>
      <w:bookmarkStart w:id="153" w:name="_Toc390676252"/>
      <w:bookmarkStart w:id="154" w:name="_Toc475616218"/>
      <w:r w:rsidRPr="00307D0C">
        <w:lastRenderedPageBreak/>
        <w:t>Comments regarding the dosage selection for the current application</w:t>
      </w:r>
      <w:bookmarkEnd w:id="152"/>
      <w:bookmarkEnd w:id="153"/>
      <w:bookmarkEnd w:id="154"/>
    </w:p>
    <w:p w:rsidR="000E73B0" w:rsidRPr="00307D0C" w:rsidRDefault="000E73B0" w:rsidP="00307D0C">
      <w:r w:rsidRPr="00307D0C">
        <w:t xml:space="preserve">The </w:t>
      </w:r>
      <w:r w:rsidR="005F5E22">
        <w:t>sponsor</w:t>
      </w:r>
      <w:r w:rsidRPr="00307D0C">
        <w:t xml:space="preserve"> writes in the </w:t>
      </w:r>
      <w:r w:rsidR="00C108F1">
        <w:t>‘</w:t>
      </w:r>
      <w:r w:rsidRPr="00307D0C">
        <w:t>Summary of Clinical Efficacy</w:t>
      </w:r>
      <w:r w:rsidR="00C108F1">
        <w:t>’</w:t>
      </w:r>
      <w:r w:rsidRPr="00307D0C">
        <w:t>;</w:t>
      </w:r>
    </w:p>
    <w:p w:rsidR="000E73B0" w:rsidRPr="000E3C6A" w:rsidRDefault="00C108F1" w:rsidP="00BF0776">
      <w:pPr>
        <w:ind w:left="720"/>
        <w:rPr>
          <w:i/>
        </w:rPr>
      </w:pPr>
      <w:r w:rsidRPr="000E3C6A">
        <w:rPr>
          <w:i/>
        </w:rPr>
        <w:t>‘</w:t>
      </w:r>
      <w:r w:rsidR="000E73B0" w:rsidRPr="000E3C6A">
        <w:rPr>
          <w:i/>
        </w:rPr>
        <w:t xml:space="preserve">Ipilimumab monotherapy (3 mg/kg every 3 weeks for 4 doses) was approved in the US and several other countries for the treatment of metastatic melanoma regardless of prior therapy. In the EU, Australia, and other countries, </w:t>
      </w:r>
      <w:r w:rsidR="00F22D76" w:rsidRPr="000E3C6A">
        <w:rPr>
          <w:i/>
        </w:rPr>
        <w:t>ipilimumab</w:t>
      </w:r>
      <w:r w:rsidR="000E73B0" w:rsidRPr="000E3C6A">
        <w:rPr>
          <w:i/>
        </w:rPr>
        <w:t xml:space="preserve"> was approved for the use in previously treated metastatic melanoma. These approvals were primarily based on the OS benefit observed in MDX010-20 (</w:t>
      </w:r>
      <w:r w:rsidR="00F22D76" w:rsidRPr="000E3C6A">
        <w:rPr>
          <w:i/>
        </w:rPr>
        <w:t>Phase III</w:t>
      </w:r>
      <w:r w:rsidR="000E73B0" w:rsidRPr="000E3C6A">
        <w:rPr>
          <w:i/>
        </w:rPr>
        <w:t xml:space="preserve"> study of 3 mg/kg </w:t>
      </w:r>
      <w:r w:rsidR="00F22D76" w:rsidRPr="000E3C6A">
        <w:rPr>
          <w:i/>
        </w:rPr>
        <w:t>ipilimumab</w:t>
      </w:r>
      <w:r w:rsidR="000E73B0" w:rsidRPr="000E3C6A">
        <w:rPr>
          <w:i/>
        </w:rPr>
        <w:t xml:space="preserve"> </w:t>
      </w:r>
      <w:r w:rsidR="000E73B0" w:rsidRPr="000E3C6A">
        <w:rPr>
          <w:rFonts w:hint="eastAsia"/>
          <w:i/>
        </w:rPr>
        <w:t>±</w:t>
      </w:r>
      <w:r w:rsidR="000E73B0" w:rsidRPr="000E3C6A">
        <w:rPr>
          <w:i/>
        </w:rPr>
        <w:t xml:space="preserve"> gp100 </w:t>
      </w:r>
      <w:r w:rsidR="000E3C6A">
        <w:rPr>
          <w:i/>
        </w:rPr>
        <w:t>versus</w:t>
      </w:r>
      <w:r w:rsidR="000E73B0" w:rsidRPr="000E3C6A">
        <w:rPr>
          <w:i/>
        </w:rPr>
        <w:t xml:space="preserve"> gp100 alone in pre-treated advanced melanoma), as well as key results from a second random</w:t>
      </w:r>
      <w:r w:rsidR="00C91631">
        <w:rPr>
          <w:i/>
        </w:rPr>
        <w:t>is</w:t>
      </w:r>
      <w:r w:rsidR="000E73B0" w:rsidRPr="000E3C6A">
        <w:rPr>
          <w:i/>
        </w:rPr>
        <w:t xml:space="preserve">ed </w:t>
      </w:r>
      <w:r w:rsidR="00F22D76" w:rsidRPr="000E3C6A">
        <w:rPr>
          <w:i/>
        </w:rPr>
        <w:t>Phase III</w:t>
      </w:r>
      <w:r w:rsidR="000E73B0" w:rsidRPr="000E3C6A">
        <w:rPr>
          <w:i/>
        </w:rPr>
        <w:t xml:space="preserve"> trial demonstrating OS benefit with </w:t>
      </w:r>
      <w:r w:rsidR="00F22D76" w:rsidRPr="000E3C6A">
        <w:rPr>
          <w:i/>
        </w:rPr>
        <w:t>ipilimumab</w:t>
      </w:r>
      <w:r w:rsidR="000E73B0" w:rsidRPr="000E3C6A">
        <w:rPr>
          <w:i/>
        </w:rPr>
        <w:t xml:space="preserve"> in previously untreated advanced melanoma (CA184024; 10 mg/kg </w:t>
      </w:r>
      <w:r w:rsidR="00F22D76" w:rsidRPr="000E3C6A">
        <w:rPr>
          <w:i/>
        </w:rPr>
        <w:t>ipilimumab</w:t>
      </w:r>
      <w:r w:rsidR="000E73B0" w:rsidRPr="000E3C6A">
        <w:rPr>
          <w:i/>
        </w:rPr>
        <w:t xml:space="preserve"> + DTIC </w:t>
      </w:r>
      <w:r w:rsidR="00046414">
        <w:rPr>
          <w:i/>
        </w:rPr>
        <w:t>versus</w:t>
      </w:r>
      <w:r w:rsidR="000E73B0" w:rsidRPr="000E3C6A">
        <w:rPr>
          <w:i/>
        </w:rPr>
        <w:t xml:space="preserve"> DTIC alone).</w:t>
      </w:r>
    </w:p>
    <w:p w:rsidR="000E73B0" w:rsidRPr="000E3C6A" w:rsidRDefault="000E73B0" w:rsidP="00BF0776">
      <w:pPr>
        <w:ind w:left="720"/>
        <w:rPr>
          <w:i/>
        </w:rPr>
      </w:pPr>
      <w:r w:rsidRPr="000E3C6A">
        <w:rPr>
          <w:i/>
        </w:rPr>
        <w:t>This submission presents evidence to support extension of the 3 mg/kg posology to include patients with untreated advanced melanoma based on:</w:t>
      </w:r>
    </w:p>
    <w:p w:rsidR="000E73B0" w:rsidRPr="000E3C6A" w:rsidRDefault="000E73B0" w:rsidP="00BF0776">
      <w:pPr>
        <w:pStyle w:val="ListBullet"/>
        <w:ind w:left="1080"/>
        <w:rPr>
          <w:i/>
        </w:rPr>
      </w:pPr>
      <w:r w:rsidRPr="000E3C6A">
        <w:rPr>
          <w:i/>
        </w:rPr>
        <w:t>Pharmacologic data showing consistent baseline immune status and T cell response in untreated and previously treated subjects</w:t>
      </w:r>
    </w:p>
    <w:p w:rsidR="000E73B0" w:rsidRPr="000E3C6A" w:rsidRDefault="000E73B0" w:rsidP="00BF0776">
      <w:pPr>
        <w:pStyle w:val="ListBullet"/>
        <w:ind w:left="1080"/>
        <w:rPr>
          <w:i/>
        </w:rPr>
      </w:pPr>
      <w:r w:rsidRPr="000E3C6A">
        <w:rPr>
          <w:i/>
        </w:rPr>
        <w:t>Consistency in PK data between untreated and previously treated subjects</w:t>
      </w:r>
    </w:p>
    <w:p w:rsidR="000E73B0" w:rsidRPr="000E3C6A" w:rsidRDefault="000E73B0" w:rsidP="00BF0776">
      <w:pPr>
        <w:pStyle w:val="ListBullet"/>
        <w:ind w:left="1080"/>
        <w:rPr>
          <w:i/>
        </w:rPr>
      </w:pPr>
      <w:r w:rsidRPr="000E3C6A">
        <w:rPr>
          <w:i/>
        </w:rPr>
        <w:t>Consistency in efficacy of 3 mg/kg regardless of number or type of prior therapy in MDX010-20</w:t>
      </w:r>
    </w:p>
    <w:p w:rsidR="000E73B0" w:rsidRPr="000E3C6A" w:rsidRDefault="000E73B0" w:rsidP="00BF0776">
      <w:pPr>
        <w:pStyle w:val="ListBullet"/>
        <w:ind w:left="1080"/>
        <w:rPr>
          <w:i/>
        </w:rPr>
      </w:pPr>
      <w:r w:rsidRPr="000E3C6A">
        <w:rPr>
          <w:i/>
        </w:rPr>
        <w:t>Exposure-response (</w:t>
      </w:r>
      <w:r w:rsidR="0039038B">
        <w:rPr>
          <w:i/>
        </w:rPr>
        <w:t>ER</w:t>
      </w:r>
      <w:r w:rsidRPr="000E3C6A">
        <w:rPr>
          <w:i/>
        </w:rPr>
        <w:t xml:space="preserve">) data corroborating that the efficacy of </w:t>
      </w:r>
      <w:r w:rsidR="00F22D76" w:rsidRPr="000E3C6A">
        <w:rPr>
          <w:i/>
        </w:rPr>
        <w:t>ipilimumab</w:t>
      </w:r>
      <w:r w:rsidRPr="000E3C6A">
        <w:rPr>
          <w:i/>
        </w:rPr>
        <w:t xml:space="preserve"> is independent of prior therapy</w:t>
      </w:r>
    </w:p>
    <w:p w:rsidR="000E73B0" w:rsidRPr="000E3C6A" w:rsidRDefault="000E73B0" w:rsidP="00BF0776">
      <w:pPr>
        <w:pStyle w:val="ListBullet"/>
        <w:ind w:left="1080"/>
        <w:rPr>
          <w:i/>
        </w:rPr>
      </w:pPr>
      <w:r w:rsidRPr="000E3C6A">
        <w:rPr>
          <w:i/>
        </w:rPr>
        <w:t xml:space="preserve">Data from pooled </w:t>
      </w:r>
      <w:r w:rsidR="00F22D76" w:rsidRPr="000E3C6A">
        <w:rPr>
          <w:i/>
        </w:rPr>
        <w:t>Phase II</w:t>
      </w:r>
      <w:r w:rsidRPr="000E3C6A">
        <w:rPr>
          <w:i/>
        </w:rPr>
        <w:t xml:space="preserve"> studies of </w:t>
      </w:r>
      <w:r w:rsidR="00F22D76" w:rsidRPr="000E3C6A">
        <w:rPr>
          <w:i/>
        </w:rPr>
        <w:t>ipilimumab</w:t>
      </w:r>
      <w:r w:rsidRPr="000E3C6A">
        <w:rPr>
          <w:i/>
        </w:rPr>
        <w:t xml:space="preserve"> 3 mg/kg in untreated subjects that demonstrates consistency in safety and efficacy with that in previously treated subjects</w:t>
      </w:r>
    </w:p>
    <w:p w:rsidR="000E73B0" w:rsidRPr="000E3C6A" w:rsidRDefault="000E73B0" w:rsidP="00BF0776">
      <w:pPr>
        <w:pStyle w:val="ListBullet"/>
        <w:ind w:left="1080"/>
        <w:rPr>
          <w:i/>
        </w:rPr>
      </w:pPr>
      <w:r w:rsidRPr="000E3C6A">
        <w:rPr>
          <w:i/>
        </w:rPr>
        <w:t xml:space="preserve">Results from the </w:t>
      </w:r>
      <w:r w:rsidR="00F22D76" w:rsidRPr="000E3C6A">
        <w:rPr>
          <w:i/>
        </w:rPr>
        <w:t>Phase III</w:t>
      </w:r>
      <w:r w:rsidRPr="000E3C6A">
        <w:rPr>
          <w:i/>
        </w:rPr>
        <w:t xml:space="preserve"> study of </w:t>
      </w:r>
      <w:r w:rsidR="00F22D76" w:rsidRPr="000E3C6A">
        <w:rPr>
          <w:i/>
        </w:rPr>
        <w:t>ipilimumab</w:t>
      </w:r>
      <w:r w:rsidRPr="000E3C6A">
        <w:rPr>
          <w:i/>
        </w:rPr>
        <w:t xml:space="preserve"> 10 mg/kg plus DTIC versus DTIC confirming clinically meanin</w:t>
      </w:r>
      <w:r w:rsidR="000E3C6A">
        <w:rPr>
          <w:i/>
        </w:rPr>
        <w:t xml:space="preserve">gful improvement in OS and long </w:t>
      </w:r>
      <w:r w:rsidRPr="000E3C6A">
        <w:rPr>
          <w:i/>
        </w:rPr>
        <w:t xml:space="preserve">term benefit in untreated subjects treated with </w:t>
      </w:r>
      <w:r w:rsidR="00F22D76" w:rsidRPr="000E3C6A">
        <w:rPr>
          <w:i/>
        </w:rPr>
        <w:t>ipilimumab</w:t>
      </w:r>
      <w:r w:rsidR="00A71C22">
        <w:rPr>
          <w:i/>
        </w:rPr>
        <w:t>.</w:t>
      </w:r>
    </w:p>
    <w:p w:rsidR="000E73B0" w:rsidRPr="000E3C6A" w:rsidRDefault="000E73B0" w:rsidP="00BF0776">
      <w:pPr>
        <w:ind w:left="720"/>
        <w:rPr>
          <w:i/>
        </w:rPr>
      </w:pPr>
      <w:r w:rsidRPr="000E3C6A">
        <w:rPr>
          <w:i/>
        </w:rPr>
        <w:t xml:space="preserve">The durable survival and favourable risk/benefit ratio of </w:t>
      </w:r>
      <w:r w:rsidR="00F22D76" w:rsidRPr="000E3C6A">
        <w:rPr>
          <w:i/>
        </w:rPr>
        <w:t>ipilimumab</w:t>
      </w:r>
      <w:r w:rsidRPr="000E3C6A">
        <w:rPr>
          <w:i/>
        </w:rPr>
        <w:t xml:space="preserve"> in 2 </w:t>
      </w:r>
      <w:r w:rsidR="00F22D76" w:rsidRPr="000E3C6A">
        <w:rPr>
          <w:i/>
        </w:rPr>
        <w:t>Phase III</w:t>
      </w:r>
      <w:r w:rsidRPr="000E3C6A">
        <w:rPr>
          <w:i/>
        </w:rPr>
        <w:t xml:space="preserve"> trials support an update to the therapeutic indication in the </w:t>
      </w:r>
      <w:r w:rsidR="00F22D76" w:rsidRPr="000E3C6A">
        <w:rPr>
          <w:i/>
        </w:rPr>
        <w:t>ipilimumab</w:t>
      </w:r>
      <w:r w:rsidRPr="000E3C6A">
        <w:rPr>
          <w:i/>
        </w:rPr>
        <w:t xml:space="preserve"> Summary of Product Characteristics (SmPC) to include previously untreated, advanced melanoma. </w:t>
      </w:r>
      <w:proofErr w:type="gramStart"/>
      <w:r w:rsidRPr="000E3C6A">
        <w:rPr>
          <w:i/>
        </w:rPr>
        <w:t>Both</w:t>
      </w:r>
      <w:r w:rsidR="00A71C22">
        <w:rPr>
          <w:i/>
        </w:rPr>
        <w:t>,</w:t>
      </w:r>
      <w:proofErr w:type="gramEnd"/>
      <w:r w:rsidRPr="000E3C6A">
        <w:rPr>
          <w:i/>
        </w:rPr>
        <w:t xml:space="preserve"> </w:t>
      </w:r>
      <w:r w:rsidR="00C108F1" w:rsidRPr="000E3C6A">
        <w:rPr>
          <w:i/>
        </w:rPr>
        <w:t>3 mg</w:t>
      </w:r>
      <w:r w:rsidRPr="000E3C6A">
        <w:rPr>
          <w:i/>
        </w:rPr>
        <w:t xml:space="preserve">/kg </w:t>
      </w:r>
      <w:r w:rsidR="00F22D76" w:rsidRPr="000E3C6A">
        <w:rPr>
          <w:i/>
        </w:rPr>
        <w:t>ipilimumab</w:t>
      </w:r>
      <w:r w:rsidR="000E3C6A">
        <w:rPr>
          <w:i/>
        </w:rPr>
        <w:t xml:space="preserve"> and 10 </w:t>
      </w:r>
      <w:r w:rsidRPr="000E3C6A">
        <w:rPr>
          <w:i/>
        </w:rPr>
        <w:t xml:space="preserve">mg/kg </w:t>
      </w:r>
      <w:r w:rsidR="00F22D76" w:rsidRPr="000E3C6A">
        <w:rPr>
          <w:i/>
        </w:rPr>
        <w:t>ipilimumab</w:t>
      </w:r>
      <w:r w:rsidRPr="000E3C6A">
        <w:rPr>
          <w:i/>
        </w:rPr>
        <w:t xml:space="preserve"> + DTIC provide positive risk/benef</w:t>
      </w:r>
      <w:r w:rsidR="000E3C6A">
        <w:rPr>
          <w:i/>
        </w:rPr>
        <w:t xml:space="preserve">it with similar median and long </w:t>
      </w:r>
      <w:r w:rsidRPr="000E3C6A">
        <w:rPr>
          <w:i/>
        </w:rPr>
        <w:t xml:space="preserve">term OS. </w:t>
      </w:r>
      <w:r w:rsidR="000E3C6A">
        <w:rPr>
          <w:i/>
        </w:rPr>
        <w:t>BMS (the sponsor)</w:t>
      </w:r>
      <w:r w:rsidRPr="000E3C6A">
        <w:rPr>
          <w:i/>
        </w:rPr>
        <w:t xml:space="preserve"> recommends the posology of 3 mg/kg </w:t>
      </w:r>
      <w:r w:rsidR="00F22D76" w:rsidRPr="000E3C6A">
        <w:rPr>
          <w:i/>
        </w:rPr>
        <w:t>ipilimumab</w:t>
      </w:r>
      <w:r w:rsidRPr="000E3C6A">
        <w:rPr>
          <w:i/>
        </w:rPr>
        <w:t xml:space="preserve"> for previously untreated advanced melanoma based on a number of considerations outlined in the Clinical Overview.</w:t>
      </w:r>
      <w:r w:rsidR="00C108F1" w:rsidRPr="000E3C6A">
        <w:rPr>
          <w:i/>
        </w:rPr>
        <w:t>’</w:t>
      </w:r>
    </w:p>
    <w:p w:rsidR="000E73B0" w:rsidRPr="00307D0C" w:rsidRDefault="000E73B0" w:rsidP="00307D0C">
      <w:r w:rsidRPr="00307D0C">
        <w:t>Firstly regarding these points listed;</w:t>
      </w:r>
    </w:p>
    <w:p w:rsidR="000E73B0" w:rsidRPr="00307D0C" w:rsidRDefault="000E73B0" w:rsidP="00307D0C">
      <w:pPr>
        <w:pStyle w:val="ListBullet"/>
      </w:pPr>
      <w:r w:rsidRPr="00307D0C">
        <w:t>Randomised evidence in support of the standardisation of therapy has not been provid</w:t>
      </w:r>
      <w:r w:rsidR="00A71C22">
        <w:t>ed with the current application</w:t>
      </w:r>
    </w:p>
    <w:p w:rsidR="000E73B0" w:rsidRPr="00307D0C" w:rsidRDefault="000E73B0" w:rsidP="00307D0C">
      <w:pPr>
        <w:pStyle w:val="ListBullet"/>
      </w:pPr>
      <w:r w:rsidRPr="00307D0C">
        <w:t>Data regarding baseline immune status being similar between untreated and previously tr</w:t>
      </w:r>
      <w:r w:rsidR="00284E81">
        <w:t>eated patients is based on the P</w:t>
      </w:r>
      <w:r w:rsidRPr="00307D0C">
        <w:t xml:space="preserve">hase II </w:t>
      </w:r>
      <w:r w:rsidR="00284E81">
        <w:t>Study</w:t>
      </w:r>
      <w:r w:rsidRPr="00307D0C">
        <w:t xml:space="preserve"> CA184007 which uses the </w:t>
      </w:r>
      <w:r w:rsidR="00C108F1">
        <w:t>10 mg</w:t>
      </w:r>
      <w:r w:rsidRPr="00307D0C">
        <w:t>/kg posology and maintenance phase. The external validity of this statement for the</w:t>
      </w:r>
      <w:r w:rsidR="00A71C22">
        <w:t xml:space="preserve"> current application is limited</w:t>
      </w:r>
    </w:p>
    <w:p w:rsidR="000E73B0" w:rsidRPr="00307D0C" w:rsidRDefault="000E73B0" w:rsidP="00307D0C">
      <w:pPr>
        <w:pStyle w:val="ListBullet"/>
      </w:pPr>
      <w:r w:rsidRPr="00307D0C">
        <w:t xml:space="preserve">Data regarding T cell response at the 3 mg/kg dose was studied in previously treated or untreated subjects in the </w:t>
      </w:r>
      <w:r w:rsidR="00F22D76">
        <w:t>Phase II</w:t>
      </w:r>
      <w:r w:rsidRPr="00307D0C">
        <w:t xml:space="preserve"> CA184004 trial, which included maximally 14 previously untreated patients administered </w:t>
      </w:r>
      <w:r w:rsidR="00F22D76">
        <w:t>ipilimumab</w:t>
      </w:r>
      <w:r w:rsidRPr="00307D0C">
        <w:t xml:space="preserve"> </w:t>
      </w:r>
      <w:r w:rsidR="00C108F1">
        <w:t>3 mg</w:t>
      </w:r>
      <w:r w:rsidRPr="00307D0C">
        <w:t>/kg monotherapy and included maintenance phase. Whilst this statement is relevant for the current application, the numbers generating this data is small and it is unclear how many of the 14 patien</w:t>
      </w:r>
      <w:r w:rsidR="00A71C22">
        <w:t>ts received maintenance therapy</w:t>
      </w:r>
    </w:p>
    <w:p w:rsidR="000E73B0" w:rsidRPr="00307D0C" w:rsidRDefault="000E73B0" w:rsidP="00307D0C">
      <w:pPr>
        <w:pStyle w:val="ListBullet"/>
      </w:pPr>
      <w:r w:rsidRPr="00307D0C">
        <w:lastRenderedPageBreak/>
        <w:t xml:space="preserve">The pharmacological data within the current application included small numbers of patients relevant to the proposed indication. There were only 14 previously untreated patients who administered </w:t>
      </w:r>
      <w:r w:rsidR="00F22D76">
        <w:t>ipilimumab</w:t>
      </w:r>
      <w:r w:rsidRPr="00307D0C">
        <w:t xml:space="preserve"> </w:t>
      </w:r>
      <w:r w:rsidR="00C108F1">
        <w:t>3 mg</w:t>
      </w:r>
      <w:r w:rsidRPr="00307D0C">
        <w:t>/kg monotherapy who were included within the analyses of reference. It is unclear how many of the 14 patients received ma</w:t>
      </w:r>
      <w:r w:rsidR="00A71C22">
        <w:t>intenance therapy</w:t>
      </w:r>
    </w:p>
    <w:p w:rsidR="000E73B0" w:rsidRPr="00307D0C" w:rsidRDefault="000E73B0" w:rsidP="00307D0C">
      <w:pPr>
        <w:pStyle w:val="ListBullet"/>
      </w:pPr>
      <w:r w:rsidRPr="00307D0C">
        <w:t xml:space="preserve">The third point can also be used as support for the use of </w:t>
      </w:r>
      <w:r w:rsidR="00F22D76">
        <w:t>ipilimumab</w:t>
      </w:r>
      <w:r w:rsidRPr="00307D0C">
        <w:t xml:space="preserve"> in the second line setting (for previously treated patients)</w:t>
      </w:r>
    </w:p>
    <w:p w:rsidR="000E73B0" w:rsidRPr="00307D0C" w:rsidRDefault="000E73B0" w:rsidP="00307D0C">
      <w:pPr>
        <w:pStyle w:val="ListBullet"/>
      </w:pPr>
      <w:r w:rsidRPr="00307D0C">
        <w:t>The ER-OS data referred to that was provided within the newly submitted PopPK analysis was based on previously untreated patients from CA184024 (</w:t>
      </w:r>
      <w:r w:rsidR="00C108F1">
        <w:t>10 mg</w:t>
      </w:r>
      <w:r w:rsidRPr="00307D0C">
        <w:t>/kg</w:t>
      </w:r>
      <w:r w:rsidR="000E3C6A">
        <w:t xml:space="preserve"> + </w:t>
      </w:r>
      <w:r w:rsidRPr="00307D0C">
        <w:t xml:space="preserve">DTIC), such that it was not informative for the covariate of previous treatment. If this statement is in reference to the previous ER-OS modelling performed for the previous evaluation, with reference to the data </w:t>
      </w:r>
      <w:r w:rsidR="000E3C6A">
        <w:t>provided</w:t>
      </w:r>
      <w:r w:rsidRPr="00307D0C">
        <w:t>, there were maximally 35 patients included that are relev</w:t>
      </w:r>
      <w:r w:rsidR="00A71C22">
        <w:t>ant to the current application</w:t>
      </w:r>
    </w:p>
    <w:p w:rsidR="000E73B0" w:rsidRPr="00307D0C" w:rsidRDefault="000E73B0" w:rsidP="00307D0C">
      <w:pPr>
        <w:pStyle w:val="ListBullet"/>
      </w:pPr>
      <w:r w:rsidRPr="00307D0C">
        <w:t xml:space="preserve">Pooled data from </w:t>
      </w:r>
      <w:r w:rsidR="00F22D76">
        <w:t>Phase II</w:t>
      </w:r>
      <w:r w:rsidRPr="00307D0C">
        <w:t xml:space="preserve"> studies, were again based on small numbers of patients relevant to the current application (n</w:t>
      </w:r>
      <w:r w:rsidR="00307D0C">
        <w:t xml:space="preserve"> </w:t>
      </w:r>
      <w:r w:rsidRPr="00307D0C">
        <w:t>=</w:t>
      </w:r>
      <w:r w:rsidR="00307D0C">
        <w:t xml:space="preserve"> </w:t>
      </w:r>
      <w:r w:rsidR="00A71C22">
        <w:t>35)</w:t>
      </w:r>
    </w:p>
    <w:p w:rsidR="000E73B0" w:rsidRDefault="000E73B0" w:rsidP="00307D0C">
      <w:pPr>
        <w:pStyle w:val="ListBullet"/>
      </w:pPr>
      <w:r w:rsidRPr="00307D0C">
        <w:t xml:space="preserve">The external validity of a study using a </w:t>
      </w:r>
      <w:r w:rsidR="00C108F1">
        <w:t>10 mg</w:t>
      </w:r>
      <w:r w:rsidRPr="00307D0C">
        <w:t>/kg posology, and its combination with DTIC, is limit</w:t>
      </w:r>
      <w:r w:rsidR="00A71C22">
        <w:t>ed for the current application.</w:t>
      </w:r>
    </w:p>
    <w:p w:rsidR="000E73B0" w:rsidRDefault="000E73B0" w:rsidP="000E73B0">
      <w:r>
        <w:t xml:space="preserve">Within the </w:t>
      </w:r>
      <w:r w:rsidR="00C108F1">
        <w:t>‘</w:t>
      </w:r>
      <w:r>
        <w:t>Clinical Overview</w:t>
      </w:r>
      <w:r w:rsidR="00C108F1">
        <w:t>’</w:t>
      </w:r>
      <w:r>
        <w:t xml:space="preserve">, the </w:t>
      </w:r>
      <w:r w:rsidR="005F5E22">
        <w:t>sponsor</w:t>
      </w:r>
      <w:r>
        <w:t xml:space="preserve"> writes;</w:t>
      </w:r>
    </w:p>
    <w:p w:rsidR="000E73B0" w:rsidRPr="000E3C6A" w:rsidRDefault="00C108F1" w:rsidP="00BF0776">
      <w:pPr>
        <w:ind w:left="720"/>
        <w:rPr>
          <w:i/>
        </w:rPr>
      </w:pPr>
      <w:r>
        <w:t>‘</w:t>
      </w:r>
      <w:r w:rsidR="000E73B0" w:rsidRPr="000E3C6A">
        <w:rPr>
          <w:i/>
        </w:rPr>
        <w:t xml:space="preserve">Extension of the current </w:t>
      </w:r>
      <w:r w:rsidR="00F22D76" w:rsidRPr="000E3C6A">
        <w:rPr>
          <w:i/>
        </w:rPr>
        <w:t>ipilimumab</w:t>
      </w:r>
      <w:r w:rsidR="000E73B0" w:rsidRPr="000E3C6A">
        <w:rPr>
          <w:i/>
        </w:rPr>
        <w:t xml:space="preserve"> indication to include patients with advanced melanoma, regardless of prior therapy, is warranted based on 2 random</w:t>
      </w:r>
      <w:r w:rsidR="00C91631">
        <w:rPr>
          <w:i/>
        </w:rPr>
        <w:t>is</w:t>
      </w:r>
      <w:r w:rsidR="000E73B0" w:rsidRPr="000E3C6A">
        <w:rPr>
          <w:i/>
        </w:rPr>
        <w:t xml:space="preserve">ed </w:t>
      </w:r>
      <w:r w:rsidR="00F22D76" w:rsidRPr="000E3C6A">
        <w:rPr>
          <w:i/>
        </w:rPr>
        <w:t>Phase III</w:t>
      </w:r>
      <w:r w:rsidR="000E73B0" w:rsidRPr="000E3C6A">
        <w:rPr>
          <w:i/>
        </w:rPr>
        <w:t xml:space="preserve"> trials of </w:t>
      </w:r>
      <w:r w:rsidR="00F22D76" w:rsidRPr="000E3C6A">
        <w:rPr>
          <w:i/>
        </w:rPr>
        <w:t>ipilimumab</w:t>
      </w:r>
      <w:r w:rsidR="000E73B0" w:rsidRPr="000E3C6A">
        <w:rPr>
          <w:i/>
        </w:rPr>
        <w:t xml:space="preserve"> in advanced melanoma demonstrating durable OS benefit. Of all the other therapies for previously untreated advanced melanoma, including vemurafenib, DTIC, and Fotemustine, only </w:t>
      </w:r>
      <w:r w:rsidR="00F22D76" w:rsidRPr="000E3C6A">
        <w:rPr>
          <w:i/>
        </w:rPr>
        <w:t>ipilimumab</w:t>
      </w:r>
      <w:r w:rsidR="000E73B0" w:rsidRPr="000E3C6A">
        <w:rPr>
          <w:i/>
        </w:rPr>
        <w:t xml:space="preserve"> has demonstrated a durable OS benefit through at least 2 years. In 2012, the two most widely used oncology guidelines, ESMO and NCCN, recommended </w:t>
      </w:r>
      <w:r w:rsidR="00F22D76" w:rsidRPr="000E3C6A">
        <w:rPr>
          <w:i/>
        </w:rPr>
        <w:t>ipilimumab</w:t>
      </w:r>
      <w:r w:rsidR="000E73B0" w:rsidRPr="000E3C6A">
        <w:rPr>
          <w:i/>
        </w:rPr>
        <w:t xml:space="preserve"> for advanced melanoma, regardless of line of therapy.</w:t>
      </w:r>
    </w:p>
    <w:p w:rsidR="000E73B0" w:rsidRPr="000E3C6A" w:rsidRDefault="000E73B0" w:rsidP="00BF0776">
      <w:pPr>
        <w:ind w:left="720"/>
        <w:rPr>
          <w:i/>
        </w:rPr>
      </w:pPr>
      <w:r w:rsidRPr="000E3C6A">
        <w:rPr>
          <w:i/>
        </w:rPr>
        <w:t xml:space="preserve">While </w:t>
      </w:r>
      <w:r w:rsidR="00F22D76" w:rsidRPr="000E3C6A">
        <w:rPr>
          <w:i/>
        </w:rPr>
        <w:t>ipilimumab</w:t>
      </w:r>
      <w:r w:rsidRPr="000E3C6A">
        <w:rPr>
          <w:i/>
        </w:rPr>
        <w:t xml:space="preserve"> provides a favourable benefit: risk for untreated patients with advanced melanoma both as a 3 mg/kg monotherapy regimen and at a dose of 10 mg/kg plus DTIC, BMS recommends a 3 mg/kg monotherapy based on the following considerations:</w:t>
      </w:r>
    </w:p>
    <w:p w:rsidR="000E73B0" w:rsidRPr="000E3C6A" w:rsidRDefault="000E73B0" w:rsidP="00BF0776">
      <w:pPr>
        <w:pStyle w:val="ListBullet"/>
        <w:ind w:left="1080"/>
        <w:rPr>
          <w:i/>
        </w:rPr>
      </w:pPr>
      <w:r w:rsidRPr="000E3C6A">
        <w:rPr>
          <w:i/>
        </w:rPr>
        <w:t xml:space="preserve">The efficacy, PK, and PD effects as well as the safety and tolerability of 3 mg/kg </w:t>
      </w:r>
      <w:r w:rsidR="00F22D76" w:rsidRPr="000E3C6A">
        <w:rPr>
          <w:i/>
        </w:rPr>
        <w:t>ipilimumab</w:t>
      </w:r>
      <w:r w:rsidRPr="000E3C6A">
        <w:rPr>
          <w:i/>
        </w:rPr>
        <w:t xml:space="preserve"> a</w:t>
      </w:r>
      <w:r w:rsidR="00A71C22">
        <w:rPr>
          <w:i/>
        </w:rPr>
        <w:t>re independent of prior therapy</w:t>
      </w:r>
    </w:p>
    <w:p w:rsidR="000E73B0" w:rsidRPr="000E3C6A" w:rsidRDefault="00307D0C" w:rsidP="00BF0776">
      <w:pPr>
        <w:pStyle w:val="ListBullet"/>
        <w:ind w:left="1080"/>
        <w:rPr>
          <w:i/>
        </w:rPr>
      </w:pPr>
      <w:r w:rsidRPr="000E3C6A">
        <w:rPr>
          <w:i/>
        </w:rPr>
        <w:t>T</w:t>
      </w:r>
      <w:r w:rsidR="000E73B0" w:rsidRPr="000E3C6A">
        <w:rPr>
          <w:i/>
        </w:rPr>
        <w:t xml:space="preserve">he safety and tolerability of 3 mg/kg </w:t>
      </w:r>
      <w:r w:rsidR="00F22D76" w:rsidRPr="000E3C6A">
        <w:rPr>
          <w:i/>
        </w:rPr>
        <w:t>ipilimumab</w:t>
      </w:r>
      <w:r w:rsidR="000E73B0" w:rsidRPr="000E3C6A">
        <w:rPr>
          <w:i/>
        </w:rPr>
        <w:t xml:space="preserve"> monotherapy appears to compare favourably to 10 mg/kg </w:t>
      </w:r>
      <w:r w:rsidR="00F22D76" w:rsidRPr="000E3C6A">
        <w:rPr>
          <w:i/>
        </w:rPr>
        <w:t>ipilimumab</w:t>
      </w:r>
      <w:r w:rsidR="000E73B0" w:rsidRPr="000E3C6A">
        <w:rPr>
          <w:i/>
        </w:rPr>
        <w:t xml:space="preserve"> </w:t>
      </w:r>
      <w:r w:rsidR="000E3C6A">
        <w:rPr>
          <w:i/>
        </w:rPr>
        <w:t>+</w:t>
      </w:r>
      <w:r w:rsidR="000E73B0" w:rsidRPr="000E3C6A">
        <w:rPr>
          <w:i/>
        </w:rPr>
        <w:t xml:space="preserve"> DTIC, allowing more subjects to receive, on average, the full 4 doses of initial treatment and avoid th</w:t>
      </w:r>
      <w:r w:rsidR="00A71C22">
        <w:rPr>
          <w:i/>
        </w:rPr>
        <w:t>e additional toxicity from DTIC</w:t>
      </w:r>
    </w:p>
    <w:p w:rsidR="000E73B0" w:rsidRPr="000E3C6A" w:rsidRDefault="00A71C22" w:rsidP="00BF0776">
      <w:pPr>
        <w:pStyle w:val="ListBullet"/>
        <w:ind w:left="1080"/>
        <w:rPr>
          <w:i/>
        </w:rPr>
      </w:pPr>
      <w:r>
        <w:rPr>
          <w:i/>
        </w:rPr>
        <w:t xml:space="preserve">New real </w:t>
      </w:r>
      <w:r w:rsidR="000E73B0" w:rsidRPr="000E3C6A">
        <w:rPr>
          <w:i/>
        </w:rPr>
        <w:t>world OS</w:t>
      </w:r>
      <w:r w:rsidR="000E3C6A">
        <w:rPr>
          <w:i/>
        </w:rPr>
        <w:t xml:space="preserve"> and safety data from treatment </w:t>
      </w:r>
      <w:r w:rsidR="000E73B0" w:rsidRPr="000E3C6A">
        <w:rPr>
          <w:i/>
        </w:rPr>
        <w:t>naive patients who received 3 mg/kg</w:t>
      </w:r>
    </w:p>
    <w:p w:rsidR="000E73B0" w:rsidRPr="000E3C6A" w:rsidRDefault="000E73B0" w:rsidP="00BF0776">
      <w:pPr>
        <w:pStyle w:val="ListBullet"/>
        <w:ind w:left="1080"/>
        <w:rPr>
          <w:i/>
        </w:rPr>
      </w:pPr>
      <w:r w:rsidRPr="000E3C6A">
        <w:rPr>
          <w:i/>
        </w:rPr>
        <w:t>Ipilimumab in the US as their first line of therapy provides confidence in this regimen for advanced melanoma.</w:t>
      </w:r>
    </w:p>
    <w:p w:rsidR="000E73B0" w:rsidRPr="000E3C6A" w:rsidRDefault="000E73B0" w:rsidP="00BF0776">
      <w:pPr>
        <w:pStyle w:val="ListBullet"/>
        <w:ind w:left="1080"/>
        <w:rPr>
          <w:i/>
        </w:rPr>
      </w:pPr>
      <w:r w:rsidRPr="000E3C6A">
        <w:rPr>
          <w:i/>
        </w:rPr>
        <w:t>3 mg/kg dose is already approved and widely used for previously treated melanoma.</w:t>
      </w:r>
    </w:p>
    <w:p w:rsidR="000E73B0" w:rsidRPr="000E3C6A" w:rsidRDefault="000E73B0" w:rsidP="00BF0776">
      <w:pPr>
        <w:ind w:left="720"/>
        <w:rPr>
          <w:i/>
        </w:rPr>
      </w:pPr>
      <w:r w:rsidRPr="000E3C6A">
        <w:rPr>
          <w:i/>
        </w:rPr>
        <w:t>Extension of 3 mg/kg monotherapy would standard</w:t>
      </w:r>
      <w:r w:rsidR="00C91631">
        <w:rPr>
          <w:i/>
        </w:rPr>
        <w:t>is</w:t>
      </w:r>
      <w:r w:rsidRPr="000E3C6A">
        <w:rPr>
          <w:i/>
        </w:rPr>
        <w:t xml:space="preserve">e the </w:t>
      </w:r>
      <w:r w:rsidR="00F22D76" w:rsidRPr="000E3C6A">
        <w:rPr>
          <w:i/>
        </w:rPr>
        <w:t>ipilimumab</w:t>
      </w:r>
      <w:r w:rsidRPr="000E3C6A">
        <w:rPr>
          <w:i/>
        </w:rPr>
        <w:t xml:space="preserve"> safety profile and treatment regimen for advanced melanoma.</w:t>
      </w:r>
      <w:r w:rsidR="00C108F1" w:rsidRPr="000E3C6A">
        <w:rPr>
          <w:i/>
        </w:rPr>
        <w:t>’</w:t>
      </w:r>
    </w:p>
    <w:p w:rsidR="000E73B0" w:rsidRPr="00307D0C" w:rsidRDefault="000E73B0" w:rsidP="00307D0C">
      <w:r w:rsidRPr="00307D0C">
        <w:t xml:space="preserve">Regarding these points listed by the </w:t>
      </w:r>
      <w:r w:rsidR="005F5E22">
        <w:t>sponsor</w:t>
      </w:r>
      <w:r w:rsidRPr="00307D0C">
        <w:t>;</w:t>
      </w:r>
    </w:p>
    <w:p w:rsidR="000E73B0" w:rsidRPr="00307D0C" w:rsidRDefault="000E73B0" w:rsidP="00307D0C">
      <w:pPr>
        <w:pStyle w:val="ListBullet"/>
      </w:pPr>
      <w:r w:rsidRPr="00307D0C">
        <w:t>Randomised evidence in support of the standardisation of therapy has not been provid</w:t>
      </w:r>
      <w:r w:rsidR="00A71C22">
        <w:t>ed with the current application</w:t>
      </w:r>
    </w:p>
    <w:p w:rsidR="000E73B0" w:rsidRPr="00307D0C" w:rsidRDefault="000E73B0" w:rsidP="00307D0C">
      <w:pPr>
        <w:pStyle w:val="ListBullet"/>
      </w:pPr>
      <w:r w:rsidRPr="00307D0C">
        <w:t xml:space="preserve">Ipilimumab is the only therapy currently for patients with advanced melanoma that provides a durable overall survival. However, the MDX010-20 study trial design included </w:t>
      </w:r>
      <w:r w:rsidRPr="00307D0C">
        <w:lastRenderedPageBreak/>
        <w:t>co</w:t>
      </w:r>
      <w:r w:rsidR="000E3C6A">
        <w:t>-</w:t>
      </w:r>
      <w:r w:rsidRPr="00307D0C">
        <w:t>administration with gp100 and maintenance therapy and the subgroup analyses have not been prospectively validated. No randomised data has been present</w:t>
      </w:r>
      <w:r w:rsidR="00A71C22">
        <w:t>ed in support of this statement</w:t>
      </w:r>
    </w:p>
    <w:p w:rsidR="000E73B0" w:rsidRPr="00307D0C" w:rsidRDefault="000E73B0" w:rsidP="00307D0C">
      <w:pPr>
        <w:pStyle w:val="ListBullet"/>
      </w:pPr>
      <w:r w:rsidRPr="00307D0C">
        <w:t xml:space="preserve">Given that the benefits of </w:t>
      </w:r>
      <w:r w:rsidR="00F22D76">
        <w:t>ipilimumab</w:t>
      </w:r>
      <w:r w:rsidRPr="00307D0C">
        <w:t xml:space="preserve"> </w:t>
      </w:r>
      <w:r w:rsidR="00C108F1">
        <w:t>3 mg</w:t>
      </w:r>
      <w:r w:rsidRPr="00307D0C">
        <w:t>/kg are independent of prior therapy, this can also be interpreted as support for its use (efficacy) in the second line setting</w:t>
      </w:r>
    </w:p>
    <w:p w:rsidR="000E73B0" w:rsidRPr="00307D0C" w:rsidRDefault="000E73B0" w:rsidP="00307D0C">
      <w:pPr>
        <w:pStyle w:val="ListBullet"/>
      </w:pPr>
      <w:r w:rsidRPr="00307D0C">
        <w:t xml:space="preserve">Direct head-to-head comparison of the benefits of </w:t>
      </w:r>
      <w:r w:rsidR="00C108F1">
        <w:t>3 mg</w:t>
      </w:r>
      <w:r w:rsidRPr="00307D0C">
        <w:t xml:space="preserve">/kg versus </w:t>
      </w:r>
      <w:r w:rsidR="00C108F1">
        <w:t>10 mg</w:t>
      </w:r>
      <w:r w:rsidRPr="00307D0C">
        <w:t xml:space="preserve">/kg </w:t>
      </w:r>
      <w:r w:rsidR="00F22D76">
        <w:t>ipilimumab</w:t>
      </w:r>
      <w:r w:rsidRPr="00307D0C">
        <w:t xml:space="preserve"> has not been performed. Cross study comparisons of heterogeneous studies are a poor statistical method of comparing efficacy and have limited external valid</w:t>
      </w:r>
      <w:r w:rsidR="00325B80">
        <w:t>ity for the current application</w:t>
      </w:r>
    </w:p>
    <w:p w:rsidR="000E73B0" w:rsidRDefault="000E73B0" w:rsidP="00307D0C">
      <w:pPr>
        <w:pStyle w:val="ListBullet"/>
      </w:pPr>
      <w:r w:rsidRPr="00307D0C">
        <w:t xml:space="preserve">Observational interim studies with </w:t>
      </w:r>
      <w:r w:rsidR="00C108F1">
        <w:t>‘</w:t>
      </w:r>
      <w:r w:rsidRPr="00307D0C">
        <w:t>real world data</w:t>
      </w:r>
      <w:r w:rsidR="00C108F1">
        <w:t>’</w:t>
      </w:r>
      <w:r w:rsidRPr="00307D0C">
        <w:t xml:space="preserve"> do not provide high quality level evidence according to conventional grading criteria given the uncontrolled data collection. One of these interim CSRs did not capture safety events. </w:t>
      </w:r>
      <w:r w:rsidRPr="00325B80">
        <w:t>However, data addressing the pre-submission mee</w:t>
      </w:r>
      <w:r w:rsidR="00325B80">
        <w:t>ting queries should be reviewed.</w:t>
      </w:r>
    </w:p>
    <w:p w:rsidR="000E73B0" w:rsidRPr="00307D0C" w:rsidRDefault="000E73B0" w:rsidP="00307D0C">
      <w:r w:rsidRPr="00307D0C">
        <w:t xml:space="preserve">Overall, the external validity of the data provided is </w:t>
      </w:r>
      <w:r w:rsidR="007948B7" w:rsidRPr="00307D0C">
        <w:t>limited;</w:t>
      </w:r>
      <w:r w:rsidRPr="00307D0C">
        <w:t xml:space="preserve"> the number of patients relevant to the current application is small, and in general, data does not directly address the proposed usage. There is a clear lack of randomised data.</w:t>
      </w:r>
    </w:p>
    <w:p w:rsidR="000E73B0" w:rsidRDefault="000E73B0" w:rsidP="00307D0C">
      <w:r w:rsidRPr="00307D0C">
        <w:t xml:space="preserve">To further demonstrate the limitations of cross study comparisons, within this current application the Summary of Clinical Safety refers to the CA184022 where the controlled comparison between the </w:t>
      </w:r>
      <w:r w:rsidR="00C108F1">
        <w:t>3 mg</w:t>
      </w:r>
      <w:r w:rsidRPr="00307D0C">
        <w:t xml:space="preserve">/kg and </w:t>
      </w:r>
      <w:r w:rsidR="00C108F1">
        <w:t>10 mg</w:t>
      </w:r>
      <w:r w:rsidRPr="00307D0C">
        <w:t>/kg dose has been made. Significantly, differences in BORR, OS and irAEs are observed between posology. This suggests that though numbers in cross study comparisons appear similar, when examined in a controlled setting, significant differences can be observe</w:t>
      </w:r>
      <w:r w:rsidR="00307D0C">
        <w:t>d between different treatments.</w:t>
      </w:r>
    </w:p>
    <w:p w:rsidR="000E73B0" w:rsidRPr="00046414" w:rsidRDefault="00C108F1" w:rsidP="00BF0776">
      <w:pPr>
        <w:ind w:left="720"/>
        <w:rPr>
          <w:i/>
        </w:rPr>
      </w:pPr>
      <w:r w:rsidRPr="00046414">
        <w:rPr>
          <w:i/>
        </w:rPr>
        <w:t>‘</w:t>
      </w:r>
      <w:r w:rsidR="000E73B0" w:rsidRPr="00046414">
        <w:rPr>
          <w:i/>
        </w:rPr>
        <w:t xml:space="preserve">Ipilimumab 10 mg/kg monotherapy was initially studied in </w:t>
      </w:r>
      <w:r w:rsidR="00F22D76" w:rsidRPr="00046414">
        <w:rPr>
          <w:i/>
        </w:rPr>
        <w:t>Phase II</w:t>
      </w:r>
      <w:r w:rsidR="000E73B0" w:rsidRPr="00046414">
        <w:rPr>
          <w:i/>
        </w:rPr>
        <w:t xml:space="preserve"> studies</w:t>
      </w:r>
      <w:r w:rsidR="00046414">
        <w:rPr>
          <w:i/>
        </w:rPr>
        <w:t xml:space="preserve">. In the dose </w:t>
      </w:r>
      <w:r w:rsidR="000E73B0" w:rsidRPr="00046414">
        <w:rPr>
          <w:i/>
        </w:rPr>
        <w:t xml:space="preserve">ranging </w:t>
      </w:r>
      <w:r w:rsidR="00284E81" w:rsidRPr="00046414">
        <w:rPr>
          <w:i/>
        </w:rPr>
        <w:t>Study</w:t>
      </w:r>
      <w:r w:rsidR="000E73B0" w:rsidRPr="00046414">
        <w:rPr>
          <w:i/>
        </w:rPr>
        <w:t xml:space="preserve"> CA184022, a statistically significant trend (p = 0.0015) for increased BORR with increased dose </w:t>
      </w:r>
      <w:r w:rsidR="00046414">
        <w:rPr>
          <w:i/>
        </w:rPr>
        <w:t xml:space="preserve">was observed, suggesting a dose </w:t>
      </w:r>
      <w:r w:rsidR="000E73B0" w:rsidRPr="00046414">
        <w:rPr>
          <w:i/>
        </w:rPr>
        <w:t xml:space="preserve">effect for </w:t>
      </w:r>
      <w:r w:rsidR="00F22D76" w:rsidRPr="00046414">
        <w:rPr>
          <w:i/>
        </w:rPr>
        <w:t>ipilimumab</w:t>
      </w:r>
      <w:r w:rsidR="000E73B0" w:rsidRPr="00046414">
        <w:rPr>
          <w:i/>
        </w:rPr>
        <w:t xml:space="preserve"> activity. A numerical</w:t>
      </w:r>
      <w:r w:rsidR="00046414">
        <w:rPr>
          <w:i/>
        </w:rPr>
        <w:t xml:space="preserve"> improvement in median OS and 1 </w:t>
      </w:r>
      <w:r w:rsidR="000E73B0" w:rsidRPr="00046414">
        <w:rPr>
          <w:i/>
        </w:rPr>
        <w:t xml:space="preserve">year survival rate at 10 mg/kg compared with 3 and 0.3 mg/kg was observed. In addition, a numerical increase in irAEs (any grade) with increasing </w:t>
      </w:r>
      <w:r w:rsidR="00F22D76" w:rsidRPr="00046414">
        <w:rPr>
          <w:i/>
        </w:rPr>
        <w:t>ipilimumab</w:t>
      </w:r>
      <w:r w:rsidR="000E73B0" w:rsidRPr="00046414">
        <w:rPr>
          <w:i/>
        </w:rPr>
        <w:t xml:space="preserve"> dose was observed; 0.3 mg/kg (26.4%), 3 mg/kg (64.8%), and 10 mg/kg (70.4%). The overall irAE profile was similar between the 3 and 10 mg/kg treatment groups exce</w:t>
      </w:r>
      <w:r w:rsidR="00046414">
        <w:rPr>
          <w:i/>
        </w:rPr>
        <w:t xml:space="preserve">pt for the incidence of Grade 3 to </w:t>
      </w:r>
      <w:r w:rsidR="000E73B0" w:rsidRPr="00046414">
        <w:rPr>
          <w:i/>
        </w:rPr>
        <w:t xml:space="preserve">4 irAEs, which was higher in the 10 mg/kg group than in the 3 mg/kg group (25.4% </w:t>
      </w:r>
      <w:r w:rsidR="00046414">
        <w:rPr>
          <w:i/>
        </w:rPr>
        <w:t>versus</w:t>
      </w:r>
      <w:r w:rsidR="000E73B0" w:rsidRPr="00046414">
        <w:rPr>
          <w:i/>
        </w:rPr>
        <w:t xml:space="preserve"> 7.0%).</w:t>
      </w:r>
      <w:r w:rsidRPr="00046414">
        <w:rPr>
          <w:i/>
        </w:rPr>
        <w:t>’</w:t>
      </w:r>
    </w:p>
    <w:p w:rsidR="000E73B0" w:rsidRPr="00307D0C" w:rsidRDefault="000E73B0" w:rsidP="00307D0C">
      <w:r w:rsidRPr="00307D0C">
        <w:t xml:space="preserve">Similarly, when CA184024 was compared with </w:t>
      </w:r>
      <w:r w:rsidR="00F22D76">
        <w:t>ipilimumab</w:t>
      </w:r>
      <w:r w:rsidRPr="00307D0C">
        <w:t xml:space="preserve"> 3 mg/kg monotherapy in previously treat</w:t>
      </w:r>
      <w:r w:rsidR="003D5E20">
        <w:t>ed melanoma patients (MDX010-20</w:t>
      </w:r>
      <w:r w:rsidRPr="00307D0C">
        <w:t>), differences between the frequency and type of AEs can be observed with the different posology and treatment combinations. Thus, though similarities between studies exist, significant anticipated differences also ca</w:t>
      </w:r>
      <w:r w:rsidR="00307D0C">
        <w:t>n also be observed within them.</w:t>
      </w:r>
    </w:p>
    <w:p w:rsidR="00712559" w:rsidRDefault="00C108F1" w:rsidP="00BF0776">
      <w:pPr>
        <w:ind w:left="425"/>
        <w:rPr>
          <w:i/>
        </w:rPr>
      </w:pPr>
      <w:r>
        <w:t>‘</w:t>
      </w:r>
      <w:r w:rsidR="000E73B0" w:rsidRPr="003D5E20">
        <w:rPr>
          <w:i/>
        </w:rPr>
        <w:t xml:space="preserve">In CA184024, </w:t>
      </w:r>
      <w:r w:rsidR="00F22D76" w:rsidRPr="003D5E20">
        <w:rPr>
          <w:i/>
        </w:rPr>
        <w:t>ipilimumab</w:t>
      </w:r>
      <w:r w:rsidR="000E73B0" w:rsidRPr="003D5E20">
        <w:rPr>
          <w:i/>
        </w:rPr>
        <w:t xml:space="preserve"> 10 mg/kg + DTIC demonstrated a clinically and statistically significant increase in OS relative to the global standard of care, DTIC, in previously untreated, advanced melanoma. In this trial, the safety of </w:t>
      </w:r>
      <w:r w:rsidR="00F22D76" w:rsidRPr="003D5E20">
        <w:rPr>
          <w:i/>
        </w:rPr>
        <w:t>ipilimumab</w:t>
      </w:r>
      <w:r w:rsidR="000E73B0" w:rsidRPr="003D5E20">
        <w:rPr>
          <w:i/>
        </w:rPr>
        <w:t xml:space="preserve"> + DTIC was comparable to that observed for </w:t>
      </w:r>
      <w:r w:rsidR="00F22D76" w:rsidRPr="003D5E20">
        <w:rPr>
          <w:i/>
        </w:rPr>
        <w:t>ipilimumab</w:t>
      </w:r>
      <w:r w:rsidR="000E73B0" w:rsidRPr="003D5E20">
        <w:rPr>
          <w:i/>
        </w:rPr>
        <w:t xml:space="preserve"> 3 mg/kg monotherapy in previously treated melanoma except for</w:t>
      </w:r>
    </w:p>
    <w:p w:rsidR="00325B80" w:rsidRPr="00325B80" w:rsidRDefault="000E73B0" w:rsidP="00BF0776">
      <w:pPr>
        <w:pStyle w:val="Numberbullet0"/>
        <w:numPr>
          <w:ilvl w:val="0"/>
          <w:numId w:val="23"/>
        </w:numPr>
        <w:ind w:left="850"/>
        <w:rPr>
          <w:i/>
        </w:rPr>
      </w:pPr>
      <w:r w:rsidRPr="00325B80">
        <w:rPr>
          <w:i/>
        </w:rPr>
        <w:t>the occurrence of common DTIC-associated toxicity (</w:t>
      </w:r>
      <w:r w:rsidR="00CF24F8" w:rsidRPr="00325B80">
        <w:rPr>
          <w:i/>
        </w:rPr>
        <w:t>for example</w:t>
      </w:r>
      <w:r w:rsidRPr="00325B80">
        <w:rPr>
          <w:i/>
        </w:rPr>
        <w:t>, nausea, vomiting and myelo</w:t>
      </w:r>
      <w:r w:rsidR="003D5E20" w:rsidRPr="00325B80">
        <w:rPr>
          <w:i/>
        </w:rPr>
        <w:t>-</w:t>
      </w:r>
      <w:r w:rsidR="00325B80">
        <w:rPr>
          <w:i/>
        </w:rPr>
        <w:t>suppression) and</w:t>
      </w:r>
    </w:p>
    <w:p w:rsidR="00325B80" w:rsidRPr="00325B80" w:rsidRDefault="000E73B0" w:rsidP="00BF0776">
      <w:pPr>
        <w:pStyle w:val="Numberbullet0"/>
        <w:numPr>
          <w:ilvl w:val="0"/>
          <w:numId w:val="23"/>
        </w:numPr>
        <w:ind w:left="850"/>
        <w:rPr>
          <w:i/>
        </w:rPr>
      </w:pPr>
      <w:proofErr w:type="gramStart"/>
      <w:r w:rsidRPr="00325B80">
        <w:rPr>
          <w:i/>
        </w:rPr>
        <w:t>a</w:t>
      </w:r>
      <w:proofErr w:type="gramEnd"/>
      <w:r w:rsidRPr="00325B80">
        <w:rPr>
          <w:i/>
        </w:rPr>
        <w:t xml:space="preserve"> higher incidence and severity of hepat</w:t>
      </w:r>
      <w:r w:rsidR="00325B80">
        <w:rPr>
          <w:i/>
        </w:rPr>
        <w:t>itis.</w:t>
      </w:r>
    </w:p>
    <w:p w:rsidR="000E73B0" w:rsidRPr="00307D0C" w:rsidRDefault="000E73B0" w:rsidP="00BF0776">
      <w:pPr>
        <w:ind w:left="425"/>
      </w:pPr>
      <w:r w:rsidRPr="003D5E20">
        <w:rPr>
          <w:i/>
        </w:rPr>
        <w:t xml:space="preserve">However, the higher incidence of hepatitis was likely due to the combination of DTIC with 10 mg/kg </w:t>
      </w:r>
      <w:r w:rsidR="00F22D76" w:rsidRPr="003D5E20">
        <w:rPr>
          <w:i/>
        </w:rPr>
        <w:t>ipilimumab</w:t>
      </w:r>
      <w:r w:rsidRPr="003D5E20">
        <w:rPr>
          <w:i/>
        </w:rPr>
        <w:t xml:space="preserve">, since it was higher than expected from DTIC alone or 10 mg/kg </w:t>
      </w:r>
      <w:r w:rsidR="00F22D76" w:rsidRPr="003D5E20">
        <w:rPr>
          <w:i/>
        </w:rPr>
        <w:t>ipilimumab</w:t>
      </w:r>
      <w:r w:rsidRPr="003D5E20">
        <w:rPr>
          <w:i/>
        </w:rPr>
        <w:t xml:space="preserve"> monotherapy. In CA184024, there were no treatment-related deaths or GI perforations in the </w:t>
      </w:r>
      <w:r w:rsidR="00F22D76" w:rsidRPr="003D5E20">
        <w:rPr>
          <w:i/>
        </w:rPr>
        <w:t>ipilimumab</w:t>
      </w:r>
      <w:r w:rsidRPr="003D5E20">
        <w:rPr>
          <w:i/>
        </w:rPr>
        <w:t xml:space="preserve"> + DTIC group.</w:t>
      </w:r>
      <w:r w:rsidR="00C108F1" w:rsidRPr="003D5E20">
        <w:rPr>
          <w:i/>
        </w:rPr>
        <w:t>’</w:t>
      </w:r>
    </w:p>
    <w:p w:rsidR="000E73B0" w:rsidRDefault="000E73B0" w:rsidP="000E73B0">
      <w:r>
        <w:lastRenderedPageBreak/>
        <w:t xml:space="preserve">These differences demonstrate the limitations of cross study comparisons. CA184022 illustrates that the efficacy and safety of different treatment schedules is likely to exist, thus studies utilising the </w:t>
      </w:r>
      <w:r w:rsidR="00C108F1">
        <w:t>10 mg</w:t>
      </w:r>
      <w:r>
        <w:t xml:space="preserve">/kg dosing supply limited support for the current application. CA184024 demonstrates that combination therapy confers anticipated increased toxicity compared to monotherapy, thus studies that do not utilise </w:t>
      </w:r>
      <w:r w:rsidR="00F22D76">
        <w:t>ipilimumab</w:t>
      </w:r>
      <w:r>
        <w:t xml:space="preserve"> monotherapy supply limited suppor</w:t>
      </w:r>
      <w:r w:rsidR="00307D0C">
        <w:t>t for the current application.</w:t>
      </w:r>
    </w:p>
    <w:p w:rsidR="000E73B0" w:rsidRDefault="000E73B0" w:rsidP="000E73B0">
      <w:r w:rsidRPr="00307D0C">
        <w:t xml:space="preserve">In the previous evaluation, the </w:t>
      </w:r>
      <w:r w:rsidR="005F5E22">
        <w:t>sponsor</w:t>
      </w:r>
      <w:r w:rsidRPr="00307D0C">
        <w:t xml:space="preserve"> did not perform an integrated (safety) analysis due to the heterogeneous nature of the studies and populations. The studies in reference overlap those presented in pooled analyses for the current submission. The following excerpt is taken from the previous</w:t>
      </w:r>
      <w:r w:rsidR="003D5E20">
        <w:t xml:space="preserve"> TGA clinical evaluation report</w:t>
      </w:r>
      <w:r w:rsidR="00307D0C">
        <w:t>;</w:t>
      </w:r>
    </w:p>
    <w:p w:rsidR="000E73B0" w:rsidRPr="003D5E20" w:rsidRDefault="00C108F1" w:rsidP="00BF0776">
      <w:pPr>
        <w:ind w:left="360"/>
        <w:rPr>
          <w:i/>
        </w:rPr>
      </w:pPr>
      <w:r w:rsidRPr="003D5E20">
        <w:rPr>
          <w:i/>
        </w:rPr>
        <w:t>‘</w:t>
      </w:r>
      <w:r w:rsidR="000E73B0" w:rsidRPr="003D5E20">
        <w:rPr>
          <w:i/>
        </w:rPr>
        <w:t>The safety evidence presented comprises</w:t>
      </w:r>
    </w:p>
    <w:p w:rsidR="000E73B0" w:rsidRPr="003D5E20" w:rsidRDefault="000E73B0" w:rsidP="00BF0776">
      <w:pPr>
        <w:pStyle w:val="ListBullet"/>
        <w:ind w:left="720"/>
        <w:rPr>
          <w:i/>
        </w:rPr>
      </w:pPr>
      <w:r w:rsidRPr="003D5E20">
        <w:rPr>
          <w:i/>
        </w:rPr>
        <w:t xml:space="preserve">Routine safety data from the clinical </w:t>
      </w:r>
      <w:r w:rsidR="007F1683" w:rsidRPr="003D5E20">
        <w:rPr>
          <w:i/>
        </w:rPr>
        <w:t>Studies</w:t>
      </w:r>
      <w:r w:rsidRPr="003D5E20">
        <w:rPr>
          <w:i/>
        </w:rPr>
        <w:t xml:space="preserve"> MDXCTLA4-01, MDXCTLA4-02, MDX010-15, CA184004, CA184007, CA184008,</w:t>
      </w:r>
      <w:r w:rsidR="00325B80">
        <w:rPr>
          <w:i/>
        </w:rPr>
        <w:t xml:space="preserve"> CA184022, MDX010-20, MDX010-08</w:t>
      </w:r>
    </w:p>
    <w:p w:rsidR="00290C91" w:rsidRDefault="00290C91" w:rsidP="00BF0776">
      <w:pPr>
        <w:pStyle w:val="ListBullet"/>
        <w:ind w:left="720"/>
      </w:pPr>
      <w:r w:rsidRPr="00290C91">
        <w:rPr>
          <w:i/>
        </w:rPr>
        <w:t>Routine safety data from the ancillary studies</w:t>
      </w:r>
      <w:r>
        <w:t xml:space="preserve"> (CA184042, MDX010-19, MDX010-13, MDX010-05, MDXCTLA4-04, MDX010-03, MDX010-07, MDX010-17, MDX010-21, M</w:t>
      </w:r>
      <w:r w:rsidR="00F86A56">
        <w:t xml:space="preserve">DX010-12, MDX010-11, MDX010-23 and </w:t>
      </w:r>
      <w:r>
        <w:t>MDX010-24)</w:t>
      </w:r>
      <w:r w:rsidRPr="00C45FE6">
        <w:t xml:space="preserve">. In general, </w:t>
      </w:r>
      <w:r>
        <w:t xml:space="preserve">for studies in this group, the </w:t>
      </w:r>
      <w:r w:rsidR="00BB7B81">
        <w:t>sponsor</w:t>
      </w:r>
      <w:r w:rsidRPr="00C45FE6">
        <w:t xml:space="preserve"> states (</w:t>
      </w:r>
      <w:r>
        <w:t>Mod 2 section 2.7.4, page 22): ‘</w:t>
      </w:r>
      <w:r w:rsidRPr="005C4E15">
        <w:rPr>
          <w:i/>
        </w:rPr>
        <w:t>No analyses were performed on an integrated level for these studies as they represented various tumour types and Ipilimumab doses, schedules, and regimens, including in combination with other therapies.</w:t>
      </w:r>
      <w:r>
        <w:t>’</w:t>
      </w:r>
    </w:p>
    <w:p w:rsidR="000E73B0" w:rsidRDefault="000E73B0" w:rsidP="000E73B0">
      <w:r w:rsidRPr="00307D0C">
        <w:t>Thus, the bridging data presented nee</w:t>
      </w:r>
      <w:r w:rsidR="00307D0C">
        <w:t>ds to be regarded with caution.</w:t>
      </w:r>
    </w:p>
    <w:p w:rsidR="000E73B0" w:rsidRPr="00307D0C" w:rsidRDefault="000E73B0" w:rsidP="00307D0C">
      <w:r w:rsidRPr="00307D0C">
        <w:t xml:space="preserve">In conclusion, with respect to the dosage selection of the </w:t>
      </w:r>
      <w:r w:rsidR="005F5E22">
        <w:t>sponsor</w:t>
      </w:r>
      <w:r w:rsidRPr="00307D0C">
        <w:t>, on the basis of limited data provided relevant to the population of interest (</w:t>
      </w:r>
      <w:r w:rsidR="00F3471F">
        <w:t xml:space="preserve">n = </w:t>
      </w:r>
      <w:r w:rsidRPr="00307D0C">
        <w:t>15 to 35), limited external validity of the studies submitted, and the absence of randomised data, there is insufficient eviden</w:t>
      </w:r>
      <w:r w:rsidR="00307D0C">
        <w:t>ce to support this application.</w:t>
      </w:r>
    </w:p>
    <w:p w:rsidR="00C22678" w:rsidRDefault="00C22678" w:rsidP="00C22678">
      <w:pPr>
        <w:pStyle w:val="Heading2"/>
      </w:pPr>
      <w:bookmarkStart w:id="155" w:name="_Toc475616219"/>
      <w:r>
        <w:t>Clinical efficacy</w:t>
      </w:r>
      <w:bookmarkEnd w:id="155"/>
    </w:p>
    <w:p w:rsidR="00307D0C" w:rsidRPr="009730D1" w:rsidRDefault="009D301F" w:rsidP="009D301F">
      <w:pPr>
        <w:pStyle w:val="Heading3"/>
      </w:pPr>
      <w:bookmarkStart w:id="156" w:name="_Toc390676211"/>
      <w:bookmarkStart w:id="157" w:name="_Toc475616220"/>
      <w:r>
        <w:t>For</w:t>
      </w:r>
      <w:r w:rsidR="00307D0C" w:rsidRPr="009730D1">
        <w:t xml:space="preserve"> overall survival benefit</w:t>
      </w:r>
      <w:bookmarkEnd w:id="156"/>
      <w:bookmarkEnd w:id="157"/>
    </w:p>
    <w:p w:rsidR="00307D0C" w:rsidRPr="00307D0C" w:rsidRDefault="00307D0C" w:rsidP="009D301F">
      <w:pPr>
        <w:pStyle w:val="Heading4"/>
      </w:pPr>
      <w:bookmarkStart w:id="158" w:name="_Ref271037274"/>
      <w:bookmarkStart w:id="159" w:name="_Toc272414652"/>
      <w:bookmarkStart w:id="160" w:name="_Toc290846274"/>
      <w:bookmarkStart w:id="161" w:name="_Toc390676212"/>
      <w:r w:rsidRPr="00307D0C">
        <w:t>Pivotal efficacy studies</w:t>
      </w:r>
      <w:bookmarkEnd w:id="158"/>
      <w:bookmarkEnd w:id="159"/>
      <w:bookmarkEnd w:id="160"/>
      <w:bookmarkEnd w:id="161"/>
    </w:p>
    <w:p w:rsidR="00307D0C" w:rsidRDefault="00307D0C" w:rsidP="00307D0C">
      <w:r w:rsidRPr="00307D0C">
        <w:t>There are no pivotal studies submitted that provide efficacy data</w:t>
      </w:r>
      <w:r w:rsidR="00290C91">
        <w:t xml:space="preserve"> for the proposed indication (3 </w:t>
      </w:r>
      <w:r w:rsidRPr="00307D0C">
        <w:t>mg/kg monotherapy in the previously untreated population)</w:t>
      </w:r>
      <w:r>
        <w:t>.</w:t>
      </w:r>
    </w:p>
    <w:p w:rsidR="00307D0C" w:rsidRPr="00307D0C" w:rsidRDefault="00307D0C" w:rsidP="009D301F">
      <w:pPr>
        <w:pStyle w:val="Heading4"/>
      </w:pPr>
      <w:bookmarkStart w:id="162" w:name="_Ref271037188"/>
      <w:bookmarkStart w:id="163" w:name="_Ref271037210"/>
      <w:bookmarkStart w:id="164" w:name="_Toc272414655"/>
      <w:bookmarkStart w:id="165" w:name="_Toc290846277"/>
      <w:bookmarkStart w:id="166" w:name="_Toc390676213"/>
      <w:bookmarkStart w:id="167" w:name="_Toc241374311"/>
      <w:bookmarkStart w:id="168" w:name="_Ref243294291"/>
      <w:r w:rsidRPr="00307D0C">
        <w:t>Other efficacy studies</w:t>
      </w:r>
      <w:bookmarkEnd w:id="162"/>
      <w:bookmarkEnd w:id="163"/>
      <w:bookmarkEnd w:id="164"/>
      <w:bookmarkEnd w:id="165"/>
      <w:bookmarkEnd w:id="166"/>
    </w:p>
    <w:p w:rsidR="00307D0C" w:rsidRPr="00307D0C" w:rsidRDefault="00307D0C" w:rsidP="00307D0C">
      <w:r w:rsidRPr="00307D0C">
        <w:t xml:space="preserve">There were no studies included in the dossier that investigated the treatment schedule of the proposed usage in the appropriate population for the current application. The majority of efficacy data submitted by the </w:t>
      </w:r>
      <w:r w:rsidR="005F5E22">
        <w:t>sponsor</w:t>
      </w:r>
      <w:r w:rsidRPr="00307D0C">
        <w:t xml:space="preserve"> is deficient with limited external validity due to;</w:t>
      </w:r>
    </w:p>
    <w:p w:rsidR="00307D0C" w:rsidRPr="00307D0C" w:rsidRDefault="00307D0C" w:rsidP="00D367DE">
      <w:pPr>
        <w:pStyle w:val="ListBullet"/>
      </w:pPr>
      <w:r w:rsidRPr="00307D0C">
        <w:t xml:space="preserve">the use of the </w:t>
      </w:r>
      <w:r w:rsidR="00C108F1">
        <w:t>10 mg</w:t>
      </w:r>
      <w:r w:rsidRPr="00307D0C">
        <w:t>/kg dosing schedule</w:t>
      </w:r>
    </w:p>
    <w:p w:rsidR="00307D0C" w:rsidRPr="00307D0C" w:rsidRDefault="00307D0C" w:rsidP="00307D0C">
      <w:pPr>
        <w:pStyle w:val="ListBullet"/>
      </w:pPr>
      <w:r w:rsidRPr="00307D0C">
        <w:t xml:space="preserve">administration of </w:t>
      </w:r>
      <w:r w:rsidR="00F22D76">
        <w:t>ipilimumab</w:t>
      </w:r>
      <w:r w:rsidRPr="00307D0C">
        <w:t xml:space="preserve"> concurrently with other therapy</w:t>
      </w:r>
    </w:p>
    <w:p w:rsidR="00307D0C" w:rsidRPr="00307D0C" w:rsidRDefault="00307D0C" w:rsidP="00307D0C">
      <w:pPr>
        <w:pStyle w:val="ListBullet"/>
      </w:pPr>
      <w:r w:rsidRPr="00307D0C">
        <w:t>the use of a maintenance phase, and</w:t>
      </w:r>
    </w:p>
    <w:p w:rsidR="00307D0C" w:rsidRPr="00307D0C" w:rsidRDefault="00307D0C" w:rsidP="00307D0C">
      <w:pPr>
        <w:pStyle w:val="ListBullet"/>
      </w:pPr>
      <w:proofErr w:type="gramStart"/>
      <w:r w:rsidRPr="00307D0C">
        <w:t>the</w:t>
      </w:r>
      <w:proofErr w:type="gramEnd"/>
      <w:r w:rsidRPr="00307D0C">
        <w:t xml:space="preserve"> investigation of a population of patients not relevant to the proposed usage.</w:t>
      </w:r>
    </w:p>
    <w:p w:rsidR="00307D0C" w:rsidRPr="001B4C5E" w:rsidRDefault="00307D0C" w:rsidP="001B4C5E">
      <w:r w:rsidRPr="001B4C5E">
        <w:t xml:space="preserve">Other efficacy data submitted is based on subgroup analyses which are exploratory and require confirmation in a randomised controlled trial. In addition, all studies including the previously submitted </w:t>
      </w:r>
      <w:r w:rsidR="00284E81">
        <w:t>Study</w:t>
      </w:r>
      <w:r w:rsidRPr="001B4C5E">
        <w:t xml:space="preserve"> MDX010-20, for which the current approved indication is based, included a maintenance phase which limits the external validity of the efficacy data for the current </w:t>
      </w:r>
      <w:r w:rsidRPr="001B4C5E">
        <w:lastRenderedPageBreak/>
        <w:t xml:space="preserve">application. In addition, MDX010-20 trial design involved co-administration of </w:t>
      </w:r>
      <w:r w:rsidR="00F22D76">
        <w:t>ipilimumab</w:t>
      </w:r>
      <w:r w:rsidRPr="001B4C5E">
        <w:t xml:space="preserve"> with gp100.</w:t>
      </w:r>
    </w:p>
    <w:p w:rsidR="00307D0C" w:rsidRPr="001B4C5E" w:rsidRDefault="00307D0C" w:rsidP="001B4C5E">
      <w:r w:rsidRPr="001B4C5E">
        <w:t xml:space="preserve">The main study contributing efficacy data is one single Phase III </w:t>
      </w:r>
      <w:r w:rsidR="00284E81">
        <w:t>Study</w:t>
      </w:r>
      <w:r w:rsidRPr="001B4C5E">
        <w:t xml:space="preserve">, CA184024, which uses </w:t>
      </w:r>
      <w:r w:rsidR="00F22D76">
        <w:t>ipilimumab</w:t>
      </w:r>
      <w:r w:rsidRPr="001B4C5E">
        <w:t xml:space="preserve"> </w:t>
      </w:r>
      <w:r w:rsidR="00C108F1">
        <w:t>10 mg</w:t>
      </w:r>
      <w:r w:rsidRPr="001B4C5E">
        <w:t>/kg administered concurrently with DTIC, and includes a maintenance phase. According to the statistical principles of clinical trials, CA184024 has limited external validity. The next subsection provides more data addressing the current application from pooled analyses.</w:t>
      </w:r>
    </w:p>
    <w:p w:rsidR="00307D0C" w:rsidRPr="001B4C5E" w:rsidRDefault="00307D0C" w:rsidP="001B4C5E">
      <w:r w:rsidRPr="001B4C5E">
        <w:t>Othe</w:t>
      </w:r>
      <w:r w:rsidR="00290C91">
        <w:t>r studies reviewed within this s</w:t>
      </w:r>
      <w:r w:rsidRPr="001B4C5E">
        <w:t xml:space="preserve">ection that have been submitted in support of the current application include one Phase II study interim report for CA184042 which uses a </w:t>
      </w:r>
      <w:r w:rsidR="00C108F1">
        <w:t>10 mg</w:t>
      </w:r>
      <w:r w:rsidRPr="001B4C5E">
        <w:t xml:space="preserve">/kg dosing, a Phase I study with a secondary endpoint of efficacy (CA184078), two interim reports for observational </w:t>
      </w:r>
      <w:r w:rsidR="007F1683">
        <w:t>Studies</w:t>
      </w:r>
      <w:r w:rsidRPr="001B4C5E">
        <w:t xml:space="preserve"> (CA184332, CA184338), and a report for the extended access program (EAP) for which efficacy analyses were performed only on patients treated with the </w:t>
      </w:r>
      <w:r w:rsidR="00C108F1">
        <w:t>10 mg</w:t>
      </w:r>
      <w:r w:rsidRPr="001B4C5E">
        <w:t xml:space="preserve">/kg dosing (CA184045). Efficacy results were not reviewed for MDX010-16 as the study design was for the adjuvant setting and the median time to disease relapse results is immature since less than 50% of the subjects relapsed and the median value was not reached. In addition, this study was terminated early. These studies have been included due to their reference in the pre-submission meeting. These studies contribute limited supportive efficacy data due to the use of the </w:t>
      </w:r>
      <w:r w:rsidR="00C108F1">
        <w:t>10 mg</w:t>
      </w:r>
      <w:r w:rsidRPr="001B4C5E">
        <w:t>/kg dosing, concurrent administration with other drugs, phase I design, observational design, and an alternate primary endpoint to efficacy.</w:t>
      </w:r>
    </w:p>
    <w:p w:rsidR="00307D0C" w:rsidRPr="001B4C5E" w:rsidRDefault="00307D0C" w:rsidP="001B4C5E">
      <w:r w:rsidRPr="001B4C5E">
        <w:t>With reference to the current application, the OS obtained by patients treated by previous conventional systemic therapy for this setting should be noted. It also should be noted that there are some long term survivor</w:t>
      </w:r>
      <w:r w:rsidR="00BE4457">
        <w:t xml:space="preserve">s observed in the standard (non </w:t>
      </w:r>
      <w:r w:rsidR="00F22D76">
        <w:t>ipilimumab</w:t>
      </w:r>
      <w:r w:rsidRPr="001B4C5E">
        <w:t xml:space="preserve">) treatment arms. Trials in previously untreated advanced melanoma patients demonstrate a median OS of approximately 9 </w:t>
      </w:r>
      <w:r w:rsidR="00BE4457">
        <w:t xml:space="preserve">months and estimated 1 </w:t>
      </w:r>
      <w:r w:rsidRPr="001B4C5E">
        <w:t>year OS rate of approximately 36% as historical benchmark for DTIC monotherapy. Fotemustine, the only other chemotherapy used as standard treatment, has a median O</w:t>
      </w:r>
      <w:r w:rsidR="00BE4457">
        <w:t xml:space="preserve">S of 7.2 months and estimated 1 </w:t>
      </w:r>
      <w:r w:rsidRPr="001B4C5E">
        <w:t>year OS rate of approximately 30%.</w:t>
      </w:r>
      <w:r w:rsidRPr="00307D0C">
        <w:t xml:space="preserve"> </w:t>
      </w:r>
      <w:proofErr w:type="gramStart"/>
      <w:r w:rsidRPr="00F86A56">
        <w:t>(Avril et. al 2004; Chapman et. al 1999; Middleton et al 2000, Patel et al, 2011</w:t>
      </w:r>
      <w:r w:rsidR="00BE4457" w:rsidRPr="00F86A56">
        <w:t>)</w:t>
      </w:r>
      <w:r w:rsidRPr="00F86A56">
        <w:t>.</w:t>
      </w:r>
      <w:proofErr w:type="gramEnd"/>
    </w:p>
    <w:p w:rsidR="00307D0C" w:rsidRPr="00307D0C" w:rsidRDefault="00307D0C" w:rsidP="009730D1">
      <w:pPr>
        <w:pStyle w:val="Heading4"/>
      </w:pPr>
      <w:bookmarkStart w:id="169" w:name="_Toc390676214"/>
      <w:bookmarkEnd w:id="167"/>
      <w:bookmarkEnd w:id="168"/>
      <w:r w:rsidRPr="00307D0C">
        <w:t>Study CA184024</w:t>
      </w:r>
      <w:bookmarkEnd w:id="169"/>
    </w:p>
    <w:p w:rsidR="00307D0C" w:rsidRPr="00307D0C" w:rsidRDefault="00307D0C" w:rsidP="00951A97">
      <w:pPr>
        <w:pStyle w:val="Heading5"/>
      </w:pPr>
      <w:r w:rsidRPr="00307D0C">
        <w:t>Study design, objectives, locations and dates</w:t>
      </w:r>
    </w:p>
    <w:p w:rsidR="00307D0C" w:rsidRPr="00307D0C" w:rsidRDefault="00307D0C" w:rsidP="00307D0C">
      <w:r w:rsidRPr="00307D0C">
        <w:t xml:space="preserve">Study CA184024 was a </w:t>
      </w:r>
      <w:r w:rsidR="00F22D76">
        <w:t>Phase III</w:t>
      </w:r>
      <w:r w:rsidRPr="00307D0C">
        <w:t xml:space="preserve">, </w:t>
      </w:r>
      <w:r w:rsidR="002F3D67" w:rsidRPr="00307D0C">
        <w:t>mult</w:t>
      </w:r>
      <w:r w:rsidR="00BF0776">
        <w:t xml:space="preserve">i </w:t>
      </w:r>
      <w:r w:rsidR="002F3D67" w:rsidRPr="00307D0C">
        <w:t>centre</w:t>
      </w:r>
      <w:r w:rsidRPr="00307D0C">
        <w:t>, random</w:t>
      </w:r>
      <w:r w:rsidR="00C91631">
        <w:t>is</w:t>
      </w:r>
      <w:r w:rsidR="002F3D67">
        <w:t xml:space="preserve">ed, double </w:t>
      </w:r>
      <w:r w:rsidRPr="00307D0C">
        <w:t xml:space="preserve">blind, 2 arm </w:t>
      </w:r>
      <w:proofErr w:type="gramStart"/>
      <w:r w:rsidRPr="00307D0C">
        <w:t>study</w:t>
      </w:r>
      <w:proofErr w:type="gramEnd"/>
      <w:r w:rsidRPr="00307D0C">
        <w:t xml:space="preserve"> in patients with previously untreated Stage IIIc, N3 (</w:t>
      </w:r>
      <w:r w:rsidR="009730D1">
        <w:t>un-resectable</w:t>
      </w:r>
      <w:r w:rsidRPr="00307D0C">
        <w:t xml:space="preserve">) or Stage IV melanoma receiving DTIC plus 10 mg/kg </w:t>
      </w:r>
      <w:r w:rsidR="00F22D76">
        <w:t>ipilimumab</w:t>
      </w:r>
      <w:r w:rsidRPr="00307D0C">
        <w:t xml:space="preserve"> versus DTIC with placebo.</w:t>
      </w:r>
    </w:p>
    <w:p w:rsidR="00307D0C" w:rsidRPr="00BE4457" w:rsidRDefault="00BE4457" w:rsidP="00951A97">
      <w:pPr>
        <w:pStyle w:val="Heading6"/>
      </w:pPr>
      <w:r>
        <w:t xml:space="preserve">Primary </w:t>
      </w:r>
      <w:r w:rsidR="00D367DE">
        <w:t>o</w:t>
      </w:r>
      <w:r>
        <w:t>bjective</w:t>
      </w:r>
    </w:p>
    <w:p w:rsidR="00307D0C" w:rsidRPr="00307D0C" w:rsidRDefault="00307D0C" w:rsidP="00307D0C">
      <w:r w:rsidRPr="00307D0C">
        <w:t>The primary objective of this study was to compare overall survival (OS).</w:t>
      </w:r>
    </w:p>
    <w:p w:rsidR="00307D0C" w:rsidRPr="00BE4457" w:rsidRDefault="00BE4457" w:rsidP="00951A97">
      <w:pPr>
        <w:pStyle w:val="Heading6"/>
      </w:pPr>
      <w:r>
        <w:t>Secondary Objectives</w:t>
      </w:r>
    </w:p>
    <w:p w:rsidR="00307D0C" w:rsidRPr="00307D0C" w:rsidRDefault="00BE4457" w:rsidP="00307D0C">
      <w:pPr>
        <w:pStyle w:val="ListBullet"/>
      </w:pPr>
      <w:r>
        <w:t xml:space="preserve">To compare progression </w:t>
      </w:r>
      <w:r w:rsidR="00307D0C" w:rsidRPr="00307D0C">
        <w:t xml:space="preserve">free </w:t>
      </w:r>
      <w:r w:rsidR="002F3D67">
        <w:t>survival (PFS) between two arms</w:t>
      </w:r>
    </w:p>
    <w:p w:rsidR="00307D0C" w:rsidRPr="00307D0C" w:rsidRDefault="00307D0C" w:rsidP="00307D0C">
      <w:pPr>
        <w:pStyle w:val="ListBullet"/>
      </w:pPr>
      <w:r w:rsidRPr="00307D0C">
        <w:t xml:space="preserve">To compare disease control rate (proportion with best overall response of complete response </w:t>
      </w:r>
      <w:r w:rsidR="00BE4457">
        <w:t>(</w:t>
      </w:r>
      <w:r w:rsidRPr="00307D0C">
        <w:t>CR</w:t>
      </w:r>
      <w:r w:rsidR="00BE4457">
        <w:t>)</w:t>
      </w:r>
      <w:r w:rsidRPr="00307D0C">
        <w:t xml:space="preserve"> or partial response </w:t>
      </w:r>
      <w:r w:rsidR="00BE4457">
        <w:t>(</w:t>
      </w:r>
      <w:r w:rsidRPr="00307D0C">
        <w:t>PR</w:t>
      </w:r>
      <w:r w:rsidR="00BE4457">
        <w:t>)</w:t>
      </w:r>
      <w:r w:rsidRPr="00307D0C">
        <w:t xml:space="preserve"> or stable d</w:t>
      </w:r>
      <w:r w:rsidR="002F3D67">
        <w:t>isease (SD)) between two arms</w:t>
      </w:r>
    </w:p>
    <w:p w:rsidR="00307D0C" w:rsidRPr="00307D0C" w:rsidRDefault="00307D0C" w:rsidP="00307D0C">
      <w:pPr>
        <w:pStyle w:val="ListBullet"/>
      </w:pPr>
      <w:r w:rsidRPr="00307D0C">
        <w:t>To compare best overall respon</w:t>
      </w:r>
      <w:r w:rsidR="00BE4457">
        <w:t>se rate (BO</w:t>
      </w:r>
      <w:r w:rsidR="002F3D67">
        <w:t>RR) between two arms</w:t>
      </w:r>
    </w:p>
    <w:p w:rsidR="00307D0C" w:rsidRPr="00307D0C" w:rsidRDefault="00307D0C" w:rsidP="00307D0C">
      <w:pPr>
        <w:pStyle w:val="ListBullet"/>
      </w:pPr>
      <w:r w:rsidRPr="00307D0C">
        <w:t>To estimate survival rates at 1 year, 18 months and</w:t>
      </w:r>
      <w:r w:rsidR="002F3D67">
        <w:t xml:space="preserve"> 2 years for each treatment arm</w:t>
      </w:r>
    </w:p>
    <w:p w:rsidR="00307D0C" w:rsidRPr="00307D0C" w:rsidRDefault="00307D0C" w:rsidP="00307D0C">
      <w:pPr>
        <w:pStyle w:val="ListBullet"/>
      </w:pPr>
      <w:r w:rsidRPr="00307D0C">
        <w:t xml:space="preserve">To estimate duration of </w:t>
      </w:r>
      <w:r w:rsidR="002F3D67">
        <w:t>response for each treatment arm</w:t>
      </w:r>
    </w:p>
    <w:p w:rsidR="00307D0C" w:rsidRPr="00307D0C" w:rsidRDefault="00307D0C" w:rsidP="00307D0C">
      <w:pPr>
        <w:pStyle w:val="ListBullet"/>
      </w:pPr>
      <w:r w:rsidRPr="00307D0C">
        <w:t>To estimate time to r</w:t>
      </w:r>
      <w:r w:rsidR="002F3D67">
        <w:t>esponse for each treatment arm</w:t>
      </w:r>
    </w:p>
    <w:p w:rsidR="00307D0C" w:rsidRPr="00307D0C" w:rsidRDefault="00307D0C" w:rsidP="00307D0C">
      <w:pPr>
        <w:pStyle w:val="ListBullet"/>
      </w:pPr>
      <w:r w:rsidRPr="00307D0C">
        <w:t>To evaluate the safety</w:t>
      </w:r>
      <w:r w:rsidR="00BE4457">
        <w:t xml:space="preserve"> profile for each </w:t>
      </w:r>
      <w:r w:rsidR="002F3D67">
        <w:t>treatment arm</w:t>
      </w:r>
    </w:p>
    <w:p w:rsidR="00307D0C" w:rsidRPr="00307D0C" w:rsidRDefault="00307D0C" w:rsidP="00307D0C">
      <w:pPr>
        <w:pStyle w:val="ListBullet"/>
      </w:pPr>
      <w:r w:rsidRPr="00307D0C">
        <w:t>To evaluate health-related quality of life</w:t>
      </w:r>
      <w:r w:rsidR="002F3D67">
        <w:t xml:space="preserve"> (HRQoL) for each treatment arm</w:t>
      </w:r>
    </w:p>
    <w:p w:rsidR="00307D0C" w:rsidRPr="00307D0C" w:rsidRDefault="00307D0C" w:rsidP="00307D0C">
      <w:pPr>
        <w:pStyle w:val="ListBullet"/>
      </w:pPr>
      <w:r w:rsidRPr="00307D0C">
        <w:lastRenderedPageBreak/>
        <w:t>To obtain serum samples for p</w:t>
      </w:r>
      <w:r w:rsidR="002F3D67">
        <w:t>opulation pharmacokinetics (PK).</w:t>
      </w:r>
    </w:p>
    <w:p w:rsidR="00307D0C" w:rsidRPr="00307D0C" w:rsidRDefault="00307D0C" w:rsidP="00307D0C">
      <w:r w:rsidRPr="00307D0C">
        <w:t>Following database lock for the main analysis, the study was amended and continued in an Extension Phase, the objectives of which were:</w:t>
      </w:r>
    </w:p>
    <w:p w:rsidR="00307D0C" w:rsidRPr="00307D0C" w:rsidRDefault="00307D0C" w:rsidP="00307D0C">
      <w:pPr>
        <w:pStyle w:val="ListBullet"/>
      </w:pPr>
      <w:r>
        <w:t>T</w:t>
      </w:r>
      <w:r w:rsidRPr="00307D0C">
        <w:t xml:space="preserve">o estimate survival rates at 3, 4, and 5 years for </w:t>
      </w:r>
      <w:r w:rsidR="00F22D76">
        <w:t>ipilimumab</w:t>
      </w:r>
    </w:p>
    <w:p w:rsidR="00307D0C" w:rsidRDefault="00307D0C" w:rsidP="00307D0C">
      <w:pPr>
        <w:pStyle w:val="ListBullet"/>
      </w:pPr>
      <w:r w:rsidRPr="00307D0C">
        <w:t xml:space="preserve">To evaluate the safety profile of </w:t>
      </w:r>
      <w:r w:rsidR="00F22D76">
        <w:t>ipilimumab</w:t>
      </w:r>
      <w:r w:rsidRPr="00307D0C">
        <w:t xml:space="preserve"> for subjects in the Extension Phase</w:t>
      </w:r>
      <w:r w:rsidR="00BE4457">
        <w:t>.</w:t>
      </w:r>
    </w:p>
    <w:p w:rsidR="00307D0C" w:rsidRDefault="00307D0C" w:rsidP="00307D0C">
      <w:r w:rsidRPr="00307D0C">
        <w:t>The firs</w:t>
      </w:r>
      <w:r w:rsidR="00BE4457">
        <w:t xml:space="preserve">t subject visit was on 08 August </w:t>
      </w:r>
      <w:r w:rsidRPr="00307D0C">
        <w:t xml:space="preserve">2006, and the last subject visit </w:t>
      </w:r>
      <w:r w:rsidR="00BE4457">
        <w:t xml:space="preserve">for the primary endpoint was 07 </w:t>
      </w:r>
      <w:r w:rsidRPr="00307D0C">
        <w:t>Feb</w:t>
      </w:r>
      <w:r w:rsidR="00BE4457">
        <w:t xml:space="preserve">ruary </w:t>
      </w:r>
      <w:r w:rsidRPr="00307D0C">
        <w:t>2011. A total of 502 subjects were random</w:t>
      </w:r>
      <w:r w:rsidR="00C91631">
        <w:t>is</w:t>
      </w:r>
      <w:r w:rsidRPr="00307D0C">
        <w:t>ed at 111 sites in Africa, Australia, Europe, North America, and South America. Randomised patients were predominantly from Europe (351</w:t>
      </w:r>
      <w:r w:rsidR="005853BB">
        <w:t xml:space="preserve"> out of </w:t>
      </w:r>
      <w:r w:rsidRPr="00307D0C">
        <w:t>502), whilst only 15 patients were from Australia; 5 in the investigational arm and 10 in</w:t>
      </w:r>
      <w:r>
        <w:t xml:space="preserve"> the standard (DTIC alone) arm.</w:t>
      </w:r>
    </w:p>
    <w:p w:rsidR="00307D0C" w:rsidRPr="00307D0C" w:rsidRDefault="00307D0C" w:rsidP="00951A97">
      <w:pPr>
        <w:pStyle w:val="Heading5"/>
      </w:pPr>
      <w:r w:rsidRPr="00307D0C">
        <w:t>Inclusion and exclusion criteria</w:t>
      </w:r>
    </w:p>
    <w:p w:rsidR="00307D0C" w:rsidRPr="00A413D2" w:rsidRDefault="00307D0C" w:rsidP="00951A97">
      <w:pPr>
        <w:pStyle w:val="Heading6"/>
      </w:pPr>
      <w:r w:rsidRPr="00A413D2">
        <w:t xml:space="preserve">Inclusion </w:t>
      </w:r>
      <w:r w:rsidR="00BF0776" w:rsidRPr="00A413D2">
        <w:t>c</w:t>
      </w:r>
      <w:r w:rsidRPr="00A413D2">
        <w:t>riteria</w:t>
      </w:r>
    </w:p>
    <w:p w:rsidR="00307D0C" w:rsidRPr="00307D0C" w:rsidRDefault="00307D0C" w:rsidP="00307D0C">
      <w:pPr>
        <w:pStyle w:val="ListBullet"/>
      </w:pPr>
      <w:r w:rsidRPr="00307D0C">
        <w:t xml:space="preserve">Histologic </w:t>
      </w:r>
      <w:r w:rsidR="002F3D67">
        <w:t>diagnosis of malignant melanoma</w:t>
      </w:r>
    </w:p>
    <w:p w:rsidR="00307D0C" w:rsidRPr="00307D0C" w:rsidRDefault="00307D0C" w:rsidP="00307D0C">
      <w:pPr>
        <w:pStyle w:val="ListBullet"/>
      </w:pPr>
      <w:r w:rsidRPr="00307D0C">
        <w:t>Untreated, measurable, and un</w:t>
      </w:r>
      <w:r w:rsidR="00EE74EF">
        <w:t>-</w:t>
      </w:r>
      <w:r w:rsidRPr="00307D0C">
        <w:t>resectable</w:t>
      </w:r>
      <w:r w:rsidR="002F3D67">
        <w:t xml:space="preserve"> Stage III or Stage IV melanoma</w:t>
      </w:r>
    </w:p>
    <w:p w:rsidR="00307D0C" w:rsidRPr="00307D0C" w:rsidRDefault="002F3D67" w:rsidP="00307D0C">
      <w:pPr>
        <w:pStyle w:val="ListBullet"/>
      </w:pPr>
      <w:r>
        <w:t>At least 18 years of age</w:t>
      </w:r>
    </w:p>
    <w:p w:rsidR="002F3D67" w:rsidRDefault="00307D0C" w:rsidP="00307D0C">
      <w:pPr>
        <w:pStyle w:val="ListBullet"/>
      </w:pPr>
      <w:r w:rsidRPr="00307D0C">
        <w:t xml:space="preserve">Women met 1 </w:t>
      </w:r>
      <w:r w:rsidR="002F3D67">
        <w:t>of the following criteria:</w:t>
      </w:r>
    </w:p>
    <w:p w:rsidR="002F3D67" w:rsidRDefault="00A413D2" w:rsidP="002F3D67">
      <w:pPr>
        <w:pStyle w:val="ListBullet2"/>
      </w:pPr>
      <w:proofErr w:type="gramStart"/>
      <w:r>
        <w:t>post-</w:t>
      </w:r>
      <w:r w:rsidR="00307D0C" w:rsidRPr="00307D0C">
        <w:t>menopausal</w:t>
      </w:r>
      <w:proofErr w:type="gramEnd"/>
      <w:r w:rsidR="00307D0C" w:rsidRPr="00307D0C">
        <w:t xml:space="preserve"> for at least 1 year; surgically incapable of bearing children; or util</w:t>
      </w:r>
      <w:r w:rsidR="00C91631">
        <w:t>is</w:t>
      </w:r>
      <w:r w:rsidR="00307D0C" w:rsidRPr="00307D0C">
        <w:t xml:space="preserve">ing a </w:t>
      </w:r>
      <w:r w:rsidR="002F3D67">
        <w:t>reliable form of contraception.</w:t>
      </w:r>
    </w:p>
    <w:p w:rsidR="00307D0C" w:rsidRPr="00307D0C" w:rsidRDefault="00307D0C" w:rsidP="002F3D67">
      <w:pPr>
        <w:pStyle w:val="ListBullet2"/>
      </w:pPr>
      <w:r w:rsidRPr="00307D0C">
        <w:t xml:space="preserve">Women of childbearing potential had a negative serum </w:t>
      </w:r>
      <w:r w:rsidR="00A413D2">
        <w:t>β</w:t>
      </w:r>
      <w:r w:rsidRPr="00307D0C">
        <w:t xml:space="preserve">-human chorionic gonadotropin (HCG) hormone pregnancy test conducted during screening and a negative urine </w:t>
      </w:r>
      <w:r w:rsidR="00A413D2">
        <w:t>β</w:t>
      </w:r>
      <w:r w:rsidRPr="00307D0C">
        <w:t>-HCG pregnancy test conducted pri</w:t>
      </w:r>
      <w:r w:rsidR="00A413D2">
        <w:t>or to study drug administration.</w:t>
      </w:r>
    </w:p>
    <w:p w:rsidR="00307D0C" w:rsidRPr="00307D0C" w:rsidRDefault="00307D0C" w:rsidP="00307D0C">
      <w:pPr>
        <w:pStyle w:val="ListBullet"/>
      </w:pPr>
      <w:r w:rsidRPr="00307D0C">
        <w:t>Men who could have fathered a child agreed to the use of male contraception for the duration of t</w:t>
      </w:r>
      <w:r w:rsidR="00A413D2">
        <w:t>heir participation in the trial.</w:t>
      </w:r>
    </w:p>
    <w:p w:rsidR="00307D0C" w:rsidRPr="00307D0C" w:rsidRDefault="00307D0C" w:rsidP="00307D0C">
      <w:pPr>
        <w:pStyle w:val="ListBullet"/>
      </w:pPr>
      <w:r w:rsidRPr="00307D0C">
        <w:t xml:space="preserve">Life expectancy </w:t>
      </w:r>
      <w:r w:rsidR="00A413D2">
        <w:t>≥</w:t>
      </w:r>
      <w:r w:rsidR="002F3D67">
        <w:t xml:space="preserve"> 16 weeks</w:t>
      </w:r>
    </w:p>
    <w:p w:rsidR="00307D0C" w:rsidRPr="00307D0C" w:rsidRDefault="00307D0C" w:rsidP="00307D0C">
      <w:pPr>
        <w:pStyle w:val="ListBullet"/>
      </w:pPr>
      <w:r w:rsidRPr="00307D0C">
        <w:t>EC</w:t>
      </w:r>
      <w:r w:rsidR="002F3D67">
        <w:t>OG performance status of 0 or 1</w:t>
      </w:r>
    </w:p>
    <w:p w:rsidR="00307D0C" w:rsidRPr="00307D0C" w:rsidRDefault="00307D0C" w:rsidP="00307D0C">
      <w:pPr>
        <w:pStyle w:val="ListBullet"/>
      </w:pPr>
      <w:r>
        <w:t>R</w:t>
      </w:r>
      <w:r w:rsidRPr="00307D0C">
        <w:t>equired values for initial laboratory tests:</w:t>
      </w:r>
    </w:p>
    <w:p w:rsidR="00307D0C" w:rsidRPr="00307D0C" w:rsidRDefault="00307D0C" w:rsidP="00307D0C">
      <w:pPr>
        <w:pStyle w:val="ListBullet2"/>
      </w:pPr>
      <w:r w:rsidRPr="00307D0C">
        <w:t xml:space="preserve">White blood cell (WBC) count </w:t>
      </w:r>
      <w:r w:rsidR="00A413D2">
        <w:t>≥</w:t>
      </w:r>
      <w:r w:rsidRPr="00307D0C">
        <w:t xml:space="preserve"> 2</w:t>
      </w:r>
      <w:r w:rsidR="002F3D67">
        <w:t>,</w:t>
      </w:r>
      <w:r w:rsidRPr="00307D0C">
        <w:t>500/</w:t>
      </w:r>
      <w:r w:rsidR="00EE74EF">
        <w:t>µ</w:t>
      </w:r>
      <w:r w:rsidRPr="00307D0C">
        <w:t>L</w:t>
      </w:r>
    </w:p>
    <w:p w:rsidR="00307D0C" w:rsidRPr="00307D0C" w:rsidRDefault="00307D0C" w:rsidP="00307D0C">
      <w:pPr>
        <w:pStyle w:val="ListBullet2"/>
      </w:pPr>
      <w:r w:rsidRPr="00307D0C">
        <w:t xml:space="preserve">Absolute neutrophil count (ANC) </w:t>
      </w:r>
      <w:r w:rsidR="00A413D2">
        <w:t>≥</w:t>
      </w:r>
      <w:r w:rsidRPr="00307D0C">
        <w:t xml:space="preserve"> 1</w:t>
      </w:r>
      <w:r w:rsidR="002F3D67">
        <w:t>,</w:t>
      </w:r>
      <w:r w:rsidRPr="00307D0C">
        <w:t>000/</w:t>
      </w:r>
      <w:r w:rsidR="00EE74EF">
        <w:t>µ</w:t>
      </w:r>
      <w:r w:rsidRPr="00307D0C">
        <w:t>L</w:t>
      </w:r>
    </w:p>
    <w:p w:rsidR="00307D0C" w:rsidRPr="00307D0C" w:rsidRDefault="00307D0C" w:rsidP="00307D0C">
      <w:pPr>
        <w:pStyle w:val="ListBullet2"/>
      </w:pPr>
      <w:r w:rsidRPr="00307D0C">
        <w:t xml:space="preserve">Platelet count </w:t>
      </w:r>
      <w:r w:rsidR="00A413D2">
        <w:t>≥</w:t>
      </w:r>
      <w:r w:rsidRPr="00307D0C">
        <w:t xml:space="preserve"> 75 </w:t>
      </w:r>
      <w:r w:rsidRPr="00CC3488">
        <w:t>x 10</w:t>
      </w:r>
      <w:r w:rsidRPr="00CC3488">
        <w:rPr>
          <w:vertAlign w:val="superscript"/>
        </w:rPr>
        <w:t>3</w:t>
      </w:r>
      <w:r w:rsidRPr="00307D0C">
        <w:t>/</w:t>
      </w:r>
      <w:r w:rsidR="00EE74EF">
        <w:t>µ</w:t>
      </w:r>
      <w:r w:rsidRPr="00307D0C">
        <w:t>L</w:t>
      </w:r>
    </w:p>
    <w:p w:rsidR="00307D0C" w:rsidRPr="00307D0C" w:rsidRDefault="00307D0C" w:rsidP="00307D0C">
      <w:pPr>
        <w:pStyle w:val="ListBullet2"/>
      </w:pPr>
      <w:r w:rsidRPr="00307D0C">
        <w:t xml:space="preserve">Haemoglobin (Hb) </w:t>
      </w:r>
      <w:r w:rsidR="00A413D2">
        <w:t>≥</w:t>
      </w:r>
      <w:r w:rsidRPr="00307D0C">
        <w:t xml:space="preserve"> 9 g/dL</w:t>
      </w:r>
    </w:p>
    <w:p w:rsidR="00307D0C" w:rsidRPr="00307D0C" w:rsidRDefault="00307D0C" w:rsidP="00307D0C">
      <w:pPr>
        <w:pStyle w:val="ListBullet2"/>
      </w:pPr>
      <w:r w:rsidRPr="00307D0C">
        <w:t xml:space="preserve">Creatinine </w:t>
      </w:r>
      <w:r w:rsidR="00A413D2">
        <w:t>≤</w:t>
      </w:r>
      <w:r w:rsidRPr="00307D0C">
        <w:t xml:space="preserve"> 2.5</w:t>
      </w:r>
      <w:r w:rsidR="00EE74EF">
        <w:t xml:space="preserve"> </w:t>
      </w:r>
      <w:r w:rsidRPr="00307D0C">
        <w:t xml:space="preserve">x </w:t>
      </w:r>
      <w:r w:rsidR="00BF0776">
        <w:t>ULN</w:t>
      </w:r>
    </w:p>
    <w:p w:rsidR="00307D0C" w:rsidRPr="00307D0C" w:rsidRDefault="00BF0776" w:rsidP="00307D0C">
      <w:pPr>
        <w:pStyle w:val="ListBullet2"/>
      </w:pPr>
      <w:r>
        <w:t>AST</w:t>
      </w:r>
      <w:r w:rsidR="00307D0C" w:rsidRPr="00307D0C">
        <w:t xml:space="preserve"> </w:t>
      </w:r>
      <w:r w:rsidR="00A413D2">
        <w:t>≤</w:t>
      </w:r>
      <w:r w:rsidR="00307D0C" w:rsidRPr="00307D0C">
        <w:t xml:space="preserve"> 3</w:t>
      </w:r>
      <w:r w:rsidR="00EE74EF">
        <w:t xml:space="preserve"> </w:t>
      </w:r>
      <w:r w:rsidR="00307D0C" w:rsidRPr="00307D0C">
        <w:t>x</w:t>
      </w:r>
      <w:r w:rsidR="00EE74EF">
        <w:t xml:space="preserve"> U</w:t>
      </w:r>
      <w:r w:rsidR="00307D0C" w:rsidRPr="00307D0C">
        <w:t xml:space="preserve">LN for subjects without liver metastases; </w:t>
      </w:r>
      <w:r w:rsidR="00A413D2">
        <w:t>≤</w:t>
      </w:r>
      <w:r w:rsidR="00307D0C" w:rsidRPr="00307D0C">
        <w:t xml:space="preserve"> 5</w:t>
      </w:r>
      <w:r w:rsidR="00EE74EF">
        <w:t xml:space="preserve"> </w:t>
      </w:r>
      <w:r w:rsidR="00307D0C" w:rsidRPr="00307D0C">
        <w:t>x</w:t>
      </w:r>
      <w:r w:rsidR="00EE74EF">
        <w:t xml:space="preserve"> </w:t>
      </w:r>
      <w:r w:rsidR="00307D0C" w:rsidRPr="00307D0C">
        <w:t>ULN with</w:t>
      </w:r>
      <w:r w:rsidR="00307D0C">
        <w:t xml:space="preserve"> </w:t>
      </w:r>
      <w:r w:rsidR="00307D0C" w:rsidRPr="00307D0C">
        <w:t>liver metastases</w:t>
      </w:r>
    </w:p>
    <w:p w:rsidR="00307D0C" w:rsidRPr="00307D0C" w:rsidRDefault="00307D0C" w:rsidP="00307D0C">
      <w:pPr>
        <w:pStyle w:val="ListBullet2"/>
      </w:pPr>
      <w:r w:rsidRPr="00307D0C">
        <w:t xml:space="preserve">Total Bilirubin </w:t>
      </w:r>
      <w:r w:rsidR="00A413D2">
        <w:t>≤</w:t>
      </w:r>
      <w:r w:rsidRPr="00307D0C">
        <w:t xml:space="preserve"> 3</w:t>
      </w:r>
      <w:r w:rsidR="00EE74EF">
        <w:t xml:space="preserve"> </w:t>
      </w:r>
      <w:r w:rsidRPr="00307D0C">
        <w:t>x</w:t>
      </w:r>
      <w:r w:rsidR="00EE74EF">
        <w:t xml:space="preserve"> </w:t>
      </w:r>
      <w:r w:rsidRPr="00307D0C">
        <w:t>ULN, except subjects with Gilbert’s Syndrome, who must have had a total</w:t>
      </w:r>
      <w:r>
        <w:t xml:space="preserve"> </w:t>
      </w:r>
      <w:r w:rsidRPr="00307D0C">
        <w:t>bilirubin &lt; 3.0 mg/dL</w:t>
      </w:r>
    </w:p>
    <w:p w:rsidR="00307D0C" w:rsidRDefault="00307D0C" w:rsidP="00307D0C">
      <w:pPr>
        <w:pStyle w:val="ListBullet"/>
      </w:pPr>
      <w:r w:rsidRPr="00307D0C">
        <w:t>Negative screening tests for human immunodeficiency virus (HIV), Hepatitis B, and Hepatitis C. If positive results were not indicative of true active or chronic infection, the subject could have been admitted after discussion with an agreement by the Contract Research Organ</w:t>
      </w:r>
      <w:r w:rsidR="00C91631">
        <w:t>is</w:t>
      </w:r>
      <w:r w:rsidRPr="00307D0C">
        <w:t>ation’s (CRO) Medical Monitor.</w:t>
      </w:r>
    </w:p>
    <w:p w:rsidR="00307D0C" w:rsidRPr="00EE74EF" w:rsidRDefault="00307D0C" w:rsidP="00951A97">
      <w:pPr>
        <w:pStyle w:val="Heading6"/>
      </w:pPr>
      <w:r w:rsidRPr="00EE74EF">
        <w:lastRenderedPageBreak/>
        <w:t xml:space="preserve">Exclusion </w:t>
      </w:r>
      <w:r w:rsidR="00DC0066">
        <w:t>c</w:t>
      </w:r>
      <w:r w:rsidRPr="00EE74EF">
        <w:t>riteria</w:t>
      </w:r>
    </w:p>
    <w:p w:rsidR="00307D0C" w:rsidRPr="001B4C5E" w:rsidRDefault="00307D0C" w:rsidP="001B4C5E">
      <w:pPr>
        <w:pStyle w:val="ListBullet"/>
      </w:pPr>
      <w:r w:rsidRPr="001B4C5E">
        <w:t>Any other prior malignancy from whi</w:t>
      </w:r>
      <w:r w:rsidR="00EE74EF">
        <w:t xml:space="preserve">ch the subject has been disease </w:t>
      </w:r>
      <w:r w:rsidRPr="001B4C5E">
        <w:t xml:space="preserve">free for less than 5 years, with the exception of adequately treated and cured basal or squamous cell skin cancer, superficial bladder cancer, or adequately treated </w:t>
      </w:r>
      <w:r w:rsidR="002F3D67">
        <w:t>carcinoma in situ of the cervix</w:t>
      </w:r>
    </w:p>
    <w:p w:rsidR="00307D0C" w:rsidRPr="001B4C5E" w:rsidRDefault="00307D0C" w:rsidP="001B4C5E">
      <w:pPr>
        <w:pStyle w:val="ListBullet"/>
      </w:pPr>
      <w:r w:rsidRPr="001B4C5E">
        <w:t>Pri</w:t>
      </w:r>
      <w:r w:rsidR="002F3D67">
        <w:t>mary ocular or mucosal melanoma</w:t>
      </w:r>
    </w:p>
    <w:p w:rsidR="00307D0C" w:rsidRPr="001B4C5E" w:rsidRDefault="00307D0C" w:rsidP="001B4C5E">
      <w:pPr>
        <w:pStyle w:val="ListBullet"/>
      </w:pPr>
      <w:r w:rsidRPr="001B4C5E">
        <w:t>Prior treatment with a CD137 agonist or CTLA-4</w:t>
      </w:r>
      <w:r w:rsidR="00EE74EF">
        <w:t xml:space="preserve"> inhib</w:t>
      </w:r>
      <w:r w:rsidR="002F3D67">
        <w:t>itor or agonist</w:t>
      </w:r>
    </w:p>
    <w:p w:rsidR="00307D0C" w:rsidRPr="001B4C5E" w:rsidRDefault="00F86A56" w:rsidP="001B4C5E">
      <w:pPr>
        <w:pStyle w:val="ListBullet"/>
      </w:pPr>
      <w:r>
        <w:t>Prior treatment with any non-</w:t>
      </w:r>
      <w:r w:rsidR="00307D0C" w:rsidRPr="001B4C5E">
        <w:t>oncology vaccine therapy used for prevention of infectious diseases (up to 4 weeks prio</w:t>
      </w:r>
      <w:r w:rsidR="002F3D67">
        <w:t>r to any dose of study therapy)</w:t>
      </w:r>
    </w:p>
    <w:p w:rsidR="00307D0C" w:rsidRPr="001B4C5E" w:rsidRDefault="002F3D67" w:rsidP="001B4C5E">
      <w:pPr>
        <w:pStyle w:val="ListBullet"/>
      </w:pPr>
      <w:r>
        <w:t>Evidence of brain metastases</w:t>
      </w:r>
    </w:p>
    <w:p w:rsidR="00307D0C" w:rsidRPr="001B4C5E" w:rsidRDefault="00307D0C" w:rsidP="001B4C5E">
      <w:pPr>
        <w:pStyle w:val="ListBullet"/>
      </w:pPr>
      <w:r w:rsidRPr="001B4C5E">
        <w:t>Previous treatment with other investigational products within the last</w:t>
      </w:r>
      <w:r w:rsidR="00EE74EF">
        <w:t xml:space="preserve"> 4 weeks prior to random</w:t>
      </w:r>
      <w:r w:rsidR="00C91631">
        <w:t>is</w:t>
      </w:r>
      <w:r w:rsidR="002F3D67">
        <w:t>ation</w:t>
      </w:r>
    </w:p>
    <w:p w:rsidR="00307D0C" w:rsidRPr="001B4C5E" w:rsidRDefault="00307D0C" w:rsidP="001B4C5E">
      <w:pPr>
        <w:pStyle w:val="ListBullet"/>
      </w:pPr>
      <w:r w:rsidRPr="001B4C5E">
        <w:t xml:space="preserve">Previous participation in another </w:t>
      </w:r>
      <w:r w:rsidR="00F22D76">
        <w:t>ipilimumab</w:t>
      </w:r>
      <w:r w:rsidR="002F3D67">
        <w:t xml:space="preserve"> clinical trial</w:t>
      </w:r>
    </w:p>
    <w:p w:rsidR="00307D0C" w:rsidRPr="001B4C5E" w:rsidRDefault="002F3D67" w:rsidP="001B4C5E">
      <w:pPr>
        <w:pStyle w:val="ListBullet"/>
      </w:pPr>
      <w:r>
        <w:t>Pregnant or nursing</w:t>
      </w:r>
    </w:p>
    <w:p w:rsidR="00307D0C" w:rsidRPr="001B4C5E" w:rsidRDefault="00307D0C" w:rsidP="001B4C5E">
      <w:pPr>
        <w:pStyle w:val="ListBullet"/>
      </w:pPr>
      <w:r w:rsidRPr="001B4C5E">
        <w:t>Any underlying medical or psychiatric condition, which in the opinion of the investigator, will make the administration of study drug hazardous or obscure the interpretation of AEs, such as a condition ass</w:t>
      </w:r>
      <w:r w:rsidR="002F3D67">
        <w:t>ociated with frequent diarrhoea</w:t>
      </w:r>
    </w:p>
    <w:p w:rsidR="00307D0C" w:rsidRPr="001B4C5E" w:rsidRDefault="00307D0C" w:rsidP="001B4C5E">
      <w:pPr>
        <w:pStyle w:val="ListBullet"/>
      </w:pPr>
      <w:r w:rsidRPr="001B4C5E">
        <w:t>Prior or concomitant therapy with any anticancer agent, immunosuppressive agents, surgery, or radiotherapy other than defined in the protocol; other investigational anticancer therapies, or chronic use of systemic corticosteroids (prior adjuvan</w:t>
      </w:r>
      <w:r w:rsidR="002F3D67">
        <w:t>t therapy was not exclusionary)</w:t>
      </w:r>
    </w:p>
    <w:p w:rsidR="00307D0C" w:rsidRPr="001B4C5E" w:rsidRDefault="00307D0C" w:rsidP="001B4C5E">
      <w:pPr>
        <w:pStyle w:val="ListBullet"/>
      </w:pPr>
      <w:r w:rsidRPr="001B4C5E">
        <w:t>Inability to pro</w:t>
      </w:r>
      <w:r w:rsidR="00767064" w:rsidRPr="001B4C5E">
        <w:t>vide adequate informed consent.</w:t>
      </w:r>
    </w:p>
    <w:p w:rsidR="00307D0C" w:rsidRPr="00767064" w:rsidRDefault="00307D0C" w:rsidP="00767064">
      <w:r w:rsidRPr="00767064">
        <w:t>The exclusion of patients with ocular or mucosal melanoma, brain metastases, and prior adjuvant therapy differs from the proposed usage and other studies summarised within this Section.</w:t>
      </w:r>
    </w:p>
    <w:p w:rsidR="00307D0C" w:rsidRPr="00767064" w:rsidRDefault="00307D0C" w:rsidP="00951A97">
      <w:pPr>
        <w:pStyle w:val="Heading5"/>
      </w:pPr>
      <w:r w:rsidRPr="00767064">
        <w:t>Study treatments</w:t>
      </w:r>
    </w:p>
    <w:p w:rsidR="00307D0C" w:rsidRPr="00767064" w:rsidRDefault="00307D0C" w:rsidP="00767064">
      <w:r w:rsidRPr="00767064">
        <w:t>Patients were random</w:t>
      </w:r>
      <w:r w:rsidR="00C91631">
        <w:t>is</w:t>
      </w:r>
      <w:r w:rsidRPr="00767064">
        <w:t xml:space="preserve">ed in a 1:1 ratio to receive DTIC plus </w:t>
      </w:r>
      <w:r w:rsidR="00F22D76">
        <w:t>ipilimumab</w:t>
      </w:r>
      <w:r w:rsidR="00767064">
        <w:t xml:space="preserve"> or DTIC plus placebo.</w:t>
      </w:r>
    </w:p>
    <w:p w:rsidR="00307D0C" w:rsidRPr="00EE74EF" w:rsidRDefault="00767064" w:rsidP="00951A97">
      <w:pPr>
        <w:pStyle w:val="Heading6"/>
      </w:pPr>
      <w:r w:rsidRPr="00EE74EF">
        <w:t>Ipilimumab</w:t>
      </w:r>
    </w:p>
    <w:p w:rsidR="00307D0C" w:rsidRPr="00767064" w:rsidRDefault="00307D0C" w:rsidP="00767064">
      <w:r w:rsidRPr="00767064">
        <w:t xml:space="preserve">Each patient received </w:t>
      </w:r>
      <w:r w:rsidR="00F22D76">
        <w:t>ipilimumab</w:t>
      </w:r>
      <w:r w:rsidRPr="00767064">
        <w:t xml:space="preserve"> (10 mg/kg or pla</w:t>
      </w:r>
      <w:r w:rsidR="00EE74EF">
        <w:t xml:space="preserve">cebo) as a single dose via a 90 </w:t>
      </w:r>
      <w:r w:rsidRPr="00767064">
        <w:t xml:space="preserve">minute intravenous (IV) infusion. In the induction phase, </w:t>
      </w:r>
      <w:r w:rsidR="00F22D76">
        <w:t>ipilimumab</w:t>
      </w:r>
      <w:r w:rsidRPr="00767064">
        <w:t xml:space="preserve"> or placebo was administered at Weeks 1, 4, 7 and 10 for a total of 4 </w:t>
      </w:r>
      <w:r w:rsidR="00A76575">
        <w:t>separate</w:t>
      </w:r>
      <w:r w:rsidRPr="00767064">
        <w:t xml:space="preserve"> doses. Patients without progressive disease who continued to tolerate placebo or active </w:t>
      </w:r>
      <w:r w:rsidR="00F22D76">
        <w:t>ipilimumab</w:t>
      </w:r>
      <w:r w:rsidRPr="00767064">
        <w:t xml:space="preserve"> continued </w:t>
      </w:r>
      <w:r w:rsidR="00F22D76">
        <w:t>ipilimumab</w:t>
      </w:r>
      <w:r w:rsidR="00EE74EF">
        <w:t xml:space="preserve"> dosing every 12 </w:t>
      </w:r>
      <w:r w:rsidRPr="00767064">
        <w:t>weeks (maintenance phase). Ipilimumab administration continued until disease progression, unacceptable tox</w:t>
      </w:r>
      <w:r w:rsidR="00767064">
        <w:t>icity or withdrawal of consent.</w:t>
      </w:r>
    </w:p>
    <w:p w:rsidR="00307D0C" w:rsidRPr="00EE74EF" w:rsidRDefault="00767064" w:rsidP="00951A97">
      <w:pPr>
        <w:pStyle w:val="Heading6"/>
      </w:pPr>
      <w:r w:rsidRPr="00EE74EF">
        <w:t>Dacarbazine (DTIC)</w:t>
      </w:r>
    </w:p>
    <w:p w:rsidR="00307D0C" w:rsidRPr="00767064" w:rsidRDefault="00307D0C" w:rsidP="00767064">
      <w:r w:rsidRPr="00767064">
        <w:t>All patients in th</w:t>
      </w:r>
      <w:r w:rsidR="00EE74EF">
        <w:t xml:space="preserve">e induction phase received open </w:t>
      </w:r>
      <w:r w:rsidRPr="00767064">
        <w:t>label DTIC at 850 mg/m</w:t>
      </w:r>
      <w:r w:rsidRPr="00EE74EF">
        <w:rPr>
          <w:vertAlign w:val="superscript"/>
        </w:rPr>
        <w:t>2</w:t>
      </w:r>
      <w:r w:rsidRPr="00767064">
        <w:t xml:space="preserve"> IV over 30 to 60 minutes every 3 weeks up to Week 22, until PD on or after Week 12, unacceptable toxicity associated with DTIC or </w:t>
      </w:r>
      <w:r w:rsidR="00F22D76">
        <w:t>ipilimumab</w:t>
      </w:r>
      <w:r w:rsidRPr="00767064">
        <w:t xml:space="preserve">/placebo, discontinuation of </w:t>
      </w:r>
      <w:r w:rsidR="00F22D76">
        <w:t>ipilimumab</w:t>
      </w:r>
      <w:r w:rsidRPr="00767064">
        <w:t xml:space="preserve"> or withdrawal from treatment or the study itself. Whenever applicable (Weeks 1, 4, 7 and 10), DTIC was to be administered following </w:t>
      </w:r>
      <w:r w:rsidR="00F22D76">
        <w:t>ipilimumab</w:t>
      </w:r>
      <w:r w:rsidRPr="00767064">
        <w:t>/placebo, on the same day.</w:t>
      </w:r>
    </w:p>
    <w:p w:rsidR="00307D0C" w:rsidRPr="00FA7F09" w:rsidRDefault="00307D0C" w:rsidP="00767064">
      <w:r w:rsidRPr="00767064">
        <w:t xml:space="preserve">With respect to the current application, this treatment schedule differs in terms of dose prescribed, its concomitant administration with DTIC, and the use of maintenance therapy. The efficacy data presented within this study of </w:t>
      </w:r>
      <w:r w:rsidR="00F22D76">
        <w:t>ipilimumab</w:t>
      </w:r>
      <w:r w:rsidRPr="00767064">
        <w:t xml:space="preserve"> </w:t>
      </w:r>
      <w:r w:rsidR="00C108F1">
        <w:t>10 mg</w:t>
      </w:r>
      <w:r w:rsidRPr="00767064">
        <w:t xml:space="preserve">/kg administered with DTIC is not relevant to the proposed indication. The effect of DTIC on efficacy cannot be </w:t>
      </w:r>
      <w:r w:rsidR="00A76575">
        <w:t>s</w:t>
      </w:r>
      <w:r w:rsidR="009730D1">
        <w:t>eparated</w:t>
      </w:r>
      <w:r w:rsidRPr="00767064">
        <w:t xml:space="preserve"> f</w:t>
      </w:r>
      <w:r w:rsidR="00767064">
        <w:t xml:space="preserve">rom the efficacy of </w:t>
      </w:r>
      <w:r w:rsidR="00F22D76">
        <w:t>ipilimumab</w:t>
      </w:r>
      <w:r w:rsidR="00767064">
        <w:t>.</w:t>
      </w:r>
    </w:p>
    <w:p w:rsidR="00307D0C" w:rsidRPr="00767064" w:rsidRDefault="00307D0C" w:rsidP="00951A97">
      <w:pPr>
        <w:pStyle w:val="Heading5"/>
      </w:pPr>
      <w:r w:rsidRPr="00767064">
        <w:lastRenderedPageBreak/>
        <w:t>Efficacy variables and outcomes</w:t>
      </w:r>
    </w:p>
    <w:p w:rsidR="00307D0C" w:rsidRPr="00767064" w:rsidRDefault="00307D0C" w:rsidP="00767064">
      <w:r w:rsidRPr="00767064">
        <w:t>A ranking of key efficacy variables addressing protocol objectives and reflecting their relative importance within the study (from greatest to least) is given below.</w:t>
      </w:r>
    </w:p>
    <w:p w:rsidR="00307D0C" w:rsidRPr="00767064" w:rsidRDefault="00307D0C" w:rsidP="00767064">
      <w:pPr>
        <w:pStyle w:val="ListBullet"/>
      </w:pPr>
      <w:r w:rsidRPr="00767064">
        <w:t>OS</w:t>
      </w:r>
    </w:p>
    <w:p w:rsidR="00307D0C" w:rsidRPr="00767064" w:rsidRDefault="00307D0C" w:rsidP="00767064">
      <w:pPr>
        <w:pStyle w:val="ListBullet"/>
      </w:pPr>
      <w:r w:rsidRPr="00767064">
        <w:t>PFS</w:t>
      </w:r>
    </w:p>
    <w:p w:rsidR="00307D0C" w:rsidRPr="00767064" w:rsidRDefault="00307D0C" w:rsidP="00767064">
      <w:pPr>
        <w:pStyle w:val="ListBullet"/>
      </w:pPr>
      <w:r w:rsidRPr="00767064">
        <w:t>Disease control rate (DCR)</w:t>
      </w:r>
    </w:p>
    <w:p w:rsidR="00307D0C" w:rsidRPr="00767064" w:rsidRDefault="00307D0C" w:rsidP="00767064">
      <w:pPr>
        <w:pStyle w:val="ListBullet"/>
      </w:pPr>
      <w:r w:rsidRPr="00767064">
        <w:t>Best overall response rate (BORR)</w:t>
      </w:r>
    </w:p>
    <w:p w:rsidR="00307D0C" w:rsidRPr="00767064" w:rsidRDefault="00307D0C" w:rsidP="00767064">
      <w:pPr>
        <w:pStyle w:val="ListBullet"/>
      </w:pPr>
      <w:r w:rsidRPr="00767064">
        <w:t>Survival rates at one year, 18 months, and 2 years</w:t>
      </w:r>
    </w:p>
    <w:p w:rsidR="00307D0C" w:rsidRPr="00767064" w:rsidRDefault="00307D0C" w:rsidP="00767064">
      <w:pPr>
        <w:pStyle w:val="ListBullet"/>
      </w:pPr>
      <w:r w:rsidRPr="00767064">
        <w:t>Duration of response</w:t>
      </w:r>
    </w:p>
    <w:p w:rsidR="00307D0C" w:rsidRPr="00767064" w:rsidRDefault="00307D0C" w:rsidP="00767064">
      <w:pPr>
        <w:pStyle w:val="ListBullet"/>
      </w:pPr>
      <w:r w:rsidRPr="00767064">
        <w:t>Time to response</w:t>
      </w:r>
    </w:p>
    <w:p w:rsidR="00307D0C" w:rsidRPr="00767064" w:rsidRDefault="00307D0C" w:rsidP="00767064">
      <w:pPr>
        <w:pStyle w:val="ListBullet"/>
      </w:pPr>
      <w:r w:rsidRPr="00767064">
        <w:t>PFS rate at Week 12</w:t>
      </w:r>
    </w:p>
    <w:p w:rsidR="00307D0C" w:rsidRPr="00767064" w:rsidRDefault="00EE74EF" w:rsidP="00767064">
      <w:pPr>
        <w:pStyle w:val="ListBullet"/>
      </w:pPr>
      <w:r>
        <w:t xml:space="preserve">Investigator </w:t>
      </w:r>
      <w:r w:rsidR="00307D0C" w:rsidRPr="00767064">
        <w:t>assessed PFS, disease control rate, BORR, duration of response, time to response, PFS rate at Week 12</w:t>
      </w:r>
    </w:p>
    <w:p w:rsidR="00307D0C" w:rsidRDefault="00307D0C" w:rsidP="00767064">
      <w:r w:rsidRPr="00767064">
        <w:t>The primary efficacy variable was OS.</w:t>
      </w:r>
    </w:p>
    <w:p w:rsidR="00307D0C" w:rsidRPr="00767064" w:rsidRDefault="00307D0C" w:rsidP="00767064">
      <w:r w:rsidRPr="00767064">
        <w:t>Other efficacy outcomes included:</w:t>
      </w:r>
    </w:p>
    <w:p w:rsidR="00307D0C" w:rsidRPr="00767064" w:rsidRDefault="00307D0C" w:rsidP="00767064">
      <w:pPr>
        <w:pStyle w:val="ListBullet"/>
      </w:pPr>
      <w:r w:rsidRPr="00767064">
        <w:t>Duration of SD</w:t>
      </w:r>
    </w:p>
    <w:p w:rsidR="00307D0C" w:rsidRPr="00767064" w:rsidRDefault="00EE74EF" w:rsidP="00767064">
      <w:pPr>
        <w:pStyle w:val="ListBullet"/>
      </w:pPr>
      <w:r>
        <w:t xml:space="preserve">brain metastasis </w:t>
      </w:r>
      <w:r w:rsidR="00307D0C" w:rsidRPr="00767064">
        <w:t>free status</w:t>
      </w:r>
    </w:p>
    <w:p w:rsidR="00307D0C" w:rsidRPr="00767064" w:rsidRDefault="00EE74EF" w:rsidP="00767064">
      <w:pPr>
        <w:pStyle w:val="ListBullet"/>
      </w:pPr>
      <w:r>
        <w:t xml:space="preserve">Exploratory analyses of immune </w:t>
      </w:r>
      <w:r w:rsidR="00307D0C" w:rsidRPr="00767064">
        <w:t>related (ir-) endpoints of clinical benefit (irBORR, ir-duration of response, ir-duration of stable disease, late clinical activity)</w:t>
      </w:r>
    </w:p>
    <w:p w:rsidR="00307D0C" w:rsidRDefault="00EE74EF" w:rsidP="00767064">
      <w:pPr>
        <w:pStyle w:val="ListBullet"/>
      </w:pPr>
      <w:r>
        <w:t xml:space="preserve">Exploratory analyses of health </w:t>
      </w:r>
      <w:r w:rsidR="00307D0C" w:rsidRPr="00767064">
        <w:t>related quality of life (HRQoL) endpoints for each treatment arm (EORTC QLQ-C30)</w:t>
      </w:r>
    </w:p>
    <w:p w:rsidR="00307D0C" w:rsidRPr="00767064" w:rsidRDefault="00307D0C" w:rsidP="00767064">
      <w:r w:rsidRPr="00767064">
        <w:t>OS was defined for each patient as the time between random</w:t>
      </w:r>
      <w:r w:rsidR="00C91631">
        <w:t>is</w:t>
      </w:r>
      <w:r w:rsidRPr="00767064">
        <w:t>ation date and death. If a patient was still alive, the patient was censored at the last known alive date</w:t>
      </w:r>
      <w:r w:rsidR="00767064">
        <w:t>.</w:t>
      </w:r>
    </w:p>
    <w:p w:rsidR="00307D0C" w:rsidRPr="00767064" w:rsidRDefault="00BF0776" w:rsidP="00767064">
      <w:r>
        <w:t xml:space="preserve">Progression free survival (PFS) </w:t>
      </w:r>
      <w:r w:rsidR="00307D0C" w:rsidRPr="00767064">
        <w:t>was defined as the time between random</w:t>
      </w:r>
      <w:r w:rsidR="00C91631">
        <w:t>is</w:t>
      </w:r>
      <w:r w:rsidR="00307D0C" w:rsidRPr="00767064">
        <w:t>ation and the date of progression or death, which ever occurred first. A patient who died without reported prior progression was considered to have progressed on the date of death. For those who remained alive and did not progress, PFS was censored on the date of last evaluable tumour assessment (TA), but if they had no recorded post-baseline TA, they were censored at the day of random</w:t>
      </w:r>
      <w:r w:rsidR="00C91631">
        <w:t>is</w:t>
      </w:r>
      <w:r w:rsidR="00307D0C" w:rsidRPr="00767064">
        <w:t>ation. Progression prior to Week 12 did not constitute a PFS event if the patient showed a subsequent assessment of SD, PR or CR at week 12. However, if they experienced progression at a visit subsequent to week 12, this constituted PD. For patients who had surgical resection, only pre-surgical treatment assessments conducted on or prior to the date of surgery were considered in the determination of PFS. The primary assessment of PFS was based on review of lesion imaging data by the independent review committee (IRC).</w:t>
      </w:r>
    </w:p>
    <w:p w:rsidR="00307D0C" w:rsidRPr="00767064" w:rsidRDefault="00307D0C" w:rsidP="00767064">
      <w:r w:rsidRPr="00767064">
        <w:t xml:space="preserve">DCR was defined as the number of subjects </w:t>
      </w:r>
      <w:r w:rsidR="00BF0776" w:rsidRPr="00767064">
        <w:t>who’s</w:t>
      </w:r>
      <w:r w:rsidRPr="00767064">
        <w:t xml:space="preserve"> BOR was PR, CR, or SD, divided by the total number of random</w:t>
      </w:r>
      <w:r w:rsidR="00C91631">
        <w:t>is</w:t>
      </w:r>
      <w:r w:rsidRPr="00767064">
        <w:t>ed subjects.</w:t>
      </w:r>
    </w:p>
    <w:p w:rsidR="00307D0C" w:rsidRPr="00767064" w:rsidRDefault="00307D0C" w:rsidP="00767064">
      <w:r w:rsidRPr="00767064">
        <w:t xml:space="preserve">BORR was defined as the number of subjects </w:t>
      </w:r>
      <w:r w:rsidR="00BF0776" w:rsidRPr="00767064">
        <w:t>who’s</w:t>
      </w:r>
      <w:r w:rsidRPr="00767064">
        <w:t xml:space="preserve"> BOR was PR or CR, divided by the total number of random</w:t>
      </w:r>
      <w:r w:rsidR="00C91631">
        <w:t>is</w:t>
      </w:r>
      <w:r w:rsidRPr="00767064">
        <w:t>ed subjects.</w:t>
      </w:r>
    </w:p>
    <w:p w:rsidR="00307D0C" w:rsidRDefault="00307D0C" w:rsidP="00767064">
      <w:r w:rsidRPr="00767064">
        <w:t>Duration of response was defined in subjects whose BOR was CR or PR as the time between the first date of CR (subsequently confirmed) or PR (subsequently confirmed), and the date of PD or de</w:t>
      </w:r>
      <w:r w:rsidR="00767064">
        <w:t>ath (whichever occurred first).</w:t>
      </w:r>
    </w:p>
    <w:p w:rsidR="00307D0C" w:rsidRDefault="00307D0C" w:rsidP="00767064">
      <w:r w:rsidRPr="00767064">
        <w:lastRenderedPageBreak/>
        <w:t xml:space="preserve">Survival rates and tumour responses (CR, PR, SD or PD) were based on assessment according to modified WHO criteria (mWHO) and irResponse criteria evaluated by an IRC and investigators. The assessment of the IRC was considered primary </w:t>
      </w:r>
      <w:r w:rsidR="00767064">
        <w:t>over that of the investigators.</w:t>
      </w:r>
    </w:p>
    <w:p w:rsidR="00307D0C" w:rsidRPr="00767064" w:rsidRDefault="00307D0C" w:rsidP="00951A97">
      <w:pPr>
        <w:pStyle w:val="Heading5"/>
      </w:pPr>
      <w:r w:rsidRPr="00767064">
        <w:t>Randomisation and blinding methods</w:t>
      </w:r>
    </w:p>
    <w:p w:rsidR="00307D0C" w:rsidRPr="00767064" w:rsidRDefault="00307D0C" w:rsidP="00767064">
      <w:r w:rsidRPr="00767064">
        <w:t xml:space="preserve">In order to evenly balance factors that may influence outcome, subjects enrolled into the study were stratified on the basis of baseline M stage (M0 </w:t>
      </w:r>
      <w:r w:rsidR="00046414">
        <w:t>versus</w:t>
      </w:r>
      <w:r w:rsidRPr="00767064">
        <w:t xml:space="preserve"> M1a </w:t>
      </w:r>
      <w:r w:rsidR="00046414">
        <w:t>versus</w:t>
      </w:r>
      <w:r w:rsidRPr="00767064">
        <w:t xml:space="preserve"> M1b </w:t>
      </w:r>
      <w:r w:rsidR="00046414">
        <w:t>versus</w:t>
      </w:r>
      <w:r w:rsidRPr="00767064">
        <w:t xml:space="preserve"> M1c), Eastern Cooperative Oncology Group (ECOG) performance status (0 </w:t>
      </w:r>
      <w:r w:rsidR="00046414">
        <w:t>versus</w:t>
      </w:r>
      <w:r w:rsidRPr="00767064">
        <w:t xml:space="preserve"> 1) as determined at random</w:t>
      </w:r>
      <w:r w:rsidR="00C91631">
        <w:t>is</w:t>
      </w:r>
      <w:r w:rsidRPr="00767064">
        <w:t>ation, and study site. The randomisation to each treatment arm was 1:1.</w:t>
      </w:r>
    </w:p>
    <w:p w:rsidR="00307D0C" w:rsidRDefault="00307D0C" w:rsidP="00307D0C">
      <w:r w:rsidRPr="00767064">
        <w:t>The sponsor, subject, and site staff were blinded with respect to the subject’s treatment assignment. Local pharmacists and the CRO pharmacy monitors were un</w:t>
      </w:r>
      <w:r w:rsidR="00FB5D0B">
        <w:t>-</w:t>
      </w:r>
      <w:r w:rsidRPr="00767064">
        <w:t>blinded. An independent data monitoring committee had the possibility to access un</w:t>
      </w:r>
      <w:r w:rsidR="00FB5D0B">
        <w:t>-</w:t>
      </w:r>
      <w:r w:rsidRPr="00767064">
        <w:t>blinded data in order to enable review of emerging safety data. In the event of a medical emergency or pregnancy in an individual subject, the treating physician could be un</w:t>
      </w:r>
      <w:r w:rsidR="00FB5D0B">
        <w:t>-</w:t>
      </w:r>
      <w:r w:rsidRPr="00767064">
        <w:t>blinded if knowledge of the investigational product was critical to the subject’s management.</w:t>
      </w:r>
    </w:p>
    <w:p w:rsidR="00307D0C" w:rsidRPr="00767064" w:rsidRDefault="00307D0C" w:rsidP="00951A97">
      <w:pPr>
        <w:pStyle w:val="Heading5"/>
      </w:pPr>
      <w:r w:rsidRPr="00767064">
        <w:t>Analysis populations</w:t>
      </w:r>
    </w:p>
    <w:p w:rsidR="00307D0C" w:rsidRPr="00767064" w:rsidRDefault="00307D0C" w:rsidP="00767064">
      <w:r w:rsidRPr="00767064">
        <w:t>Analyses of baseline characteristics and efficacy endpoints were based on all random</w:t>
      </w:r>
      <w:r w:rsidR="00C91631">
        <w:t>is</w:t>
      </w:r>
      <w:r w:rsidRPr="00767064">
        <w:t>ed subjects and were performed using the treatment group as random</w:t>
      </w:r>
      <w:r w:rsidR="00C91631">
        <w:t>is</w:t>
      </w:r>
      <w:r w:rsidRPr="00767064">
        <w:t xml:space="preserve">ed, </w:t>
      </w:r>
      <w:r w:rsidR="0026410F">
        <w:t>that is</w:t>
      </w:r>
      <w:r w:rsidRPr="00767064">
        <w:t>, on an intent-to-treat (ITT) basis.</w:t>
      </w:r>
    </w:p>
    <w:p w:rsidR="00307D0C" w:rsidRPr="00767064" w:rsidRDefault="00307D0C" w:rsidP="00767064">
      <w:r w:rsidRPr="00767064">
        <w:t>The safety population is all treated subjects, and includes all subjects who received at least 1 dose of their random</w:t>
      </w:r>
      <w:r w:rsidR="00C91631">
        <w:t>is</w:t>
      </w:r>
      <w:r w:rsidRPr="00767064">
        <w:t xml:space="preserve">ed </w:t>
      </w:r>
      <w:r w:rsidR="00F22D76">
        <w:t>ipilimumab</w:t>
      </w:r>
      <w:r w:rsidR="00767064">
        <w:t xml:space="preserve"> or placebo and/or DTIC.</w:t>
      </w:r>
    </w:p>
    <w:p w:rsidR="00FB5D0B" w:rsidRDefault="00FB5D0B" w:rsidP="00767064">
      <w:r>
        <w:t xml:space="preserve">The response </w:t>
      </w:r>
      <w:r w:rsidR="00307D0C" w:rsidRPr="00767064">
        <w:t xml:space="preserve">evaluable population consisted of all subjects who were treated with at least 1 dose of </w:t>
      </w:r>
      <w:r w:rsidR="00F22D76">
        <w:t>ipilimumab</w:t>
      </w:r>
      <w:r w:rsidR="00307D0C" w:rsidRPr="00767064">
        <w:t xml:space="preserve"> or placebo and</w:t>
      </w:r>
      <w:r>
        <w:t>/or DTIC as random</w:t>
      </w:r>
      <w:r w:rsidR="00C91631">
        <w:t>is</w:t>
      </w:r>
      <w:r>
        <w:t>ed and with:</w:t>
      </w:r>
    </w:p>
    <w:p w:rsidR="00FB5D0B" w:rsidRDefault="00307D0C" w:rsidP="00FE2511">
      <w:pPr>
        <w:pStyle w:val="Numberbullet0"/>
        <w:numPr>
          <w:ilvl w:val="0"/>
          <w:numId w:val="13"/>
        </w:numPr>
      </w:pPr>
      <w:r w:rsidRPr="00767064">
        <w:t>measurable disease at bas</w:t>
      </w:r>
      <w:r w:rsidR="00FB5D0B">
        <w:t>eline as determined by the IRC</w:t>
      </w:r>
    </w:p>
    <w:p w:rsidR="00FB5D0B" w:rsidRDefault="00307D0C" w:rsidP="00FE2511">
      <w:pPr>
        <w:pStyle w:val="Numberbullet0"/>
        <w:numPr>
          <w:ilvl w:val="0"/>
          <w:numId w:val="13"/>
        </w:numPr>
      </w:pPr>
      <w:r w:rsidRPr="00767064">
        <w:t>histologic diagn</w:t>
      </w:r>
      <w:r w:rsidR="00FB5D0B">
        <w:t>osis of malignant melanoma; and</w:t>
      </w:r>
    </w:p>
    <w:p w:rsidR="00FB5D0B" w:rsidRDefault="00307D0C" w:rsidP="00FE2511">
      <w:pPr>
        <w:pStyle w:val="Numberbullet0"/>
        <w:numPr>
          <w:ilvl w:val="0"/>
          <w:numId w:val="13"/>
        </w:numPr>
      </w:pPr>
      <w:proofErr w:type="gramStart"/>
      <w:r w:rsidRPr="00767064">
        <w:t>at</w:t>
      </w:r>
      <w:proofErr w:type="gramEnd"/>
      <w:r w:rsidRPr="00767064">
        <w:t xml:space="preserve"> least 1 screening (</w:t>
      </w:r>
      <w:r w:rsidR="0026410F">
        <w:t>that is</w:t>
      </w:r>
      <w:r w:rsidRPr="00767064">
        <w:t>, baseline) and at leas</w:t>
      </w:r>
      <w:r w:rsidR="00FB5D0B">
        <w:t>t 1 on-study tumour assessment.</w:t>
      </w:r>
    </w:p>
    <w:p w:rsidR="00307D0C" w:rsidRPr="00FA7F09" w:rsidDel="0081373E" w:rsidRDefault="00307D0C" w:rsidP="00767064">
      <w:r w:rsidRPr="00767064">
        <w:t>Sensitivity analyses of BORR were based on response evaluable subjects.</w:t>
      </w:r>
    </w:p>
    <w:p w:rsidR="00307D0C" w:rsidRPr="00767064" w:rsidDel="0081373E" w:rsidRDefault="00307D0C" w:rsidP="00951A97">
      <w:pPr>
        <w:pStyle w:val="Heading5"/>
      </w:pPr>
      <w:r w:rsidRPr="00767064" w:rsidDel="0081373E">
        <w:t>Sample size</w:t>
      </w:r>
    </w:p>
    <w:p w:rsidR="00307D0C" w:rsidRPr="00767064" w:rsidRDefault="00307D0C" w:rsidP="00767064">
      <w:r w:rsidRPr="00767064">
        <w:t>In the original study design, 416 events from a sample size of 500 subjects ensured 90% power to detect (u</w:t>
      </w:r>
      <w:r w:rsidR="000C6B8C">
        <w:t xml:space="preserve">sing a log-rank test at the two </w:t>
      </w:r>
      <w:r w:rsidRPr="00767064">
        <w:t xml:space="preserve">sided 0.05 significance level) an improvement in PFS (the original primary endpoint) equivalent to a hazard ratio (HR) of 0.727. The study similarly had 90% power to detect (also using a log-rank test at the two-sided 0.05 significance level) an improvement in the main secondary endpoint, OS, equivalent to a HR of 0.727 (corresponding to an increase from 8 months to 11 months in median OS). In light of </w:t>
      </w:r>
      <w:r w:rsidR="00F22D76">
        <w:t>Phase II</w:t>
      </w:r>
      <w:r w:rsidRPr="00767064">
        <w:t xml:space="preserve"> data that suggested that OS was the better endpoint to character</w:t>
      </w:r>
      <w:r w:rsidR="00C91631">
        <w:t>is</w:t>
      </w:r>
      <w:r w:rsidRPr="00767064">
        <w:t>e efficacy, the primary endpoint of the study was changed from PFS to OS after a discussion and approval by the United States (US) Food and D</w:t>
      </w:r>
      <w:r w:rsidR="000C6B8C">
        <w:t xml:space="preserve">rug Administration (FDA) in </w:t>
      </w:r>
      <w:r w:rsidR="00866203">
        <w:t>October</w:t>
      </w:r>
      <w:r w:rsidR="000C6B8C">
        <w:t xml:space="preserve"> </w:t>
      </w:r>
      <w:r w:rsidRPr="00767064">
        <w:t>2008, prior to un</w:t>
      </w:r>
      <w:r w:rsidR="000C6B8C">
        <w:t>-</w:t>
      </w:r>
      <w:r w:rsidRPr="00767064">
        <w:t>blinding the study. No changes to the statistical considerations were necessary as the study was already fully powered to assess OS. Since the PFS endpoint had 90% power based on 416 PFS events, it was planned to final</w:t>
      </w:r>
      <w:r w:rsidR="00C91631">
        <w:t>is</w:t>
      </w:r>
      <w:r w:rsidRPr="00767064">
        <w:t>e the IRC database once a minimum of 416 events had been observe.</w:t>
      </w:r>
    </w:p>
    <w:p w:rsidR="00307D0C" w:rsidRPr="00767064" w:rsidRDefault="00307D0C" w:rsidP="00951A97">
      <w:pPr>
        <w:pStyle w:val="Heading5"/>
      </w:pPr>
      <w:r w:rsidRPr="00767064">
        <w:t>Statistical methods</w:t>
      </w:r>
    </w:p>
    <w:p w:rsidR="00307D0C" w:rsidRDefault="00307D0C" w:rsidP="00767064">
      <w:r w:rsidRPr="00767064">
        <w:t>Hierarchical tests were performed to compare the following secondary endpoints between treatment groups, with the order reflecting the hierarchy after the primary OS analysis: IRC-determined PFS, disease control rate, and BORR. A superiority claim could be made for a given endpoint only if all preceding endpoint comparisons in the hierarchy had been shown to be statist</w:t>
      </w:r>
      <w:r w:rsidR="000C6B8C">
        <w:t xml:space="preserve">ically significant (using a two sided alpha </w:t>
      </w:r>
      <w:r w:rsidRPr="00767064">
        <w:t xml:space="preserve">level of 0.05). The hierarchical method ensured </w:t>
      </w:r>
      <w:r w:rsidR="000C6B8C">
        <w:lastRenderedPageBreak/>
        <w:t xml:space="preserve">an overall alpha </w:t>
      </w:r>
      <w:r w:rsidRPr="00767064">
        <w:t>level of 0.05 for the study. No multiplicity adjustment for oth</w:t>
      </w:r>
      <w:r w:rsidR="00767064">
        <w:t>er secondary analyses was made.</w:t>
      </w:r>
    </w:p>
    <w:p w:rsidR="00307D0C" w:rsidRPr="00767064" w:rsidRDefault="00307D0C" w:rsidP="00767064">
      <w:r w:rsidRPr="00767064">
        <w:t xml:space="preserve">The primary analysis for OS was a log-rank test, stratified by baseline M-stage (M0 </w:t>
      </w:r>
      <w:r w:rsidR="00046414">
        <w:t>versus</w:t>
      </w:r>
      <w:r w:rsidRPr="00767064">
        <w:t xml:space="preserve"> M1a </w:t>
      </w:r>
      <w:r w:rsidR="00046414">
        <w:t>versus</w:t>
      </w:r>
      <w:r w:rsidRPr="00767064">
        <w:t xml:space="preserve"> M1b </w:t>
      </w:r>
      <w:r w:rsidR="00046414">
        <w:t>versus</w:t>
      </w:r>
      <w:r w:rsidRPr="00767064">
        <w:t xml:space="preserve"> M1c) and ECOG performance status (0 </w:t>
      </w:r>
      <w:r w:rsidR="00046414">
        <w:t>versus</w:t>
      </w:r>
      <w:r w:rsidRPr="00767064">
        <w:t xml:space="preserve"> 1) as defined at the time of random</w:t>
      </w:r>
      <w:r w:rsidR="00C91631">
        <w:t>is</w:t>
      </w:r>
      <w:r w:rsidRPr="00767064">
        <w:t xml:space="preserve">ation, to compare OS between treatment groups. A two-sided alpha of 0.05 was used. The HR of DTIC plus </w:t>
      </w:r>
      <w:r w:rsidR="00C108F1">
        <w:t>10 mg</w:t>
      </w:r>
      <w:r w:rsidRPr="00767064">
        <w:t xml:space="preserve">/kg </w:t>
      </w:r>
      <w:r w:rsidR="00F22D76">
        <w:t>ipilimumab</w:t>
      </w:r>
      <w:r w:rsidRPr="00767064">
        <w:t xml:space="preserve"> to DTIC with pl</w:t>
      </w:r>
      <w:r w:rsidR="000C6B8C">
        <w:t xml:space="preserve">acebo and the corresponding two </w:t>
      </w:r>
      <w:r w:rsidRPr="00767064">
        <w:t xml:space="preserve">sided 95% CI were estimated using a Cox proportional hazards </w:t>
      </w:r>
      <w:r w:rsidR="000C6B8C">
        <w:t>model, stratified by baseline M</w:t>
      </w:r>
      <w:r w:rsidR="000C6B8C">
        <w:noBreakHyphen/>
      </w:r>
      <w:r w:rsidRPr="00767064">
        <w:t xml:space="preserve">stage (M0 </w:t>
      </w:r>
      <w:r w:rsidR="00046414">
        <w:t>versus</w:t>
      </w:r>
      <w:r w:rsidRPr="00767064">
        <w:t xml:space="preserve"> M1a </w:t>
      </w:r>
      <w:r w:rsidR="00046414">
        <w:t>versus</w:t>
      </w:r>
      <w:r w:rsidRPr="00767064">
        <w:t xml:space="preserve"> M1b </w:t>
      </w:r>
      <w:r w:rsidR="00046414">
        <w:t>versus</w:t>
      </w:r>
      <w:r w:rsidRPr="00767064">
        <w:t xml:space="preserve"> M1c) and ECOG performance status (0 </w:t>
      </w:r>
      <w:r w:rsidR="00046414">
        <w:t>versus</w:t>
      </w:r>
      <w:r w:rsidRPr="00767064">
        <w:t xml:space="preserve"> 1) as defined at the time of random</w:t>
      </w:r>
      <w:r w:rsidR="00C91631">
        <w:t>is</w:t>
      </w:r>
      <w:r w:rsidRPr="00767064">
        <w:t>ation, and with treatment as the single covariate</w:t>
      </w:r>
      <w:r w:rsidR="005F5E22">
        <w:t xml:space="preserve">. </w:t>
      </w:r>
      <w:r w:rsidRPr="00767064">
        <w:t>The survival rate at 1 year, at 18 months, and 2 years (each pre-specified) and at 3 years (post-hoc) was calculated for each treatment group</w:t>
      </w:r>
      <w:r w:rsidR="000C6B8C">
        <w:t xml:space="preserve"> using the Kaplan-Meier product limit method. Corresponding two </w:t>
      </w:r>
      <w:r w:rsidRPr="00767064">
        <w:t>sided 95% bootstrap CI were calculated.</w:t>
      </w:r>
    </w:p>
    <w:p w:rsidR="00307D0C" w:rsidRPr="00767064" w:rsidRDefault="00307D0C" w:rsidP="00767064">
      <w:r w:rsidRPr="00767064">
        <w:t>PFS within treatment group was estimated using the Kaplan-Me</w:t>
      </w:r>
      <w:r w:rsidR="000C6B8C">
        <w:t xml:space="preserve">ier product </w:t>
      </w:r>
      <w:r w:rsidRPr="00767064">
        <w:t>limit met</w:t>
      </w:r>
      <w:r w:rsidR="000C6B8C">
        <w:t xml:space="preserve">hod, and was plotted with a two </w:t>
      </w:r>
      <w:r w:rsidRPr="00767064">
        <w:t>sided 95% CI for the median calculated using the method of Brookmeyer and Crowley</w:t>
      </w:r>
      <w:r w:rsidR="00767064">
        <w:t>.</w:t>
      </w:r>
    </w:p>
    <w:p w:rsidR="00307D0C" w:rsidRDefault="00307D0C" w:rsidP="00767064">
      <w:r w:rsidRPr="00767064">
        <w:t>BORR and DCR were summar</w:t>
      </w:r>
      <w:r w:rsidR="00C91631">
        <w:t>is</w:t>
      </w:r>
      <w:r w:rsidRPr="00767064">
        <w:t>ed by treatment group using desc</w:t>
      </w:r>
      <w:r w:rsidR="00F966C3">
        <w:t xml:space="preserve">riptive statistics. An exact, 2 </w:t>
      </w:r>
      <w:r w:rsidRPr="00767064">
        <w:t xml:space="preserve">sided 95% CI within treatment group was constructed using the Clopper and Pearson method. For the comparisons of BORR and DCR between treatment groups, a Cochran-Mantel-Haenszel (CMH) test with an associated odds ratio estimate and exact 95% CI, stratified by baseline M-stage (M0 </w:t>
      </w:r>
      <w:r w:rsidR="00046414">
        <w:t>versus</w:t>
      </w:r>
      <w:r w:rsidRPr="00767064">
        <w:t xml:space="preserve"> M1a </w:t>
      </w:r>
      <w:r w:rsidR="00046414">
        <w:t>versus</w:t>
      </w:r>
      <w:r w:rsidRPr="00767064">
        <w:t xml:space="preserve"> M1b </w:t>
      </w:r>
      <w:r w:rsidR="00046414">
        <w:t>versus</w:t>
      </w:r>
      <w:r w:rsidRPr="00767064">
        <w:t xml:space="preserve"> M1c) and ECOG performance status (0 </w:t>
      </w:r>
      <w:r w:rsidR="00046414">
        <w:t>versus</w:t>
      </w:r>
      <w:r w:rsidRPr="00767064">
        <w:t xml:space="preserve"> 1) as defined at the time of random</w:t>
      </w:r>
      <w:r w:rsidR="00C91631">
        <w:t>is</w:t>
      </w:r>
      <w:r w:rsidRPr="00767064">
        <w:t>ation, was used</w:t>
      </w:r>
      <w:r w:rsidR="005F5E22">
        <w:t xml:space="preserve">. </w:t>
      </w:r>
      <w:r w:rsidRPr="00767064">
        <w:t>For the duration of response, and duration of stable disease in subjects with a confirmed response of CR or PR (both IRC and investigator-determined), the median duration was estimated using the Kaplan-Meier product li</w:t>
      </w:r>
      <w:r w:rsidR="000C6B8C">
        <w:t xml:space="preserve">mit method, together with a two </w:t>
      </w:r>
      <w:r w:rsidRPr="00767064">
        <w:t>sided 95% CI for the median, calculated using the method of Brookmeyer and Crowley.</w:t>
      </w:r>
    </w:p>
    <w:p w:rsidR="00307D0C" w:rsidRPr="00FA7F09" w:rsidRDefault="00307D0C" w:rsidP="00767064">
      <w:r w:rsidRPr="00767064">
        <w:t>The proportion of subjects who were free of brain metastasis was calculated by treatment ar</w:t>
      </w:r>
      <w:r w:rsidR="000C6B8C">
        <w:t xml:space="preserve">m, together with the exact, two </w:t>
      </w:r>
      <w:r w:rsidRPr="00767064">
        <w:t>sided 95% CI (using the method of C</w:t>
      </w:r>
      <w:r w:rsidR="00F966C3">
        <w:t xml:space="preserve">lopper and Pearson). Exact, two </w:t>
      </w:r>
      <w:r w:rsidRPr="00767064">
        <w:t>sided 95% CI for irBORR within treatment group was calculated using the method of Clopper and Pearson. The median ir-duration of response in subjects whose irBOR was irCR or irPR, was estimated using the Kaplan-Meier product li</w:t>
      </w:r>
      <w:r w:rsidR="000C6B8C">
        <w:t xml:space="preserve">mit method, together with a two </w:t>
      </w:r>
      <w:r w:rsidRPr="00767064">
        <w:t>sided 95% CI for the median, calculated using the method of Brookmeyer and Crowley</w:t>
      </w:r>
      <w:r w:rsidR="005F5E22">
        <w:t xml:space="preserve">. </w:t>
      </w:r>
      <w:r w:rsidRPr="00767064">
        <w:t>Descriptive statistics were used for HRQoL score and the comparison of HRQoL between the treatment groups was assessed by means of a Wei-Lachin test on differences from baseline.</w:t>
      </w:r>
    </w:p>
    <w:p w:rsidR="00307D0C" w:rsidRPr="00767064" w:rsidRDefault="00307D0C" w:rsidP="00951A97">
      <w:pPr>
        <w:pStyle w:val="Heading5"/>
      </w:pPr>
      <w:r w:rsidRPr="00767064">
        <w:t>Participant flow</w:t>
      </w:r>
    </w:p>
    <w:p w:rsidR="00307D0C" w:rsidRDefault="00307D0C" w:rsidP="00767064">
      <w:r w:rsidRPr="00767064">
        <w:t xml:space="preserve">The participant flow is summarised </w:t>
      </w:r>
      <w:r w:rsidRPr="00F047E2">
        <w:t>in</w:t>
      </w:r>
      <w:r w:rsidR="000C6B8C" w:rsidRPr="00F047E2">
        <w:t xml:space="preserve"> Figure 1.</w:t>
      </w:r>
    </w:p>
    <w:p w:rsidR="00307D0C" w:rsidRPr="00767064" w:rsidRDefault="00307D0C" w:rsidP="000C6B8C">
      <w:pPr>
        <w:pStyle w:val="FigureTitle"/>
        <w:keepNext/>
      </w:pPr>
      <w:bookmarkStart w:id="170" w:name="_Toc390676320"/>
      <w:r w:rsidRPr="00767064">
        <w:lastRenderedPageBreak/>
        <w:t>Figure</w:t>
      </w:r>
      <w:r w:rsidR="000C6B8C">
        <w:t>1</w:t>
      </w:r>
      <w:r w:rsidR="00BF0776">
        <w:t>:</w:t>
      </w:r>
      <w:r w:rsidRPr="00767064">
        <w:t xml:space="preserve"> Summary of participant flow for </w:t>
      </w:r>
      <w:r w:rsidR="00284E81">
        <w:t>Study</w:t>
      </w:r>
      <w:r w:rsidRPr="00767064">
        <w:t xml:space="preserve"> CA184024</w:t>
      </w:r>
      <w:bookmarkEnd w:id="170"/>
    </w:p>
    <w:p w:rsidR="00307D0C" w:rsidRPr="00FA7F09" w:rsidRDefault="00767064" w:rsidP="00307D0C">
      <w:pPr>
        <w:autoSpaceDE w:val="0"/>
        <w:autoSpaceDN w:val="0"/>
        <w:adjustRightInd w:val="0"/>
      </w:pPr>
      <w:r>
        <w:rPr>
          <w:noProof/>
          <w:lang w:eastAsia="en-AU"/>
        </w:rPr>
        <w:drawing>
          <wp:inline distT="0" distB="0" distL="0" distR="0" wp14:anchorId="79A3DEC6" wp14:editId="1EA651E9">
            <wp:extent cx="4800600" cy="5219700"/>
            <wp:effectExtent l="0" t="0" r="0" b="0"/>
            <wp:docPr id="6" name="Picture 6" descr="Figure1. Summary of participant flow for Study CA184024.&#10;Assesed for elegibility 681. Patients not randomised 179. Randomised 502. Of randomised 250 into ipilimimab + DTIC and 252 into Placebo + DTIC.&#10;for ipilimimab + DTIC 3 (1.2%) were not treated and 247 (98.8%) were treated. Of the treated subjects 236 (96.5%) discontinued of study treatment; 114 (46.2%) documented disease progression; 89 (36%) study drug toxicity; 8 (3.2%) death; 10 (4%) deterioration W/O documnetation; 6 (2.4%) adverse event unrelated for study drug; 7 (2.8%) patient request; 2 (0.8%) physician decision; 11 (4.5%) still on treatment; 43 (17.4%) treatment during maintenance phase.&#10;For Placebo group 1 (0.4%0 was not treated. 251 (99.6%)were treated. Of these discontinued of study treatment; 245 (97.6%) documented disease progression; 194 (77.3%) study drug toxicity; 15 (6%) death; 8 (3.2%) deterioration W/O documnetation; 10 (4%) adverse event unrelated for study drug; 8 (3.2%) patient request; 0 physician decision; 6 (2.4%) still on treatment; 53 (21.1%) treatment during maintenance p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00600" cy="5219700"/>
                    </a:xfrm>
                    <a:prstGeom prst="rect">
                      <a:avLst/>
                    </a:prstGeom>
                  </pic:spPr>
                </pic:pic>
              </a:graphicData>
            </a:graphic>
          </wp:inline>
        </w:drawing>
      </w:r>
    </w:p>
    <w:p w:rsidR="00307D0C" w:rsidRPr="00767064" w:rsidRDefault="00307D0C" w:rsidP="00951A97">
      <w:pPr>
        <w:pStyle w:val="Heading5"/>
      </w:pPr>
      <w:bookmarkStart w:id="171" w:name="_Ref389041190"/>
      <w:r w:rsidRPr="00767064">
        <w:t>Major protocol violations/deviations</w:t>
      </w:r>
      <w:bookmarkEnd w:id="171"/>
    </w:p>
    <w:p w:rsidR="00307D0C" w:rsidRPr="00767064" w:rsidRDefault="00307D0C" w:rsidP="00767064">
      <w:r w:rsidRPr="00767064">
        <w:t xml:space="preserve">Significant eligibility deviations were reported for 13.2% and 15.1% of subjects in the </w:t>
      </w:r>
      <w:r w:rsidR="00F22D76">
        <w:t>ipilimumab</w:t>
      </w:r>
      <w:r w:rsidRPr="00767064">
        <w:t xml:space="preserve"> plus DTIC and DTIC monotherapy groups. The most common eligibility deviation was laboratory test values not meeting eligibility criteria during the screening period (7.2% and 8.7% of subjects in the </w:t>
      </w:r>
      <w:r w:rsidR="00F22D76">
        <w:t>ipilimumab</w:t>
      </w:r>
      <w:r w:rsidRPr="00767064">
        <w:t xml:space="preserve"> plus DTIC and DTIC monotherapy groups, respectively). Review of </w:t>
      </w:r>
      <w:r w:rsidR="00793CCC">
        <w:t>data provided</w:t>
      </w:r>
      <w:r w:rsidRPr="00767064">
        <w:t xml:space="preserve"> demonstrated that the number of other deviations were relatively similar between treatment (</w:t>
      </w:r>
      <w:r w:rsidR="00CF24F8">
        <w:t>for example</w:t>
      </w:r>
      <w:r w:rsidRPr="00767064">
        <w:t xml:space="preserve"> ECOG &gt; 0 or </w:t>
      </w:r>
      <w:r w:rsidR="00767064">
        <w:t>1, or non-measureable disease).</w:t>
      </w:r>
    </w:p>
    <w:p w:rsidR="00307D0C" w:rsidRPr="00767064" w:rsidRDefault="00793CCC" w:rsidP="00767064">
      <w:r>
        <w:t xml:space="preserve">On </w:t>
      </w:r>
      <w:r w:rsidR="00307D0C" w:rsidRPr="00767064">
        <w:t xml:space="preserve">study </w:t>
      </w:r>
      <w:r w:rsidR="00C108F1">
        <w:t>‘</w:t>
      </w:r>
      <w:r w:rsidR="00307D0C" w:rsidRPr="00767064">
        <w:t>significant</w:t>
      </w:r>
      <w:r w:rsidR="00C108F1">
        <w:t>’</w:t>
      </w:r>
      <w:r w:rsidR="00307D0C" w:rsidRPr="00767064">
        <w:t xml:space="preserve"> protocol deviations (those relating to inclusion/exclusion criteria, study conduct, subject management, or subject assessment that could have potentially affected the interpretability of study results) are </w:t>
      </w:r>
      <w:r w:rsidR="009730D1">
        <w:t>separated</w:t>
      </w:r>
      <w:r w:rsidR="00307D0C" w:rsidRPr="00767064">
        <w:t xml:space="preserve"> ac</w:t>
      </w:r>
      <w:r w:rsidR="00F86A56">
        <w:t>cording to programmable and non</w:t>
      </w:r>
      <w:r w:rsidR="00F86A56">
        <w:noBreakHyphen/>
      </w:r>
      <w:r w:rsidR="00307D0C" w:rsidRPr="00767064">
        <w:t>programmabl</w:t>
      </w:r>
      <w:r>
        <w:t xml:space="preserve">e deviations. Non </w:t>
      </w:r>
      <w:r w:rsidR="00307D0C" w:rsidRPr="00767064">
        <w:t xml:space="preserve">programmable protocol deviations were defined as other </w:t>
      </w:r>
      <w:r w:rsidR="00307D0C" w:rsidRPr="00144FD9">
        <w:t>potentially clinically</w:t>
      </w:r>
      <w:r w:rsidR="00307D0C">
        <w:t xml:space="preserve"> </w:t>
      </w:r>
      <w:r w:rsidR="00307D0C" w:rsidRPr="00144FD9">
        <w:t>relevant study management issues reported by the sites</w:t>
      </w:r>
      <w:r w:rsidR="00307D0C">
        <w:t xml:space="preserve">, identified by the </w:t>
      </w:r>
      <w:r w:rsidR="00307D0C" w:rsidRPr="00767064">
        <w:t xml:space="preserve">sponsor and counted manually. Significant programmable protocol deviations were reported for 23.5% and 21.5% of subjects in the </w:t>
      </w:r>
      <w:r w:rsidR="00F22D76">
        <w:t>ipilimumab</w:t>
      </w:r>
      <w:r w:rsidR="00307D0C" w:rsidRPr="00767064">
        <w:t xml:space="preserve"> plus DTIC and DTIC monotherapy groups, respectively; most of these were related to the timing of dose administration and the absence of required laboratory tests prior to dosing</w:t>
      </w:r>
      <w:r w:rsidR="001620D3">
        <w:t xml:space="preserve">. Significant non </w:t>
      </w:r>
      <w:r w:rsidR="00307D0C" w:rsidRPr="00767064">
        <w:t xml:space="preserve">programmable protocol eligibility deviations were reported for a total of 8 (3.2%) and 10 (4.0%) treated subjects in the DTIC monotherapy group and </w:t>
      </w:r>
      <w:r w:rsidR="00F22D76">
        <w:t>ipilimumab</w:t>
      </w:r>
      <w:r w:rsidR="00307D0C" w:rsidRPr="00767064">
        <w:t xml:space="preserve"> plus DTIC, respectively </w:t>
      </w:r>
      <w:r w:rsidR="00307D0C" w:rsidRPr="00F966C3">
        <w:t>(</w:t>
      </w:r>
      <w:r w:rsidR="00307D0C" w:rsidRPr="00CF0E37">
        <w:t xml:space="preserve">the </w:t>
      </w:r>
      <w:r w:rsidR="005F5E22" w:rsidRPr="00CF0E37">
        <w:t>sponsor</w:t>
      </w:r>
      <w:r w:rsidR="00307D0C" w:rsidRPr="00CF0E37">
        <w:t xml:space="preserve"> annotates the frequency for these deviations opposite to what is listed on Table 4.3B of </w:t>
      </w:r>
      <w:r w:rsidR="00F966C3" w:rsidRPr="00CF0E37">
        <w:t xml:space="preserve">the </w:t>
      </w:r>
      <w:r w:rsidR="00307D0C" w:rsidRPr="00CF0E37">
        <w:t>CSR</w:t>
      </w:r>
      <w:r w:rsidR="00767064" w:rsidRPr="00CF0E37">
        <w:t>).</w:t>
      </w:r>
    </w:p>
    <w:p w:rsidR="00307D0C" w:rsidRDefault="00307D0C" w:rsidP="00767064">
      <w:r w:rsidRPr="00767064">
        <w:lastRenderedPageBreak/>
        <w:t>Other reported protocol deviations that occurred that were unlikely to invalidate the use of data, included; a total of 17 (3.4%) patients were continued on treatment despite adverse events, 18 (3.6%) patients were continued on treatment despite progressive disease, 16 (3.2%) patients were continued on treatment despite dose skipping criteria (It is unclear how this differs from an adverse event or if these excluded those associated with adverse events), report of 26 (5.2%) patients’ SAEs were delayed (3 of which occurred in the same patient, and 2 of which occurred in another patient bo</w:t>
      </w:r>
      <w:r w:rsidR="001620D3">
        <w:t>th in the same institution</w:t>
      </w:r>
      <w:r w:rsidRPr="00767064">
        <w:t>), and 3 subjects’ (1%) SAEs were not reported the IRB (2 occurred in the same pati</w:t>
      </w:r>
      <w:r w:rsidR="002659D8">
        <w:t>ent),</w:t>
      </w:r>
      <w:r w:rsidRPr="00767064">
        <w:t xml:space="preserve"> all of which were all generally more common in the investigational arm. In addition, a total of 1</w:t>
      </w:r>
      <w:r w:rsidR="00767064">
        <w:t>9 consent violations occurred.</w:t>
      </w:r>
    </w:p>
    <w:p w:rsidR="00307D0C" w:rsidRPr="00767064" w:rsidRDefault="00307D0C" w:rsidP="00951A97">
      <w:pPr>
        <w:pStyle w:val="Heading5"/>
      </w:pPr>
      <w:bookmarkStart w:id="172" w:name="_Ref389041218"/>
      <w:r w:rsidRPr="00767064">
        <w:t>Baseline data</w:t>
      </w:r>
      <w:bookmarkEnd w:id="172"/>
    </w:p>
    <w:p w:rsidR="00307D0C" w:rsidRPr="00767064" w:rsidRDefault="00307D0C" w:rsidP="00767064">
      <w:r w:rsidRPr="00767064">
        <w:t>A total of 502 subjects were random</w:t>
      </w:r>
      <w:r w:rsidR="00C91631">
        <w:t>is</w:t>
      </w:r>
      <w:r w:rsidRPr="00767064">
        <w:t xml:space="preserve">ed (250 to </w:t>
      </w:r>
      <w:r w:rsidR="00F22D76">
        <w:t>ipilimumab</w:t>
      </w:r>
      <w:r w:rsidRPr="00767064">
        <w:t xml:space="preserve"> plus DTIC and 252 to DTIC monotherapy); 498 subjects were treated (247 to </w:t>
      </w:r>
      <w:r w:rsidR="00F22D76">
        <w:t>ipilimumab</w:t>
      </w:r>
      <w:r w:rsidRPr="00767064">
        <w:t xml:space="preserve"> plus DTIC and 251 to DTIC monotherapy). Two subjects in the DTIC monotherapy group each erroneously received 1 dose of active </w:t>
      </w:r>
      <w:r w:rsidR="00F22D76">
        <w:t>ipilimumab</w:t>
      </w:r>
      <w:r w:rsidRPr="00767064">
        <w:t xml:space="preserve"> instead of </w:t>
      </w:r>
      <w:r w:rsidR="00F22D76">
        <w:t>ipilimumab</w:t>
      </w:r>
      <w:r w:rsidRPr="00767064">
        <w:t xml:space="preserve"> placebo. Median follow up was 10.5 months (range 0.4 to 47.4 months) for the </w:t>
      </w:r>
      <w:r w:rsidR="00F22D76">
        <w:t>ipilimumab</w:t>
      </w:r>
      <w:r w:rsidRPr="00767064">
        <w:t xml:space="preserve"> plus DTIC group and 8.9 months (range 0.1 to 47.6 months) for the DTIC monotherapy group.</w:t>
      </w:r>
    </w:p>
    <w:p w:rsidR="00307D0C" w:rsidRPr="00767064" w:rsidRDefault="00307D0C" w:rsidP="00767064">
      <w:r w:rsidRPr="00767064">
        <w:t xml:space="preserve">Baseline demographics and disease characteristics were balanced between treatment groups. The median age was 58.0 years. Most subjects were male (60.0%), aged &lt; 65 years (68.1%), and </w:t>
      </w:r>
      <w:r w:rsidR="002659D8">
        <w:t>of white race (9</w:t>
      </w:r>
      <w:r w:rsidR="000C5666">
        <w:t xml:space="preserve">9.6%) </w:t>
      </w:r>
      <w:proofErr w:type="gramStart"/>
      <w:r w:rsidR="000C5666">
        <w:t>(T</w:t>
      </w:r>
      <w:r w:rsidR="004572B9">
        <w:t>able 19</w:t>
      </w:r>
      <w:r w:rsidRPr="00767064">
        <w:t xml:space="preserve"> below).</w:t>
      </w:r>
      <w:proofErr w:type="gramEnd"/>
      <w:r w:rsidRPr="00767064">
        <w:t xml:space="preserve"> The majority of subjects were M1c stage (56.2%), and 40.4% of subjects had an elevated LDH at baseline (&gt; ULN). ECOG performance status was 0 or 1 for all subjects. The median time from initial pathological diagnosis of malignant melanoma to first dose of study therapy was 20.0 months. The frequency of prior systemic therapy reported as balanced between treatment groups (26.4% and 27.0% in the </w:t>
      </w:r>
      <w:r w:rsidR="00F22D76">
        <w:t>ipilimumab</w:t>
      </w:r>
      <w:r w:rsidRPr="00767064">
        <w:t xml:space="preserve"> + DTIC group and DTIC monotherapy group, respectively). The most common adj</w:t>
      </w:r>
      <w:r w:rsidR="006E017A">
        <w:t xml:space="preserve">uvant therapies were interferon </w:t>
      </w:r>
      <w:r w:rsidRPr="00767064">
        <w:t>contai</w:t>
      </w:r>
      <w:r w:rsidR="006E017A">
        <w:t>ning regimens (114</w:t>
      </w:r>
      <w:r w:rsidR="005853BB">
        <w:t xml:space="preserve"> out of </w:t>
      </w:r>
      <w:r w:rsidR="006E017A">
        <w:t>133 subjects</w:t>
      </w:r>
      <w:r w:rsidRPr="00767064">
        <w:t>). The most common reason for discontinuing prior therapy was disease progression (55 subjects), followed by treatment completion (37 subjects).</w:t>
      </w:r>
    </w:p>
    <w:p w:rsidR="00307D0C" w:rsidRPr="00767064" w:rsidRDefault="00CC3488" w:rsidP="00767064">
      <w:r w:rsidRPr="00CC3488">
        <w:t>The CSR indicates that a</w:t>
      </w:r>
      <w:r w:rsidR="00307D0C" w:rsidRPr="00CC3488">
        <w:t xml:space="preserve"> listing of prior</w:t>
      </w:r>
      <w:r w:rsidR="00307D0C" w:rsidRPr="00767064">
        <w:t xml:space="preserve"> systemic therapy is provided which is a listing of all pre and post study systemic treatment. Prior treatment included previous chemotherapy for which it is not described how exclusion criteria were not violated, unless these agents were considered as (unconventional) </w:t>
      </w:r>
      <w:r w:rsidR="00C108F1">
        <w:t>‘</w:t>
      </w:r>
      <w:r w:rsidR="00307D0C" w:rsidRPr="00767064">
        <w:t>adjuvant therapy</w:t>
      </w:r>
      <w:r w:rsidR="00C108F1">
        <w:t>’</w:t>
      </w:r>
      <w:r w:rsidR="00307D0C" w:rsidRPr="00767064">
        <w:t xml:space="preserve"> which was permitted in the study. For example, </w:t>
      </w:r>
      <w:r>
        <w:t xml:space="preserve">in </w:t>
      </w:r>
      <w:r w:rsidR="00307D0C" w:rsidRPr="00767064">
        <w:t>CA184024-</w:t>
      </w:r>
      <w:r>
        <w:t>a subject [information redacted]</w:t>
      </w:r>
      <w:r w:rsidR="00307D0C" w:rsidRPr="00767064">
        <w:t xml:space="preserve"> on the investigational arm, received study treatment betwee</w:t>
      </w:r>
      <w:r w:rsidR="006E017A">
        <w:t>n August to</w:t>
      </w:r>
      <w:r w:rsidR="00307D0C" w:rsidRPr="00767064">
        <w:t xml:space="preserve"> </w:t>
      </w:r>
      <w:r w:rsidR="00661517">
        <w:t>September</w:t>
      </w:r>
      <w:r w:rsidR="00307D0C" w:rsidRPr="00767064">
        <w:t xml:space="preserve"> 2007 but had received 2 cycles of DTIC in March 2006 study arm. Similarly, </w:t>
      </w:r>
      <w:r>
        <w:t xml:space="preserve">in </w:t>
      </w:r>
      <w:r w:rsidR="00307D0C" w:rsidRPr="00767064">
        <w:t>CA184024-</w:t>
      </w:r>
      <w:r w:rsidR="006E017A" w:rsidRPr="006E017A">
        <w:t xml:space="preserve"> a subject </w:t>
      </w:r>
      <w:r w:rsidRPr="00CC3488">
        <w:t>[information redacted]</w:t>
      </w:r>
      <w:r w:rsidR="006E017A" w:rsidRPr="006E017A">
        <w:t xml:space="preserve"> </w:t>
      </w:r>
      <w:r w:rsidR="00307D0C" w:rsidRPr="00767064">
        <w:t xml:space="preserve">on the investigational arm was treated on study between June 2007 and 2009, but had received bleomycin, lomustine, and vincristine in 2006. </w:t>
      </w:r>
      <w:r>
        <w:t xml:space="preserve">In Study </w:t>
      </w:r>
      <w:r w:rsidR="00307D0C" w:rsidRPr="00767064">
        <w:t>CA184024</w:t>
      </w:r>
      <w:r w:rsidR="006E017A" w:rsidRPr="006E017A">
        <w:t xml:space="preserve"> a subject </w:t>
      </w:r>
      <w:r w:rsidRPr="00CC3488">
        <w:t>[information redacted]</w:t>
      </w:r>
      <w:r w:rsidR="006E017A" w:rsidRPr="006E017A">
        <w:t xml:space="preserve"> </w:t>
      </w:r>
      <w:r w:rsidR="00307D0C" w:rsidRPr="00767064">
        <w:t>on the control arm was treated on study between August 2007 and January 2008, but had received 3 doses of vinblastine with interferon alpha and interleukin in 2006.</w:t>
      </w:r>
    </w:p>
    <w:p w:rsidR="00307D0C" w:rsidRPr="00767064" w:rsidRDefault="00307D0C" w:rsidP="00767064">
      <w:r w:rsidRPr="00767064">
        <w:t>Most subjects had normal WBC, ANC, platelet and liver function results at baseline. Haemoglobin was normal in 77.9% of subjects. Absolute lymphocyte count was normal in 58.4% of subjects, with Grade 2 and 3 abnormalities reported in 4.6% and 0.4% of subjects, respectively, but was similar between treatment groups.</w:t>
      </w:r>
    </w:p>
    <w:p w:rsidR="00307D0C" w:rsidRDefault="00307D0C" w:rsidP="00767064">
      <w:pPr>
        <w:pStyle w:val="Tabletitle"/>
      </w:pPr>
      <w:bookmarkStart w:id="173" w:name="_Toc390676298"/>
      <w:r w:rsidRPr="00767064">
        <w:lastRenderedPageBreak/>
        <w:t>Table</w:t>
      </w:r>
      <w:r w:rsidR="002659D8">
        <w:t xml:space="preserve"> </w:t>
      </w:r>
      <w:r w:rsidR="004572B9">
        <w:t>19</w:t>
      </w:r>
      <w:r w:rsidR="00BF0776">
        <w:t>:</w:t>
      </w:r>
      <w:r w:rsidRPr="00767064">
        <w:t xml:space="preserve"> Study CA184024 patient baseline characteristics</w:t>
      </w:r>
      <w:bookmarkEnd w:id="173"/>
    </w:p>
    <w:p w:rsidR="006E53A5" w:rsidRPr="006E53A5" w:rsidRDefault="006E53A5" w:rsidP="006E53A5">
      <w:r>
        <w:rPr>
          <w:noProof/>
          <w:lang w:eastAsia="en-AU"/>
        </w:rPr>
        <w:drawing>
          <wp:inline distT="0" distB="0" distL="0" distR="0" wp14:anchorId="6DA11469" wp14:editId="5798E5E5">
            <wp:extent cx="5440757" cy="5991149"/>
            <wp:effectExtent l="0" t="0" r="0" b="0"/>
            <wp:docPr id="25" name="Picture 25" descr="Table 19: Study CA184024 patien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9288" cy="5989532"/>
                    </a:xfrm>
                    <a:prstGeom prst="rect">
                      <a:avLst/>
                    </a:prstGeom>
                  </pic:spPr>
                </pic:pic>
              </a:graphicData>
            </a:graphic>
          </wp:inline>
        </w:drawing>
      </w:r>
    </w:p>
    <w:p w:rsidR="00307D0C" w:rsidRPr="001B4C5E" w:rsidRDefault="00307D0C" w:rsidP="001B4C5E">
      <w:r w:rsidRPr="00767064">
        <w:t xml:space="preserve">Prior to database lock, treatment was unblinded for 8 (1.6%) treated subjects (2 were </w:t>
      </w:r>
      <w:r w:rsidRPr="001B4C5E">
        <w:t xml:space="preserve">unblinded to the site investigator and 6 were unblinded to BMS). Two of the subjects were in the </w:t>
      </w:r>
      <w:r w:rsidR="00F22D76">
        <w:t>ipilimumab</w:t>
      </w:r>
      <w:r w:rsidRPr="001B4C5E">
        <w:t xml:space="preserve"> plus DTIC group and 6 were in the DTIC monotherapy group. Of these 8 unblindings, 5 were accidentally unblinded, 2 were intentionally unblinded to aid in the assessment of </w:t>
      </w:r>
      <w:r w:rsidR="00BF0776" w:rsidRPr="001B4C5E">
        <w:t>expedited safety reports</w:t>
      </w:r>
      <w:r w:rsidRPr="001B4C5E">
        <w:t xml:space="preserve">, and 1 was intentionally unblinded to support a clinical </w:t>
      </w:r>
      <w:r w:rsidR="0083412A">
        <w:t>deci</w:t>
      </w:r>
      <w:r w:rsidRPr="001B4C5E">
        <w:t>sion of the site investigator regarding subject safety.</w:t>
      </w:r>
    </w:p>
    <w:p w:rsidR="00307D0C" w:rsidRDefault="00307D0C" w:rsidP="001B4C5E">
      <w:r w:rsidRPr="001B4C5E">
        <w:t xml:space="preserve">Regarding concomitant therapy, systemic corticosteroids were reported for 59.1% of subjects in the </w:t>
      </w:r>
      <w:r w:rsidR="00F22D76">
        <w:t>ipilimumab</w:t>
      </w:r>
      <w:r w:rsidRPr="001B4C5E">
        <w:t xml:space="preserve"> plus DTIC group and 30.7% of subjects in the DTIC monotherapy group. However, it is not clear how many of these were adverse events requiring steroids or otherwise</w:t>
      </w:r>
      <w:r w:rsidR="00CC3488">
        <w:t xml:space="preserve"> </w:t>
      </w:r>
      <w:r w:rsidR="00CC3488" w:rsidRPr="00CC3488">
        <w:t>(in the referred Appendix 4.6 there were listings of corticosteroids that were for “other” rather than “adverse events”)</w:t>
      </w:r>
      <w:r w:rsidR="00767064" w:rsidRPr="00CC3488">
        <w:t>.</w:t>
      </w:r>
    </w:p>
    <w:p w:rsidR="00307D0C" w:rsidRPr="00767064" w:rsidRDefault="00307D0C" w:rsidP="00951A97">
      <w:pPr>
        <w:pStyle w:val="Heading5"/>
      </w:pPr>
      <w:r w:rsidRPr="00767064">
        <w:lastRenderedPageBreak/>
        <w:t>Results for the primary efficacy outcome</w:t>
      </w:r>
    </w:p>
    <w:p w:rsidR="00307D0C" w:rsidRDefault="00307D0C" w:rsidP="00767064">
      <w:r w:rsidRPr="00767064">
        <w:t>Survival was assessed for subjects known to be alive at last c</w:t>
      </w:r>
      <w:r w:rsidR="00864309">
        <w:t>ontact and was a median of 10.5 </w:t>
      </w:r>
      <w:r w:rsidRPr="00767064">
        <w:t xml:space="preserve">months (range 0.4 to 47.4 months) for the </w:t>
      </w:r>
      <w:r w:rsidR="00F22D76">
        <w:t>ipilimumab</w:t>
      </w:r>
      <w:r w:rsidRPr="00767064">
        <w:t xml:space="preserve"> plus DTIC group and 8.9 months (range 0.1 to 47.6 months) for the DTIC monotherapy group. The study demonstrated clinically meaningful and statistically significant prolonged survival for the </w:t>
      </w:r>
      <w:r w:rsidR="00F22D76">
        <w:t>ipilimumab</w:t>
      </w:r>
      <w:r w:rsidRPr="00767064">
        <w:t xml:space="preserve"> plus DTIC group relative to the DTIC monotherapy group. There was a risk reduction for death of 28% in the </w:t>
      </w:r>
      <w:r w:rsidR="00F22D76">
        <w:t>ipilimumab</w:t>
      </w:r>
      <w:r w:rsidRPr="00767064">
        <w:t xml:space="preserve"> plus DTIC</w:t>
      </w:r>
      <w:r w:rsidR="00864309">
        <w:t xml:space="preserve"> group (HR = 0.72, 95% CI 0.59 to 0.87, p = 0.0009)</w:t>
      </w:r>
      <w:r w:rsidRPr="00767064">
        <w:t xml:space="preserve"> </w:t>
      </w:r>
      <w:r w:rsidR="00864309">
        <w:t>(</w:t>
      </w:r>
      <w:r w:rsidRPr="00F047E2">
        <w:t xml:space="preserve">Figure </w:t>
      </w:r>
      <w:r w:rsidR="00864309" w:rsidRPr="00F047E2">
        <w:t>2)</w:t>
      </w:r>
      <w:r w:rsidRPr="00F047E2">
        <w:t>. The</w:t>
      </w:r>
      <w:r w:rsidRPr="00767064">
        <w:t xml:space="preserve"> median survival was 11.2 (95% CI: 9.4, 13.6) months in the </w:t>
      </w:r>
      <w:r w:rsidR="00F22D76">
        <w:t>ipilimumab</w:t>
      </w:r>
      <w:r w:rsidRPr="00BD030B">
        <w:t xml:space="preserve"> </w:t>
      </w:r>
      <w:r w:rsidRPr="00767064">
        <w:t>plus DTIC group and 9.1 (95% CI: 7.8, 10.5) months in the DTIC monotherapy group.</w:t>
      </w:r>
    </w:p>
    <w:p w:rsidR="00307D0C" w:rsidRPr="00767064" w:rsidRDefault="00307D0C" w:rsidP="00767064">
      <w:pPr>
        <w:pStyle w:val="FigureTitle"/>
      </w:pPr>
      <w:bookmarkStart w:id="174" w:name="_Toc390676321"/>
      <w:r w:rsidRPr="00F047E2">
        <w:t>Figure</w:t>
      </w:r>
      <w:r w:rsidR="00F047E2">
        <w:t xml:space="preserve"> </w:t>
      </w:r>
      <w:r w:rsidR="00864309" w:rsidRPr="00F047E2">
        <w:t>2</w:t>
      </w:r>
      <w:r w:rsidR="00BF0776" w:rsidRPr="00F047E2">
        <w:t>:</w:t>
      </w:r>
      <w:r w:rsidRPr="00767064">
        <w:t xml:space="preserve"> Kaplan Meier curve for </w:t>
      </w:r>
      <w:r w:rsidR="00BF0776">
        <w:t>o</w:t>
      </w:r>
      <w:r w:rsidRPr="00767064">
        <w:t>verall survival of randomised subjects from CA184024</w:t>
      </w:r>
      <w:bookmarkEnd w:id="174"/>
    </w:p>
    <w:p w:rsidR="00307D0C" w:rsidRDefault="00307D0C" w:rsidP="00767064">
      <w:r w:rsidRPr="00767064">
        <w:rPr>
          <w:noProof/>
          <w:lang w:eastAsia="en-AU"/>
        </w:rPr>
        <w:drawing>
          <wp:inline distT="0" distB="0" distL="0" distR="0" wp14:anchorId="1FB875A8" wp14:editId="0286845A">
            <wp:extent cx="5577840" cy="3375660"/>
            <wp:effectExtent l="0" t="0" r="0" b="0"/>
            <wp:docPr id="2059" name="Picture 2" descr="Figure 2: Kaplan Meier curve for overall survival of randomised subjects from CA18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2640" t="10315" r="10488" b="8080"/>
                    <a:stretch/>
                  </pic:blipFill>
                  <pic:spPr bwMode="auto">
                    <a:xfrm>
                      <a:off x="0" y="0"/>
                      <a:ext cx="5575907" cy="3374490"/>
                    </a:xfrm>
                    <a:prstGeom prst="rect">
                      <a:avLst/>
                    </a:prstGeom>
                    <a:noFill/>
                    <a:ln>
                      <a:noFill/>
                    </a:ln>
                    <a:extLst/>
                  </pic:spPr>
                </pic:pic>
              </a:graphicData>
            </a:graphic>
          </wp:inline>
        </w:drawing>
      </w:r>
    </w:p>
    <w:p w:rsidR="00307D0C" w:rsidRPr="00767064" w:rsidRDefault="00307D0C" w:rsidP="00767064">
      <w:r w:rsidRPr="00767064">
        <w:t xml:space="preserve">Prolonged survival for a proportion of subjects in the </w:t>
      </w:r>
      <w:r w:rsidR="00F22D76">
        <w:t>ipilimumab</w:t>
      </w:r>
      <w:r w:rsidRPr="00767064">
        <w:t xml:space="preserve"> plus DTIC group was demonstrated, with a </w:t>
      </w:r>
      <w:r w:rsidR="00864309">
        <w:t>2 year</w:t>
      </w:r>
      <w:r w:rsidRPr="00767064">
        <w:t xml:space="preserve"> survival rate of 28.5% (</w:t>
      </w:r>
      <w:r w:rsidR="00046414">
        <w:t>versus</w:t>
      </w:r>
      <w:r w:rsidRPr="00767064">
        <w:t xml:space="preserve"> 17.9% for DTIC monotherapy), and a </w:t>
      </w:r>
      <w:r w:rsidR="00864309">
        <w:t>3 year</w:t>
      </w:r>
      <w:r w:rsidRPr="00767064">
        <w:t xml:space="preserve"> survival rate of 20.8% (versus 12.2% for DTIC </w:t>
      </w:r>
      <w:r w:rsidRPr="00CF0E37">
        <w:t xml:space="preserve">monotherapy, Table </w:t>
      </w:r>
      <w:r w:rsidR="004572B9">
        <w:t>20</w:t>
      </w:r>
      <w:r w:rsidRPr="00CF0E37">
        <w:t>).</w:t>
      </w:r>
    </w:p>
    <w:p w:rsidR="00307D0C" w:rsidRDefault="00BF0776" w:rsidP="00767064">
      <w:pPr>
        <w:pStyle w:val="Comment"/>
      </w:pPr>
      <w:r>
        <w:rPr>
          <w:b/>
        </w:rPr>
        <w:t>C</w:t>
      </w:r>
      <w:r w:rsidR="006E15A4">
        <w:rPr>
          <w:b/>
        </w:rPr>
        <w:t>omment</w:t>
      </w:r>
      <w:r w:rsidR="00307D0C" w:rsidRPr="00864309">
        <w:rPr>
          <w:b/>
        </w:rPr>
        <w:t>:</w:t>
      </w:r>
      <w:r w:rsidR="00307D0C" w:rsidRPr="00767064">
        <w:t xml:space="preserve"> Note that the confidence intervals </w:t>
      </w:r>
      <w:r w:rsidR="00307D0C" w:rsidRPr="00864309">
        <w:t xml:space="preserve">overlap for Table </w:t>
      </w:r>
      <w:r w:rsidR="004572B9">
        <w:t>20</w:t>
      </w:r>
      <w:r w:rsidR="00767064" w:rsidRPr="00864309">
        <w:t>.</w:t>
      </w:r>
    </w:p>
    <w:p w:rsidR="00307D0C" w:rsidRPr="00BD2A2E" w:rsidRDefault="00307D0C" w:rsidP="00BD2A2E">
      <w:pPr>
        <w:pStyle w:val="Tabletitle"/>
      </w:pPr>
      <w:bookmarkStart w:id="175" w:name="_Toc390676299"/>
      <w:r w:rsidRPr="00CF0E37">
        <w:t>Table</w:t>
      </w:r>
      <w:r w:rsidR="004572B9">
        <w:t>20</w:t>
      </w:r>
      <w:r w:rsidR="00BF0776" w:rsidRPr="00CF0E37">
        <w:t>:</w:t>
      </w:r>
      <w:r w:rsidRPr="00CF0E37">
        <w:t xml:space="preserve"> Overall</w:t>
      </w:r>
      <w:r w:rsidRPr="00BD2A2E">
        <w:t xml:space="preserve"> survival by time points for randomised subjects from CA184024</w:t>
      </w:r>
      <w:bookmarkEnd w:id="175"/>
      <w:r w:rsidR="00D073FA">
        <w:t>,</w:t>
      </w:r>
      <w:r w:rsidR="00864309">
        <w:t xml:space="preserve"> </w:t>
      </w:r>
      <w:r w:rsidR="00D073FA">
        <w:t>(</w:t>
      </w:r>
      <w:proofErr w:type="gramStart"/>
      <w:r w:rsidR="00864309">
        <w:t>2 sided confidence interval</w:t>
      </w:r>
      <w:proofErr w:type="gramEnd"/>
      <w:r w:rsidR="00864309">
        <w:t xml:space="preserve"> calculated using the bootstrap method, based on Kaplan-Meier estimation</w:t>
      </w:r>
      <w:r w:rsidR="00D073FA">
        <w:t>)</w:t>
      </w:r>
    </w:p>
    <w:p w:rsidR="00307D0C" w:rsidRDefault="00307D0C" w:rsidP="00307D0C">
      <w:pPr>
        <w:autoSpaceDE w:val="0"/>
        <w:autoSpaceDN w:val="0"/>
        <w:adjustRightInd w:val="0"/>
      </w:pPr>
      <w:r>
        <w:rPr>
          <w:noProof/>
          <w:lang w:eastAsia="en-AU"/>
        </w:rPr>
        <w:drawing>
          <wp:inline distT="0" distB="0" distL="0" distR="0" wp14:anchorId="7D902DC2" wp14:editId="1F386D1B">
            <wp:extent cx="5377247" cy="1865376"/>
            <wp:effectExtent l="0" t="0" r="0" b="0"/>
            <wp:docPr id="5122" name="Picture 2" descr="Table20: Overall survival by time points for randomised subjects from CA184024, (2 sided confidence interval calculated using the bootstrap method, based on Kaplan-Meier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9596" t="24124" r="21926" b="45976"/>
                    <a:stretch/>
                  </pic:blipFill>
                  <pic:spPr bwMode="auto">
                    <a:xfrm>
                      <a:off x="0" y="0"/>
                      <a:ext cx="5387357" cy="1868883"/>
                    </a:xfrm>
                    <a:prstGeom prst="rect">
                      <a:avLst/>
                    </a:prstGeom>
                    <a:noFill/>
                    <a:ln>
                      <a:noFill/>
                    </a:ln>
                    <a:extLst/>
                  </pic:spPr>
                </pic:pic>
              </a:graphicData>
            </a:graphic>
          </wp:inline>
        </w:drawing>
      </w:r>
    </w:p>
    <w:p w:rsidR="00307D0C" w:rsidRPr="001B4C5E" w:rsidRDefault="00307D0C" w:rsidP="001B4C5E">
      <w:r w:rsidRPr="00BD2A2E">
        <w:lastRenderedPageBreak/>
        <w:t xml:space="preserve">Among the 15.2% of subjects in the </w:t>
      </w:r>
      <w:r w:rsidR="00F22D76">
        <w:t>ipilimumab</w:t>
      </w:r>
      <w:r w:rsidRPr="00BD2A2E">
        <w:t xml:space="preserve"> plus DTIC group achieving confirmed objective response, the median duration of response was 19.3 months </w:t>
      </w:r>
      <w:r w:rsidR="00046414">
        <w:t>versus</w:t>
      </w:r>
      <w:r w:rsidRPr="00BD2A2E">
        <w:t xml:space="preserve"> 8.1 months for the 10.3% of subjects in the DTIC monotherapy group who achieved a response. The disease control rate (DCR), which is composed of CR, PR, and SD, was 33.2% and 30.2% for the </w:t>
      </w:r>
      <w:r w:rsidR="00F22D76">
        <w:t>ipilimumab</w:t>
      </w:r>
      <w:r w:rsidRPr="00BD2A2E">
        <w:t xml:space="preserve"> plus</w:t>
      </w:r>
      <w:r w:rsidRPr="00BD030B">
        <w:t xml:space="preserve"> </w:t>
      </w:r>
      <w:r w:rsidRPr="001B4C5E">
        <w:t xml:space="preserve">DTIC and DTIC monotherapy groups, respectively. Overall survival for subjects with disease control (subjects with CR/PR/SD) was 28.7 months (95% CI: 23.8, ---) and 19.8 months (95% CI: 14.6, 28.2) in the </w:t>
      </w:r>
      <w:r w:rsidR="00F22D76">
        <w:t>ipilimumab</w:t>
      </w:r>
      <w:r w:rsidRPr="001B4C5E">
        <w:t xml:space="preserve"> plus DTIC and DTIC monotherapy groups, respectively.</w:t>
      </w:r>
    </w:p>
    <w:p w:rsidR="00307D0C" w:rsidRPr="001B4C5E" w:rsidRDefault="00307D0C" w:rsidP="001B4C5E">
      <w:r w:rsidRPr="001B4C5E">
        <w:t xml:space="preserve">In each treatment group, the median OS was longer for those subjects who received 4 induction doses of </w:t>
      </w:r>
      <w:r w:rsidR="00F22D76">
        <w:t>ipilimumab</w:t>
      </w:r>
      <w:r w:rsidRPr="001B4C5E">
        <w:t xml:space="preserve">/placebo compared to those who received fewer doses, based on an analysis which excluded subjects who died (or who were censored) before the scheduled 4th induction dose </w:t>
      </w:r>
      <w:r w:rsidRPr="00F047E2">
        <w:t xml:space="preserve">(Figure </w:t>
      </w:r>
      <w:r w:rsidR="008039E6" w:rsidRPr="00F047E2">
        <w:t>3</w:t>
      </w:r>
      <w:r w:rsidRPr="00F047E2">
        <w:t xml:space="preserve"> below).</w:t>
      </w:r>
      <w:r w:rsidRPr="001B4C5E">
        <w:t xml:space="preserve"> This explains the initial delay (up to Week 10) in the Kaplan-Meier plots before any deaths are observed. In the </w:t>
      </w:r>
      <w:r w:rsidR="00F22D76">
        <w:t>ipilimumab</w:t>
      </w:r>
      <w:r w:rsidRPr="001B4C5E">
        <w:t xml:space="preserve"> plus DTIC group the median OS for subjects who received 4 doses was 16.5 months (95% CI: 13.6, 22.1), compared to 9.3 months (95% CI: 8.5, 13.4) for those who received &lt; 4 doses, and 10.2 months (95% CI: 8.4, 17.1) for those who received 3 doses.</w:t>
      </w:r>
    </w:p>
    <w:p w:rsidR="00307D0C" w:rsidRPr="001B4C5E" w:rsidRDefault="00307D0C" w:rsidP="001B4C5E">
      <w:r w:rsidRPr="001B4C5E">
        <w:t>In the DTIC monotherapy group, the median OS for subjects who received 4 induction doses was 11.8 months (95% CI: 10.5, 13.9), compared to 5.3 months (95% CI: 3.9, 6.3) for those who received &lt; 4 doses, and 5.4 months (95% CI: 4.1, 8.3) for those</w:t>
      </w:r>
      <w:r w:rsidR="0028097A">
        <w:t xml:space="preserve"> who received 3 doses. The time </w:t>
      </w:r>
      <w:r w:rsidRPr="001B4C5E">
        <w:t>dependent character of these analyses, which does not exclude other potentially confounding variables, prevents definitive conclusions regarding the impact of the number of doses of study treatment on survival.</w:t>
      </w:r>
    </w:p>
    <w:p w:rsidR="00307D0C" w:rsidRPr="001B4C5E" w:rsidRDefault="00307D0C" w:rsidP="001B4C5E">
      <w:r w:rsidRPr="001B4C5E">
        <w:t>The proportion of subjects receiving subsequent therapy, and the treatments were balanced across groups (</w:t>
      </w:r>
      <w:r w:rsidR="00F22D76">
        <w:t>ipilimumab</w:t>
      </w:r>
      <w:r w:rsidRPr="001B4C5E">
        <w:t xml:space="preserve"> plus DTIC: 54.7%, DTIC monotherapy: 59.0%). Survival analyses accounting for subsequent therapy was similar to the primary endpoint numerically with the CI including the null value, that is, crosses 1 (</w:t>
      </w:r>
      <w:r w:rsidR="00F22D76">
        <w:t>ipilimumab</w:t>
      </w:r>
      <w:r w:rsidRPr="001B4C5E">
        <w:t xml:space="preserve"> plus DTIC: 11.2 months; DTIC monotherapy: 9.1 months, HR 0.78, 95% CI: 0.58 - 1.05).</w:t>
      </w:r>
    </w:p>
    <w:p w:rsidR="00307D0C" w:rsidRPr="00BD2A2E" w:rsidRDefault="00307D0C" w:rsidP="00BD2A2E">
      <w:pPr>
        <w:pStyle w:val="FigureTitle"/>
      </w:pPr>
      <w:bookmarkStart w:id="176" w:name="_Toc390676322"/>
      <w:r w:rsidRPr="00F047E2">
        <w:t xml:space="preserve">Figure </w:t>
      </w:r>
      <w:r w:rsidR="00F047E2" w:rsidRPr="00F047E2">
        <w:t>3:</w:t>
      </w:r>
      <w:r w:rsidRPr="00BD2A2E">
        <w:t xml:space="preserve"> Overall survival by number of induction doses (4 versus &lt;</w:t>
      </w:r>
      <w:r w:rsidR="0028097A">
        <w:t xml:space="preserve"> </w:t>
      </w:r>
      <w:r w:rsidRPr="00BD2A2E">
        <w:t>4) according to treatment arm</w:t>
      </w:r>
      <w:bookmarkEnd w:id="176"/>
    </w:p>
    <w:p w:rsidR="00307D0C" w:rsidRDefault="00307D0C" w:rsidP="00BD2A2E">
      <w:r w:rsidRPr="00BD2A2E">
        <w:rPr>
          <w:noProof/>
          <w:lang w:eastAsia="en-AU"/>
        </w:rPr>
        <w:drawing>
          <wp:inline distT="0" distB="0" distL="0" distR="0" wp14:anchorId="52BE785A" wp14:editId="701C02D6">
            <wp:extent cx="4884420" cy="2918460"/>
            <wp:effectExtent l="0" t="0" r="0" b="0"/>
            <wp:docPr id="7170" name="Picture 2" descr="Figure 3: Overall survival by number of induction doses (4 versus &lt; 4) according to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30697" t="23750" r="19592" b="14671"/>
                    <a:stretch/>
                  </pic:blipFill>
                  <pic:spPr bwMode="auto">
                    <a:xfrm>
                      <a:off x="0" y="0"/>
                      <a:ext cx="4886562" cy="2919740"/>
                    </a:xfrm>
                    <a:prstGeom prst="rect">
                      <a:avLst/>
                    </a:prstGeom>
                    <a:noFill/>
                    <a:ln>
                      <a:noFill/>
                    </a:ln>
                    <a:extLst/>
                  </pic:spPr>
                </pic:pic>
              </a:graphicData>
            </a:graphic>
          </wp:inline>
        </w:drawing>
      </w:r>
    </w:p>
    <w:p w:rsidR="00307D0C" w:rsidRDefault="00B56AB3" w:rsidP="00B56AB3">
      <w:pPr>
        <w:pStyle w:val="Comment"/>
        <w:ind w:left="1134" w:hanging="1134"/>
      </w:pPr>
      <w:r>
        <w:rPr>
          <w:b/>
        </w:rPr>
        <w:t>C</w:t>
      </w:r>
      <w:r w:rsidR="006E15A4">
        <w:rPr>
          <w:b/>
        </w:rPr>
        <w:t>omment</w:t>
      </w:r>
      <w:r w:rsidR="00BD2A2E" w:rsidRPr="0028097A">
        <w:rPr>
          <w:b/>
        </w:rPr>
        <w:t>:</w:t>
      </w:r>
      <w:r w:rsidR="00BD2A2E" w:rsidRPr="00BD2A2E">
        <w:t xml:space="preserve"> </w:t>
      </w:r>
      <w:r w:rsidR="00307D0C" w:rsidRPr="00BD2A2E">
        <w:t xml:space="preserve">Thus with these survival rates, CA184024 demonstrates that </w:t>
      </w:r>
      <w:r w:rsidR="00F22D76">
        <w:t>ipilimumab</w:t>
      </w:r>
      <w:r w:rsidR="00307D0C" w:rsidRPr="00BD2A2E">
        <w:t xml:space="preserve"> </w:t>
      </w:r>
      <w:r w:rsidR="00C108F1">
        <w:t>10 mg</w:t>
      </w:r>
      <w:r w:rsidR="00307D0C" w:rsidRPr="00BD2A2E">
        <w:t>/kg dosing administered with DTIC and with the inclusion of maintenance therapy provides a survival benefit compared to standar</w:t>
      </w:r>
      <w:r w:rsidR="00BD2A2E">
        <w:t>d treatment (DTIC monotherapy).</w:t>
      </w:r>
    </w:p>
    <w:p w:rsidR="00307D0C" w:rsidRPr="00BD2A2E" w:rsidRDefault="00307D0C" w:rsidP="00951A97">
      <w:pPr>
        <w:pStyle w:val="Heading5"/>
      </w:pPr>
      <w:r w:rsidRPr="00BD2A2E">
        <w:lastRenderedPageBreak/>
        <w:t>Resu</w:t>
      </w:r>
      <w:r w:rsidR="00B56AB3">
        <w:t>lts for other efficacy outcomes</w:t>
      </w:r>
    </w:p>
    <w:p w:rsidR="00307D0C" w:rsidRPr="001B4C5E" w:rsidRDefault="00307D0C" w:rsidP="001B4C5E">
      <w:r w:rsidRPr="00BD2A2E">
        <w:t xml:space="preserve">For PFS analyses, a total of 203 (81.2%) subjects in the </w:t>
      </w:r>
      <w:r w:rsidR="00F22D76">
        <w:t>ipilimumab</w:t>
      </w:r>
      <w:r w:rsidRPr="00BD2A2E">
        <w:t xml:space="preserve"> plus DTIC group and 223 (88.5%) subjects in the DTIC monotherapy group had progressed, or died. The assessment of progression is based on the IRC database which was final</w:t>
      </w:r>
      <w:r w:rsidR="00C91631">
        <w:t>is</w:t>
      </w:r>
      <w:r w:rsidRPr="00BD2A2E">
        <w:t xml:space="preserve">ed (after at least 416 subjects had </w:t>
      </w:r>
      <w:r w:rsidRPr="001B4C5E">
        <w:t>progressed or died, as per the original sizing assumptions) 15 months prior to the main database lock. Hence, the proportion of censored subjects before 4 years in the PFS analysis is higher than in the OS analysis.</w:t>
      </w:r>
    </w:p>
    <w:p w:rsidR="00307D0C" w:rsidRPr="001B4C5E" w:rsidRDefault="00307D0C" w:rsidP="001B4C5E">
      <w:r w:rsidRPr="001B4C5E">
        <w:t xml:space="preserve">The results for PFS, DCR, BORR, and other efficacy outcomes are summarised </w:t>
      </w:r>
      <w:r w:rsidRPr="00CF0E37">
        <w:t xml:space="preserve">in Table </w:t>
      </w:r>
      <w:r w:rsidR="004572B9">
        <w:t>21</w:t>
      </w:r>
      <w:r w:rsidR="0028097A" w:rsidRPr="00CF0E37">
        <w:t xml:space="preserve"> </w:t>
      </w:r>
      <w:r w:rsidRPr="00CF0E37">
        <w:t>below</w:t>
      </w:r>
      <w:r w:rsidRPr="001B4C5E">
        <w:t xml:space="preserve">. The median PFS was similar in both groups (2.8 months and 2.6 months, respectively), with the HR for PFS between </w:t>
      </w:r>
      <w:r w:rsidR="00F22D76">
        <w:t>ipilimumab</w:t>
      </w:r>
      <w:r w:rsidRPr="001B4C5E">
        <w:t xml:space="preserve"> plus DTIC and DTIC monotherapy was 0.76 (95% CI: 0.63, 0.93). The DCR, which is composed of CR, PR, and SD, was 33.2% and 30.2% for the </w:t>
      </w:r>
      <w:r w:rsidR="00F22D76">
        <w:t>ipilimumab</w:t>
      </w:r>
      <w:r w:rsidRPr="001B4C5E">
        <w:t xml:space="preserve"> plus DTIC and DTIC monotherapy groups, respectively (p = 0.4067). </w:t>
      </w:r>
      <w:r w:rsidR="0028097A">
        <w:t xml:space="preserve">Among response evaluable subjects, the </w:t>
      </w:r>
      <w:r w:rsidRPr="001B4C5E">
        <w:t xml:space="preserve">DCR was 39.8% </w:t>
      </w:r>
      <w:r w:rsidR="00046414">
        <w:t>versus</w:t>
      </w:r>
      <w:r w:rsidRPr="001B4C5E">
        <w:t xml:space="preserve"> 33.2%,</w:t>
      </w:r>
      <w:r w:rsidR="0028097A">
        <w:t xml:space="preserve"> respectively. Based on the pre </w:t>
      </w:r>
      <w:r w:rsidRPr="001B4C5E">
        <w:t>specified hierarchical testing p</w:t>
      </w:r>
      <w:r w:rsidR="00D073FA">
        <w:t xml:space="preserve">rocedure, the non-significant p </w:t>
      </w:r>
      <w:r w:rsidRPr="001B4C5E">
        <w:t>value for DCR meant that statistical significance for BORR was not formally tested. The median time to response among random</w:t>
      </w:r>
      <w:r w:rsidR="00C91631">
        <w:t>is</w:t>
      </w:r>
      <w:r w:rsidRPr="001B4C5E">
        <w:t xml:space="preserve">ed subjects was 2.6 months (95% CI: 2.6, 2.6) and 2.7 months (95% CI: 2.6, 3.6) for the investigation arm and standard arm. In the </w:t>
      </w:r>
      <w:r w:rsidR="00F22D76">
        <w:t>ipilimumab</w:t>
      </w:r>
      <w:r w:rsidRPr="001B4C5E">
        <w:t xml:space="preserve"> plus DTIC group, the median duration of response (CR/PR) using modified WHO criteria was 19.3 months, and the median duration of stable disease was 4.7 months, as determined by the IRC. In the DTIC monotherapy group, the median duration of response was 8.1 months and the median duration of stable disease was 4.6 months</w:t>
      </w:r>
      <w:r w:rsidR="00BD2A2E" w:rsidRPr="001B4C5E">
        <w:t>.</w:t>
      </w:r>
    </w:p>
    <w:p w:rsidR="00307D0C" w:rsidRPr="001B4C5E" w:rsidRDefault="00307D0C" w:rsidP="001B4C5E">
      <w:r w:rsidRPr="001B4C5E">
        <w:t xml:space="preserve">Using irResponse Criteria (irRC), results were similar. The irDCR was 35.2% for the investigational arm (8 irCR, 34 irPR, and 46 irSD) and 34.1% for control arm (7 irCR, 21 irPR, and 58 irSD). The irBORR was 16.8% and 11.1% in the </w:t>
      </w:r>
      <w:r w:rsidR="00F22D76">
        <w:t>ipilimumab</w:t>
      </w:r>
      <w:r w:rsidRPr="001B4C5E">
        <w:t xml:space="preserve"> plus DTIC and DTIC monotherapy groups, respectively. Using irRC, there were 42 responders in the </w:t>
      </w:r>
      <w:r w:rsidR="00F22D76">
        <w:t>ipilimumab</w:t>
      </w:r>
      <w:r w:rsidRPr="001B4C5E">
        <w:t xml:space="preserve"> plus DTIC group (versus 38 using mWHO) and 28 in the DTIC monotherapy group (versus 26 using mWHO). Using the irResponse crit</w:t>
      </w:r>
      <w:r w:rsidR="00B56AB3">
        <w:t xml:space="preserve">eria, the median duration of ir </w:t>
      </w:r>
      <w:r w:rsidRPr="001B4C5E">
        <w:t xml:space="preserve">response was 21.1 months (95% CI: 16.5, 26.1) and 10.2 months (95% CI: 5.6, 24.0) in the </w:t>
      </w:r>
      <w:r w:rsidR="00F22D76">
        <w:t>ipilimumab</w:t>
      </w:r>
      <w:r w:rsidRPr="001B4C5E">
        <w:t xml:space="preserve"> plus DTIC and DTIC monotherapy groups, respectively. The median duration of irSD was 4.8 months (95% CI: 2.8, 7.7) and 3.4 months (95% CI: 2.5, 5.2), respectively.</w:t>
      </w:r>
    </w:p>
    <w:p w:rsidR="00307D0C" w:rsidRPr="001B4C5E" w:rsidRDefault="00307D0C" w:rsidP="001B4C5E">
      <w:r w:rsidRPr="001B4C5E">
        <w:t>Based on IRC evaluation of imaging of subjects with clinical symptoms, over 90% of subjects across groups were free of brain metastases (</w:t>
      </w:r>
      <w:r w:rsidR="00F22D76">
        <w:t>ipilimumab</w:t>
      </w:r>
      <w:r w:rsidRPr="001B4C5E">
        <w:t xml:space="preserve"> plus DTIC: 93.6%, 95% CI 89.8 - 96.3; DTIC monotherapy: 90.9%, 95% CI 86.6 - 94.1; 2-sided exact CI by Clopper and Pearson method).</w:t>
      </w:r>
    </w:p>
    <w:p w:rsidR="00307D0C" w:rsidRPr="00BD2A2E" w:rsidRDefault="00307D0C" w:rsidP="00BD2A2E">
      <w:pPr>
        <w:pStyle w:val="Tabletitle"/>
      </w:pPr>
      <w:bookmarkStart w:id="177" w:name="_Toc390676300"/>
      <w:r w:rsidRPr="00CF0E37">
        <w:lastRenderedPageBreak/>
        <w:t>Table</w:t>
      </w:r>
      <w:r w:rsidR="004572B9">
        <w:t>21</w:t>
      </w:r>
      <w:r w:rsidR="00CF0E37" w:rsidRPr="00CF0E37">
        <w:t>:</w:t>
      </w:r>
      <w:r w:rsidRPr="00CF0E37">
        <w:t xml:space="preserve"> Summary</w:t>
      </w:r>
      <w:r w:rsidRPr="00BD2A2E">
        <w:t xml:space="preserve"> of other key efficacy end-points, following IRC review using mWHO criteria for randomised subjects</w:t>
      </w:r>
      <w:bookmarkEnd w:id="177"/>
    </w:p>
    <w:p w:rsidR="00307D0C" w:rsidRDefault="001B4C5E" w:rsidP="001B4C5E">
      <w:r w:rsidRPr="001B4C5E">
        <w:rPr>
          <w:noProof/>
          <w:lang w:eastAsia="en-AU"/>
        </w:rPr>
        <w:drawing>
          <wp:inline distT="0" distB="0" distL="0" distR="0" wp14:anchorId="7DA5CC64" wp14:editId="5C9F13E2">
            <wp:extent cx="3977640" cy="4183380"/>
            <wp:effectExtent l="0" t="0" r="0" b="0"/>
            <wp:docPr id="17" name="Picture 17" descr="Table21: Summary of other key efficacy end-points, following IRC review using mWHO criteria for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77640" cy="4183380"/>
                    </a:xfrm>
                    <a:prstGeom prst="rect">
                      <a:avLst/>
                    </a:prstGeom>
                  </pic:spPr>
                </pic:pic>
              </a:graphicData>
            </a:graphic>
          </wp:inline>
        </w:drawing>
      </w:r>
    </w:p>
    <w:p w:rsidR="00307D0C" w:rsidRPr="001B4C5E" w:rsidRDefault="00307D0C" w:rsidP="001B4C5E">
      <w:r w:rsidRPr="001B4C5E">
        <w:t>Results from pre-specified subgroup analyses demonstrate a consistent pattern with HRs favouring the investigational arm (</w:t>
      </w:r>
      <w:r w:rsidRPr="00CF0E37">
        <w:t xml:space="preserve">see Table </w:t>
      </w:r>
      <w:r w:rsidR="004A5DFD" w:rsidRPr="00CF0E37">
        <w:t>2</w:t>
      </w:r>
      <w:r w:rsidR="004572B9">
        <w:t>2</w:t>
      </w:r>
      <w:r w:rsidRPr="001B4C5E">
        <w:t xml:space="preserve"> below). Subgroup comparisons for OS were performed across the following pre-specified categories: M-stage, baseline LDH, age, female age, ECOG status, prior adjuvant treatment, race, and gender. M-stage and baseline LDH represent prognostic factors associated with poor clinic</w:t>
      </w:r>
      <w:r w:rsidR="00D073FA">
        <w:t xml:space="preserve">al outcome in late </w:t>
      </w:r>
      <w:r w:rsidRPr="001B4C5E">
        <w:t>stage melanoma. In addition, ECOG and M-stage were used as stratification factors for random</w:t>
      </w:r>
      <w:r w:rsidR="00C91631">
        <w:t>is</w:t>
      </w:r>
      <w:r w:rsidRPr="001B4C5E">
        <w:t xml:space="preserve">ation in this study. The data demonstrate that the observed OS benefit was consistent within most of the subgroups. However, for women above 50 years of age (HR 1.03), the data supporting an OS benefit of </w:t>
      </w:r>
      <w:r w:rsidR="00F22D76">
        <w:t>ipilimumab</w:t>
      </w:r>
      <w:r w:rsidRPr="001B4C5E">
        <w:t xml:space="preserve"> plus DTIC treatment were limited. The efficacy of </w:t>
      </w:r>
      <w:r w:rsidR="00F22D76">
        <w:t>ipilimumab</w:t>
      </w:r>
      <w:r w:rsidRPr="001B4C5E">
        <w:t xml:space="preserve"> plus DTIC for women above 50 years of age is therefore uncertain. As the subgroup analysis includes only a small number of subjects (</w:t>
      </w:r>
      <w:r w:rsidR="00F22D76">
        <w:t>ipilimumab</w:t>
      </w:r>
      <w:r w:rsidRPr="001B4C5E">
        <w:t xml:space="preserve"> plus DTIC: N = 68; DTIC monotherapy: N = 67), no definitive conclusions can be drawn from these data.</w:t>
      </w:r>
    </w:p>
    <w:p w:rsidR="00307D0C" w:rsidRPr="00BD2A2E" w:rsidRDefault="00307D0C" w:rsidP="00BD2A2E">
      <w:pPr>
        <w:pStyle w:val="Tabletitle"/>
      </w:pPr>
      <w:bookmarkStart w:id="178" w:name="_Toc390676301"/>
      <w:r w:rsidRPr="00CF0E37">
        <w:lastRenderedPageBreak/>
        <w:t xml:space="preserve">Table </w:t>
      </w:r>
      <w:r w:rsidR="004572B9">
        <w:t>22</w:t>
      </w:r>
      <w:r w:rsidR="00CF0E37" w:rsidRPr="00CF0E37">
        <w:t>:</w:t>
      </w:r>
      <w:r w:rsidRPr="00BD2A2E">
        <w:t xml:space="preserve"> Overall survival and 95% confidence intervals for subgroup analyses</w:t>
      </w:r>
      <w:bookmarkEnd w:id="178"/>
    </w:p>
    <w:p w:rsidR="00307D0C" w:rsidRDefault="00BD2A2E" w:rsidP="00307D0C">
      <w:pPr>
        <w:autoSpaceDE w:val="0"/>
        <w:autoSpaceDN w:val="0"/>
        <w:adjustRightInd w:val="0"/>
      </w:pPr>
      <w:r>
        <w:rPr>
          <w:noProof/>
          <w:lang w:eastAsia="en-AU"/>
        </w:rPr>
        <w:drawing>
          <wp:inline distT="0" distB="0" distL="0" distR="0" wp14:anchorId="5DCAB32B" wp14:editId="4448724E">
            <wp:extent cx="4953000" cy="3329940"/>
            <wp:effectExtent l="0" t="0" r="0" b="0"/>
            <wp:docPr id="14" name="Picture 14" descr="Table 22: Overall survival and 95% confidence intervals for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53000" cy="3329940"/>
                    </a:xfrm>
                    <a:prstGeom prst="rect">
                      <a:avLst/>
                    </a:prstGeom>
                  </pic:spPr>
                </pic:pic>
              </a:graphicData>
            </a:graphic>
          </wp:inline>
        </w:drawing>
      </w:r>
    </w:p>
    <w:p w:rsidR="00307D0C" w:rsidRPr="00BD2A2E" w:rsidRDefault="00307D0C" w:rsidP="00BD2A2E">
      <w:r w:rsidRPr="00BD2A2E">
        <w:t xml:space="preserve">Thus, in summary, this </w:t>
      </w:r>
      <w:r w:rsidR="00284E81">
        <w:t>Study</w:t>
      </w:r>
      <w:r w:rsidRPr="00BD2A2E">
        <w:t xml:space="preserve"> CA184024 provides evidence for the primary efficacy variable of overall survival benefit obtained for previously untreated patients with advanced melanoma who are administered </w:t>
      </w:r>
      <w:r w:rsidR="00F22D76">
        <w:t>ipilimumab</w:t>
      </w:r>
      <w:r w:rsidRPr="00BD2A2E">
        <w:t xml:space="preserve"> </w:t>
      </w:r>
      <w:r w:rsidR="00C108F1">
        <w:t>10 mg</w:t>
      </w:r>
      <w:r w:rsidRPr="00BD2A2E">
        <w:t>/kg in combination with DTIC with a maintenance schedule</w:t>
      </w:r>
      <w:r w:rsidR="00BD2A2E">
        <w:t>.</w:t>
      </w:r>
    </w:p>
    <w:p w:rsidR="00307D0C" w:rsidRPr="00FA7F09" w:rsidRDefault="00307D0C" w:rsidP="00BD2A2E">
      <w:r w:rsidRPr="00BD2A2E">
        <w:t xml:space="preserve">In the context of the current application for </w:t>
      </w:r>
      <w:r w:rsidR="00C108F1">
        <w:t>3 mg</w:t>
      </w:r>
      <w:r w:rsidRPr="00BD2A2E">
        <w:t>/kg dosing, extrapolation of efficacy from this study utilising a different posology and treatment schedule is limited (limited external validity)</w:t>
      </w:r>
      <w:r w:rsidR="00BD2A2E">
        <w:t>.</w:t>
      </w:r>
    </w:p>
    <w:p w:rsidR="00307D0C" w:rsidRPr="00BD2A2E" w:rsidRDefault="00307D0C" w:rsidP="00951A97">
      <w:pPr>
        <w:pStyle w:val="Heading3"/>
      </w:pPr>
      <w:bookmarkStart w:id="179" w:name="_Toc390676215"/>
      <w:bookmarkStart w:id="180" w:name="_Toc475616221"/>
      <w:r w:rsidRPr="00BD2A2E">
        <w:t>Other supportive studies</w:t>
      </w:r>
      <w:bookmarkEnd w:id="179"/>
      <w:bookmarkEnd w:id="180"/>
    </w:p>
    <w:p w:rsidR="00307D0C" w:rsidRPr="00BD2A2E" w:rsidRDefault="00307D0C" w:rsidP="00BD2A2E">
      <w:r w:rsidRPr="00BD2A2E">
        <w:t xml:space="preserve">The following </w:t>
      </w:r>
      <w:r w:rsidR="007F1683">
        <w:t>Studies</w:t>
      </w:r>
      <w:r w:rsidRPr="00BD2A2E">
        <w:t xml:space="preserve"> (CA184042, CA184078) are included withi</w:t>
      </w:r>
      <w:r w:rsidR="006C6A1F">
        <w:t>n this sub</w:t>
      </w:r>
      <w:r w:rsidRPr="00BD2A2E">
        <w:t xml:space="preserve">section due to reference in the pre-submission meeting. As previously mentioned, with respect to the current application, due to the use of the </w:t>
      </w:r>
      <w:r w:rsidR="00C108F1">
        <w:t>10 mg</w:t>
      </w:r>
      <w:r w:rsidRPr="00BD2A2E">
        <w:t>/kg posology, use in previously treated patients, use of maintenance phase, immaturity of data, generally small patient numbers and the study designs (</w:t>
      </w:r>
      <w:r w:rsidR="00CF24F8">
        <w:t>for example</w:t>
      </w:r>
      <w:r w:rsidR="004A5DFD">
        <w:t xml:space="preserve"> </w:t>
      </w:r>
      <w:r w:rsidR="00B56AB3">
        <w:t>non-</w:t>
      </w:r>
      <w:r w:rsidR="00B56AB3" w:rsidRPr="00BD2A2E">
        <w:t>randomised</w:t>
      </w:r>
      <w:r w:rsidRPr="00BD2A2E">
        <w:t>, Phase I, observational), the quality of the evidence is not considered high level according to the conventional grading system</w:t>
      </w:r>
      <w:r w:rsidR="00BD2A2E">
        <w:t>s.</w:t>
      </w:r>
    </w:p>
    <w:p w:rsidR="00307D0C" w:rsidRPr="00BD2A2E" w:rsidRDefault="00307D0C" w:rsidP="00BD2A2E">
      <w:r w:rsidRPr="00BD2A2E">
        <w:t xml:space="preserve">Note that MDX010-16 is not considered here as the study design investigated use of </w:t>
      </w:r>
      <w:r w:rsidR="00F22D76">
        <w:t>ipilimumab</w:t>
      </w:r>
      <w:r w:rsidRPr="00BD2A2E">
        <w:t xml:space="preserve"> in the adjuvant setting and efficacy data is immature. Safety data for this study is summarised in </w:t>
      </w:r>
      <w:r w:rsidR="00B56AB3" w:rsidRPr="00BD2A2E">
        <w:t xml:space="preserve">the </w:t>
      </w:r>
      <w:r w:rsidR="00B56AB3">
        <w:t>safety</w:t>
      </w:r>
      <w:r w:rsidR="00B56AB3" w:rsidRPr="00BD2A2E">
        <w:t xml:space="preserve"> section</w:t>
      </w:r>
      <w:r w:rsidRPr="00BD2A2E">
        <w:t>.</w:t>
      </w:r>
    </w:p>
    <w:p w:rsidR="00307D0C" w:rsidRPr="00BD2A2E" w:rsidRDefault="00307D0C" w:rsidP="00951A97">
      <w:pPr>
        <w:pStyle w:val="Heading4"/>
      </w:pPr>
      <w:r w:rsidRPr="00BD2A2E">
        <w:t>Study CA184042 (Phase II, interim report)</w:t>
      </w:r>
    </w:p>
    <w:p w:rsidR="00307D0C" w:rsidRPr="004A5DFD" w:rsidRDefault="00307D0C" w:rsidP="00951A97">
      <w:pPr>
        <w:pStyle w:val="Heading5"/>
      </w:pPr>
      <w:r w:rsidRPr="004A5DFD">
        <w:t>Study design, objectives, locations and dates</w:t>
      </w:r>
    </w:p>
    <w:p w:rsidR="00307D0C" w:rsidRPr="00BD2A2E" w:rsidRDefault="00307D0C" w:rsidP="00BD2A2E">
      <w:r w:rsidRPr="00BD2A2E">
        <w:t xml:space="preserve">CA184042 is an ongoing two-stage modified Gehan designed </w:t>
      </w:r>
      <w:r w:rsidR="00F22D76">
        <w:t>Phase II</w:t>
      </w:r>
      <w:r w:rsidRPr="00BD2A2E">
        <w:t xml:space="preserve"> trial to study the potential tumour response and safe use of </w:t>
      </w:r>
      <w:r w:rsidR="00F22D76">
        <w:t>ipilimumab</w:t>
      </w:r>
      <w:r w:rsidRPr="00BD2A2E">
        <w:t xml:space="preserve"> 10 mg/kg monotherapy in subjects with Stage IV melanoma with brain met</w:t>
      </w:r>
      <w:r w:rsidR="004A5DFD">
        <w:t>astases. The study commenced 11 Jul</w:t>
      </w:r>
      <w:r w:rsidR="00B56AB3">
        <w:t>y 2008 with the data cut-off 25 </w:t>
      </w:r>
      <w:r w:rsidR="006C6A1F">
        <w:t>Apri</w:t>
      </w:r>
      <w:r w:rsidR="004A5DFD">
        <w:t xml:space="preserve">l </w:t>
      </w:r>
      <w:r w:rsidRPr="00BD2A2E">
        <w:t>2011 with the a</w:t>
      </w:r>
      <w:r w:rsidR="004A5DFD">
        <w:t xml:space="preserve">nticipated last patient visit 1 </w:t>
      </w:r>
      <w:r w:rsidR="00661517">
        <w:t>April</w:t>
      </w:r>
      <w:r w:rsidR="004A5DFD">
        <w:t xml:space="preserve"> </w:t>
      </w:r>
      <w:r w:rsidRPr="00BD2A2E">
        <w:t xml:space="preserve">2011. The </w:t>
      </w:r>
      <w:r w:rsidR="00C108F1">
        <w:t>‘</w:t>
      </w:r>
      <w:r w:rsidRPr="00BD2A2E">
        <w:t>CSR</w:t>
      </w:r>
      <w:r w:rsidR="00C108F1">
        <w:t>’</w:t>
      </w:r>
      <w:r w:rsidR="00B56AB3">
        <w:t xml:space="preserve"> report date 7 </w:t>
      </w:r>
      <w:r w:rsidR="006C6A1F">
        <w:t>December</w:t>
      </w:r>
      <w:r w:rsidR="004A5DFD">
        <w:t xml:space="preserve"> </w:t>
      </w:r>
      <w:r w:rsidRPr="00BD2A2E">
        <w:t>2011.</w:t>
      </w:r>
    </w:p>
    <w:p w:rsidR="00307D0C" w:rsidRDefault="00307D0C" w:rsidP="00BD2A2E">
      <w:r w:rsidRPr="00BD2A2E">
        <w:t>The primary objective of the study is to</w:t>
      </w:r>
      <w:r w:rsidR="006C6A1F">
        <w:t xml:space="preserve"> assess the global (brain + non </w:t>
      </w:r>
      <w:r w:rsidRPr="00BD2A2E">
        <w:t>CNS lesions) DCR determined after Week 12 using mWHO tumour assessment criteria. Secondary objectives of the study included; an estimation of the overall res</w:t>
      </w:r>
      <w:r w:rsidR="004A5DFD">
        <w:t xml:space="preserve">ponse rate (ORR) and DCR of </w:t>
      </w:r>
      <w:r w:rsidR="00B56AB3">
        <w:t>non-</w:t>
      </w:r>
      <w:r w:rsidR="00B56AB3" w:rsidRPr="00BD2A2E">
        <w:t>central</w:t>
      </w:r>
      <w:r w:rsidRPr="00BD2A2E">
        <w:t xml:space="preserve"> </w:t>
      </w:r>
      <w:r w:rsidRPr="00BD2A2E">
        <w:lastRenderedPageBreak/>
        <w:t>nervous system (CNS) lesions and global tumour burden using the mWHO and (IR) tumour assess</w:t>
      </w:r>
      <w:r w:rsidR="004A5DFD">
        <w:t xml:space="preserve">ment criteria in corticosteroid </w:t>
      </w:r>
      <w:r w:rsidRPr="00BD2A2E">
        <w:t>free subjects (Arm A); an estimati</w:t>
      </w:r>
      <w:r w:rsidR="006C6A1F">
        <w:t xml:space="preserve">on of the brain median PFS, non </w:t>
      </w:r>
      <w:r w:rsidRPr="00BD2A2E">
        <w:t xml:space="preserve">CNS PFS, and Global PFS in both study arms using mWHO and IR tumour assessment criteria; OS in both study arms; to evaluate the safety and tolerability of </w:t>
      </w:r>
      <w:r w:rsidR="00F22D76">
        <w:t>ipilimumab</w:t>
      </w:r>
      <w:r w:rsidRPr="00BD2A2E">
        <w:t xml:space="preserve"> in both study arms; to determine the incidence of m</w:t>
      </w:r>
      <w:r w:rsidR="004A5DFD">
        <w:t xml:space="preserve">agnetic resonance imaging (MRI) </w:t>
      </w:r>
      <w:r w:rsidRPr="00BD2A2E">
        <w:t>defined brain oedema, haemorrhage, and other radiographic changes in the brain metastases and evaluate any association with the onset and/or duration of tumour respon</w:t>
      </w:r>
      <w:r w:rsidR="004A5DFD">
        <w:t xml:space="preserve">se observed in the brain or non </w:t>
      </w:r>
      <w:r w:rsidRPr="00BD2A2E">
        <w:t>CNS lesions in both study arms; to determine if corticosteroid treatment interferes with tumour response by measuring clinical benefit (measured by ORR and/or the DCR determined after Week 12) of melanoma bra</w:t>
      </w:r>
      <w:r w:rsidR="004A5DFD">
        <w:t xml:space="preserve">in metastases in corticosteroid </w:t>
      </w:r>
      <w:r w:rsidRPr="00BD2A2E">
        <w:t xml:space="preserve">dependent subjects (Arm B) using the mWHO and IR tumour assessment criteria; </w:t>
      </w:r>
      <w:r w:rsidR="00912E7E">
        <w:t>and</w:t>
      </w:r>
      <w:r w:rsidRPr="00BD2A2E">
        <w:t xml:space="preserve"> to evaluate the impact of prior therapy (systemic and/or prior therapy for brain metastases).</w:t>
      </w:r>
    </w:p>
    <w:p w:rsidR="00307D0C" w:rsidRPr="004A5DFD" w:rsidRDefault="00307D0C" w:rsidP="00951A97">
      <w:pPr>
        <w:pStyle w:val="Heading5"/>
      </w:pPr>
      <w:r w:rsidRPr="004A5DFD">
        <w:t>Inclusion and exclusion criteria</w:t>
      </w:r>
    </w:p>
    <w:p w:rsidR="00307D0C" w:rsidRPr="00BD2A2E" w:rsidRDefault="00307D0C" w:rsidP="00BD2A2E">
      <w:r w:rsidRPr="00BD2A2E">
        <w:t>Previous treatment was permitted in this study in contrast to the proposed usage.</w:t>
      </w:r>
    </w:p>
    <w:p w:rsidR="00307D0C" w:rsidRPr="00BD2A2E" w:rsidRDefault="00307D0C" w:rsidP="00BD2A2E">
      <w:r w:rsidRPr="00BD2A2E">
        <w:t>Inclusion criteria included; 16 years of age or older, ECOG performance s</w:t>
      </w:r>
      <w:r w:rsidR="004A5DFD">
        <w:t xml:space="preserve">tatus of 0 to 1, histologically </w:t>
      </w:r>
      <w:r w:rsidRPr="00BD2A2E">
        <w:t>documented malignant melanoma with brain metastases with radiologic evidence of at least 1 measurable index metastatic brain lesion, with its greatest dimension &gt;</w:t>
      </w:r>
      <w:r w:rsidR="004A5DFD">
        <w:t xml:space="preserve"> </w:t>
      </w:r>
      <w:r w:rsidRPr="00BD2A2E">
        <w:t>0.5 cm and no larger than 3 cm in diameter, that was not previously irradiated, and/or at least 2 measurable lesions &gt;</w:t>
      </w:r>
      <w:r w:rsidR="004A5DFD">
        <w:t xml:space="preserve"> </w:t>
      </w:r>
      <w:r w:rsidR="00A76ADF">
        <w:t xml:space="preserve">0.3 cm visible on contrast </w:t>
      </w:r>
      <w:r w:rsidRPr="00BD2A2E">
        <w:t>enhanced MRI. In Stage 1 (Arm A), subjects had to be off corticosteroid therapy at least 10 days befo</w:t>
      </w:r>
      <w:r w:rsidR="001B4C5E">
        <w:t xml:space="preserve">re starting </w:t>
      </w:r>
      <w:r w:rsidR="00F22D76">
        <w:t>ipilimumab</w:t>
      </w:r>
      <w:r w:rsidR="001B4C5E">
        <w:t xml:space="preserve"> therapy.</w:t>
      </w:r>
    </w:p>
    <w:p w:rsidR="00307D0C" w:rsidRPr="007125F1" w:rsidRDefault="00307D0C" w:rsidP="00BD2A2E">
      <w:r w:rsidRPr="00BD2A2E">
        <w:t>Exclusion criteria comprised of history of known carcinomatous meningitis, radiotherapy of any type within 14 days of first dose, any previous therapy within 28days, significant comorbidity including autoimmune disease and other common exclusion criteria</w:t>
      </w:r>
      <w:r w:rsidR="00BD2A2E">
        <w:t>.</w:t>
      </w:r>
    </w:p>
    <w:p w:rsidR="00307D0C" w:rsidRPr="004A5DFD" w:rsidRDefault="00307D0C" w:rsidP="00951A97">
      <w:pPr>
        <w:pStyle w:val="Heading5"/>
      </w:pPr>
      <w:r w:rsidRPr="004A5DFD">
        <w:t>Study treatments</w:t>
      </w:r>
    </w:p>
    <w:p w:rsidR="00307D0C" w:rsidRPr="0069538C" w:rsidRDefault="00307D0C" w:rsidP="00BD2A2E">
      <w:r w:rsidRPr="00BD2A2E">
        <w:t xml:space="preserve">During the induction phase, subjects received </w:t>
      </w:r>
      <w:r w:rsidR="00F22D76">
        <w:t>ipilimumab</w:t>
      </w:r>
      <w:r w:rsidRPr="00BD2A2E">
        <w:t xml:space="preserve"> in</w:t>
      </w:r>
      <w:r w:rsidR="004A5DFD">
        <w:t xml:space="preserve"> 4 </w:t>
      </w:r>
      <w:r w:rsidR="005853BB">
        <w:t>separate</w:t>
      </w:r>
      <w:r w:rsidR="004A5DFD">
        <w:t xml:space="preserve"> 10 mg/kg doses at 3 </w:t>
      </w:r>
      <w:r w:rsidRPr="00BD2A2E">
        <w:t>week intervals (Weeks 1,</w:t>
      </w:r>
      <w:r w:rsidR="004A5DFD">
        <w:t xml:space="preserve"> 4, 7, 10), followed by a study drug </w:t>
      </w:r>
      <w:r w:rsidRPr="00BD2A2E">
        <w:t xml:space="preserve">free period up to Week 24. If </w:t>
      </w:r>
      <w:r w:rsidR="00F22D76">
        <w:t>ipilimumab</w:t>
      </w:r>
      <w:r w:rsidRPr="00BD2A2E">
        <w:t xml:space="preserve"> was tolerable and global tumour burden did not progress, patients were eligible to enter a maintenance phase, to receive </w:t>
      </w:r>
      <w:r w:rsidR="00F22D76">
        <w:t>ipilimumab</w:t>
      </w:r>
      <w:r w:rsidRPr="00BD2A2E">
        <w:t xml:space="preserve"> (10 mg/kg) every 12 weeks (Weeks 24, 36, and 48+) until discontinuation due to confirmed irPD in their global tumour burden, development of unacceptable toxicity, clinical deterioration requiring a change in therapy, or withdrawal of consent.</w:t>
      </w:r>
    </w:p>
    <w:p w:rsidR="00307D0C" w:rsidRPr="004A5DFD" w:rsidRDefault="00307D0C" w:rsidP="00951A97">
      <w:pPr>
        <w:pStyle w:val="Heading5"/>
      </w:pPr>
      <w:r w:rsidRPr="004A5DFD">
        <w:t>Efficacy variables and outcomes</w:t>
      </w:r>
    </w:p>
    <w:p w:rsidR="00307D0C" w:rsidRPr="00BD2A2E" w:rsidRDefault="00307D0C" w:rsidP="00BD2A2E">
      <w:r w:rsidRPr="00BD2A2E">
        <w:t>The primary efficacy outcome was DCR using mWHO criteri</w:t>
      </w:r>
      <w:r w:rsidR="004A5DFD">
        <w:t>a and irRC, ORR, and DCR of non </w:t>
      </w:r>
      <w:r w:rsidRPr="00BD2A2E">
        <w:t>CNS lesions and g</w:t>
      </w:r>
      <w:r w:rsidR="004A5DFD">
        <w:t xml:space="preserve">lobal tumour burden (brain +non </w:t>
      </w:r>
      <w:r w:rsidRPr="00BD2A2E">
        <w:t>CNS lesions).</w:t>
      </w:r>
    </w:p>
    <w:p w:rsidR="00307D0C" w:rsidRPr="00BD2A2E" w:rsidRDefault="00307D0C" w:rsidP="00BD2A2E">
      <w:r w:rsidRPr="00BD2A2E">
        <w:t>Other efficacy outcomes included:</w:t>
      </w:r>
    </w:p>
    <w:p w:rsidR="00307D0C" w:rsidRPr="00BD2A2E" w:rsidRDefault="00307D0C" w:rsidP="00BD2A2E">
      <w:pPr>
        <w:pStyle w:val="ListBullet"/>
      </w:pPr>
      <w:r w:rsidRPr="00BD2A2E">
        <w:t>Best overall response rate (BORR) by mWHO and irRC</w:t>
      </w:r>
    </w:p>
    <w:p w:rsidR="00307D0C" w:rsidRPr="00BD2A2E" w:rsidRDefault="00307D0C" w:rsidP="00BD2A2E">
      <w:pPr>
        <w:pStyle w:val="ListBullet"/>
      </w:pPr>
      <w:r w:rsidRPr="00BD2A2E">
        <w:t>Overall survival (OS) and Progression-free survival (PFS) by mWHO and irRC</w:t>
      </w:r>
    </w:p>
    <w:p w:rsidR="00307D0C" w:rsidRPr="00BD2A2E" w:rsidRDefault="00307D0C" w:rsidP="00BD2A2E">
      <w:pPr>
        <w:pStyle w:val="ListBullet"/>
      </w:pPr>
      <w:r w:rsidRPr="00BD2A2E">
        <w:t>Duration of response (DOR) and stable disease (SD) by mWHO and irRC</w:t>
      </w:r>
    </w:p>
    <w:p w:rsidR="00307D0C" w:rsidRPr="0069538C" w:rsidRDefault="00307D0C" w:rsidP="00BD2A2E">
      <w:pPr>
        <w:pStyle w:val="ListBullet"/>
      </w:pPr>
      <w:r w:rsidRPr="00BD2A2E">
        <w:t>Onset of response by mWHO and irRC</w:t>
      </w:r>
    </w:p>
    <w:p w:rsidR="00307D0C" w:rsidRPr="004A5DFD" w:rsidRDefault="00307D0C" w:rsidP="00951A97">
      <w:pPr>
        <w:pStyle w:val="Heading5"/>
      </w:pPr>
      <w:r w:rsidRPr="004A5DFD">
        <w:t>Analysis populations</w:t>
      </w:r>
    </w:p>
    <w:p w:rsidR="00307D0C" w:rsidRPr="00EC1E56" w:rsidDel="0081373E" w:rsidRDefault="00307D0C" w:rsidP="00BD2A2E">
      <w:r w:rsidRPr="00BD2A2E">
        <w:t>Of the 99 subjects screened at 10 sites in the United States between July 2008 and June 2009, 27 (27.3%) were not treated because they did not meet screening criteria. A total of 72 subjects were treated and evaluated; 51 subjects (corticosteroid free) in Arm A and 21 subjects (corticosteroid dependent) in Arm B of the study.</w:t>
      </w:r>
    </w:p>
    <w:p w:rsidR="00307D0C" w:rsidRPr="00912E7E" w:rsidRDefault="00307D0C" w:rsidP="00951A97">
      <w:pPr>
        <w:pStyle w:val="Heading5"/>
      </w:pPr>
      <w:r w:rsidRPr="00912E7E">
        <w:lastRenderedPageBreak/>
        <w:t>Statistical methods and sample size</w:t>
      </w:r>
    </w:p>
    <w:p w:rsidR="00307D0C" w:rsidRDefault="00307D0C" w:rsidP="00BD2A2E">
      <w:r w:rsidRPr="00BD2A2E">
        <w:t>All analyses were performed b</w:t>
      </w:r>
      <w:r w:rsidR="00912E7E">
        <w:t xml:space="preserve">y treatment arms. An exact, two </w:t>
      </w:r>
      <w:r w:rsidRPr="00BD2A2E">
        <w:t xml:space="preserve">sided 95% confidence interval (CI) for DCR and BORR within each treatment arm was calculated using the method of Clopper </w:t>
      </w:r>
      <w:r w:rsidR="00912E7E">
        <w:t xml:space="preserve">and Pearson. Time </w:t>
      </w:r>
      <w:r w:rsidRPr="00BD2A2E">
        <w:t>dependent variables (PFS, OS, duration of response for those with a confirmed response of CR or PR, duration of stable disease) were estimated</w:t>
      </w:r>
      <w:r w:rsidR="00912E7E">
        <w:t xml:space="preserve"> using the Kaplan-Meier product </w:t>
      </w:r>
      <w:r w:rsidRPr="00BD2A2E">
        <w:t>limit method, the plot displaying the median</w:t>
      </w:r>
      <w:r w:rsidR="00912E7E">
        <w:t xml:space="preserve">, together with a two </w:t>
      </w:r>
      <w:r w:rsidRPr="00BD2A2E">
        <w:t>sided 95% CI for the median, calculated using the method of Brookmeyer and Crowley. The onset of response in subjects with a CR or PR was summar</w:t>
      </w:r>
      <w:r w:rsidR="00C91631">
        <w:t>is</w:t>
      </w:r>
      <w:r w:rsidRPr="00BD2A2E">
        <w:t xml:space="preserve">ed by treatment arm using descriptive statistics </w:t>
      </w:r>
      <w:r w:rsidR="00BD2A2E">
        <w:t>(median, minimum, and maximum).</w:t>
      </w:r>
    </w:p>
    <w:p w:rsidR="00307D0C" w:rsidRPr="00BD2A2E" w:rsidRDefault="00307D0C" w:rsidP="00BD2A2E">
      <w:r w:rsidRPr="00BD2A2E">
        <w:t>In Stage 1 accrual was to be continued in Arm A until 21 evaluable subjects were enrolled. If fewer than 2 objective (radiologically confirmed) responses, or</w:t>
      </w:r>
      <w:r w:rsidR="00912E7E">
        <w:t xml:space="preserve"> no more than 7 instances of 12 </w:t>
      </w:r>
      <w:r w:rsidRPr="00BD2A2E">
        <w:t xml:space="preserve">week PFS (no more than 33%), were observed among the initial 21 subjects, this study arm was to be terminated early and </w:t>
      </w:r>
      <w:r w:rsidR="006C6A1F">
        <w:t>dec</w:t>
      </w:r>
      <w:r w:rsidRPr="00BD2A2E">
        <w:t>lared negative. If 2 or more objective responses were observed in the first 21 subjec</w:t>
      </w:r>
      <w:r w:rsidR="00912E7E">
        <w:t xml:space="preserve">ts or 8 or more instances of 12 </w:t>
      </w:r>
      <w:r w:rsidRPr="00BD2A2E">
        <w:t>week PFS (more than 33%), an additional 20 subjects were to be accrued during Stage 2 of the study.</w:t>
      </w:r>
    </w:p>
    <w:p w:rsidR="00307D0C" w:rsidRDefault="00307D0C" w:rsidP="00BD2A2E">
      <w:r w:rsidRPr="00BD2A2E">
        <w:t xml:space="preserve">All enrolled patients were analysed if one dose of </w:t>
      </w:r>
      <w:r w:rsidR="00F22D76">
        <w:t>ipilimumab</w:t>
      </w:r>
      <w:r w:rsidRPr="00BD2A2E">
        <w:t xml:space="preserve"> was received.</w:t>
      </w:r>
    </w:p>
    <w:p w:rsidR="00307D0C" w:rsidRPr="00912E7E" w:rsidRDefault="00307D0C" w:rsidP="00951A97">
      <w:pPr>
        <w:pStyle w:val="Heading5"/>
      </w:pPr>
      <w:r w:rsidRPr="00912E7E">
        <w:t>Baseline data</w:t>
      </w:r>
    </w:p>
    <w:p w:rsidR="00307D0C" w:rsidRDefault="00307D0C" w:rsidP="00BD2A2E">
      <w:r w:rsidRPr="00BD2A2E">
        <w:t xml:space="preserve">The participant flow is summarised </w:t>
      </w:r>
      <w:r w:rsidRPr="00F047E2">
        <w:t xml:space="preserve">in </w:t>
      </w:r>
      <w:r w:rsidR="00912E7E" w:rsidRPr="00F047E2">
        <w:t>F</w:t>
      </w:r>
      <w:r w:rsidRPr="00F047E2">
        <w:t xml:space="preserve">igure </w:t>
      </w:r>
      <w:r w:rsidR="00912E7E" w:rsidRPr="00F047E2">
        <w:t xml:space="preserve">4 </w:t>
      </w:r>
      <w:r w:rsidRPr="00F047E2">
        <w:t>below</w:t>
      </w:r>
      <w:r w:rsidR="00BD2A2E">
        <w:t>.</w:t>
      </w:r>
    </w:p>
    <w:p w:rsidR="00307D0C" w:rsidRDefault="00307D0C" w:rsidP="00912E7E">
      <w:pPr>
        <w:pStyle w:val="FigureTitle"/>
        <w:keepNext/>
      </w:pPr>
      <w:bookmarkStart w:id="181" w:name="_Toc390676323"/>
      <w:r w:rsidRPr="00F047E2">
        <w:t>Figure</w:t>
      </w:r>
      <w:r w:rsidR="00912E7E" w:rsidRPr="00F047E2">
        <w:t xml:space="preserve"> 4</w:t>
      </w:r>
      <w:r w:rsidR="00F047E2" w:rsidRPr="00F047E2">
        <w:t>:</w:t>
      </w:r>
      <w:r w:rsidRPr="00BD2A2E">
        <w:t xml:space="preserve"> Participant flow for CA184042</w:t>
      </w:r>
      <w:bookmarkEnd w:id="181"/>
    </w:p>
    <w:p w:rsidR="00912E7E" w:rsidRPr="00BD2A2E" w:rsidRDefault="00912E7E" w:rsidP="00912E7E">
      <w:pPr>
        <w:pStyle w:val="FigureTitle"/>
      </w:pPr>
      <w:r>
        <w:rPr>
          <w:noProof/>
          <w:lang w:eastAsia="en-AU"/>
        </w:rPr>
        <w:drawing>
          <wp:inline distT="0" distB="0" distL="0" distR="0" wp14:anchorId="2A55F394" wp14:editId="3E6E350E">
            <wp:extent cx="4806794" cy="4967021"/>
            <wp:effectExtent l="0" t="0" r="0" b="0"/>
            <wp:docPr id="27" name="Picture 27" descr="Figure 4: Participant flow for CA184042&#10;99 screened : 27 did not meet screening criteria&#10;Arm A (corticosteriod free)&#10;Stage 1 n = 28, Stage 2 n = 23 total n = 51&#10;Of these treated in induction phase 36 discontinued. and 15 completed induction. Of these 4 entered follow up and 11 wee treated in maintenance phase.&#10;&#10;Arm B (corticosteriod dependent) Stage 2  n= 21. Of these treade in the induction phase 16 discontinued. 5 completed the induction phase and of these 3 entered follow up and 2 were treated in the maintenanc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12606" cy="4973026"/>
                    </a:xfrm>
                    <a:prstGeom prst="rect">
                      <a:avLst/>
                    </a:prstGeom>
                  </pic:spPr>
                </pic:pic>
              </a:graphicData>
            </a:graphic>
          </wp:inline>
        </w:drawing>
      </w:r>
    </w:p>
    <w:p w:rsidR="00307D0C" w:rsidRPr="001B4C5E" w:rsidRDefault="00307D0C" w:rsidP="001B4C5E">
      <w:r w:rsidRPr="001B4C5E">
        <w:lastRenderedPageBreak/>
        <w:t>All 72 treated subjects were male Caucasians, generally &lt;</w:t>
      </w:r>
      <w:r w:rsidR="00912E7E">
        <w:t xml:space="preserve"> </w:t>
      </w:r>
      <w:r w:rsidRPr="001B4C5E">
        <w:t>65 years of age, with an ECOG status of 0 or 1</w:t>
      </w:r>
      <w:r w:rsidR="005F5E22">
        <w:t xml:space="preserve">. </w:t>
      </w:r>
      <w:r w:rsidRPr="001B4C5E">
        <w:t>Only 1 patient in Arm B did not have at least one index CNS lesion. The location of other metastases for subjects differed in frequency. Fo</w:t>
      </w:r>
      <w:r w:rsidR="00912E7E">
        <w:t>r Arm A; 22 (43.1%), 14 (27.5%)</w:t>
      </w:r>
      <w:r w:rsidRPr="001B4C5E">
        <w:t xml:space="preserve"> and 16 (31.4%) subjects also had visc</w:t>
      </w:r>
      <w:r w:rsidR="00912E7E">
        <w:t>eral lesions in the lung, liver</w:t>
      </w:r>
      <w:r w:rsidRPr="001B4C5E">
        <w:t xml:space="preserve"> or other areas, respectively. Of the 20 subjects in Arm B; 12 (57.1%), 9 (42.9%), and 13 (61.9%) subjects also had visceral lesions in the lung, liver, or other areas, respectively. Prior systemic treatment differed between arms. Forty subjects (78.4%) in Arm A had prior systemic therapy; most commonly immunotherapy (24 subjects; 47.1%), with 5 subjects who received </w:t>
      </w:r>
      <w:r w:rsidR="00FC2F62">
        <w:t xml:space="preserve">≥ </w:t>
      </w:r>
      <w:r w:rsidRPr="001B4C5E">
        <w:t>3 regimens. Fifteen subjects (71.4%) in</w:t>
      </w:r>
      <w:r w:rsidRPr="00BD2A2E">
        <w:t xml:space="preserve"> </w:t>
      </w:r>
      <w:r w:rsidRPr="001B4C5E">
        <w:t xml:space="preserve">Arm B of had prior systemic therapy, which was most commonly chemotherapy (14 subjects; 66.7%). No subjects in Arm B received </w:t>
      </w:r>
      <w:r w:rsidR="00FC2F62">
        <w:t xml:space="preserve">≥ </w:t>
      </w:r>
      <w:r w:rsidRPr="001B4C5E">
        <w:t>3 regimens of systemic therapy. All 72 subjects had prior surgery for their cancer and most had prior radiotherapy to the brain.</w:t>
      </w:r>
    </w:p>
    <w:p w:rsidR="00307D0C" w:rsidRPr="001B4C5E" w:rsidRDefault="00307D0C" w:rsidP="001B4C5E">
      <w:r w:rsidRPr="001B4C5E">
        <w:t>With respect to eligibility protocol violations: both arms included one subject with a prohibited concomitant illness, and one subject in Arm B had a Grade 3 abnormal ALT while 2 subjects in Arm A had Grade 3 abnormal total bilirubin levels.</w:t>
      </w:r>
    </w:p>
    <w:p w:rsidR="00307D0C" w:rsidRPr="001B4C5E" w:rsidRDefault="00307D0C" w:rsidP="001B4C5E">
      <w:r w:rsidRPr="001B4C5E">
        <w:t>With respect to discontinuation of therapy, the majority occurred due to treatment failure, disease progression or death. There were 3 treatment discontinuations in Arm A and 2 discontin</w:t>
      </w:r>
      <w:r w:rsidR="00FC2F62">
        <w:t xml:space="preserve">uations in Arm B for irAEs (non </w:t>
      </w:r>
      <w:r w:rsidRPr="001B4C5E">
        <w:t>CNS). Two of the 11 subjects treated in the maintenance phase discontinued treatment; 1 due to disease progression and the other due to surgery. The 2 subjects in Arm B who were treated during the maintenance phase remain on treatme</w:t>
      </w:r>
      <w:r w:rsidR="00FC2F62">
        <w:t xml:space="preserve">nt as of the cut-off date of 25 </w:t>
      </w:r>
      <w:r w:rsidR="00661517">
        <w:t>April</w:t>
      </w:r>
      <w:r w:rsidR="00FC2F62">
        <w:t xml:space="preserve"> </w:t>
      </w:r>
      <w:r w:rsidRPr="001B4C5E">
        <w:t xml:space="preserve">2011. Discontinuations annotated as </w:t>
      </w:r>
      <w:r w:rsidR="00C108F1">
        <w:t>‘</w:t>
      </w:r>
      <w:r w:rsidRPr="001B4C5E">
        <w:t>other</w:t>
      </w:r>
      <w:r w:rsidR="00C108F1">
        <w:t>’</w:t>
      </w:r>
      <w:r w:rsidRPr="001B4C5E">
        <w:t xml:space="preserve"> by the </w:t>
      </w:r>
      <w:r w:rsidR="005F5E22">
        <w:t>sponsor</w:t>
      </w:r>
      <w:r w:rsidRPr="001B4C5E">
        <w:t xml:space="preserve"> were not described.</w:t>
      </w:r>
    </w:p>
    <w:p w:rsidR="00307D0C" w:rsidRPr="001B4C5E" w:rsidRDefault="00307D0C" w:rsidP="001B4C5E">
      <w:r w:rsidRPr="001B4C5E">
        <w:t>Although the subjects in Arm A were not on corticosteroids at study entry, 36 subjects (70.6%) in Arm A received corticosteroids during the study.</w:t>
      </w:r>
    </w:p>
    <w:p w:rsidR="00307D0C" w:rsidRPr="001B4C5E" w:rsidRDefault="00307D0C" w:rsidP="001B4C5E">
      <w:r w:rsidRPr="001B4C5E">
        <w:t>One patient was reported to have died from a study drug related AE.</w:t>
      </w:r>
    </w:p>
    <w:p w:rsidR="00307D0C" w:rsidRPr="00FC2F62" w:rsidRDefault="00307D0C" w:rsidP="00951A97">
      <w:pPr>
        <w:pStyle w:val="Heading5"/>
      </w:pPr>
      <w:r w:rsidRPr="00FC2F62">
        <w:t>Results for the primary efficacy outcome</w:t>
      </w:r>
    </w:p>
    <w:p w:rsidR="00307D0C" w:rsidRPr="00BD2A2E" w:rsidRDefault="00307D0C" w:rsidP="00BD2A2E">
      <w:r w:rsidRPr="00BD2A2E">
        <w:t>Three objective (radiologically confirmed by investigator) responses were observed among the first 21 subjects enrolled in Stage 1 allowing t</w:t>
      </w:r>
      <w:r w:rsidR="00BD2A2E">
        <w:t>he study to proceed to Stage 2.</w:t>
      </w:r>
    </w:p>
    <w:p w:rsidR="00A76ADF" w:rsidRDefault="00A76ADF" w:rsidP="00A76ADF">
      <w:pPr>
        <w:pStyle w:val="Heading6"/>
      </w:pPr>
      <w:r>
        <w:t>Primary Efficacy</w:t>
      </w:r>
    </w:p>
    <w:p w:rsidR="00307D0C" w:rsidRPr="003707AD" w:rsidRDefault="00307D0C" w:rsidP="00BD2A2E">
      <w:r w:rsidRPr="00BD2A2E">
        <w:t>Global DCR (CR, PR, or SD) by mWHO c</w:t>
      </w:r>
      <w:r w:rsidR="00FC2F62">
        <w:t>riteria was 17.6% (95% CI: 8.4 to</w:t>
      </w:r>
      <w:r w:rsidRPr="00BD2A2E">
        <w:t xml:space="preserve"> 30.9; 9 subjects free of disease progression out of 51 subjects) </w:t>
      </w:r>
      <w:r w:rsidR="00FC2F62">
        <w:t>in Arm A and 4.8% (95% CI: 0.1 to</w:t>
      </w:r>
      <w:r w:rsidRPr="00BD2A2E">
        <w:t xml:space="preserve"> 23.8; 1 subject free of disease progression out of 21 subjects) in Arm B after Week 12.</w:t>
      </w:r>
    </w:p>
    <w:p w:rsidR="00307D0C" w:rsidRPr="00BD2A2E" w:rsidRDefault="00A76ADF" w:rsidP="00A76ADF">
      <w:pPr>
        <w:pStyle w:val="Heading6"/>
      </w:pPr>
      <w:r>
        <w:t>Secondary Efficacy</w:t>
      </w:r>
    </w:p>
    <w:p w:rsidR="00307D0C" w:rsidRPr="00BD2A2E" w:rsidRDefault="00307D0C" w:rsidP="00BD2A2E">
      <w:pPr>
        <w:pStyle w:val="ListBullet"/>
      </w:pPr>
      <w:r w:rsidRPr="00BD2A2E">
        <w:t>Global BORR (CR or PR) by mWHO or irRC criteria was observed in</w:t>
      </w:r>
      <w:r w:rsidR="00FC2F62">
        <w:t xml:space="preserve"> 5 subjects (9.8%, 95% CI: 3.3 to</w:t>
      </w:r>
      <w:r w:rsidRPr="00BD2A2E">
        <w:t xml:space="preserve"> 21.4)) in Arm A a</w:t>
      </w:r>
      <w:r w:rsidR="00FC2F62">
        <w:t>nd 1 subject (4.8%, 95% CI 0.1 to</w:t>
      </w:r>
      <w:r w:rsidRPr="00BD2A2E">
        <w:t xml:space="preserve"> 23.8) in Arm B. All objective responses were PR.</w:t>
      </w:r>
    </w:p>
    <w:p w:rsidR="00307D0C" w:rsidRPr="00BD2A2E" w:rsidRDefault="00307D0C" w:rsidP="00BD2A2E">
      <w:pPr>
        <w:pStyle w:val="ListBullet"/>
      </w:pPr>
      <w:r w:rsidRPr="00BD2A2E">
        <w:t>There was no difference in the objective response rate b</w:t>
      </w:r>
      <w:r w:rsidR="00401602">
        <w:t>y either mWHO or irRC criteria.</w:t>
      </w:r>
    </w:p>
    <w:p w:rsidR="00307D0C" w:rsidRPr="00BD2A2E" w:rsidRDefault="00401602" w:rsidP="00BD2A2E">
      <w:pPr>
        <w:pStyle w:val="ListBullet"/>
      </w:pPr>
      <w:r>
        <w:t>Median global p</w:t>
      </w:r>
      <w:r w:rsidR="00FC2F62">
        <w:t xml:space="preserve">rogression </w:t>
      </w:r>
      <w:r w:rsidR="00307D0C" w:rsidRPr="00BD2A2E">
        <w:t>free survival by mWHO criteria was comparable between arms; Arm A was 1.4 months and Arm B was 1.2 months. Median brain PFS by mWHO criteri</w:t>
      </w:r>
      <w:r w:rsidR="00FC2F62">
        <w:t>a was similar.</w:t>
      </w:r>
    </w:p>
    <w:p w:rsidR="00307D0C" w:rsidRPr="00BD2A2E" w:rsidRDefault="00307D0C" w:rsidP="00BD2A2E">
      <w:pPr>
        <w:pStyle w:val="ListBullet"/>
      </w:pPr>
      <w:r w:rsidRPr="00BD2A2E">
        <w:t>Me</w:t>
      </w:r>
      <w:r w:rsidR="00FC2F62">
        <w:t>dian OS was 6.97 (95% CI: 4.14 to 10.81) and 3.75 (95% CI: 1.64 to</w:t>
      </w:r>
      <w:r w:rsidRPr="00BD2A2E">
        <w:t xml:space="preserve"> 7.33) months, respectively. At the time of the database lock, 15 (29.4%) subjects were still alive in Arm A, and 2 in Arm B (9.5%). The 1 and 2 year survival rates were 31% and 26%, for Arm A and 19% and 10%, for Arm B.</w:t>
      </w:r>
    </w:p>
    <w:p w:rsidR="00307D0C" w:rsidRPr="00BD2A2E" w:rsidRDefault="00307D0C" w:rsidP="00BD2A2E">
      <w:pPr>
        <w:pStyle w:val="ListBullet"/>
      </w:pPr>
      <w:r w:rsidRPr="00BD2A2E">
        <w:t>For the 5 responders (PR) in Arm A, median onset of response was 1.2 months, and median duration of response (DOR) was 10.4 months. Specifically, the duration of response was 10.4, 9.7, 18.2, 15.3, and 2.9 months; all responders in Arm A relapse</w:t>
      </w:r>
      <w:r w:rsidR="00FC2F62">
        <w:t xml:space="preserve">d or died at the time of </w:t>
      </w:r>
      <w:r w:rsidR="00FC2F62">
        <w:lastRenderedPageBreak/>
        <w:t xml:space="preserve">the 25 </w:t>
      </w:r>
      <w:r w:rsidR="00661517">
        <w:t>April</w:t>
      </w:r>
      <w:r w:rsidR="00FC2F62">
        <w:t xml:space="preserve"> </w:t>
      </w:r>
      <w:r w:rsidRPr="00BD2A2E">
        <w:t xml:space="preserve">2011 database lock. The one subject with objective response (PR) in Arm B had an onset of response of 1.2 months, and was still in PR (20.7+ months) at the time of the </w:t>
      </w:r>
      <w:r w:rsidR="00FC2F62" w:rsidRPr="00FC2F62">
        <w:t xml:space="preserve">25 </w:t>
      </w:r>
      <w:r w:rsidR="00661517">
        <w:t>April</w:t>
      </w:r>
      <w:r w:rsidR="00FC2F62" w:rsidRPr="00FC2F62">
        <w:t xml:space="preserve"> 2011</w:t>
      </w:r>
      <w:r w:rsidRPr="00BD2A2E">
        <w:t xml:space="preserve"> database lock.</w:t>
      </w:r>
    </w:p>
    <w:p w:rsidR="00307D0C" w:rsidRPr="00BD2A2E" w:rsidRDefault="00307D0C" w:rsidP="00BD2A2E">
      <w:pPr>
        <w:pStyle w:val="ListBullet"/>
      </w:pPr>
      <w:r w:rsidRPr="00BD2A2E">
        <w:t>Of the 9 subjects who achieved DCR in Arm A, 4 had SD (0 in Arm B). At the time of the database lock, none had SD. The median duration of SD was 3.7 months.</w:t>
      </w:r>
    </w:p>
    <w:p w:rsidR="00307D0C" w:rsidRPr="00BD2A2E" w:rsidRDefault="00307D0C" w:rsidP="00BD2A2E">
      <w:pPr>
        <w:pStyle w:val="ListBullet"/>
      </w:pPr>
      <w:r w:rsidRPr="00BD2A2E">
        <w:t>Eight subjects in Arm A and 1 subject in Arm B achieved irSD. At the time of the database lock, none had SD. The median duration of irSD in Arm A was 3.7 months.</w:t>
      </w:r>
    </w:p>
    <w:p w:rsidR="00307D0C" w:rsidRPr="00BD2A2E" w:rsidRDefault="00307D0C" w:rsidP="00BD2A2E">
      <w:pPr>
        <w:pStyle w:val="ListBullet"/>
      </w:pPr>
      <w:r w:rsidRPr="00BD2A2E">
        <w:t>Brain DCR by mWHO was achieved in 12 (23.5%) and 2 (9.5%) of subjects in Arm A and Arm B, respectively. Of these, objective response was achieved in 8 (15.7%) and 1 (4.8%) subjects, respectively.</w:t>
      </w:r>
    </w:p>
    <w:p w:rsidR="00307D0C" w:rsidRDefault="00FC2F62" w:rsidP="00BD2A2E">
      <w:pPr>
        <w:pStyle w:val="ListBullet"/>
      </w:pPr>
      <w:r>
        <w:t xml:space="preserve">Non </w:t>
      </w:r>
      <w:r w:rsidR="00307D0C" w:rsidRPr="00BD2A2E">
        <w:t>CNS DCR by mWHO was achieved in 14 (27.4%) and 1 (4.8%) of subjects in Arm A and Arm B, respectively. Of these, objective response was achieved in 7 (13.7%) and 1 (4.8%) subjects, respectively.</w:t>
      </w:r>
    </w:p>
    <w:p w:rsidR="00307D0C" w:rsidRPr="00BD2A2E" w:rsidRDefault="00307D0C" w:rsidP="00BD2A2E">
      <w:r w:rsidRPr="00BD2A2E">
        <w:t xml:space="preserve">In conclusion, with respect to efficacy, this study provides supportive evidence for the global disease control rate and survival benefit with use of </w:t>
      </w:r>
      <w:r w:rsidR="00F22D76">
        <w:t>ipilimumab</w:t>
      </w:r>
      <w:r w:rsidRPr="00BD2A2E">
        <w:t xml:space="preserve"> </w:t>
      </w:r>
      <w:r w:rsidR="00C108F1">
        <w:t>10 mg</w:t>
      </w:r>
      <w:r w:rsidRPr="00BD2A2E">
        <w:t>/kg in patients with metastatic melanoma with brain lesions, of which patients without concomitant steroids have an improved outcome compared to patients on steroids. However, note should be made of the modest number of patients in each study arm. Given the examination of previously treated patients, the impact of previous treatments may contribute to the reported efficacy of the drug. T</w:t>
      </w:r>
      <w:r w:rsidR="00FC2F62">
        <w:t xml:space="preserve">he </w:t>
      </w:r>
      <w:r w:rsidR="00A76ADF">
        <w:t>non-</w:t>
      </w:r>
      <w:r w:rsidR="00A76ADF" w:rsidRPr="00BD2A2E">
        <w:t>randomised</w:t>
      </w:r>
      <w:r w:rsidRPr="00BD2A2E">
        <w:t xml:space="preserve"> design of the study does not account for the introduction of biases, in particular, selection bias. With respect to the current application, extrapolation of efficacy for another dosage has limite</w:t>
      </w:r>
      <w:r w:rsidR="00BD2A2E">
        <w:t>d external validity.</w:t>
      </w:r>
    </w:p>
    <w:p w:rsidR="00307D0C" w:rsidRPr="00BD2A2E" w:rsidRDefault="00307D0C" w:rsidP="00BD2A2E">
      <w:r w:rsidRPr="00BD2A2E">
        <w:t xml:space="preserve">Please note also that for comparison of this population with other trials, the inclusion criteria for CNS disease differs </w:t>
      </w:r>
      <w:r w:rsidR="00BD2A2E">
        <w:t>(external validity is limited).</w:t>
      </w:r>
    </w:p>
    <w:p w:rsidR="00307D0C" w:rsidRPr="00EC1E56" w:rsidRDefault="00307D0C" w:rsidP="00BD2A2E">
      <w:r w:rsidRPr="00BD2A2E">
        <w:t>Thus, this study does not provide supportive evidence for the proposed indication.</w:t>
      </w:r>
    </w:p>
    <w:p w:rsidR="00307D0C" w:rsidRPr="00BD2A2E" w:rsidRDefault="00307D0C" w:rsidP="00951A97">
      <w:pPr>
        <w:pStyle w:val="Heading4"/>
      </w:pPr>
      <w:r w:rsidRPr="00BD2A2E">
        <w:t>Study CA184078</w:t>
      </w:r>
    </w:p>
    <w:p w:rsidR="00307D0C" w:rsidRDefault="00307D0C" w:rsidP="00951A97">
      <w:pPr>
        <w:pStyle w:val="Heading5"/>
      </w:pPr>
      <w:r w:rsidRPr="00FC2F62">
        <w:t>Study design summary</w:t>
      </w:r>
    </w:p>
    <w:p w:rsidR="00C7067E" w:rsidRPr="00C7067E" w:rsidRDefault="00C7067E" w:rsidP="00C7067E">
      <w:r>
        <w:t xml:space="preserve">For the description of Study CA184078 ‘Objectives’, ‘Design’, ‘Entry criteria’, Treatments’ see section </w:t>
      </w:r>
      <w:r w:rsidRPr="00401602">
        <w:t>4.3.1</w:t>
      </w:r>
      <w:r>
        <w:t xml:space="preserve"> above.</w:t>
      </w:r>
    </w:p>
    <w:p w:rsidR="00307D0C" w:rsidRPr="00BD2A2E" w:rsidRDefault="00307D0C" w:rsidP="00951A97">
      <w:pPr>
        <w:pStyle w:val="Heading5"/>
      </w:pPr>
      <w:r w:rsidRPr="00BD2A2E">
        <w:t>Study participants</w:t>
      </w:r>
    </w:p>
    <w:p w:rsidR="00307D0C" w:rsidRPr="00BD2A2E" w:rsidRDefault="00307D0C" w:rsidP="00BD2A2E">
      <w:r w:rsidRPr="00BD2A2E">
        <w:t>Of 72 enrolled patients, 59 were random</w:t>
      </w:r>
      <w:r w:rsidR="00C91631">
        <w:t>is</w:t>
      </w:r>
      <w:r w:rsidRPr="00BD2A2E">
        <w:t xml:space="preserve">ed to treatment and received </w:t>
      </w:r>
      <w:r w:rsidR="00F22D76">
        <w:t>ipilimumab</w:t>
      </w:r>
      <w:r w:rsidRPr="00BD2A2E">
        <w:t xml:space="preserve"> </w:t>
      </w:r>
      <w:r w:rsidR="00A76ADF">
        <w:t>+</w:t>
      </w:r>
      <w:r w:rsidRPr="00BD2A2E">
        <w:t xml:space="preserve"> paclitaxel/carboplatin (Arm A, n = 20), </w:t>
      </w:r>
      <w:r w:rsidR="00F22D76">
        <w:t>ipilimumab</w:t>
      </w:r>
      <w:r w:rsidRPr="00BD2A2E">
        <w:t xml:space="preserve"> + DTIC (Arm B, n = 19), or </w:t>
      </w:r>
      <w:r w:rsidR="00F22D76">
        <w:t>ipilimumab</w:t>
      </w:r>
      <w:r w:rsidRPr="00BD2A2E">
        <w:t xml:space="preserve"> alone (Arm C, n = 20). </w:t>
      </w:r>
      <w:r w:rsidR="00401602">
        <w:t xml:space="preserve">Some </w:t>
      </w:r>
      <w:r w:rsidRPr="00BD2A2E">
        <w:t>59 patients received one dose, but the majority of 41 (70%) patients did not complete induction due to PD (63%) or toxicity and /or death (34%)</w:t>
      </w:r>
      <w:r w:rsidR="005F5E22">
        <w:t xml:space="preserve">. </w:t>
      </w:r>
      <w:r w:rsidRPr="00BD2A2E">
        <w:t>Of 18 who completed induction, 2 did not receive any maintenance, and 15 patients completed maintenance. Patients were predominantly white males (64%), of excellent ECOG (0 or 1). No significant differences were noted in baseline characteristics (numbers per arm were small). Protocol deviations were not reported within the study.</w:t>
      </w:r>
    </w:p>
    <w:p w:rsidR="00307D0C" w:rsidRPr="00BD2A2E" w:rsidRDefault="00307D0C" w:rsidP="00951A97">
      <w:pPr>
        <w:pStyle w:val="Heading5"/>
      </w:pPr>
      <w:r w:rsidRPr="00BD2A2E">
        <w:t>Efficacy variables and outcomes</w:t>
      </w:r>
    </w:p>
    <w:p w:rsidR="00307D0C" w:rsidRPr="00EC1E56" w:rsidRDefault="00307D0C" w:rsidP="00BD2A2E">
      <w:r w:rsidRPr="00BD2A2E">
        <w:t>The primar</w:t>
      </w:r>
      <w:r w:rsidR="00C7067E">
        <w:t xml:space="preserve">y endpoint of this study was PK </w:t>
      </w:r>
      <w:r w:rsidR="00A76ADF">
        <w:t xml:space="preserve">related. </w:t>
      </w:r>
      <w:r w:rsidRPr="00BD2A2E">
        <w:t>Other efficacy outcomes included: ORR based on mWHO and irRC, DCR based on mWHO and irRC, and PFS based on mWHO and irRC.</w:t>
      </w:r>
    </w:p>
    <w:p w:rsidR="00307D0C" w:rsidRPr="00BD2A2E" w:rsidRDefault="00307D0C" w:rsidP="00951A97">
      <w:pPr>
        <w:pStyle w:val="Heading5"/>
      </w:pPr>
      <w:r w:rsidRPr="00BD2A2E">
        <w:t>Statistical methods</w:t>
      </w:r>
    </w:p>
    <w:p w:rsidR="00307D0C" w:rsidRPr="00BD2A2E" w:rsidRDefault="00307D0C" w:rsidP="00BD2A2E">
      <w:r w:rsidRPr="00BD2A2E">
        <w:t>Individual tumour measurements, tumour responses at each assessment, BOR, and PFS, as defined by mWHO criteria and irRC, were listed. BOR/irBOR, ORR/irORR, and DCR/irDCR were described by treatment for all random</w:t>
      </w:r>
      <w:r w:rsidR="00C91631">
        <w:t>is</w:t>
      </w:r>
      <w:r w:rsidR="00A76ADF">
        <w:t xml:space="preserve">ed subjects and response </w:t>
      </w:r>
      <w:r w:rsidRPr="00BD2A2E">
        <w:t>evaluable subjects. For the purpose of these summaries in all random</w:t>
      </w:r>
      <w:r w:rsidR="00C91631">
        <w:t>is</w:t>
      </w:r>
      <w:r w:rsidRPr="00BD2A2E">
        <w:t xml:space="preserve">ed subjects, subjects with resected index lesions, or </w:t>
      </w:r>
      <w:r w:rsidRPr="00BD2A2E">
        <w:lastRenderedPageBreak/>
        <w:t>new lesions for irRC, were considered to have progressed. PFS was plotted by treatment as defined by mWHO criteria and irRC. For</w:t>
      </w:r>
      <w:r w:rsidR="00C7067E">
        <w:t xml:space="preserve"> subjects with no recorded post </w:t>
      </w:r>
      <w:r w:rsidRPr="00BD2A2E">
        <w:t>baseline tumour assessment, PFS was censored at the day of random</w:t>
      </w:r>
      <w:r w:rsidR="00C91631">
        <w:t>is</w:t>
      </w:r>
      <w:r w:rsidRPr="00BD2A2E">
        <w:t>ation. A subject who died without reported prior progression (PD/irPD) was considered to have progressed on the date of death. For those who remained alive and did not progress (PD/irPD), PFS was censored on the date of last evaluable tumour assessment.</w:t>
      </w:r>
    </w:p>
    <w:p w:rsidR="00307D0C" w:rsidRPr="00BD2A2E" w:rsidRDefault="00307D0C" w:rsidP="00951A97">
      <w:pPr>
        <w:pStyle w:val="Heading5"/>
      </w:pPr>
      <w:r w:rsidRPr="00BD2A2E">
        <w:t>Results for other efficacy outcomes</w:t>
      </w:r>
    </w:p>
    <w:p w:rsidR="00307D0C" w:rsidRPr="00BD2A2E" w:rsidRDefault="00307D0C" w:rsidP="00BD2A2E">
      <w:r w:rsidRPr="00BD2A2E">
        <w:t xml:space="preserve">The sponsor writes </w:t>
      </w:r>
      <w:r w:rsidR="00E24E9D">
        <w:t>‘</w:t>
      </w:r>
      <w:r w:rsidRPr="00C7067E">
        <w:rPr>
          <w:i/>
        </w:rPr>
        <w:t>Efficacy measure estimates were imprecise because of the small size of this study, and differences among treatment arms were not tested.</w:t>
      </w:r>
      <w:r w:rsidR="00C108F1">
        <w:t>’</w:t>
      </w:r>
    </w:p>
    <w:p w:rsidR="00307D0C" w:rsidRPr="00BD2A2E" w:rsidRDefault="00307D0C" w:rsidP="00BD2A2E">
      <w:r w:rsidRPr="00BD2A2E">
        <w:t>The following is a summary of efficacy results:</w:t>
      </w:r>
    </w:p>
    <w:p w:rsidR="00307D0C" w:rsidRPr="00BD2A2E" w:rsidRDefault="00307D0C" w:rsidP="00BD2A2E">
      <w:pPr>
        <w:pStyle w:val="ListBullet"/>
      </w:pPr>
      <w:r w:rsidRPr="00BD2A2E">
        <w:t>The ORR expressed relative to the population of all random</w:t>
      </w:r>
      <w:r w:rsidR="00C91631">
        <w:t>is</w:t>
      </w:r>
      <w:r w:rsidRPr="00BD2A2E">
        <w:t>ed subjects was l</w:t>
      </w:r>
      <w:r w:rsidR="00C7067E">
        <w:t xml:space="preserve">ower than that for the response </w:t>
      </w:r>
      <w:r w:rsidRPr="00BD2A2E">
        <w:t>evaluable population and the pattern was similar to that see</w:t>
      </w:r>
      <w:r w:rsidR="00C7067E">
        <w:t xml:space="preserve">n in the response </w:t>
      </w:r>
      <w:r w:rsidRPr="00BD2A2E">
        <w:t xml:space="preserve">evaluable subjects, with the response rate for Arm B (26.3%, </w:t>
      </w:r>
      <w:r w:rsidR="00F3471F">
        <w:t xml:space="preserve">n = </w:t>
      </w:r>
      <w:r w:rsidRPr="00BD2A2E">
        <w:t xml:space="preserve">5) and Arm C (25.0%, </w:t>
      </w:r>
      <w:r w:rsidR="00F3471F">
        <w:t xml:space="preserve">n = </w:t>
      </w:r>
      <w:r w:rsidRPr="00BD2A2E">
        <w:t xml:space="preserve">5) being higher than Arm A (10.0%, </w:t>
      </w:r>
      <w:r w:rsidR="00F3471F">
        <w:t xml:space="preserve">n = </w:t>
      </w:r>
      <w:r w:rsidRPr="00BD2A2E">
        <w:t>2) based on mWHO criteria. Based on irRC, Arm B had a higher response rate (31.6%) than both Arms A and C, with Arm A having the same response rate as Arm C (both 25.0%).</w:t>
      </w:r>
    </w:p>
    <w:p w:rsidR="00307D0C" w:rsidRPr="00BD2A2E" w:rsidRDefault="00307D0C" w:rsidP="00BD2A2E">
      <w:pPr>
        <w:pStyle w:val="ListBullet"/>
      </w:pPr>
      <w:r w:rsidRPr="00BD2A2E">
        <w:t>The DCR, based on mWHO criteria, expressed relative to the population of all random</w:t>
      </w:r>
      <w:r w:rsidR="00C91631">
        <w:t>is</w:t>
      </w:r>
      <w:r w:rsidRPr="00BD2A2E">
        <w:t>ed subjects was l</w:t>
      </w:r>
      <w:r w:rsidR="00C7067E">
        <w:t xml:space="preserve">ower than that for the response </w:t>
      </w:r>
      <w:r w:rsidRPr="00BD2A2E">
        <w:t>evaluable population and the pattern was similar to that seen in t</w:t>
      </w:r>
      <w:r w:rsidR="00C7067E">
        <w:t xml:space="preserve">he response </w:t>
      </w:r>
      <w:r w:rsidRPr="00BD2A2E">
        <w:t xml:space="preserve">evaluable subjects, which was highest in Arm B (52.6%, </w:t>
      </w:r>
      <w:r w:rsidR="00F3471F">
        <w:t xml:space="preserve">n = </w:t>
      </w:r>
      <w:r w:rsidRPr="00BD2A2E">
        <w:t xml:space="preserve">10), followed by Arm C (45.0%, </w:t>
      </w:r>
      <w:r w:rsidR="00F3471F">
        <w:t xml:space="preserve">n = </w:t>
      </w:r>
      <w:r w:rsidRPr="00BD2A2E">
        <w:t xml:space="preserve">9) and Arm A (40.0%, </w:t>
      </w:r>
      <w:r w:rsidR="00F3471F">
        <w:t xml:space="preserve">n = </w:t>
      </w:r>
      <w:r w:rsidRPr="00BD2A2E">
        <w:t xml:space="preserve">8). Based on irRC, the DCR was highest in Arm C (55.0%), followed by Arm B (57.9%) and Arm </w:t>
      </w:r>
      <w:proofErr w:type="gramStart"/>
      <w:r w:rsidRPr="00BD2A2E">
        <w:t>A</w:t>
      </w:r>
      <w:proofErr w:type="gramEnd"/>
      <w:r w:rsidRPr="00BD2A2E">
        <w:t xml:space="preserve"> (50.0%).</w:t>
      </w:r>
    </w:p>
    <w:p w:rsidR="00307D0C" w:rsidRPr="00EC1E56" w:rsidRDefault="00307D0C" w:rsidP="00BD2A2E">
      <w:pPr>
        <w:pStyle w:val="ListBullet"/>
      </w:pPr>
      <w:r w:rsidRPr="00BD2A2E">
        <w:t>Both medi</w:t>
      </w:r>
      <w:r w:rsidR="003F7A1B">
        <w:t xml:space="preserve">an PFS (mWHO) and median immune </w:t>
      </w:r>
      <w:r w:rsidRPr="00BD2A2E">
        <w:t>related progression free survival (irPFS) appeared similar among the treatment arms. Median PFS by mWHO criteria w</w:t>
      </w:r>
      <w:r w:rsidR="00C7067E">
        <w:t>as for Arm A 2.8% (95% CI: 2.7 to</w:t>
      </w:r>
      <w:r w:rsidRPr="00BD2A2E">
        <w:t xml:space="preserve"> 3.9</w:t>
      </w:r>
      <w:r w:rsidR="00C7067E">
        <w:t>), for Arm B 3.6% (95% CI: 2.9 to</w:t>
      </w:r>
      <w:r w:rsidRPr="00BD2A2E">
        <w:t xml:space="preserve"> 5.9), and for </w:t>
      </w:r>
      <w:r w:rsidR="00C7067E">
        <w:t>Arm C 3.0% (95% CI: 2.7 to</w:t>
      </w:r>
      <w:r w:rsidR="00BD2A2E">
        <w:t xml:space="preserve"> 6.8).</w:t>
      </w:r>
    </w:p>
    <w:p w:rsidR="00307D0C" w:rsidRPr="00BD2A2E" w:rsidRDefault="00307D0C" w:rsidP="00BD2A2E">
      <w:r w:rsidRPr="00BD2A2E">
        <w:t>In the context of the current applicatio</w:t>
      </w:r>
      <w:r w:rsidR="00C7067E">
        <w:t xml:space="preserve">n, this study does not provide </w:t>
      </w:r>
      <w:r w:rsidRPr="00BD2A2E">
        <w:t xml:space="preserve">supportive efficacy data for the proposed usage due to the use of an alternate primary end point (efficacy was a secondary end point), the small patient numbers, the use of </w:t>
      </w:r>
      <w:r w:rsidR="00F22D76">
        <w:t>ipilimumab</w:t>
      </w:r>
      <w:r w:rsidRPr="00BD2A2E">
        <w:t xml:space="preserve"> </w:t>
      </w:r>
      <w:r w:rsidR="00C108F1">
        <w:t>10 mg</w:t>
      </w:r>
      <w:r w:rsidRPr="00BD2A2E">
        <w:t xml:space="preserve">/kg (with or without concomitant chemotherapy) and </w:t>
      </w:r>
      <w:r w:rsidR="003F7A1B">
        <w:t>the use of a maintenance phase.</w:t>
      </w:r>
    </w:p>
    <w:p w:rsidR="00307D0C" w:rsidRPr="00BD2A2E" w:rsidRDefault="00307D0C" w:rsidP="00951A97">
      <w:pPr>
        <w:pStyle w:val="Heading3"/>
      </w:pPr>
      <w:bookmarkStart w:id="182" w:name="_Ref384735681"/>
      <w:bookmarkStart w:id="183" w:name="_Toc475616222"/>
      <w:r w:rsidRPr="00BD2A2E">
        <w:t>Observational studies (interim reports)</w:t>
      </w:r>
      <w:bookmarkEnd w:id="182"/>
      <w:bookmarkEnd w:id="183"/>
    </w:p>
    <w:p w:rsidR="00307D0C" w:rsidRDefault="00307D0C" w:rsidP="00307D0C">
      <w:r w:rsidRPr="00BD2A2E">
        <w:t xml:space="preserve">These studies are included due to their reference in the pre-submission meeting. Although post marketing experience provides important information, data is not considered high level quality evidence (according to conventional grading) given the uncontrolled, retrospective nature of the studies in a heterogeneous population of patients. Thus, the presence of introduced bias (such as selection bias) cannot be accounted for and should be considered in </w:t>
      </w:r>
      <w:r w:rsidR="00661517">
        <w:t>cross study</w:t>
      </w:r>
      <w:r w:rsidRPr="00BD2A2E">
        <w:t xml:space="preserve"> comparisons. Furthermore, given both are interim reports, data is relatively immature with the anticipated submission of finali</w:t>
      </w:r>
      <w:r w:rsidR="00BD2A2E">
        <w:t>sed data in approximately 2017.</w:t>
      </w:r>
    </w:p>
    <w:p w:rsidR="00661517" w:rsidRDefault="00661517" w:rsidP="00951A97">
      <w:pPr>
        <w:pStyle w:val="Heading4"/>
      </w:pPr>
      <w:r>
        <w:t xml:space="preserve">Study </w:t>
      </w:r>
      <w:r w:rsidR="00307D0C" w:rsidRPr="00BD2A2E">
        <w:t>CA184332</w:t>
      </w:r>
    </w:p>
    <w:p w:rsidR="00307D0C" w:rsidRPr="00BD2A2E" w:rsidRDefault="00661517" w:rsidP="00BD2A2E">
      <w:r w:rsidRPr="00661517">
        <w:t xml:space="preserve">Study </w:t>
      </w:r>
      <w:r w:rsidR="00307D0C" w:rsidRPr="00661517">
        <w:t>CA184332</w:t>
      </w:r>
      <w:r w:rsidR="00307D0C" w:rsidRPr="00BD2A2E">
        <w:t xml:space="preserve"> is a retrospective, observational cohort study of patients in the United States (US) receiving 3 mg/kg </w:t>
      </w:r>
      <w:r w:rsidR="00F22D76">
        <w:t>ipilimumab</w:t>
      </w:r>
      <w:r>
        <w:t xml:space="preserve"> as first </w:t>
      </w:r>
      <w:r w:rsidR="00307D0C" w:rsidRPr="00BD2A2E">
        <w:t xml:space="preserve">line treatment of </w:t>
      </w:r>
      <w:r w:rsidR="009730D1">
        <w:t>un-resectable</w:t>
      </w:r>
      <w:r w:rsidR="00BD2A2E">
        <w:t xml:space="preserve"> or metastatic melanoma.</w:t>
      </w:r>
    </w:p>
    <w:p w:rsidR="00661517" w:rsidRPr="00661517" w:rsidRDefault="00661517" w:rsidP="00951A97">
      <w:pPr>
        <w:pStyle w:val="Heading5"/>
      </w:pPr>
      <w:r w:rsidRPr="00661517">
        <w:t>Objectives</w:t>
      </w:r>
    </w:p>
    <w:p w:rsidR="00307D0C" w:rsidRPr="00BD2A2E" w:rsidRDefault="00661517" w:rsidP="00BD2A2E">
      <w:r>
        <w:t>T</w:t>
      </w:r>
      <w:r w:rsidR="00307D0C" w:rsidRPr="00BD2A2E">
        <w:t>he primary objectives of this observational study are:</w:t>
      </w:r>
    </w:p>
    <w:p w:rsidR="00661517" w:rsidRDefault="00307D0C" w:rsidP="00FE2511">
      <w:pPr>
        <w:pStyle w:val="Numberbullet0"/>
        <w:numPr>
          <w:ilvl w:val="0"/>
          <w:numId w:val="14"/>
        </w:numPr>
      </w:pPr>
      <w:r w:rsidRPr="00BD2A2E">
        <w:t>To describe the demographic a</w:t>
      </w:r>
      <w:r w:rsidR="00661517">
        <w:t>nd clinical characteristics.</w:t>
      </w:r>
    </w:p>
    <w:p w:rsidR="00661517" w:rsidRDefault="00307D0C" w:rsidP="00FE2511">
      <w:pPr>
        <w:pStyle w:val="Numberbullet0"/>
        <w:numPr>
          <w:ilvl w:val="0"/>
          <w:numId w:val="14"/>
        </w:numPr>
      </w:pPr>
      <w:r w:rsidRPr="00BD2A2E">
        <w:lastRenderedPageBreak/>
        <w:t xml:space="preserve">To describe the occurrence of all adverse events (AEs) during </w:t>
      </w:r>
      <w:r w:rsidR="009730D1">
        <w:t>first line</w:t>
      </w:r>
      <w:r w:rsidRPr="00BD2A2E">
        <w:t xml:space="preserve"> </w:t>
      </w:r>
      <w:r w:rsidR="00F22D76">
        <w:t>ipilimumab</w:t>
      </w:r>
      <w:r w:rsidRPr="00BD2A2E">
        <w:t xml:space="preserve"> treatment as well as those observed during any subsequent lines of treatment. In the remain</w:t>
      </w:r>
      <w:r w:rsidR="00661517">
        <w:t xml:space="preserve">ing 3 years of the study follow </w:t>
      </w:r>
      <w:r w:rsidRPr="00BD2A2E">
        <w:t>up, a description of the occurrenc</w:t>
      </w:r>
      <w:r w:rsidR="00661517">
        <w:t>e of AEs will also be provided.</w:t>
      </w:r>
    </w:p>
    <w:p w:rsidR="00661517" w:rsidRDefault="00307D0C" w:rsidP="00FE2511">
      <w:pPr>
        <w:pStyle w:val="Numberbullet0"/>
        <w:numPr>
          <w:ilvl w:val="0"/>
          <w:numId w:val="14"/>
        </w:numPr>
      </w:pPr>
      <w:r w:rsidRPr="00BD2A2E">
        <w:t xml:space="preserve">To describe patterns of care (dosing, number and dates of doses, treatment rationales, reasons for treatment </w:t>
      </w:r>
      <w:r w:rsidR="00661517">
        <w:t xml:space="preserve">termination, etcetera) during first </w:t>
      </w:r>
      <w:r w:rsidRPr="00BD2A2E">
        <w:t xml:space="preserve">line </w:t>
      </w:r>
      <w:r w:rsidR="00F22D76">
        <w:t>ipilimumab</w:t>
      </w:r>
      <w:r w:rsidRPr="00BD2A2E">
        <w:t xml:space="preserve"> treatment and a</w:t>
      </w:r>
      <w:r w:rsidR="00661517">
        <w:t>ny subsequent lines of therapy.</w:t>
      </w:r>
    </w:p>
    <w:p w:rsidR="00307D0C" w:rsidRPr="00BD2A2E" w:rsidRDefault="00307D0C" w:rsidP="00FE2511">
      <w:pPr>
        <w:pStyle w:val="Numberbullet0"/>
        <w:numPr>
          <w:ilvl w:val="0"/>
          <w:numId w:val="14"/>
        </w:numPr>
      </w:pPr>
      <w:r w:rsidRPr="00BD2A2E">
        <w:t>To describe the overall survival (OS) o</w:t>
      </w:r>
      <w:r w:rsidR="00661517">
        <w:t xml:space="preserve">f patients (mean, median, and 1, 2, 3 and 4 </w:t>
      </w:r>
      <w:r w:rsidRPr="00BD2A2E">
        <w:t>year OS)</w:t>
      </w:r>
      <w:r w:rsidR="00BD2A2E">
        <w:t>.</w:t>
      </w:r>
    </w:p>
    <w:p w:rsidR="00307D0C" w:rsidRPr="00BD2A2E" w:rsidRDefault="00307D0C" w:rsidP="00BD2A2E">
      <w:r w:rsidRPr="00BD2A2E">
        <w:t>The purpose of the interim analysis is to summar</w:t>
      </w:r>
      <w:r w:rsidR="00C91631">
        <w:t>is</w:t>
      </w:r>
      <w:r w:rsidRPr="00BD2A2E">
        <w:t xml:space="preserve">e key baseline data and OS in patients for whom at least 1 year has elapsed since their initiation of treatment with </w:t>
      </w:r>
      <w:r w:rsidR="00F22D76">
        <w:t>ipilimumab</w:t>
      </w:r>
      <w:r w:rsidRPr="00BD2A2E">
        <w:t>.</w:t>
      </w:r>
    </w:p>
    <w:p w:rsidR="00661517" w:rsidRPr="00661517" w:rsidRDefault="00661517" w:rsidP="00951A97">
      <w:pPr>
        <w:pStyle w:val="Heading5"/>
      </w:pPr>
      <w:r w:rsidRPr="00661517">
        <w:t>Study Population</w:t>
      </w:r>
    </w:p>
    <w:p w:rsidR="00307D0C" w:rsidRPr="00BD2A2E" w:rsidRDefault="00307D0C" w:rsidP="00BD2A2E">
      <w:r w:rsidRPr="00BD2A2E">
        <w:t xml:space="preserve">The study population was previously untreated Stage III or Stage IV melanoma patients who received </w:t>
      </w:r>
      <w:r w:rsidR="00F22D76">
        <w:t>ipilimumab</w:t>
      </w:r>
      <w:r w:rsidR="0066119C">
        <w:t xml:space="preserve"> (3 mg/kg) between </w:t>
      </w:r>
      <w:r w:rsidR="00661517">
        <w:t xml:space="preserve">1 April 2011 (post marketing) and 30 September </w:t>
      </w:r>
      <w:r w:rsidRPr="00BD2A2E">
        <w:t>2012. The interim analysis is limited to patients within the US Oncology iKnowMed dat</w:t>
      </w:r>
      <w:r w:rsidR="00661517">
        <w:t xml:space="preserve">abase who began treatment by 31 December </w:t>
      </w:r>
      <w:r w:rsidRPr="00BD2A2E">
        <w:t>2011, to ensure at least 1 year elapsed since treatment began.</w:t>
      </w:r>
    </w:p>
    <w:p w:rsidR="00661517" w:rsidRPr="00C91631" w:rsidRDefault="00307D0C" w:rsidP="00951A97">
      <w:pPr>
        <w:pStyle w:val="Heading5"/>
      </w:pPr>
      <w:r w:rsidRPr="00C91631">
        <w:t xml:space="preserve">Inclusion </w:t>
      </w:r>
      <w:r w:rsidR="00661517" w:rsidRPr="00C91631">
        <w:t>criteria</w:t>
      </w:r>
    </w:p>
    <w:p w:rsidR="00307D0C" w:rsidRPr="00BD2A2E" w:rsidRDefault="00661517" w:rsidP="00BD2A2E">
      <w:r w:rsidRPr="00661517">
        <w:t>Inclusion or exclusion</w:t>
      </w:r>
      <w:r w:rsidR="00307D0C" w:rsidRPr="00BD2A2E">
        <w:t xml:space="preserve"> from this interim analysis was based solely on the time elapsed since the treatment start date and was without regard to patients</w:t>
      </w:r>
      <w:r w:rsidR="00F3471F">
        <w:t>’</w:t>
      </w:r>
      <w:r w:rsidR="00307D0C" w:rsidRPr="00BD2A2E">
        <w:t xml:space="preserve"> vital status (alive or </w:t>
      </w:r>
      <w:r>
        <w:t>deceased</w:t>
      </w:r>
      <w:r w:rsidR="00307D0C" w:rsidRPr="00BD2A2E">
        <w:t>). Inclusion was contingent on pa</w:t>
      </w:r>
      <w:r w:rsidR="00C91631">
        <w:t>tients remaining in sites utilis</w:t>
      </w:r>
      <w:r w:rsidR="00307D0C" w:rsidRPr="00BD2A2E">
        <w:t>ing the iKnowMed database for the entire study observation period. The patients were programmatically identified from a database, without input from the site or sponsor, and selection was based solely on the eligibility criteria and the initial date of treatment.</w:t>
      </w:r>
    </w:p>
    <w:p w:rsidR="00307D0C" w:rsidRDefault="00307D0C" w:rsidP="00BD2A2E">
      <w:r w:rsidRPr="00BD2A2E">
        <w:t>Key Inclusion Criteria:</w:t>
      </w:r>
      <w:r w:rsidRPr="00BD2A2E">
        <w:rPr>
          <w:rFonts w:hint="eastAsia"/>
        </w:rPr>
        <w:t xml:space="preserve"> </w:t>
      </w:r>
      <w:r w:rsidRPr="00BD2A2E">
        <w:t>Diagnosis of un</w:t>
      </w:r>
      <w:r w:rsidR="00C91631">
        <w:t>-</w:t>
      </w:r>
      <w:r w:rsidRPr="00BD2A2E">
        <w:t>resectable or metastatic melanoma, including patients with all types of primary tumours (cutaneous, mucosal, ocular, other, unknown primary);</w:t>
      </w:r>
      <w:r w:rsidRPr="00BD2A2E">
        <w:rPr>
          <w:rFonts w:hint="eastAsia"/>
        </w:rPr>
        <w:t xml:space="preserve"> </w:t>
      </w:r>
      <w:r w:rsidR="00F3471F">
        <w:t>Age </w:t>
      </w:r>
      <w:r w:rsidR="00C91631">
        <w:t>≥ </w:t>
      </w:r>
      <w:r w:rsidRPr="00BD2A2E">
        <w:t>18 years at the time of diagnosis;</w:t>
      </w:r>
      <w:r w:rsidRPr="00BD2A2E">
        <w:rPr>
          <w:rFonts w:hint="eastAsia"/>
        </w:rPr>
        <w:t xml:space="preserve"> </w:t>
      </w:r>
      <w:r w:rsidRPr="00BD2A2E">
        <w:t xml:space="preserve">Initiated </w:t>
      </w:r>
      <w:r w:rsidR="009730D1">
        <w:t>first line</w:t>
      </w:r>
      <w:r w:rsidRPr="00BD2A2E">
        <w:t xml:space="preserve"> treatment with </w:t>
      </w:r>
      <w:r w:rsidR="00F22D76">
        <w:t>ipilimumab</w:t>
      </w:r>
      <w:r w:rsidRPr="00BD2A2E">
        <w:t xml:space="preserve"> 3 mg/kg monotherapy.</w:t>
      </w:r>
    </w:p>
    <w:p w:rsidR="00C91631" w:rsidRPr="00C91631" w:rsidRDefault="00C91631" w:rsidP="00951A97">
      <w:pPr>
        <w:pStyle w:val="Heading5"/>
      </w:pPr>
      <w:r w:rsidRPr="00C91631">
        <w:t xml:space="preserve">Exclusion </w:t>
      </w:r>
      <w:r w:rsidR="00DC0066">
        <w:t>c</w:t>
      </w:r>
      <w:r w:rsidRPr="00C91631">
        <w:t>riteria</w:t>
      </w:r>
    </w:p>
    <w:p w:rsidR="00307D0C" w:rsidRPr="00BD2A2E" w:rsidRDefault="00C91631" w:rsidP="00BD2A2E">
      <w:r>
        <w:t>Key exclusion c</w:t>
      </w:r>
      <w:r w:rsidR="00307D0C" w:rsidRPr="00BD2A2E">
        <w:t>riteria:</w:t>
      </w:r>
      <w:r w:rsidR="00307D0C" w:rsidRPr="00BD2A2E">
        <w:rPr>
          <w:rFonts w:hint="eastAsia"/>
        </w:rPr>
        <w:t xml:space="preserve"> </w:t>
      </w:r>
      <w:r w:rsidR="00307D0C" w:rsidRPr="00BD2A2E">
        <w:t>Prior systemic treatment for un</w:t>
      </w:r>
      <w:r>
        <w:t>-</w:t>
      </w:r>
      <w:r w:rsidR="00307D0C" w:rsidRPr="00BD2A2E">
        <w:t>resectable or metastatic melanoma;</w:t>
      </w:r>
      <w:r w:rsidR="00307D0C" w:rsidRPr="00BD2A2E">
        <w:rPr>
          <w:rFonts w:hint="eastAsia"/>
        </w:rPr>
        <w:t xml:space="preserve"> </w:t>
      </w:r>
      <w:r w:rsidR="003F7A1B">
        <w:t>c</w:t>
      </w:r>
      <w:r w:rsidR="00307D0C" w:rsidRPr="00BD2A2E">
        <w:t>urrent or pending participation in a clinical trial or expanded access program;</w:t>
      </w:r>
      <w:r w:rsidR="00307D0C" w:rsidRPr="00BD2A2E">
        <w:rPr>
          <w:rFonts w:hint="eastAsia"/>
        </w:rPr>
        <w:t xml:space="preserve"> </w:t>
      </w:r>
      <w:r w:rsidR="003F7A1B">
        <w:t>c</w:t>
      </w:r>
      <w:r w:rsidR="00307D0C" w:rsidRPr="00BD2A2E">
        <w:t>urrent use of therapy to treat a cancer other than melanoma.</w:t>
      </w:r>
    </w:p>
    <w:p w:rsidR="00C91631" w:rsidRDefault="00C91631" w:rsidP="00951A97">
      <w:pPr>
        <w:pStyle w:val="Heading5"/>
      </w:pPr>
      <w:r>
        <w:t>Statistical plan</w:t>
      </w:r>
    </w:p>
    <w:p w:rsidR="00C91631" w:rsidRDefault="00307D0C" w:rsidP="00BD2A2E">
      <w:r w:rsidRPr="00BD2A2E">
        <w:t xml:space="preserve">Overall survival from </w:t>
      </w:r>
      <w:r w:rsidR="00F22D76">
        <w:t>ipilimumab</w:t>
      </w:r>
      <w:r w:rsidRPr="00BD2A2E">
        <w:t xml:space="preserve"> initiation was defined as the time from first </w:t>
      </w:r>
      <w:r w:rsidR="00F22D76">
        <w:t>ipilimumab</w:t>
      </w:r>
      <w:r w:rsidRPr="00BD2A2E">
        <w:t xml:space="preserve"> dose date to death or to the last known </w:t>
      </w:r>
      <w:proofErr w:type="gramStart"/>
      <w:r w:rsidRPr="00BD2A2E">
        <w:t>alive</w:t>
      </w:r>
      <w:proofErr w:type="gramEnd"/>
      <w:r w:rsidRPr="00BD2A2E">
        <w:t xml:space="preserve"> date from the most recent follow-up visit for patients who were alive. Median OS time and survival rates at 1 year and 1.5 years were estimated using the Kaplan-Meier method. The 95% confidence interval (CI) for median OS was estimated based on log transformation. The 95% CI of the OS rates was estimated based on log-log transformation. The Kaplan-Meier curve of OS from </w:t>
      </w:r>
      <w:r w:rsidR="00F22D76">
        <w:t>ipilimumab</w:t>
      </w:r>
      <w:r w:rsidRPr="00BD2A2E">
        <w:t xml:space="preserve"> initiation was plotted. SAS v 9.2 was use</w:t>
      </w:r>
      <w:r w:rsidR="00C91631">
        <w:t>d for the statistical analyses.</w:t>
      </w:r>
    </w:p>
    <w:p w:rsidR="00307D0C" w:rsidRPr="00BD2A2E" w:rsidRDefault="00307D0C" w:rsidP="00BD2A2E">
      <w:r w:rsidRPr="00BD2A2E">
        <w:t>Overall survival since advanced melanoma diagnosis is defined as the time from the date of advanced melanoma diagnosis to death or to the last known alive d</w:t>
      </w:r>
      <w:r w:rsidR="00C91631">
        <w:t xml:space="preserve">ate from the most recent follow </w:t>
      </w:r>
      <w:r w:rsidRPr="00BD2A2E">
        <w:t>up for patients who were alive.</w:t>
      </w:r>
    </w:p>
    <w:p w:rsidR="00307D0C" w:rsidRPr="00BD2A2E" w:rsidRDefault="00307D0C" w:rsidP="00307D0C">
      <w:r w:rsidRPr="00BD2A2E">
        <w:t>Exposure data were not collected. Subsequent therapies were not analysed for this interim report. Adverse event (AE) data were not collected for this interim analysis due to the time limitation for the database lock.</w:t>
      </w:r>
    </w:p>
    <w:p w:rsidR="00307D0C" w:rsidRPr="007700C3" w:rsidRDefault="0066119C" w:rsidP="0066119C">
      <w:pPr>
        <w:pStyle w:val="Comment"/>
        <w:ind w:left="1134" w:hanging="1134"/>
      </w:pPr>
      <w:r>
        <w:rPr>
          <w:b/>
        </w:rPr>
        <w:lastRenderedPageBreak/>
        <w:t>C</w:t>
      </w:r>
      <w:r w:rsidR="006E15A4">
        <w:rPr>
          <w:b/>
        </w:rPr>
        <w:t>omment</w:t>
      </w:r>
      <w:r w:rsidR="00BD2A2E" w:rsidRPr="00BD2A2E">
        <w:t xml:space="preserve">: </w:t>
      </w:r>
      <w:r w:rsidR="00307D0C" w:rsidRPr="00BD2A2E">
        <w:t>It is noted that the study period was identical to CA184338 which collected AEs and both interim reports are dated in May 2013. It is unclear as to why safety data was not collated for both studies.</w:t>
      </w:r>
    </w:p>
    <w:p w:rsidR="00C91631" w:rsidRDefault="00C91631" w:rsidP="00951A97">
      <w:pPr>
        <w:pStyle w:val="Heading5"/>
      </w:pPr>
      <w:r>
        <w:t>Results</w:t>
      </w:r>
    </w:p>
    <w:p w:rsidR="009730D1" w:rsidRDefault="00307D0C" w:rsidP="00BD2A2E">
      <w:r w:rsidRPr="00BD2A2E">
        <w:t>Of the 75 patients, 14 were eliminated from the analysis on the basis of the inclusion/exclusion criteria. The baseline demographics and disease characteristics for the 61 patients included in the interim analysis demonstrated that the majority of patients were diagnosed with cutaneous melanoma (95%), negative for</w:t>
      </w:r>
      <w:r w:rsidR="00C91631">
        <w:t xml:space="preserve"> the BRAF mutation status (51%</w:t>
      </w:r>
      <w:r w:rsidRPr="00BD2A2E">
        <w:t xml:space="preserve"> please see </w:t>
      </w:r>
      <w:r w:rsidR="00C91631">
        <w:t>evaluator’s</w:t>
      </w:r>
      <w:r w:rsidRPr="00BD2A2E">
        <w:t xml:space="preserve"> comment below regarding reliability of this statement and testing was not necessarily pre-treatment), and had an ECOG performan</w:t>
      </w:r>
      <w:r w:rsidR="009730D1">
        <w:t>ce status (PS) of 0 or 1 (90%).</w:t>
      </w:r>
    </w:p>
    <w:p w:rsidR="009730D1" w:rsidRDefault="00307D0C" w:rsidP="00BD2A2E">
      <w:r w:rsidRPr="00BD2A2E">
        <w:t>Brain metastases were present in 33% of the patients, one patient had a baseline ECOG performance status (PS) of 3, two patients had a baseline ECOG PS of 2, two had an anorectal primary site and one pati</w:t>
      </w:r>
      <w:r w:rsidR="009730D1">
        <w:t xml:space="preserve">ent had an ocular primary site. </w:t>
      </w:r>
      <w:r w:rsidRPr="00BD2A2E">
        <w:t xml:space="preserve">In addition to the brain, the most common sites of metastases at advanced melanoma diagnosis were the lung (53%), lymph nodes beyond the regional lymph nodes basin (38%), liver (38%), and </w:t>
      </w:r>
      <w:r w:rsidR="009730D1">
        <w:t>subcutaneous tissues (18%).</w:t>
      </w:r>
    </w:p>
    <w:p w:rsidR="00307D0C" w:rsidRPr="00BD2A2E" w:rsidRDefault="00307D0C" w:rsidP="00BD2A2E">
      <w:r w:rsidRPr="00BD2A2E">
        <w:t xml:space="preserve">Approximately 30% of patients were stage M1c at </w:t>
      </w:r>
      <w:r w:rsidR="00F22D76">
        <w:t>ipilimumab</w:t>
      </w:r>
      <w:r w:rsidRPr="00BD2A2E">
        <w:t xml:space="preserve"> initiation. The median age was 68 years. There is uncertainty in the frequency of elevated lactate dehydrogenase (LDH) at baseline (26.2% missing) and frequency of BRAF and/or NRAS mutations (36.1% and 95.1% missing, respectively) as these tests are not performed consistently for all patients. The mean (median) times from initial melanoma diagnosis and from advanced melanoma diagnosis to first dose of </w:t>
      </w:r>
      <w:r w:rsidR="00F22D76">
        <w:t>ipilimumab</w:t>
      </w:r>
      <w:r w:rsidRPr="00BD2A2E">
        <w:t xml:space="preserve"> were 25.2 (10.3) and 1.2 (0.7) months, respectively. The mean (median) time from initial melanoma diagnosis to advanced melanoma diagnosis was 23.9 (7.3) months.</w:t>
      </w:r>
    </w:p>
    <w:p w:rsidR="00307D0C" w:rsidRDefault="00307D0C" w:rsidP="00307D0C">
      <w:r w:rsidRPr="00BD2A2E">
        <w:t xml:space="preserve">Overall survival was defined as the time from initiation of </w:t>
      </w:r>
      <w:r w:rsidR="00F22D76">
        <w:t>ipilimumab</w:t>
      </w:r>
      <w:r w:rsidRPr="00BD2A2E">
        <w:t xml:space="preserve"> until death from any cause. The median follow-up was 8.5 months and 50.8% of patients had died at the time of this interim analysis. Median OS was 11.5 months (95% CI: 6.6, -). The estimated </w:t>
      </w:r>
      <w:r w:rsidR="009730D1">
        <w:t>1 year</w:t>
      </w:r>
      <w:r w:rsidRPr="00BD2A2E">
        <w:t xml:space="preserve"> survival rate was 49.3%. At the time of this interim analysis, the majority (67%) of the patients</w:t>
      </w:r>
      <w:r w:rsidR="009730D1">
        <w:t>’</w:t>
      </w:r>
      <w:r w:rsidRPr="00BD2A2E">
        <w:t xml:space="preserve"> survival statuses were current, </w:t>
      </w:r>
      <w:r w:rsidR="0026410F">
        <w:t>that is</w:t>
      </w:r>
      <w:r w:rsidRPr="00BD2A2E">
        <w:t>, the patient was known to have had died or to be alive within 3 months.</w:t>
      </w:r>
    </w:p>
    <w:p w:rsidR="009730D1" w:rsidRDefault="009730D1" w:rsidP="00951A97">
      <w:pPr>
        <w:pStyle w:val="Heading4"/>
      </w:pPr>
      <w:r>
        <w:t xml:space="preserve">Study </w:t>
      </w:r>
      <w:r w:rsidRPr="009730D1">
        <w:t>CA184338</w:t>
      </w:r>
    </w:p>
    <w:p w:rsidR="00307D0C" w:rsidRPr="00BD2A2E" w:rsidRDefault="00951A97" w:rsidP="00BD2A2E">
      <w:r>
        <w:t xml:space="preserve">Study </w:t>
      </w:r>
      <w:r w:rsidR="00307D0C" w:rsidRPr="00BD2A2E">
        <w:t>CA184338 is another retrospective, observational cohort s</w:t>
      </w:r>
      <w:r w:rsidR="0066119C">
        <w:t>tudy of patients US receiving 3 </w:t>
      </w:r>
      <w:r w:rsidR="00307D0C" w:rsidRPr="00BD2A2E">
        <w:t xml:space="preserve">mg/kg </w:t>
      </w:r>
      <w:r w:rsidR="00F22D76">
        <w:t>ipilimumab</w:t>
      </w:r>
      <w:r w:rsidR="00307D0C" w:rsidRPr="00BD2A2E">
        <w:t xml:space="preserve"> as </w:t>
      </w:r>
      <w:r w:rsidR="009730D1">
        <w:t>first line</w:t>
      </w:r>
      <w:r w:rsidR="00307D0C" w:rsidRPr="00BD2A2E">
        <w:t xml:space="preserve"> treatment of </w:t>
      </w:r>
      <w:r w:rsidR="009730D1">
        <w:t>un-resectable</w:t>
      </w:r>
      <w:r w:rsidR="00307D0C" w:rsidRPr="00BD2A2E">
        <w:t xml:space="preserve"> or metastatic melanoma. The Objectives and Methodology (headings </w:t>
      </w:r>
      <w:r w:rsidR="00C108F1">
        <w:t>‘</w:t>
      </w:r>
      <w:r w:rsidR="00307D0C" w:rsidRPr="00BD2A2E">
        <w:t>study population</w:t>
      </w:r>
      <w:r w:rsidR="00C108F1">
        <w:t>’</w:t>
      </w:r>
      <w:r w:rsidR="00307D0C" w:rsidRPr="00BD2A2E">
        <w:t xml:space="preserve"> to </w:t>
      </w:r>
      <w:r w:rsidR="00C108F1">
        <w:t>‘</w:t>
      </w:r>
      <w:r w:rsidR="00307D0C" w:rsidRPr="00BD2A2E">
        <w:t>statistical plan</w:t>
      </w:r>
      <w:r w:rsidR="00C108F1">
        <w:t>’</w:t>
      </w:r>
      <w:r w:rsidR="00307D0C" w:rsidRPr="00BD2A2E">
        <w:t>) were identical to CA184332, described above. However safety data was collected. Subjects with unknown or partial death dates were not included in safety analyses.</w:t>
      </w:r>
    </w:p>
    <w:p w:rsidR="00951A97" w:rsidRDefault="00951A97" w:rsidP="00951A97">
      <w:pPr>
        <w:pStyle w:val="Heading5"/>
      </w:pPr>
      <w:r>
        <w:t>Results</w:t>
      </w:r>
    </w:p>
    <w:p w:rsidR="00307D0C" w:rsidRPr="00BD2A2E" w:rsidRDefault="00307D0C" w:rsidP="00BD2A2E">
      <w:r w:rsidRPr="00BD2A2E">
        <w:t>The baseline demographics and disease characteristics for the 120 patients included in the interim analysis, demonstrated the most common primary site as cutaneous (</w:t>
      </w:r>
      <w:r w:rsidR="00951A97">
        <w:t xml:space="preserve">87%), with 16 patients with </w:t>
      </w:r>
      <w:r w:rsidR="0066119C">
        <w:t>non-</w:t>
      </w:r>
      <w:r w:rsidR="0066119C" w:rsidRPr="00BD2A2E">
        <w:t>cutaneous</w:t>
      </w:r>
      <w:r w:rsidRPr="00BD2A2E">
        <w:t xml:space="preserve"> primary sites (5 ocular, 3 mucosal, 2 anorectal, 1 nasal sinus, 5 unknown). At the time of the advanced melanoma diagnosis, 55% were stage M1c and 8% had brain metastases. 37% had elevated lactate dehydrogenase (LDH) and 93% had an ECOG performance status of 0 or 1. The median age was 63.0 years. There is uncertainty in the frequency of BRAF and NRAS mutations (19% and 88% missing, respectively) as these tests were not performed consistently. Few patients received prior adjuvant or neo</w:t>
      </w:r>
      <w:r w:rsidR="00951A97">
        <w:t xml:space="preserve"> </w:t>
      </w:r>
      <w:r w:rsidRPr="00BD2A2E">
        <w:t xml:space="preserve">adjuvant therapy (13%), the most frequent of which was interferon </w:t>
      </w:r>
      <w:r w:rsidR="00F86A56" w:rsidRPr="00BD2A2E">
        <w:t>alpha</w:t>
      </w:r>
      <w:r w:rsidRPr="00BD2A2E">
        <w:t xml:space="preserve"> (12%). The currently approved induction dosing regimen in the US is 4 doses of 3 mg/kg </w:t>
      </w:r>
      <w:r w:rsidR="00F22D76">
        <w:t>ipilimumab</w:t>
      </w:r>
      <w:r w:rsidRPr="00BD2A2E">
        <w:t xml:space="preserve"> monotherapy, which most patients (95</w:t>
      </w:r>
      <w:r w:rsidR="005853BB">
        <w:t xml:space="preserve"> out of </w:t>
      </w:r>
      <w:r w:rsidRPr="00BD2A2E">
        <w:t>120, 79%) received. Most patients completed the induction dosing without permanent discontinuation (92</w:t>
      </w:r>
      <w:r w:rsidR="005853BB">
        <w:t xml:space="preserve"> out of </w:t>
      </w:r>
      <w:r w:rsidRPr="00BD2A2E">
        <w:t>120, 77%). The most frequent reasons given for discontinuing induction dosing were disease progression (17</w:t>
      </w:r>
      <w:r w:rsidR="005853BB">
        <w:t xml:space="preserve"> out of </w:t>
      </w:r>
      <w:r w:rsidRPr="00BD2A2E">
        <w:t>120) and drug toxicity (6</w:t>
      </w:r>
      <w:r w:rsidR="005853BB">
        <w:t xml:space="preserve"> </w:t>
      </w:r>
      <w:r w:rsidR="005853BB">
        <w:lastRenderedPageBreak/>
        <w:t xml:space="preserve">out of </w:t>
      </w:r>
      <w:r w:rsidRPr="00BD2A2E">
        <w:t xml:space="preserve">120). Other reasons included </w:t>
      </w:r>
      <w:r w:rsidR="00C108F1">
        <w:t>‘</w:t>
      </w:r>
      <w:r w:rsidRPr="00BD2A2E">
        <w:t>going to hospice</w:t>
      </w:r>
      <w:r w:rsidR="00C108F1">
        <w:t>’</w:t>
      </w:r>
      <w:r w:rsidRPr="00BD2A2E">
        <w:t xml:space="preserve"> (2), hypotension (1), congestive heart failure (1), myocardial infarction (1), patient request (5</w:t>
      </w:r>
      <w:r w:rsidR="00A505B5">
        <w:t xml:space="preserve">), and </w:t>
      </w:r>
      <w:r w:rsidR="0066119C">
        <w:t>non-drug</w:t>
      </w:r>
      <w:r w:rsidR="00BD2A2E">
        <w:t xml:space="preserve"> related AE (1).</w:t>
      </w:r>
    </w:p>
    <w:p w:rsidR="00307D0C" w:rsidRPr="00BD2A2E" w:rsidRDefault="00307D0C" w:rsidP="00BD2A2E">
      <w:r w:rsidRPr="00BD2A2E">
        <w:t xml:space="preserve">Overall survival was defined as the time from initiation of </w:t>
      </w:r>
      <w:r w:rsidR="00F22D76">
        <w:t>ipilimumab</w:t>
      </w:r>
      <w:r w:rsidRPr="00BD2A2E">
        <w:t xml:space="preserve"> dosing until death fr</w:t>
      </w:r>
      <w:r w:rsidR="00A505B5">
        <w:t xml:space="preserve">om any cause. The median follow </w:t>
      </w:r>
      <w:r w:rsidRPr="00BD2A2E">
        <w:t xml:space="preserve">up was 12.0 months and 48% of patients had died by the time of this interim analysis. Median OS was 14.3 months (95% CI: 12.1 -). The estimated </w:t>
      </w:r>
      <w:r w:rsidR="009730D1">
        <w:t>1 year</w:t>
      </w:r>
      <w:r w:rsidRPr="00BD2A2E">
        <w:t xml:space="preserve"> survival rate was 59.5% (95% CI: 50.1 </w:t>
      </w:r>
      <w:r w:rsidR="00A505B5">
        <w:t>to</w:t>
      </w:r>
      <w:r w:rsidRPr="00BD2A2E">
        <w:t xml:space="preserve"> 67.8%). At the time of this interim analysis, the majority (88%) of the patients</w:t>
      </w:r>
      <w:r w:rsidR="00A505B5">
        <w:t>’</w:t>
      </w:r>
      <w:r w:rsidRPr="00BD2A2E">
        <w:t xml:space="preserve"> survival statuses were current, </w:t>
      </w:r>
      <w:r w:rsidR="0026410F">
        <w:t>that is</w:t>
      </w:r>
      <w:r w:rsidRPr="00BD2A2E">
        <w:t>, the patient was known to have had died or to be ali</w:t>
      </w:r>
      <w:r w:rsidR="00BD2A2E">
        <w:t>ve within the last 3 months.</w:t>
      </w:r>
    </w:p>
    <w:p w:rsidR="00307D0C" w:rsidRPr="00BD2A2E" w:rsidRDefault="00307D0C" w:rsidP="00A505B5">
      <w:pPr>
        <w:pStyle w:val="Heading4"/>
      </w:pPr>
      <w:bookmarkStart w:id="184" w:name="_Ref389047859"/>
      <w:r w:rsidRPr="00BD2A2E">
        <w:t xml:space="preserve">Extended </w:t>
      </w:r>
      <w:r w:rsidR="0066119C" w:rsidRPr="00BD2A2E">
        <w:t>ac</w:t>
      </w:r>
      <w:r w:rsidRPr="00BD2A2E">
        <w:t>cess program (interim summary for CA184045)</w:t>
      </w:r>
      <w:bookmarkEnd w:id="184"/>
    </w:p>
    <w:p w:rsidR="00307D0C" w:rsidRPr="00BD2A2E" w:rsidRDefault="00307D0C" w:rsidP="00BD2A2E">
      <w:r w:rsidRPr="00BD2A2E">
        <w:t xml:space="preserve">The purpose of this interim summary for CA184045 was </w:t>
      </w:r>
      <w:r w:rsidR="00C108F1">
        <w:t>‘</w:t>
      </w:r>
      <w:r w:rsidRPr="00A505B5">
        <w:rPr>
          <w:i/>
        </w:rPr>
        <w:t>to summar</w:t>
      </w:r>
      <w:r w:rsidR="00C91631" w:rsidRPr="00A505B5">
        <w:rPr>
          <w:i/>
        </w:rPr>
        <w:t>is</w:t>
      </w:r>
      <w:r w:rsidRPr="00A505B5">
        <w:rPr>
          <w:i/>
        </w:rPr>
        <w:t xml:space="preserve">e safety and overall survival (OS) data from a cohort of subjects receiving 10 mg/kg </w:t>
      </w:r>
      <w:r w:rsidR="00F22D76" w:rsidRPr="00A505B5">
        <w:rPr>
          <w:i/>
        </w:rPr>
        <w:t>ipilimumab</w:t>
      </w:r>
      <w:r w:rsidRPr="00A505B5">
        <w:rPr>
          <w:i/>
        </w:rPr>
        <w:t xml:space="preserve"> (BMS-734016) in the Expanded Access Protocol (EAP) CA184045 to support a regulatory submission for 10 mg/kg </w:t>
      </w:r>
      <w:r w:rsidR="00F22D76" w:rsidRPr="00A505B5">
        <w:rPr>
          <w:i/>
        </w:rPr>
        <w:t>ipilimumab</w:t>
      </w:r>
      <w:r w:rsidRPr="00A505B5">
        <w:rPr>
          <w:i/>
        </w:rPr>
        <w:t xml:space="preserve"> for the treatment of patients with metastatic melanoma</w:t>
      </w:r>
      <w:r w:rsidRPr="00BD2A2E">
        <w:t>.</w:t>
      </w:r>
      <w:r w:rsidR="00C108F1">
        <w:t>’</w:t>
      </w:r>
    </w:p>
    <w:p w:rsidR="00307D0C" w:rsidRPr="00BD2A2E" w:rsidRDefault="00307D0C" w:rsidP="00BD2A2E">
      <w:r w:rsidRPr="00BD2A2E">
        <w:t xml:space="preserve">The CA184045 EAP provided treatment with </w:t>
      </w:r>
      <w:r w:rsidR="00F22D76">
        <w:t>ipilimumab</w:t>
      </w:r>
      <w:r w:rsidRPr="00BD2A2E">
        <w:t xml:space="preserve"> to subjects who have </w:t>
      </w:r>
      <w:r w:rsidR="009730D1">
        <w:t>un-resectable</w:t>
      </w:r>
      <w:r w:rsidRPr="00BD2A2E">
        <w:t xml:space="preserve"> Stage III or Stage IV melanoma, who have either failed previous treatment or could not tolerate previous treatment, and for whom no alternative drug or therapy is available; have had no treatment with </w:t>
      </w:r>
      <w:r w:rsidR="00F22D76">
        <w:t>ipilimumab</w:t>
      </w:r>
      <w:r w:rsidRPr="00BD2A2E">
        <w:t xml:space="preserve"> through participation in a clinical study (the exceptions being rollover patients from MDX010-16 and MDX010-20); and whose physicians believe that it is approp</w:t>
      </w:r>
      <w:r w:rsidR="001B4C5E">
        <w:t xml:space="preserve">riate to administer </w:t>
      </w:r>
      <w:r w:rsidR="00F22D76">
        <w:t>ipilimumab</w:t>
      </w:r>
      <w:r w:rsidR="001B4C5E">
        <w:t>.</w:t>
      </w:r>
    </w:p>
    <w:p w:rsidR="00307D0C" w:rsidRPr="00BD2A2E" w:rsidRDefault="00307D0C" w:rsidP="009E0B79">
      <w:pPr>
        <w:pStyle w:val="Heading5"/>
      </w:pPr>
      <w:r w:rsidRPr="00BD2A2E">
        <w:t>Methodology</w:t>
      </w:r>
    </w:p>
    <w:p w:rsidR="00307D0C" w:rsidRPr="00BD2A2E" w:rsidRDefault="00307D0C" w:rsidP="00BD2A2E">
      <w:r w:rsidRPr="00BD2A2E">
        <w:t xml:space="preserve">Eligible subjects who were previously treated in </w:t>
      </w:r>
      <w:r w:rsidR="00F22D76">
        <w:t>ipilimumab</w:t>
      </w:r>
      <w:r w:rsidRPr="00BD2A2E">
        <w:t xml:space="preserve"> </w:t>
      </w:r>
      <w:r w:rsidR="007F1683">
        <w:t>Studies</w:t>
      </w:r>
      <w:r w:rsidRPr="00BD2A2E">
        <w:t xml:space="preserve"> MDX010-16 or MDX010-20 could also roll over into this EAP. This is a multicentre, </w:t>
      </w:r>
      <w:r w:rsidR="009E0B79">
        <w:t>open label</w:t>
      </w:r>
      <w:r w:rsidRPr="00BD2A2E">
        <w:t xml:space="preserve"> EAP that is being conducted in the United States (US), Canada, Brazil, and Argentina. The protocol design has been amended over time with respect to both treatment and data collection, as outlined below:</w:t>
      </w:r>
    </w:p>
    <w:p w:rsidR="00307D0C" w:rsidRPr="00BD2A2E" w:rsidRDefault="00307D0C" w:rsidP="00BD2A2E">
      <w:pPr>
        <w:pStyle w:val="ListBullet"/>
      </w:pPr>
      <w:r w:rsidRPr="00BD2A2E">
        <w:t xml:space="preserve">Original EAP: Subjects were treated and were enrolled </w:t>
      </w:r>
      <w:r w:rsidR="002F6786">
        <w:t xml:space="preserve">between August 2007 and </w:t>
      </w:r>
      <w:r w:rsidR="00866203">
        <w:t>October</w:t>
      </w:r>
      <w:r w:rsidR="002F6786">
        <w:t> </w:t>
      </w:r>
      <w:r w:rsidRPr="00BD2A2E">
        <w:t xml:space="preserve">2008 as follows; Induction: Week 1 to Week 24; 10 mg/kg </w:t>
      </w:r>
      <w:r w:rsidR="00F22D76">
        <w:t>ipilimumab</w:t>
      </w:r>
      <w:r w:rsidRPr="00BD2A2E">
        <w:t xml:space="preserve"> administered intravenously every 3 weeks up to a maximum of 4 doses followed by Maintenance: from Week 24; 10 mg/kg </w:t>
      </w:r>
      <w:r w:rsidR="00F22D76">
        <w:t>ipilimumab</w:t>
      </w:r>
      <w:r w:rsidRPr="00BD2A2E">
        <w:t xml:space="preserve"> administered intravenously every 12 weeks until the subject is no longer clinically benefiting from therapy, per the investigator, or until the occurrence of unacceptable or unmanageable toxicity. After enrolment stopped in October 2008, subjects already in the study could continue to receive 10 mg/kg </w:t>
      </w:r>
      <w:r w:rsidR="00F22D76">
        <w:t>ipilimumab</w:t>
      </w:r>
      <w:r w:rsidRPr="00BD2A2E">
        <w:t>. Data collection included limited safety data only (</w:t>
      </w:r>
      <w:r w:rsidR="0026410F">
        <w:t>that is</w:t>
      </w:r>
      <w:r w:rsidRPr="00BD2A2E">
        <w:t>, SAEs; AEs related to study drug; and AEs that led to study drug discontinuation, to hospital</w:t>
      </w:r>
      <w:r w:rsidR="00C91631">
        <w:t>is</w:t>
      </w:r>
      <w:r w:rsidRPr="00BD2A2E">
        <w:t>ation, or to study drug interruption).</w:t>
      </w:r>
    </w:p>
    <w:p w:rsidR="00307D0C" w:rsidRPr="00BD2A2E" w:rsidRDefault="00307D0C" w:rsidP="00BD2A2E">
      <w:pPr>
        <w:pStyle w:val="ListBullet"/>
      </w:pPr>
      <w:r w:rsidRPr="00BD2A2E">
        <w:t>Amendment 2 (</w:t>
      </w:r>
      <w:r w:rsidR="009E0B79">
        <w:t>September</w:t>
      </w:r>
      <w:r w:rsidRPr="00BD2A2E">
        <w:t xml:space="preserve"> 2009): Subsequent to this amendment, safety data collection w</w:t>
      </w:r>
      <w:r w:rsidR="002F6786">
        <w:t xml:space="preserve">as expanded to include all AEs </w:t>
      </w:r>
      <w:r w:rsidR="0066119C">
        <w:t>(AEs</w:t>
      </w:r>
      <w:r w:rsidRPr="00BD2A2E">
        <w:t xml:space="preserve"> that occurred prior to Amendment 2 wer</w:t>
      </w:r>
      <w:r w:rsidR="0066119C">
        <w:t>e not collected retrospectively</w:t>
      </w:r>
      <w:r w:rsidRPr="00BD2A2E">
        <w:t>)</w:t>
      </w:r>
      <w:r w:rsidR="002F6786">
        <w:t>.</w:t>
      </w:r>
    </w:p>
    <w:p w:rsidR="00307D0C" w:rsidRPr="00BD2A2E" w:rsidRDefault="00307D0C" w:rsidP="00BD2A2E">
      <w:pPr>
        <w:pStyle w:val="ListBullet"/>
      </w:pPr>
      <w:r w:rsidRPr="00BD2A2E">
        <w:t>Amendment 3 (March 2010): Subjects enrolled after this amendment</w:t>
      </w:r>
      <w:r w:rsidR="002F6786">
        <w:t>, were treated with 3 </w:t>
      </w:r>
      <w:r w:rsidRPr="00BD2A2E">
        <w:t xml:space="preserve">mg/kg </w:t>
      </w:r>
      <w:r w:rsidR="00F22D76">
        <w:t>ipilimumab</w:t>
      </w:r>
      <w:r w:rsidRPr="00BD2A2E">
        <w:t xml:space="preserve"> induction followed by re-induction (if eligible); maintenance do</w:t>
      </w:r>
      <w:r w:rsidR="002F6786">
        <w:t xml:space="preserve">sing was not offered with the 3 </w:t>
      </w:r>
      <w:r w:rsidRPr="00BD2A2E">
        <w:t xml:space="preserve">mg/kg dose. Earlier subjects receiving 10 mg/kg </w:t>
      </w:r>
      <w:r w:rsidR="00F22D76">
        <w:t>ipilimumab</w:t>
      </w:r>
      <w:r w:rsidRPr="00BD2A2E">
        <w:t xml:space="preserve"> were still eligible for maintenance dosing at 10 mg/kg and were also eligible for re-induction following the approval of this amendment.</w:t>
      </w:r>
    </w:p>
    <w:p w:rsidR="00307D0C" w:rsidRPr="00BD2A2E" w:rsidRDefault="00307D0C" w:rsidP="002F6786">
      <w:pPr>
        <w:pStyle w:val="ListBullet"/>
      </w:pPr>
      <w:r w:rsidRPr="00BD2A2E">
        <w:t xml:space="preserve">Amendment 6 (March 2011): For both 10 mg/kg and 3 mg/kg </w:t>
      </w:r>
      <w:r w:rsidR="00F22D76">
        <w:t>ipilimumab</w:t>
      </w:r>
      <w:r w:rsidR="002F6786">
        <w:t xml:space="preserve"> subjects who re </w:t>
      </w:r>
      <w:r w:rsidRPr="00BD2A2E">
        <w:t>consented: after subject discontinuation or treatment protocol closure in a given country, subjects are to be contacted every 24 weeks to evaluate their survival status. All efforts were made to collect the survival status o</w:t>
      </w:r>
      <w:r w:rsidR="00441B13">
        <w:t>f all subjects retrospectively.</w:t>
      </w:r>
      <w:r w:rsidR="0066119C">
        <w:t xml:space="preserve"> </w:t>
      </w:r>
      <w:r w:rsidRPr="00BD2A2E">
        <w:t>As of the CRF cut-off date of 31 October 2011, enrolment in the EAP is as follows:</w:t>
      </w:r>
    </w:p>
    <w:p w:rsidR="00441B13" w:rsidRDefault="00307D0C" w:rsidP="00441B13">
      <w:pPr>
        <w:pStyle w:val="ListBullet2"/>
      </w:pPr>
      <w:r w:rsidRPr="002F6786">
        <w:t>United States: enrolment stopped in March 2011. The number of treated subjects is 906 at 10 mg/kg and 2</w:t>
      </w:r>
      <w:r w:rsidR="00441B13">
        <w:t>,</w:t>
      </w:r>
      <w:r w:rsidRPr="002F6786">
        <w:t>053 a</w:t>
      </w:r>
      <w:r w:rsidR="0066119C">
        <w:t>t 3 mg/kg.</w:t>
      </w:r>
    </w:p>
    <w:p w:rsidR="00441B13" w:rsidRDefault="00307D0C" w:rsidP="00441B13">
      <w:pPr>
        <w:pStyle w:val="ListBullet2"/>
      </w:pPr>
      <w:r w:rsidRPr="002F6786">
        <w:lastRenderedPageBreak/>
        <w:t>Canada: enrolment is continuing until 12 weeks post Health Canada approval. The number of treated subjects is 136 a</w:t>
      </w:r>
      <w:r w:rsidR="0066119C">
        <w:t>t 3 mg/kg and none at 10 mg/kg.</w:t>
      </w:r>
    </w:p>
    <w:p w:rsidR="00307D0C" w:rsidRPr="002F6786" w:rsidRDefault="00307D0C" w:rsidP="00441B13">
      <w:pPr>
        <w:pStyle w:val="ListBullet2"/>
      </w:pPr>
      <w:r w:rsidRPr="002F6786">
        <w:t xml:space="preserve">Argentina, Brazil: enrolment is expected to last until regulatory approval of </w:t>
      </w:r>
      <w:r w:rsidR="00F22D76" w:rsidRPr="002F6786">
        <w:t>ipilimumab</w:t>
      </w:r>
      <w:r w:rsidRPr="002F6786">
        <w:t>. The number of treated subjects is 181 at 3 mg/kg and none at 10 mg/kg.</w:t>
      </w:r>
    </w:p>
    <w:p w:rsidR="00441B13" w:rsidRDefault="00441B13" w:rsidP="00441B13">
      <w:pPr>
        <w:pStyle w:val="Heading6"/>
      </w:pPr>
      <w:r>
        <w:t xml:space="preserve">Population for </w:t>
      </w:r>
      <w:r w:rsidR="0066119C">
        <w:t>a</w:t>
      </w:r>
      <w:r>
        <w:t>nalysis</w:t>
      </w:r>
    </w:p>
    <w:p w:rsidR="00307D0C" w:rsidRPr="00BD2A2E" w:rsidRDefault="00307D0C" w:rsidP="00441B13">
      <w:r w:rsidRPr="00BD2A2E">
        <w:t xml:space="preserve">Analyses for this interim summary are defined on a population for which all of the following are true; Subjects were treated with 10 mg/kg </w:t>
      </w:r>
      <w:r w:rsidR="00F22D76">
        <w:t>ipilimumab</w:t>
      </w:r>
      <w:r w:rsidRPr="00BD2A2E">
        <w:t xml:space="preserve">, were not rollover subjects from MDX010-16 or MDX010-20, and were coming from sites where Amendment 6 (for OS) was approved by 31 October 2011. The reasons for these limitations are as follows; Rollover subjects were excluded as AEs prior to enrolment in this study would not be reflected, and sites where Amendment 6 was not approved were excluded to ensure consistency between the safety and efficacy populations. This provided a total of 906 subjects treated with 10 mg/kg </w:t>
      </w:r>
      <w:r w:rsidR="00F22D76">
        <w:t>ipilimumab</w:t>
      </w:r>
      <w:r w:rsidRPr="00BD2A2E">
        <w:t xml:space="preserve"> (all of whom were enrolled at US sites). Of these, 830 were included in this interim analysis. 76 patients were excluded due to the aforementioned criteria.</w:t>
      </w:r>
    </w:p>
    <w:p w:rsidR="00441B13" w:rsidRDefault="00AE152F" w:rsidP="00441B13">
      <w:pPr>
        <w:pStyle w:val="Heading6"/>
      </w:pPr>
      <w:r>
        <w:t>Endpoints</w:t>
      </w:r>
    </w:p>
    <w:p w:rsidR="00307D0C" w:rsidRPr="00441B13" w:rsidRDefault="00307D0C" w:rsidP="00441B13">
      <w:r w:rsidRPr="00441B13">
        <w:t>There are no primary or secondary</w:t>
      </w:r>
      <w:r w:rsidR="00AE152F">
        <w:t>,</w:t>
      </w:r>
      <w:r w:rsidRPr="00441B13">
        <w:t xml:space="preserve"> efficacy or safety endpoints defined for this protocol. The exploratory and additional endpoints for the current analysis include safety and tolerability, SAEs (drug</w:t>
      </w:r>
      <w:r w:rsidR="005C1FDA" w:rsidRPr="00441B13">
        <w:t xml:space="preserve"> related SAEs </w:t>
      </w:r>
      <w:r w:rsidRPr="00441B13">
        <w:t>includ</w:t>
      </w:r>
      <w:r w:rsidR="00384589">
        <w:t>ing those with outcome of death</w:t>
      </w:r>
      <w:r w:rsidRPr="00441B13">
        <w:t xml:space="preserve"> and AEs leading to discontinuation of treatment), deaths, extent of exposure and efficacy (OS as an exploratory endpoint</w:t>
      </w:r>
      <w:bookmarkStart w:id="185" w:name="_Toc241374312"/>
      <w:bookmarkStart w:id="186" w:name="_Toc272414656"/>
      <w:bookmarkStart w:id="187" w:name="_Toc290846281"/>
      <w:r w:rsidRPr="00441B13">
        <w:t>). OS was defined as the time from the first dose date until the date of death. For those subjects who have not died, OS was censored at the last date the subject was known to be alive. The survival rate at one year is defined as the probability that a subject is alive at one year following the first dose date, and was estimated via the Kaplan-Meier method. Analogous methods apply to estimating survival rates at 2 and 3 years. Analyses performed across trials (pooled analyses and meta-analyses)</w:t>
      </w:r>
      <w:bookmarkEnd w:id="185"/>
      <w:bookmarkEnd w:id="186"/>
      <w:bookmarkEnd w:id="187"/>
      <w:r w:rsidRPr="00441B13">
        <w:t xml:space="preserve"> A Kaplan-Meier curve, including a summary table with th</w:t>
      </w:r>
      <w:r w:rsidR="005C1FDA" w:rsidRPr="00441B13">
        <w:t xml:space="preserve">e median OS together with a two </w:t>
      </w:r>
      <w:r w:rsidRPr="00441B13">
        <w:t>sided 95% confidence interval for the median, calculated using the method of Brookmeyer and Crowley. Survival rates at 1, 2, and 3 ye</w:t>
      </w:r>
      <w:r w:rsidR="005C1FDA" w:rsidRPr="00441B13">
        <w:t xml:space="preserve">ars, with the corresponding two </w:t>
      </w:r>
      <w:r w:rsidRPr="00441B13">
        <w:t>sided 95% log negative-log transformed confidence interval.</w:t>
      </w:r>
    </w:p>
    <w:p w:rsidR="00307D0C" w:rsidRPr="00BD2A2E" w:rsidRDefault="00307D0C" w:rsidP="005C1FDA">
      <w:pPr>
        <w:pStyle w:val="Heading6"/>
      </w:pPr>
      <w:r w:rsidRPr="00BD2A2E">
        <w:t>Results</w:t>
      </w:r>
    </w:p>
    <w:p w:rsidR="005C1FDA" w:rsidRDefault="00307D0C" w:rsidP="00BD2A2E">
      <w:r w:rsidRPr="00BD2A2E">
        <w:t xml:space="preserve">Primary disease sites were unclear. Patient disease types were described as </w:t>
      </w:r>
      <w:r w:rsidR="00C108F1">
        <w:t>‘</w:t>
      </w:r>
      <w:r w:rsidRPr="00BD2A2E">
        <w:t>brain metastases 27%, ocular 5%, and mucosal 4%</w:t>
      </w:r>
      <w:r w:rsidR="00C108F1">
        <w:t>’</w:t>
      </w:r>
      <w:r w:rsidRPr="00BD2A2E">
        <w:t xml:space="preserve"> melanoma. </w:t>
      </w:r>
      <w:r w:rsidR="005C1FDA">
        <w:t>A review of the</w:t>
      </w:r>
      <w:r w:rsidRPr="00BD2A2E">
        <w:t xml:space="preserve"> listing disease </w:t>
      </w:r>
      <w:r w:rsidR="00384589" w:rsidRPr="00BD2A2E">
        <w:t>types</w:t>
      </w:r>
      <w:r w:rsidRPr="00BD2A2E">
        <w:t xml:space="preserve"> included 550 patients with </w:t>
      </w:r>
      <w:r w:rsidR="00C108F1">
        <w:t>‘</w:t>
      </w:r>
      <w:r w:rsidRPr="00BD2A2E">
        <w:t>other</w:t>
      </w:r>
      <w:r w:rsidR="00C108F1">
        <w:t>’</w:t>
      </w:r>
      <w:r w:rsidRPr="00BD2A2E">
        <w:t>. Beyond ocular and mucosal sites, no clear conventional primary sites were described. About half of the subjects (54%) received all 4 doses during the Induction Phase. 31% of patients received at least 5 doses during the entire study duration, and 14% received at least 10 doses</w:t>
      </w:r>
      <w:r w:rsidR="005F5E22">
        <w:t xml:space="preserve">. </w:t>
      </w:r>
      <w:r w:rsidRPr="00BD2A2E">
        <w:t>Of the 830 subjects, 72 (9%) were still on treatment at the time of the CRF cut-off date. 758 (91%) had discontinued, mainly during Induction (566</w:t>
      </w:r>
      <w:r w:rsidR="005853BB">
        <w:t xml:space="preserve"> out of </w:t>
      </w:r>
      <w:r w:rsidRPr="00BD2A2E">
        <w:t>758) due to disease progression (51%) and study drug toxicity (8%). Over the entire study, discontinuation occurred predominantly due to due to disease progression (66%)</w:t>
      </w:r>
      <w:r w:rsidR="005C1FDA">
        <w:t xml:space="preserve"> and study drug toxicity (11%).</w:t>
      </w:r>
    </w:p>
    <w:p w:rsidR="00307D0C" w:rsidRPr="00BD2A2E" w:rsidRDefault="00307D0C" w:rsidP="00BD2A2E">
      <w:r w:rsidRPr="00BD2A2E">
        <w:t>Causes of death were not captured routinely prior to Amendment 3 (see Section 8 for sa</w:t>
      </w:r>
      <w:r w:rsidR="005C1FDA">
        <w:t xml:space="preserve">fety data). Four hundred ninety </w:t>
      </w:r>
      <w:r w:rsidRPr="00BD2A2E">
        <w:t>four subjects (60%) died and therefore were considered to have a current follow-up. One hundred nine subjects (13%) had a last known alive date within 30 days of the CRF cut-off date. The remaining 227 subjects (27%) are subjects with unknown survival status. (Note that for 172 of these 227 subjects, the last known alive date is more than 2 years before the CRF cut</w:t>
      </w:r>
      <w:r w:rsidR="005C1FDA">
        <w:t xml:space="preserve">-off date.) Furthermore, of the </w:t>
      </w:r>
      <w:r w:rsidRPr="00BD2A2E">
        <w:t>2</w:t>
      </w:r>
      <w:r w:rsidR="005C1FDA">
        <w:t xml:space="preserve">27 subjects with unknown follow </w:t>
      </w:r>
      <w:r w:rsidRPr="00BD2A2E">
        <w:t>up, 194 were not re-consented for Amendment 6 and had already discontinued study drug, with the most common discontinuation reason being disease progression. The Kaplan-Meier curve shows a high proportion of censoring. The median OS was 10.1 months (95% CI: 8.7, 12.4). The me</w:t>
      </w:r>
      <w:r w:rsidR="006E15A4">
        <w:t xml:space="preserve">dian (min-max) extent of follow up was 5.9 months (0.1 to </w:t>
      </w:r>
      <w:r w:rsidRPr="00BD2A2E">
        <w:t>48.8 months). The survival rates at 1, 2 and 3 years were 47%, 34%, and 30%, respectively.</w:t>
      </w:r>
    </w:p>
    <w:p w:rsidR="00307D0C" w:rsidRPr="00BD2A2E" w:rsidRDefault="00307D0C" w:rsidP="00307D0C">
      <w:r w:rsidRPr="00BD2A2E">
        <w:lastRenderedPageBreak/>
        <w:t xml:space="preserve">In the context of the current application, the interim summary for CA184045 provides little relevant efficacy data as reported dataset focused on patients treated with the </w:t>
      </w:r>
      <w:r w:rsidR="00C108F1">
        <w:t>10 mg</w:t>
      </w:r>
      <w:r w:rsidRPr="00BD2A2E">
        <w:t>/kg dosing. The study is uncontrolled and does not contribute high quality level evidence according to conventional grading systems. Approximately 30% of patients in this survival analysis had an unknown survival status.</w:t>
      </w:r>
    </w:p>
    <w:p w:rsidR="00307D0C" w:rsidRDefault="00307D0C" w:rsidP="00BD2A2E">
      <w:r w:rsidRPr="00BD2A2E">
        <w:t xml:space="preserve">It is not explained by the </w:t>
      </w:r>
      <w:r w:rsidR="005F5E22">
        <w:t>sponsor</w:t>
      </w:r>
      <w:r w:rsidRPr="00BD2A2E">
        <w:t xml:space="preserve"> clearly why the population treated with the </w:t>
      </w:r>
      <w:r w:rsidR="00C108F1">
        <w:t>3 mg</w:t>
      </w:r>
      <w:r w:rsidRPr="00BD2A2E">
        <w:t>/kg dosing schedule relevant to the current</w:t>
      </w:r>
      <w:r w:rsidR="00BD2A2E">
        <w:t xml:space="preserve"> application were not reported.</w:t>
      </w:r>
    </w:p>
    <w:p w:rsidR="00307D0C" w:rsidRPr="00BD2A2E" w:rsidRDefault="00307D0C" w:rsidP="006E15A4">
      <w:pPr>
        <w:pStyle w:val="Heading3"/>
      </w:pPr>
      <w:bookmarkStart w:id="188" w:name="_Ref384733169"/>
      <w:bookmarkStart w:id="189" w:name="_Ref384745608"/>
      <w:bookmarkStart w:id="190" w:name="_Toc390676216"/>
      <w:bookmarkStart w:id="191" w:name="_Toc475616223"/>
      <w:r w:rsidRPr="00BD2A2E">
        <w:t>Pooled analyses</w:t>
      </w:r>
      <w:bookmarkEnd w:id="188"/>
      <w:bookmarkEnd w:id="189"/>
      <w:bookmarkEnd w:id="190"/>
      <w:bookmarkEnd w:id="191"/>
    </w:p>
    <w:p w:rsidR="00307D0C" w:rsidRPr="007B5C55" w:rsidRDefault="00307D0C" w:rsidP="006E15A4">
      <w:pPr>
        <w:pStyle w:val="Heading4"/>
      </w:pPr>
      <w:bookmarkStart w:id="192" w:name="_Ref384810936"/>
      <w:bookmarkStart w:id="193" w:name="_Toc390676217"/>
      <w:r w:rsidRPr="007B5C55">
        <w:t xml:space="preserve">Pooled analyses from </w:t>
      </w:r>
      <w:r w:rsidR="00AE152F" w:rsidRPr="007B5C55">
        <w:t>the summary of clinical efficacy</w:t>
      </w:r>
      <w:bookmarkEnd w:id="192"/>
      <w:bookmarkEnd w:id="193"/>
    </w:p>
    <w:p w:rsidR="00307D0C" w:rsidRPr="007B5C55" w:rsidRDefault="00307D0C" w:rsidP="00307D0C">
      <w:r w:rsidRPr="007B5C55">
        <w:t>There were no studies included in the dossier that investigated the efficacy of the treatment schedule of the proposed usage in the appropriate populatio</w:t>
      </w:r>
      <w:r w:rsidR="006E15A4">
        <w:t xml:space="preserve">n for the current application </w:t>
      </w:r>
      <w:r w:rsidRPr="007B5C55">
        <w:t xml:space="preserve">Instead, the </w:t>
      </w:r>
      <w:r w:rsidR="005F5E22">
        <w:t>sponsor</w:t>
      </w:r>
      <w:r w:rsidRPr="007B5C55">
        <w:t xml:space="preserve"> provided data that was pooled from a number of heterogeneous studies and heterogeneous patient populations to assess efficacy of the </w:t>
      </w:r>
      <w:r w:rsidR="00C108F1">
        <w:t>3 mg</w:t>
      </w:r>
      <w:r w:rsidRPr="007B5C55">
        <w:t>/kg posology in the previously untreated population. Subgroup analyses of this pooled data were then performed, with limited power for these analyses and no prospecti</w:t>
      </w:r>
      <w:r w:rsidR="007B5C55">
        <w:t>ve validation of observations.</w:t>
      </w:r>
    </w:p>
    <w:p w:rsidR="00307D0C" w:rsidRPr="007B5C55" w:rsidRDefault="00307D0C" w:rsidP="007B5C55">
      <w:r w:rsidRPr="007B5C55">
        <w:t xml:space="preserve">Note should be made again that the current application is for use in </w:t>
      </w:r>
      <w:r w:rsidR="00C108F1">
        <w:t>‘</w:t>
      </w:r>
      <w:r w:rsidRPr="007B5C55">
        <w:t>previously untreated</w:t>
      </w:r>
      <w:r w:rsidR="00C108F1">
        <w:t>’</w:t>
      </w:r>
      <w:r w:rsidRPr="007B5C55">
        <w:t xml:space="preserve"> patients, not </w:t>
      </w:r>
      <w:r w:rsidR="00C108F1">
        <w:t>‘</w:t>
      </w:r>
      <w:r w:rsidRPr="007B5C55">
        <w:t>chemotherapy naive patients</w:t>
      </w:r>
      <w:r w:rsidR="00C108F1">
        <w:t>’</w:t>
      </w:r>
      <w:r w:rsidRPr="007B5C55">
        <w:t>.</w:t>
      </w:r>
    </w:p>
    <w:p w:rsidR="00307D0C" w:rsidRPr="007B5C55" w:rsidRDefault="00307D0C" w:rsidP="00307D0C">
      <w:r w:rsidRPr="007B5C55">
        <w:t xml:space="preserve">A tabular overview of each of previously evaluated studies referred to within this analysis is provided in </w:t>
      </w:r>
      <w:r w:rsidR="004572B9">
        <w:t>Table 23</w:t>
      </w:r>
      <w:r w:rsidRPr="00CF0E37">
        <w:t xml:space="preserve">, </w:t>
      </w:r>
      <w:r w:rsidR="007B5C55" w:rsidRPr="00CF0E37">
        <w:t>from</w:t>
      </w:r>
      <w:r w:rsidR="007B5C55">
        <w:t xml:space="preserve"> which the data is derived.</w:t>
      </w:r>
    </w:p>
    <w:p w:rsidR="00307D0C" w:rsidRPr="007B5C55" w:rsidRDefault="004572B9" w:rsidP="007B5C55">
      <w:pPr>
        <w:pStyle w:val="Tabletitle"/>
      </w:pPr>
      <w:bookmarkStart w:id="194" w:name="_Toc390676302"/>
      <w:r>
        <w:lastRenderedPageBreak/>
        <w:t>Table 23</w:t>
      </w:r>
      <w:r w:rsidR="00AE152F" w:rsidRPr="00CF0E37">
        <w:t xml:space="preserve">: </w:t>
      </w:r>
      <w:r w:rsidR="00307D0C" w:rsidRPr="00CF0E37">
        <w:t>Summary</w:t>
      </w:r>
      <w:r w:rsidR="00307D0C" w:rsidRPr="007B5C55">
        <w:t xml:space="preserve"> of studies included in the pooled analyses for efficacy of </w:t>
      </w:r>
      <w:r w:rsidR="00F22D76">
        <w:t>ipilimumab</w:t>
      </w:r>
      <w:r w:rsidR="00307D0C" w:rsidRPr="007B5C55">
        <w:t xml:space="preserve"> </w:t>
      </w:r>
      <w:r w:rsidR="008A0369">
        <w:t>3 </w:t>
      </w:r>
      <w:r w:rsidR="00C108F1">
        <w:t>mg</w:t>
      </w:r>
      <w:r w:rsidR="00307D0C" w:rsidRPr="007B5C55">
        <w:t>/kg</w:t>
      </w:r>
      <w:bookmarkEnd w:id="194"/>
    </w:p>
    <w:p w:rsidR="00307D0C" w:rsidRPr="007B5C55" w:rsidRDefault="00307D0C" w:rsidP="00307D0C">
      <w:r>
        <w:rPr>
          <w:noProof/>
          <w:lang w:eastAsia="en-AU"/>
        </w:rPr>
        <w:drawing>
          <wp:inline distT="0" distB="0" distL="0" distR="0" wp14:anchorId="24F62E15" wp14:editId="1352A6DC">
            <wp:extent cx="5626647" cy="4849977"/>
            <wp:effectExtent l="0" t="0" r="0" b="0"/>
            <wp:docPr id="3076" name="Picture 4" descr="Table 23: Summary of studies included in the pooled analyses for efficacy of ipilimumab 3 m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28" t="1317" r="23413" b="1128"/>
                    <a:stretch/>
                  </pic:blipFill>
                  <pic:spPr bwMode="auto">
                    <a:xfrm>
                      <a:off x="0" y="0"/>
                      <a:ext cx="5628680" cy="4851729"/>
                    </a:xfrm>
                    <a:prstGeom prst="rect">
                      <a:avLst/>
                    </a:prstGeom>
                    <a:noFill/>
                    <a:ln>
                      <a:noFill/>
                    </a:ln>
                    <a:extLst/>
                  </pic:spPr>
                </pic:pic>
              </a:graphicData>
            </a:graphic>
          </wp:inline>
        </w:drawing>
      </w:r>
    </w:p>
    <w:p w:rsidR="001B4C5E" w:rsidRDefault="001B4C5E" w:rsidP="006E15A4">
      <w:pPr>
        <w:pStyle w:val="Heading5"/>
      </w:pPr>
      <w:r>
        <w:t>Populations for analyses:</w:t>
      </w:r>
    </w:p>
    <w:p w:rsidR="00307D0C" w:rsidRPr="001B4C5E" w:rsidRDefault="00307D0C" w:rsidP="001B4C5E">
      <w:r w:rsidRPr="001B4C5E">
        <w:t xml:space="preserve">No individual studies were presented, testing 3 mg/kg for efficacy in untreated patients. Instead, OS data on 3 mg/kg </w:t>
      </w:r>
      <w:r w:rsidR="00F22D76">
        <w:t>ipilimumab</w:t>
      </w:r>
      <w:r w:rsidRPr="001B4C5E">
        <w:t xml:space="preserve"> monotherapy were pooled from MDX010-20, MDX010-08, CA184004 and CA184022 of which the CSRs have all been previously evaluated. Study numbers, dosing schedules, dosing regimens post induction, random</w:t>
      </w:r>
      <w:r w:rsidR="00C91631">
        <w:t>is</w:t>
      </w:r>
      <w:r w:rsidRPr="001B4C5E">
        <w:t>ation ratios, length of survival follow-up and possible crossover were variable between trials. With respect to the treatment status of subjects according to study;</w:t>
      </w:r>
    </w:p>
    <w:p w:rsidR="00307D0C" w:rsidRPr="00F14EF5" w:rsidRDefault="00307D0C" w:rsidP="00F14EF5">
      <w:pPr>
        <w:pStyle w:val="ListBullet"/>
      </w:pPr>
      <w:r w:rsidRPr="00F14EF5">
        <w:t>CA184004 enrolled both untreated and previously treated patients</w:t>
      </w:r>
    </w:p>
    <w:p w:rsidR="00307D0C" w:rsidRDefault="00307D0C" w:rsidP="00F14EF5">
      <w:pPr>
        <w:pStyle w:val="ListBullet"/>
      </w:pPr>
      <w:r w:rsidRPr="00F14EF5">
        <w:t>CA184022 enroll</w:t>
      </w:r>
      <w:r w:rsidR="00F14EF5">
        <w:t>ed previously treated patients.</w:t>
      </w:r>
    </w:p>
    <w:p w:rsidR="00307D0C" w:rsidRPr="00F14EF5" w:rsidRDefault="00307D0C" w:rsidP="00F14EF5">
      <w:r w:rsidRPr="00F14EF5">
        <w:t>For these studies previously treated subjects were defined as subjects with prior systemic anti-cancer therapy received for advanced melano</w:t>
      </w:r>
      <w:r w:rsidR="00AE152F">
        <w:t>ma (excluding adjuvant therapy);</w:t>
      </w:r>
    </w:p>
    <w:p w:rsidR="00307D0C" w:rsidRPr="00F14EF5" w:rsidRDefault="00307D0C" w:rsidP="00F14EF5">
      <w:pPr>
        <w:pStyle w:val="ListBullet"/>
      </w:pPr>
      <w:r w:rsidRPr="00F14EF5">
        <w:t>MDX010-20 investigated previously treated subjects</w:t>
      </w:r>
    </w:p>
    <w:p w:rsidR="00307D0C" w:rsidRPr="00F14EF5" w:rsidRDefault="00307D0C" w:rsidP="00307D0C">
      <w:pPr>
        <w:pStyle w:val="ListBullet"/>
      </w:pPr>
      <w:r w:rsidRPr="00F14EF5">
        <w:t xml:space="preserve">MDX010-08 investigated </w:t>
      </w:r>
      <w:r w:rsidR="00C108F1">
        <w:t>‘</w:t>
      </w:r>
      <w:r w:rsidRPr="00F14EF5">
        <w:t>chemotherapy naive subjects</w:t>
      </w:r>
      <w:r w:rsidR="00C108F1">
        <w:t>’</w:t>
      </w:r>
      <w:r w:rsidR="00AE152F">
        <w:t>.</w:t>
      </w:r>
    </w:p>
    <w:p w:rsidR="00307D0C" w:rsidRPr="00F42961" w:rsidRDefault="00AE152F" w:rsidP="00AE152F">
      <w:pPr>
        <w:pStyle w:val="Comment"/>
        <w:ind w:left="1134" w:hanging="1134"/>
      </w:pPr>
      <w:r>
        <w:rPr>
          <w:b/>
        </w:rPr>
        <w:t>C</w:t>
      </w:r>
      <w:r w:rsidR="006E15A4">
        <w:rPr>
          <w:b/>
        </w:rPr>
        <w:t>omment</w:t>
      </w:r>
      <w:r w:rsidR="00F14EF5" w:rsidRPr="00AE152F">
        <w:rPr>
          <w:b/>
        </w:rPr>
        <w:t>:</w:t>
      </w:r>
      <w:r w:rsidR="00F14EF5" w:rsidRPr="00F14EF5">
        <w:t xml:space="preserve"> </w:t>
      </w:r>
      <w:r w:rsidR="00307D0C" w:rsidRPr="00F14EF5">
        <w:t xml:space="preserve">Note should be made that Table </w:t>
      </w:r>
      <w:r w:rsidR="004572B9">
        <w:t>23</w:t>
      </w:r>
      <w:r w:rsidR="00307D0C" w:rsidRPr="00F14EF5">
        <w:t xml:space="preserve"> and the </w:t>
      </w:r>
      <w:r w:rsidR="005F5E22">
        <w:t>sponsor</w:t>
      </w:r>
      <w:r w:rsidR="00307D0C" w:rsidRPr="00F14EF5">
        <w:t xml:space="preserve"> indicates within the text that patients from MDX010-08 are previously treated. Thus it is unclear as to how many of the patients included from this study are relev</w:t>
      </w:r>
      <w:r w:rsidR="006E15A4">
        <w:t>ant to the proposed indication.</w:t>
      </w:r>
    </w:p>
    <w:p w:rsidR="00307D0C" w:rsidRPr="00F14EF5" w:rsidRDefault="00307D0C" w:rsidP="00307D0C">
      <w:r w:rsidRPr="00F14EF5">
        <w:lastRenderedPageBreak/>
        <w:t>Chemotherapy pre-treated subjects were defined as subjects with prior chemotherapy received for advanced melanoma.</w:t>
      </w:r>
    </w:p>
    <w:p w:rsidR="00307D0C" w:rsidRPr="00F14EF5" w:rsidRDefault="00307D0C" w:rsidP="00F14EF5">
      <w:r w:rsidRPr="00F14EF5">
        <w:t xml:space="preserve">The total number of previously untreated patients who received monotherapy with </w:t>
      </w:r>
      <w:r w:rsidR="00C108F1">
        <w:t>3 mg</w:t>
      </w:r>
      <w:r w:rsidRPr="00F14EF5">
        <w:t xml:space="preserve">/kg </w:t>
      </w:r>
      <w:r w:rsidR="00F22D76">
        <w:t>ipilimumab</w:t>
      </w:r>
      <w:r w:rsidRPr="00F14EF5">
        <w:t xml:space="preserve"> consisted of maximally 35 patients. Note is made that dat</w:t>
      </w:r>
      <w:r w:rsidR="006E15A4">
        <w:t xml:space="preserve">a was pooled from CA184004 and </w:t>
      </w:r>
      <w:r w:rsidR="006E15A4" w:rsidRPr="006E15A4">
        <w:t>CA184</w:t>
      </w:r>
      <w:r w:rsidRPr="00F14EF5">
        <w:t xml:space="preserve">022, of which only CA184004 enrolled untreated patients. The total number of chemotherapy naïve patients treated with monotherapy was 78 patients. In comparison, the number of previously treated patients is large. Thus, conclusions made by the </w:t>
      </w:r>
      <w:r w:rsidR="005F5E22">
        <w:t>sponsor</w:t>
      </w:r>
      <w:r w:rsidRPr="00F14EF5">
        <w:t xml:space="preserve"> are derived from data comparing 35 previously untreated patients versus 254 previously treated patients. Additionally, it is unclear how many of these 35 patients were previously untreated (versus chemotherapy naïve </w:t>
      </w:r>
      <w:r w:rsidRPr="00CF0E37">
        <w:t xml:space="preserve">as per Table </w:t>
      </w:r>
      <w:r w:rsidR="004572B9">
        <w:t>23</w:t>
      </w:r>
      <w:r w:rsidR="00F415EB" w:rsidRPr="00CF0E37">
        <w:t>)</w:t>
      </w:r>
      <w:r w:rsidRPr="00CF0E37">
        <w:t xml:space="preserve"> and</w:t>
      </w:r>
      <w:r w:rsidRPr="00F14EF5">
        <w:t xml:space="preserve"> how many also received maintenance therapy. Thus the total number of relevant patients examined is limited even within these pooled subgroup analyses.</w:t>
      </w:r>
    </w:p>
    <w:p w:rsidR="00307D0C" w:rsidRPr="00F14EF5" w:rsidRDefault="00307D0C" w:rsidP="00F14EF5">
      <w:r w:rsidRPr="00F14EF5">
        <w:t>The contribution of data according to treatment status by study is</w:t>
      </w:r>
      <w:r w:rsidR="00F415EB">
        <w:t xml:space="preserve"> summarised </w:t>
      </w:r>
      <w:r w:rsidR="00F415EB" w:rsidRPr="00CF0E37">
        <w:t>in T</w:t>
      </w:r>
      <w:r w:rsidR="00F14EF5" w:rsidRPr="00CF0E37">
        <w:t xml:space="preserve">able </w:t>
      </w:r>
      <w:r w:rsidR="004572B9">
        <w:t>24</w:t>
      </w:r>
    </w:p>
    <w:p w:rsidR="00307D0C" w:rsidRPr="00F14EF5" w:rsidRDefault="00307D0C" w:rsidP="00F14EF5">
      <w:pPr>
        <w:pStyle w:val="Tabletitle"/>
      </w:pPr>
      <w:bookmarkStart w:id="195" w:name="_Toc390676303"/>
      <w:r w:rsidRPr="00F14EF5">
        <w:t>Table</w:t>
      </w:r>
      <w:r w:rsidR="004572B9">
        <w:t xml:space="preserve"> 24</w:t>
      </w:r>
      <w:r w:rsidR="00AE152F">
        <w:t>:</w:t>
      </w:r>
      <w:r w:rsidRPr="00F14EF5">
        <w:t xml:space="preserve"> Summary of the pooled efficacy analysis populations according to study and pre-treatment status</w:t>
      </w:r>
      <w:bookmarkEnd w:id="195"/>
    </w:p>
    <w:p w:rsidR="00307D0C" w:rsidRDefault="00F14EF5" w:rsidP="00307D0C">
      <w:pPr>
        <w:rPr>
          <w:szCs w:val="20"/>
        </w:rPr>
      </w:pPr>
      <w:r>
        <w:rPr>
          <w:noProof/>
          <w:lang w:eastAsia="en-AU"/>
        </w:rPr>
        <w:drawing>
          <wp:inline distT="0" distB="0" distL="0" distR="0" wp14:anchorId="64D8077B" wp14:editId="4EA3F76A">
            <wp:extent cx="4937760" cy="3543300"/>
            <wp:effectExtent l="0" t="0" r="0" b="0"/>
            <wp:docPr id="16" name="Picture 16" descr="Table 24: Summary of the pooled efficacy analysis populations according to study and pre-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37760" cy="3543300"/>
                    </a:xfrm>
                    <a:prstGeom prst="rect">
                      <a:avLst/>
                    </a:prstGeom>
                  </pic:spPr>
                </pic:pic>
              </a:graphicData>
            </a:graphic>
          </wp:inline>
        </w:drawing>
      </w:r>
    </w:p>
    <w:p w:rsidR="00307D0C" w:rsidRPr="00F14EF5" w:rsidRDefault="00AE152F" w:rsidP="00AE152F">
      <w:pPr>
        <w:pStyle w:val="Comment"/>
        <w:ind w:left="1134" w:hanging="1134"/>
      </w:pPr>
      <w:r w:rsidRPr="00AE152F">
        <w:rPr>
          <w:b/>
        </w:rPr>
        <w:t>C</w:t>
      </w:r>
      <w:r w:rsidR="006E15A4" w:rsidRPr="00AE152F">
        <w:rPr>
          <w:b/>
        </w:rPr>
        <w:t>omment</w:t>
      </w:r>
      <w:r w:rsidR="00F14EF5" w:rsidRPr="00AE152F">
        <w:rPr>
          <w:b/>
        </w:rPr>
        <w:t>:</w:t>
      </w:r>
      <w:r w:rsidR="00F14EF5" w:rsidRPr="00F14EF5">
        <w:t xml:space="preserve"> </w:t>
      </w:r>
      <w:r w:rsidR="00307D0C" w:rsidRPr="00F14EF5">
        <w:t xml:space="preserve">Can the </w:t>
      </w:r>
      <w:r w:rsidR="005F5E22">
        <w:t>sponsor</w:t>
      </w:r>
      <w:r w:rsidR="00307D0C" w:rsidRPr="00F14EF5">
        <w:t xml:space="preserve"> please clarify of the indicated total 35 previously untreated patients, how many of the randomised patients received maintenance therapy and how many did not? Can the </w:t>
      </w:r>
      <w:r w:rsidR="005F5E22">
        <w:t>sponsor</w:t>
      </w:r>
      <w:r w:rsidR="00307D0C" w:rsidRPr="00F14EF5">
        <w:t xml:space="preserve"> confirm that the patients investigated within MDX010-08 were previously untreated rather than chemotherapy naive? Thus, can the </w:t>
      </w:r>
      <w:r w:rsidR="005F5E22">
        <w:t>sponsor</w:t>
      </w:r>
      <w:r w:rsidR="00307D0C" w:rsidRPr="00F14EF5">
        <w:t xml:space="preserve"> please indicate the total number of patients who have not previously received any prior therapy, who were randomised in the relevant study, and who received </w:t>
      </w:r>
      <w:r w:rsidR="00F22D76">
        <w:t>ipilimumab</w:t>
      </w:r>
      <w:r w:rsidR="00307D0C" w:rsidRPr="00F14EF5">
        <w:t xml:space="preserve"> </w:t>
      </w:r>
      <w:r w:rsidR="00C108F1">
        <w:t>3 mg</w:t>
      </w:r>
      <w:r w:rsidR="00307D0C" w:rsidRPr="00F14EF5">
        <w:t xml:space="preserve">/kg monotherapy without any maintenance therapy? The efficacy of the drug for this subgroup of patients is relevant for the proposed indication, such that further clarification is requested from the </w:t>
      </w:r>
      <w:r w:rsidR="005F5E22">
        <w:t>sponsor</w:t>
      </w:r>
      <w:r w:rsidR="00307D0C" w:rsidRPr="00F14EF5">
        <w:t>, regarding effica</w:t>
      </w:r>
      <w:r w:rsidR="00F415EB">
        <w:t>cy data for this subgroup only.</w:t>
      </w:r>
    </w:p>
    <w:p w:rsidR="00307D0C" w:rsidRPr="00F14EF5" w:rsidRDefault="00307D0C" w:rsidP="00F14EF5">
      <w:r w:rsidRPr="00F14EF5">
        <w:t>Baseline demographics are impossible to comment on due to the post hoc nature of the analysis, the aforementioned numerous differences between the trials, and the small number of patients (n</w:t>
      </w:r>
      <w:r w:rsidR="001B4C5E">
        <w:t xml:space="preserve"> </w:t>
      </w:r>
      <w:r w:rsidRPr="00F14EF5">
        <w:t>=</w:t>
      </w:r>
      <w:r w:rsidR="001B4C5E">
        <w:t xml:space="preserve"> </w:t>
      </w:r>
      <w:r w:rsidRPr="00F14EF5">
        <w:t xml:space="preserve">35 previously untreated) relevant to the current application. For noted differences (or </w:t>
      </w:r>
      <w:r w:rsidRPr="00F14EF5">
        <w:lastRenderedPageBreak/>
        <w:t>similarities), it is impossible to comment on the significance of these due to the imbalanced patient num</w:t>
      </w:r>
      <w:r w:rsidR="00F14EF5">
        <w:t>bers between (relevant) groups.</w:t>
      </w:r>
    </w:p>
    <w:p w:rsidR="00307D0C" w:rsidRPr="00F14EF5" w:rsidRDefault="00307D0C" w:rsidP="00F14EF5">
      <w:r w:rsidRPr="00F14EF5">
        <w:t xml:space="preserve">The </w:t>
      </w:r>
      <w:r w:rsidR="005F5E22">
        <w:t>sponsor</w:t>
      </w:r>
      <w:r w:rsidRPr="00F14EF5">
        <w:t xml:space="preserve"> reports that baseline demographics and subject characteristics were generally similar between previously untreated and previously treated subjects. Although the total number of subjects within each study is limited, the baseline demographics and subject characteristics were generally similar between previously untreated and previously treated subjects. Note is made of the small numbers in MDX010-08, however, in the monotherapy group the proportion of women (55% </w:t>
      </w:r>
      <w:r w:rsidR="00046414">
        <w:t>versus</w:t>
      </w:r>
      <w:r w:rsidRPr="00F14EF5">
        <w:t xml:space="preserve"> 30%), women </w:t>
      </w:r>
      <w:r w:rsidR="00A413D2">
        <w:t>≥</w:t>
      </w:r>
      <w:r w:rsidRPr="00F14EF5">
        <w:t xml:space="preserve"> 50 years (40% </w:t>
      </w:r>
      <w:r w:rsidR="00046414">
        <w:t>versus</w:t>
      </w:r>
      <w:r w:rsidRPr="00F14EF5">
        <w:t xml:space="preserve"> 10%), and subjects </w:t>
      </w:r>
      <w:r w:rsidR="00A413D2">
        <w:t>≥</w:t>
      </w:r>
      <w:r w:rsidRPr="00F14EF5">
        <w:t xml:space="preserve"> 65 years (70% </w:t>
      </w:r>
      <w:r w:rsidR="00046414">
        <w:t>versus</w:t>
      </w:r>
      <w:r w:rsidRPr="00F14EF5">
        <w:t xml:space="preserve"> 30%) were numerically higher in previously untreated subjects compared to previously treated subjects, respectively. Also, the proportion of untreated subjects with age </w:t>
      </w:r>
      <w:r w:rsidR="00A413D2">
        <w:t>≥</w:t>
      </w:r>
      <w:r w:rsidRPr="00F14EF5">
        <w:t xml:space="preserve"> 65 years (14</w:t>
      </w:r>
      <w:r w:rsidR="005853BB">
        <w:t xml:space="preserve"> out of </w:t>
      </w:r>
      <w:r w:rsidRPr="00F14EF5">
        <w:t>20; 70%) in MDX010-08 was highest among all subgroups evaluated. Higher proportions of men and older age are generally considered as poorer baseline characteristics. These analyses are conducted post hoc and prior treatment was not a stratification factor within each study.</w:t>
      </w:r>
    </w:p>
    <w:p w:rsidR="00307D0C" w:rsidRPr="00F14EF5" w:rsidRDefault="00307D0C" w:rsidP="00F14EF5">
      <w:r w:rsidRPr="00F14EF5">
        <w:t xml:space="preserve">Within each study, previously untreated and previously treated subjects each received a median of 4 doses, with the exception of previously treated subjects in MDX010-08 (median of 3 doses in the monotherapy group and 3.5 doses in the </w:t>
      </w:r>
      <w:r w:rsidR="00F22D76">
        <w:t>ipilimumab</w:t>
      </w:r>
      <w:r w:rsidRPr="00F14EF5">
        <w:t xml:space="preserve"> + DT</w:t>
      </w:r>
      <w:r w:rsidR="00F14EF5">
        <w:t>IC group).</w:t>
      </w:r>
    </w:p>
    <w:p w:rsidR="00307D0C" w:rsidRPr="00F14EF5" w:rsidRDefault="00307D0C" w:rsidP="00F74C70">
      <w:pPr>
        <w:pStyle w:val="Heading5"/>
      </w:pPr>
      <w:r w:rsidRPr="00F14EF5">
        <w:t>Efficacy results for OS – cross comparison between studies according to treatment status</w:t>
      </w:r>
    </w:p>
    <w:p w:rsidR="00307D0C" w:rsidRPr="00F14EF5" w:rsidRDefault="00307D0C" w:rsidP="00F14EF5">
      <w:r w:rsidRPr="00F14EF5">
        <w:t xml:space="preserve">OS by treatment status according to study is summarised </w:t>
      </w:r>
      <w:r w:rsidRPr="00CF0E37">
        <w:t xml:space="preserve">in Table </w:t>
      </w:r>
      <w:r w:rsidR="004572B9">
        <w:t>25</w:t>
      </w:r>
      <w:r w:rsidRPr="00CF0E37">
        <w:t xml:space="preserve"> (below</w:t>
      </w:r>
      <w:r w:rsidRPr="00F14EF5">
        <w:t>).</w:t>
      </w:r>
    </w:p>
    <w:p w:rsidR="00F74C70" w:rsidRDefault="00307D0C" w:rsidP="00F74C70">
      <w:pPr>
        <w:pStyle w:val="Heading6"/>
      </w:pPr>
      <w:r w:rsidRPr="00F14EF5">
        <w:t xml:space="preserve">Median </w:t>
      </w:r>
      <w:r w:rsidR="00F74C70">
        <w:t>OS</w:t>
      </w:r>
    </w:p>
    <w:p w:rsidR="00307D0C" w:rsidRPr="00F14EF5" w:rsidRDefault="00307D0C" w:rsidP="00F14EF5">
      <w:r w:rsidRPr="00F14EF5">
        <w:t xml:space="preserve">Within each study, median OS for previously untreated and treated subjects was similar. In the </w:t>
      </w:r>
      <w:r w:rsidR="00F22D76">
        <w:t>Phase II</w:t>
      </w:r>
      <w:r w:rsidRPr="00F14EF5">
        <w:t xml:space="preserve"> studies, median OS for previously treated subjects (9.33 to 11.6 months) was similar previously untreated subjects (10.1 to 16.6 months). These were similar to the median OS in MDX010-20 (10.1 months).</w:t>
      </w:r>
    </w:p>
    <w:p w:rsidR="00F74C70" w:rsidRDefault="009730D1" w:rsidP="00F74C70">
      <w:pPr>
        <w:pStyle w:val="Heading6"/>
      </w:pPr>
      <w:r>
        <w:t>1 year</w:t>
      </w:r>
      <w:r w:rsidR="00F74C70">
        <w:t xml:space="preserve"> survival rate</w:t>
      </w:r>
    </w:p>
    <w:p w:rsidR="00307D0C" w:rsidRPr="00F14EF5" w:rsidRDefault="00307D0C" w:rsidP="00F14EF5">
      <w:r w:rsidRPr="00F14EF5">
        <w:t xml:space="preserve">Within each study, estimated </w:t>
      </w:r>
      <w:r w:rsidR="009730D1">
        <w:t>1 year</w:t>
      </w:r>
      <w:r w:rsidRPr="00F14EF5">
        <w:t xml:space="preserve"> survival rates for previously untreated subjects were similar to previously treated subjects. For the </w:t>
      </w:r>
      <w:r w:rsidR="00F22D76">
        <w:t>Phase II</w:t>
      </w:r>
      <w:r w:rsidRPr="00F14EF5">
        <w:t xml:space="preserve"> studies, the </w:t>
      </w:r>
      <w:r w:rsidR="009730D1">
        <w:t>1 year</w:t>
      </w:r>
      <w:r w:rsidRPr="00F14EF5">
        <w:t xml:space="preserve"> survival rates for previously treated subjects (41% to 50%) were similar to previously untreated subjects (44% to 70%). These were similar to the </w:t>
      </w:r>
      <w:r w:rsidR="009730D1">
        <w:t>1 year</w:t>
      </w:r>
      <w:r w:rsidRPr="00F14EF5">
        <w:t xml:space="preserve"> survival rate in MDX010-20 (46%).</w:t>
      </w:r>
    </w:p>
    <w:p w:rsidR="00F74C70" w:rsidRDefault="00864309" w:rsidP="00F74C70">
      <w:pPr>
        <w:pStyle w:val="Heading6"/>
      </w:pPr>
      <w:r>
        <w:t>2 year</w:t>
      </w:r>
      <w:r w:rsidR="00F74C70">
        <w:t xml:space="preserve"> survival rate</w:t>
      </w:r>
    </w:p>
    <w:p w:rsidR="00307D0C" w:rsidRPr="00F14EF5" w:rsidRDefault="00307D0C" w:rsidP="00F14EF5">
      <w:r w:rsidRPr="00F14EF5">
        <w:t xml:space="preserve">The estimated </w:t>
      </w:r>
      <w:r w:rsidR="00864309">
        <w:t>2 year</w:t>
      </w:r>
      <w:r w:rsidRPr="00F14EF5">
        <w:t xml:space="preserve"> survival rate was 24% in the </w:t>
      </w:r>
      <w:r w:rsidR="00F22D76">
        <w:t>ipilimumab</w:t>
      </w:r>
      <w:r w:rsidRPr="00F14EF5">
        <w:t xml:space="preserve"> monotherapy group (n</w:t>
      </w:r>
      <w:r w:rsidR="00F74C70">
        <w:t xml:space="preserve"> </w:t>
      </w:r>
      <w:r w:rsidRPr="00F14EF5">
        <w:t>=</w:t>
      </w:r>
      <w:r w:rsidR="00F74C70">
        <w:t xml:space="preserve"> </w:t>
      </w:r>
      <w:r w:rsidRPr="00F14EF5">
        <w:t xml:space="preserve">137) in MDX010-20. With some </w:t>
      </w:r>
      <w:r w:rsidR="00F22D76">
        <w:t>Phase II</w:t>
      </w:r>
      <w:r w:rsidRPr="00F14EF5">
        <w:t xml:space="preserve"> studies having only a few subjects still at risk for death beyond 18 months (</w:t>
      </w:r>
      <w:r w:rsidR="00CF24F8">
        <w:t>for example</w:t>
      </w:r>
      <w:r w:rsidRPr="00F14EF5">
        <w:t xml:space="preserve">, MDX010-08), the </w:t>
      </w:r>
      <w:r w:rsidR="00864309">
        <w:t>2 year</w:t>
      </w:r>
      <w:r w:rsidRPr="00F14EF5">
        <w:t xml:space="preserve"> survival estimates for each study alone should be interpreted with caution. In MDX010-08 and CA184004/022, the estimated </w:t>
      </w:r>
      <w:r w:rsidR="00864309">
        <w:t>2 year</w:t>
      </w:r>
      <w:r w:rsidRPr="00F14EF5">
        <w:t xml:space="preserve"> survival rates ranged from 14% to 33% for previously treated subjects and 11% to 40% for previously untreated </w:t>
      </w:r>
      <w:r w:rsidR="00F14EF5">
        <w:t>subjects.</w:t>
      </w:r>
    </w:p>
    <w:p w:rsidR="00307D0C" w:rsidRDefault="00307D0C" w:rsidP="00F14EF5">
      <w:r w:rsidRPr="00F14EF5">
        <w:t xml:space="preserve">Thus data is presented that demonstrates similar OS obtained irrespective of treatment status for patients administered </w:t>
      </w:r>
      <w:r w:rsidR="00F22D76">
        <w:t>ipilimumab</w:t>
      </w:r>
      <w:r w:rsidRPr="00F14EF5">
        <w:t xml:space="preserve"> </w:t>
      </w:r>
      <w:r w:rsidR="00C108F1">
        <w:t>3 mg</w:t>
      </w:r>
      <w:r w:rsidRPr="00F14EF5">
        <w:t>/kg monotherapy. However, cross study comparisons should be interpreted with care, and small relevant</w:t>
      </w:r>
      <w:r w:rsidR="00F14EF5">
        <w:t xml:space="preserve"> study numbers are emphasised.</w:t>
      </w:r>
    </w:p>
    <w:p w:rsidR="00307D0C" w:rsidRPr="00F14EF5" w:rsidRDefault="00307D0C" w:rsidP="00F14EF5">
      <w:pPr>
        <w:pStyle w:val="Tabletitle"/>
      </w:pPr>
      <w:bookmarkStart w:id="196" w:name="_Toc390676304"/>
      <w:r w:rsidRPr="00CF0E37">
        <w:lastRenderedPageBreak/>
        <w:t xml:space="preserve">Table </w:t>
      </w:r>
      <w:r w:rsidR="004572B9">
        <w:t>25</w:t>
      </w:r>
      <w:r w:rsidR="00CF0E37" w:rsidRPr="00CF0E37">
        <w:t>:</w:t>
      </w:r>
      <w:r w:rsidRPr="00F14EF5">
        <w:t xml:space="preserve"> Summary of OS by treatment status according to study using the </w:t>
      </w:r>
      <w:r w:rsidR="00C108F1">
        <w:t>3 mg</w:t>
      </w:r>
      <w:r w:rsidRPr="00F14EF5">
        <w:t>/kg posology</w:t>
      </w:r>
      <w:bookmarkEnd w:id="196"/>
    </w:p>
    <w:p w:rsidR="00307D0C" w:rsidRDefault="00307D0C" w:rsidP="00307D0C">
      <w:pPr>
        <w:autoSpaceDE w:val="0"/>
        <w:autoSpaceDN w:val="0"/>
        <w:adjustRightInd w:val="0"/>
      </w:pPr>
      <w:r>
        <w:rPr>
          <w:noProof/>
          <w:lang w:eastAsia="en-AU"/>
        </w:rPr>
        <w:drawing>
          <wp:inline distT="0" distB="0" distL="0" distR="0" wp14:anchorId="03576F69" wp14:editId="4C59B0B6">
            <wp:extent cx="5994471" cy="3122762"/>
            <wp:effectExtent l="0" t="0" r="0" b="0"/>
            <wp:docPr id="7169" name="Picture 4" descr="Table 25: Summary of OS by treatment status according to study using the 3 mg/kg pos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18264" t="16921" r="7763" b="14568"/>
                    <a:stretch/>
                  </pic:blipFill>
                  <pic:spPr bwMode="auto">
                    <a:xfrm>
                      <a:off x="0" y="0"/>
                      <a:ext cx="5999860" cy="3125570"/>
                    </a:xfrm>
                    <a:prstGeom prst="rect">
                      <a:avLst/>
                    </a:prstGeom>
                    <a:noFill/>
                    <a:ln>
                      <a:noFill/>
                    </a:ln>
                    <a:extLst/>
                  </pic:spPr>
                </pic:pic>
              </a:graphicData>
            </a:graphic>
          </wp:inline>
        </w:drawing>
      </w:r>
    </w:p>
    <w:p w:rsidR="00307D0C" w:rsidRPr="00F14EF5" w:rsidRDefault="00AE152F" w:rsidP="00AE152F">
      <w:pPr>
        <w:pStyle w:val="Comment"/>
        <w:ind w:left="1134" w:hanging="1134"/>
      </w:pPr>
      <w:r>
        <w:rPr>
          <w:b/>
        </w:rPr>
        <w:t>C</w:t>
      </w:r>
      <w:r w:rsidR="006E15A4" w:rsidRPr="00F74C70">
        <w:rPr>
          <w:b/>
        </w:rPr>
        <w:t>omment</w:t>
      </w:r>
      <w:r w:rsidR="00F14EF5" w:rsidRPr="00F74C70">
        <w:rPr>
          <w:b/>
        </w:rPr>
        <w:t>:</w:t>
      </w:r>
      <w:r w:rsidR="00F14EF5" w:rsidRPr="00F14EF5">
        <w:t xml:space="preserve"> </w:t>
      </w:r>
      <w:r w:rsidR="00307D0C" w:rsidRPr="00F14EF5">
        <w:t xml:space="preserve">Cross study comparisons and pooled data across studies provides low quality </w:t>
      </w:r>
      <w:r w:rsidR="00C108F1">
        <w:t>‘</w:t>
      </w:r>
      <w:r w:rsidR="00307D0C" w:rsidRPr="00F14EF5">
        <w:t>evidence</w:t>
      </w:r>
      <w:r w:rsidR="00C108F1">
        <w:t>’</w:t>
      </w:r>
      <w:r w:rsidR="00307D0C" w:rsidRPr="00F14EF5">
        <w:t xml:space="preserve"> compared to a study that directly examines the hypothesis. The table above is presented in lieu of the KM curves to emphasise again the small numbers in relevant groups. The heterogeneous drug therapies and heterogeneous populations investigated in these </w:t>
      </w:r>
      <w:r w:rsidR="00661517">
        <w:t>cross study</w:t>
      </w:r>
      <w:r w:rsidR="00307D0C" w:rsidRPr="00F14EF5">
        <w:t xml:space="preserve"> comparisons are emphasised. There were no studies included that directly assessed the proposed usage.</w:t>
      </w:r>
    </w:p>
    <w:p w:rsidR="00307D0C" w:rsidRPr="00772842" w:rsidRDefault="00307D0C" w:rsidP="00AE152F">
      <w:pPr>
        <w:pStyle w:val="Comment"/>
        <w:ind w:left="1134" w:firstLine="0"/>
      </w:pPr>
      <w:r w:rsidRPr="00F14EF5">
        <w:t xml:space="preserve">The previous query is relevant here; can the </w:t>
      </w:r>
      <w:r w:rsidR="005F5E22">
        <w:t>sponsor</w:t>
      </w:r>
      <w:r w:rsidRPr="00F14EF5">
        <w:t xml:space="preserve"> confirm that the patients investigated within MDX010-08 were previously untreated rather than chemotherapy naive? Thus, can the </w:t>
      </w:r>
      <w:r w:rsidR="005F5E22">
        <w:t>sponsor</w:t>
      </w:r>
      <w:r w:rsidRPr="00F14EF5">
        <w:t xml:space="preserve"> please indicate the total number of patients who have not previously received any prior therapy, who were randomised in the relevant study, and who received </w:t>
      </w:r>
      <w:r w:rsidR="00F22D76">
        <w:t>ipilimumab</w:t>
      </w:r>
      <w:r w:rsidRPr="00F14EF5">
        <w:t xml:space="preserve"> </w:t>
      </w:r>
      <w:r w:rsidR="00C108F1">
        <w:t>3 mg</w:t>
      </w:r>
      <w:r w:rsidRPr="00F14EF5">
        <w:t xml:space="preserve">/kg monotherapy without any maintenance therapy? The efficacy of drug for these patients is relevant for the proposed indication, such that further clarification is requested from the </w:t>
      </w:r>
      <w:r w:rsidR="005F5E22">
        <w:t>sponsor</w:t>
      </w:r>
      <w:r w:rsidRPr="00F14EF5">
        <w:t>, regarding effic</w:t>
      </w:r>
      <w:r w:rsidR="00F74C70">
        <w:t>acy data for this subgroup only</w:t>
      </w:r>
      <w:r w:rsidRPr="00F14EF5">
        <w:t>.</w:t>
      </w:r>
    </w:p>
    <w:p w:rsidR="00307D0C" w:rsidRPr="001B4C5E" w:rsidRDefault="00307D0C" w:rsidP="00526117">
      <w:pPr>
        <w:pStyle w:val="Heading5"/>
      </w:pPr>
      <w:r w:rsidRPr="001B4C5E">
        <w:t xml:space="preserve">Efficacy </w:t>
      </w:r>
      <w:r w:rsidR="001B4C5E">
        <w:t>results for OS – pooled data</w:t>
      </w:r>
    </w:p>
    <w:p w:rsidR="00307D0C" w:rsidRDefault="00307D0C" w:rsidP="00307D0C">
      <w:r w:rsidRPr="001B4C5E">
        <w:t>In an analysis of pooled data among subjects random</w:t>
      </w:r>
      <w:r w:rsidR="00C91631">
        <w:t>is</w:t>
      </w:r>
      <w:r w:rsidRPr="001B4C5E">
        <w:t xml:space="preserve">ed to 3 mg/kg </w:t>
      </w:r>
      <w:r w:rsidR="00F22D76">
        <w:t>ipilimumab</w:t>
      </w:r>
      <w:r w:rsidRPr="001B4C5E">
        <w:t xml:space="preserve"> monotherapy (</w:t>
      </w:r>
      <w:r w:rsidR="00F22D76">
        <w:t>Phase II</w:t>
      </w:r>
      <w:r w:rsidR="00526117">
        <w:t xml:space="preserve"> and III</w:t>
      </w:r>
      <w:r w:rsidRPr="001B4C5E">
        <w:t xml:space="preserve"> studies combined), observed OS (K-M estimates of median survival, survival rates at 1 and 2 years, as well as the K-M curves) was generally similar between previously untreated and previously treated subjects. The median OS in the pooled group is similar to previous (</w:t>
      </w:r>
      <w:r w:rsidRPr="00526117">
        <w:t xml:space="preserve">Table </w:t>
      </w:r>
      <w:r w:rsidR="004572B9">
        <w:t>25</w:t>
      </w:r>
      <w:r w:rsidRPr="00526117">
        <w:t>).</w:t>
      </w:r>
      <w:r w:rsidRPr="001B4C5E">
        <w:t xml:space="preserve"> For previously untreat</w:t>
      </w:r>
      <w:r w:rsidR="00526117">
        <w:t>ed pooled patients OS was 8.77 to 15.5 months versus 8.34 to</w:t>
      </w:r>
      <w:r w:rsidRPr="001B4C5E">
        <w:t xml:space="preserve"> 12.1 months for previously treated patients. The </w:t>
      </w:r>
      <w:r w:rsidR="009730D1">
        <w:t>1 year</w:t>
      </w:r>
      <w:r w:rsidRPr="001B4C5E">
        <w:t xml:space="preserve"> survival rate estimates were 52% for previously untreated subjects and 44% for previously treated subjects. The </w:t>
      </w:r>
      <w:r w:rsidR="00864309">
        <w:t>2 year</w:t>
      </w:r>
      <w:r w:rsidRPr="001B4C5E">
        <w:t xml:space="preserve"> survival rate was 24% for previously untreated subjects and 25% for previously treated subjects. Among the 35 previously untreated subjects, 8 remained at risk for death at 2 years (6</w:t>
      </w:r>
      <w:r w:rsidR="005853BB">
        <w:t xml:space="preserve"> out of </w:t>
      </w:r>
      <w:r w:rsidRPr="001B4C5E">
        <w:t>15 from CA184004/022 and 2</w:t>
      </w:r>
      <w:r w:rsidR="005853BB">
        <w:t xml:space="preserve"> out of </w:t>
      </w:r>
      <w:r w:rsidRPr="001B4C5E">
        <w:t>20 from MDX010-08).</w:t>
      </w:r>
    </w:p>
    <w:p w:rsidR="00307D0C" w:rsidRPr="001B4C5E" w:rsidRDefault="00A50584" w:rsidP="00A20998">
      <w:pPr>
        <w:pStyle w:val="Comment"/>
        <w:tabs>
          <w:tab w:val="left" w:pos="5103"/>
        </w:tabs>
        <w:ind w:left="1134" w:hanging="1134"/>
      </w:pPr>
      <w:r>
        <w:rPr>
          <w:b/>
        </w:rPr>
        <w:t>C</w:t>
      </w:r>
      <w:r w:rsidR="006E15A4" w:rsidRPr="00526117">
        <w:rPr>
          <w:b/>
        </w:rPr>
        <w:t>omment</w:t>
      </w:r>
      <w:r w:rsidR="001B4C5E" w:rsidRPr="00A50584">
        <w:rPr>
          <w:b/>
        </w:rPr>
        <w:t>:</w:t>
      </w:r>
      <w:r w:rsidR="001B4C5E" w:rsidRPr="001B4C5E">
        <w:t xml:space="preserve"> </w:t>
      </w:r>
      <w:r w:rsidR="00307D0C" w:rsidRPr="001B4C5E">
        <w:t xml:space="preserve">These results provide uncertain supportive value given that compared to the subgroup analysis of individual studies, only a small numerical increase in subject numbers is gained by pooling numbers from the previously untreated population </w:t>
      </w:r>
      <w:r w:rsidR="00307D0C" w:rsidRPr="001B4C5E">
        <w:lastRenderedPageBreak/>
        <w:t>(20 + 15 patients). The significance of the pooled efficacy data should be interpreted with caution.</w:t>
      </w:r>
    </w:p>
    <w:p w:rsidR="00307D0C" w:rsidRPr="001B4C5E" w:rsidRDefault="00307D0C" w:rsidP="00526117">
      <w:pPr>
        <w:pStyle w:val="Heading5"/>
      </w:pPr>
      <w:r w:rsidRPr="001B4C5E">
        <w:t>Subgroup anal</w:t>
      </w:r>
      <w:r w:rsidR="001B4C5E">
        <w:t>yses for survival within MDX020</w:t>
      </w:r>
    </w:p>
    <w:p w:rsidR="00307D0C" w:rsidRDefault="00307D0C" w:rsidP="00307D0C">
      <w:r w:rsidRPr="001B4C5E">
        <w:t xml:space="preserve">The sponsor writes that OS benefit was observed regardless of the number of or type of prior anti-cancer systemic treatment. OS benefit was observed for subjects without respect to pre-treatment with DTIC, prior immunotherapy or number of previous lines of therapy (1 </w:t>
      </w:r>
      <w:r w:rsidR="00046414">
        <w:t>versus</w:t>
      </w:r>
      <w:r w:rsidR="00526117">
        <w:t xml:space="preserve"> or </w:t>
      </w:r>
      <w:r w:rsidR="00A413D2">
        <w:t>≥</w:t>
      </w:r>
      <w:r w:rsidRPr="001B4C5E">
        <w:t xml:space="preserve"> lines). The treatment effect in favour of the 3 mg/kg </w:t>
      </w:r>
      <w:r w:rsidR="00F22D76">
        <w:t>ipilimumab</w:t>
      </w:r>
      <w:r w:rsidRPr="001B4C5E">
        <w:t xml:space="preserve"> group was observed across all prior therapy subgroups: in all cases, the 95% CI of HR estimates in all subgroups included the HR estimate for the overall (intent-to-treat </w:t>
      </w:r>
      <w:r w:rsidR="00BE4457">
        <w:t>(</w:t>
      </w:r>
      <w:r w:rsidRPr="001B4C5E">
        <w:t>ITT</w:t>
      </w:r>
      <w:r w:rsidR="00BE4457">
        <w:t>)</w:t>
      </w:r>
      <w:r w:rsidRPr="001B4C5E">
        <w:t>) population (HR = 0.66; 95</w:t>
      </w:r>
      <w:r w:rsidR="00526117">
        <w:t>% CI: 0.51 to</w:t>
      </w:r>
      <w:r w:rsidRPr="001B4C5E">
        <w:t xml:space="preserve"> 0.87). These results demonstrate that the performance of </w:t>
      </w:r>
      <w:r w:rsidR="00F22D76">
        <w:t>ipilimumab</w:t>
      </w:r>
      <w:r w:rsidRPr="001B4C5E">
        <w:t xml:space="preserve"> within these subgroups is favourable. Similar results were observed favouring in the </w:t>
      </w:r>
      <w:r w:rsidR="00F22D76">
        <w:t>ipilimumab</w:t>
      </w:r>
      <w:r w:rsidRPr="001B4C5E">
        <w:t xml:space="preserve"> 3 mg/kg + gp100 group </w:t>
      </w:r>
      <w:r w:rsidR="00046414">
        <w:t>versus</w:t>
      </w:r>
      <w:r w:rsidRPr="001B4C5E">
        <w:t xml:space="preserve"> the control group, where the 95% CI of HR estimates in all subgroups included the HR estimate for the overall (ITT) popul</w:t>
      </w:r>
      <w:r w:rsidR="00545648">
        <w:t>ation (HR = 0.68; 95% CI: 0.55 to</w:t>
      </w:r>
      <w:r w:rsidRPr="001B4C5E">
        <w:t xml:space="preserve"> 0.85)</w:t>
      </w:r>
      <w:r w:rsidR="001B4C5E">
        <w:t>.</w:t>
      </w:r>
    </w:p>
    <w:p w:rsidR="00307D0C" w:rsidRPr="001B4C5E" w:rsidRDefault="00307D0C" w:rsidP="001B4C5E">
      <w:r w:rsidRPr="001B4C5E">
        <w:t xml:space="preserve">This data can also be considered supportive for the use of </w:t>
      </w:r>
      <w:r w:rsidR="00F22D76">
        <w:t>ipilimumab</w:t>
      </w:r>
      <w:r w:rsidR="001B4C5E">
        <w:t xml:space="preserve"> in the second line setting.</w:t>
      </w:r>
    </w:p>
    <w:p w:rsidR="00307D0C" w:rsidRPr="001B4C5E" w:rsidRDefault="00307D0C" w:rsidP="001B4C5E">
      <w:r w:rsidRPr="001B4C5E">
        <w:t>In MDX010-20, note that pre-treated patients were enrolled. Numbers within the subgroup analyses comparing the HR for death between treatment arms according to previous exposure to systemic therapy were small, particularly with reference to those without exposure to a defined therapy. Taken from the clinical overview, the largest subgroup comparison was between 105 patients versus 103 patients who had no previous exposure</w:t>
      </w:r>
      <w:r w:rsidR="00545648">
        <w:t xml:space="preserve"> to IL</w:t>
      </w:r>
      <w:r w:rsidR="00545648">
        <w:noBreakHyphen/>
      </w:r>
      <w:r w:rsidRPr="001B4C5E">
        <w:t xml:space="preserve">2. The smallest subgroup comparison was according </w:t>
      </w:r>
      <w:r w:rsidR="00C108F1">
        <w:t>‘</w:t>
      </w:r>
      <w:r w:rsidRPr="001B4C5E">
        <w:t>no prior use of chemotherapy status</w:t>
      </w:r>
      <w:r w:rsidR="00C108F1">
        <w:t>’</w:t>
      </w:r>
      <w:r w:rsidRPr="001B4C5E">
        <w:t xml:space="preserve"> which compared 13 patients versus 9 patients according to treatment arm, of which the confidence intervals included 1. The figure from which the co</w:t>
      </w:r>
      <w:r w:rsidR="00545648">
        <w:t xml:space="preserve">nclusions above are derived is reproduced </w:t>
      </w:r>
      <w:r w:rsidR="00545648" w:rsidRPr="00545648">
        <w:t xml:space="preserve">in </w:t>
      </w:r>
      <w:r w:rsidRPr="00F047E2">
        <w:t xml:space="preserve">Figure </w:t>
      </w:r>
      <w:r w:rsidR="00545648" w:rsidRPr="00F047E2">
        <w:t>5</w:t>
      </w:r>
      <w:r w:rsidRPr="00F047E2">
        <w:t>.</w:t>
      </w:r>
    </w:p>
    <w:p w:rsidR="00307D0C" w:rsidRDefault="00307D0C" w:rsidP="00307D0C">
      <w:r w:rsidRPr="001B4C5E">
        <w:t>The subgroup analysis according to previous treatment status for this study did not appear to be a pre-specified endpoint. The study is underpowered for the subgroup analyses. Furthermore, the study also included a maintenance arm. Thus, the observations of this subgroup analysis require confirmation in a prospective randomised controlled trial and should be interpreted with caution.</w:t>
      </w:r>
    </w:p>
    <w:p w:rsidR="00545648" w:rsidRDefault="00A20998" w:rsidP="00545648">
      <w:pPr>
        <w:pStyle w:val="FigureTitle"/>
        <w:keepNext/>
      </w:pPr>
      <w:r>
        <w:lastRenderedPageBreak/>
        <w:t>Figure 5:</w:t>
      </w:r>
      <w:r w:rsidR="00545648">
        <w:t xml:space="preserve"> </w:t>
      </w:r>
      <w:r w:rsidR="00545648" w:rsidRPr="00545648">
        <w:t xml:space="preserve">Forest </w:t>
      </w:r>
      <w:r>
        <w:t>p</w:t>
      </w:r>
      <w:r w:rsidR="00545648" w:rsidRPr="00545648">
        <w:t>lot of OS by prior therapy subgroup analysis of MDX010-20 accor</w:t>
      </w:r>
      <w:r w:rsidR="00F047E2">
        <w:t>ding to i</w:t>
      </w:r>
      <w:r>
        <w:t>pilimumab versus gp100</w:t>
      </w:r>
    </w:p>
    <w:p w:rsidR="00545648" w:rsidRDefault="00545648" w:rsidP="001344EA">
      <w:r w:rsidRPr="001344EA">
        <w:rPr>
          <w:noProof/>
          <w:lang w:eastAsia="en-AU"/>
        </w:rPr>
        <w:drawing>
          <wp:inline distT="0" distB="0" distL="0" distR="0" wp14:anchorId="27DD1E58" wp14:editId="68E1E2D8">
            <wp:extent cx="5431813" cy="3781958"/>
            <wp:effectExtent l="0" t="0" r="0" b="0"/>
            <wp:docPr id="8" name="Picture 8" descr="Figure 5: Forest plot of OS by prior therapy subgroup analysis of MDX010-20 according to ipilimumab versus g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37046" cy="3785602"/>
                    </a:xfrm>
                    <a:prstGeom prst="rect">
                      <a:avLst/>
                    </a:prstGeom>
                  </pic:spPr>
                </pic:pic>
              </a:graphicData>
            </a:graphic>
          </wp:inline>
        </w:drawing>
      </w:r>
    </w:p>
    <w:p w:rsidR="001B4C5E" w:rsidRPr="001B4C5E" w:rsidRDefault="00307D0C" w:rsidP="001B4C5E">
      <w:pPr>
        <w:pStyle w:val="Heading6"/>
      </w:pPr>
      <w:r w:rsidRPr="001B4C5E">
        <w:t>OS according to previous chemotherapy exposure status</w:t>
      </w:r>
    </w:p>
    <w:p w:rsidR="00307D0C" w:rsidRDefault="00FD5C8C" w:rsidP="001B4C5E">
      <w:r w:rsidRPr="00FD5C8C">
        <w:t xml:space="preserve">OS according to previous chemotherapy exposure status </w:t>
      </w:r>
      <w:r>
        <w:t>w</w:t>
      </w:r>
      <w:r w:rsidR="00307D0C" w:rsidRPr="001B4C5E">
        <w:t xml:space="preserve">as also investigated across studies and as a pooled analysis. Results </w:t>
      </w:r>
      <w:r w:rsidR="00545648">
        <w:t>were provided and</w:t>
      </w:r>
      <w:r w:rsidR="00307D0C" w:rsidRPr="001B4C5E">
        <w:t xml:space="preserve"> given the context of the current application for use in the previously untreated population</w:t>
      </w:r>
      <w:r w:rsidR="00545648">
        <w:t xml:space="preserve"> are not reproduced in this section.</w:t>
      </w:r>
    </w:p>
    <w:p w:rsidR="00307D0C" w:rsidRPr="001B4C5E" w:rsidRDefault="00307D0C" w:rsidP="001B4C5E">
      <w:pPr>
        <w:pStyle w:val="Heading6"/>
      </w:pPr>
      <w:r w:rsidRPr="001B4C5E">
        <w:t>Summary of Clinical efficacy conclusions for the pooled analysis</w:t>
      </w:r>
    </w:p>
    <w:p w:rsidR="00307D0C" w:rsidRPr="001B4C5E" w:rsidRDefault="00307D0C" w:rsidP="001B4C5E">
      <w:r w:rsidRPr="001B4C5E">
        <w:t>The report presented pooled OS analyses conducted for 728 subjects over four studies (CA184004,</w:t>
      </w:r>
      <w:r w:rsidR="00545648" w:rsidRPr="00545648">
        <w:t xml:space="preserve"> CA184</w:t>
      </w:r>
      <w:r w:rsidRPr="001B4C5E">
        <w:t>022, MDX010-20,</w:t>
      </w:r>
      <w:r w:rsidR="00545648" w:rsidRPr="00545648">
        <w:t xml:space="preserve"> MDX010</w:t>
      </w:r>
      <w:r w:rsidRPr="001B4C5E">
        <w:t>-08) in ad</w:t>
      </w:r>
      <w:r w:rsidR="00545648">
        <w:t>vanced melanoma randomised to 3 </w:t>
      </w:r>
      <w:r w:rsidRPr="001B4C5E">
        <w:t xml:space="preserve">mg/kg </w:t>
      </w:r>
      <w:r w:rsidR="00F22D76">
        <w:t>ipilimumab</w:t>
      </w:r>
      <w:r w:rsidRPr="001B4C5E">
        <w:t xml:space="preserve"> (alone or in combination with another agent), which included;</w:t>
      </w:r>
    </w:p>
    <w:p w:rsidR="00307D0C" w:rsidRPr="001B4C5E" w:rsidRDefault="00307D0C" w:rsidP="001B4C5E">
      <w:pPr>
        <w:pStyle w:val="ListBullet"/>
      </w:pPr>
      <w:r w:rsidRPr="001B4C5E">
        <w:t>35</w:t>
      </w:r>
      <w:r w:rsidR="005853BB">
        <w:t xml:space="preserve"> out of </w:t>
      </w:r>
      <w:r w:rsidRPr="001B4C5E">
        <w:t>57 pre</w:t>
      </w:r>
      <w:r w:rsidR="00545648">
        <w:t>viously untreated patients, and</w:t>
      </w:r>
    </w:p>
    <w:p w:rsidR="00307D0C" w:rsidRPr="001B4C5E" w:rsidRDefault="00307D0C" w:rsidP="001B4C5E">
      <w:pPr>
        <w:pStyle w:val="ListBullet"/>
      </w:pPr>
      <w:r w:rsidRPr="001B4C5E">
        <w:t>254</w:t>
      </w:r>
      <w:r w:rsidR="005853BB">
        <w:t xml:space="preserve"> out of </w:t>
      </w:r>
      <w:r w:rsidRPr="001B4C5E">
        <w:t xml:space="preserve">671 previously treated patients who received </w:t>
      </w:r>
      <w:r w:rsidR="00F22D76">
        <w:t>ipilimumab</w:t>
      </w:r>
      <w:r w:rsidRPr="001B4C5E">
        <w:t xml:space="preserve"> monotherapy.</w:t>
      </w:r>
    </w:p>
    <w:p w:rsidR="00307D0C" w:rsidRDefault="00307D0C" w:rsidP="001B4C5E">
      <w:r w:rsidRPr="001B4C5E">
        <w:t xml:space="preserve">The analysis showed numerically similar OS rates between previously treated and previously untreated subjects, within and across studies. These data suggest that the clinical benefit in previously untreated subjects is of similar numerical magnitude and durability to that observed in previously treated subjects. These comparisons are summarised in </w:t>
      </w:r>
      <w:r w:rsidRPr="00CF0E37">
        <w:t xml:space="preserve">Table </w:t>
      </w:r>
      <w:r w:rsidR="004572B9">
        <w:t>26</w:t>
      </w:r>
      <w:r w:rsidRPr="00545648">
        <w:t xml:space="preserve"> below</w:t>
      </w:r>
      <w:r w:rsidR="001B4C5E">
        <w:t>.</w:t>
      </w:r>
    </w:p>
    <w:p w:rsidR="00307D0C" w:rsidRPr="001B4C5E" w:rsidRDefault="00307D0C" w:rsidP="001B4C5E">
      <w:pPr>
        <w:pStyle w:val="Tabletitle"/>
      </w:pPr>
      <w:bookmarkStart w:id="197" w:name="_Toc390676305"/>
      <w:r w:rsidRPr="00CF0E37">
        <w:lastRenderedPageBreak/>
        <w:t xml:space="preserve">Table </w:t>
      </w:r>
      <w:r w:rsidR="004572B9">
        <w:t>26</w:t>
      </w:r>
      <w:r w:rsidR="00CF0E37" w:rsidRPr="00CF0E37">
        <w:t>:</w:t>
      </w:r>
      <w:r w:rsidRPr="001B4C5E">
        <w:t xml:space="preserve"> Comparison of survival results for previously untreated patients across studies</w:t>
      </w:r>
      <w:bookmarkEnd w:id="197"/>
    </w:p>
    <w:p w:rsidR="00307D0C" w:rsidRDefault="001B4C5E" w:rsidP="00307D0C">
      <w:pPr>
        <w:autoSpaceDE w:val="0"/>
        <w:autoSpaceDN w:val="0"/>
        <w:adjustRightInd w:val="0"/>
      </w:pPr>
      <w:r>
        <w:rPr>
          <w:noProof/>
          <w:lang w:eastAsia="en-AU"/>
        </w:rPr>
        <w:drawing>
          <wp:inline distT="0" distB="0" distL="0" distR="0" wp14:anchorId="3CC8603F" wp14:editId="6E211A50">
            <wp:extent cx="4876800" cy="3185160"/>
            <wp:effectExtent l="0" t="0" r="0" b="0"/>
            <wp:docPr id="18" name="Picture 18" descr="Table 27: Comparison of survival results for previously untreated patient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76800" cy="3185160"/>
                    </a:xfrm>
                    <a:prstGeom prst="rect">
                      <a:avLst/>
                    </a:prstGeom>
                  </pic:spPr>
                </pic:pic>
              </a:graphicData>
            </a:graphic>
          </wp:inline>
        </w:drawing>
      </w:r>
    </w:p>
    <w:p w:rsidR="00307D0C" w:rsidRDefault="00A20998" w:rsidP="00A20998">
      <w:pPr>
        <w:pStyle w:val="Comment"/>
        <w:ind w:left="1134" w:hanging="1134"/>
      </w:pPr>
      <w:r>
        <w:rPr>
          <w:b/>
        </w:rPr>
        <w:t>C</w:t>
      </w:r>
      <w:r w:rsidR="006E15A4" w:rsidRPr="008A0369">
        <w:rPr>
          <w:b/>
        </w:rPr>
        <w:t>omment</w:t>
      </w:r>
      <w:r w:rsidR="00B33310" w:rsidRPr="00A20998">
        <w:rPr>
          <w:b/>
        </w:rPr>
        <w:t xml:space="preserve">: </w:t>
      </w:r>
      <w:r w:rsidR="00307D0C" w:rsidRPr="00B33310">
        <w:t xml:space="preserve">The previous query is relevant here; can the </w:t>
      </w:r>
      <w:r w:rsidR="005F5E22">
        <w:t>sponsor</w:t>
      </w:r>
      <w:r w:rsidR="00307D0C" w:rsidRPr="00B33310">
        <w:t xml:space="preserve"> confirm that the patients investigated within MDX010-08 were previously untreated rather than chemotherapy naive? Thus, can the </w:t>
      </w:r>
      <w:r w:rsidR="005F5E22">
        <w:t>sponsor</w:t>
      </w:r>
      <w:r w:rsidR="00307D0C" w:rsidRPr="00B33310">
        <w:t xml:space="preserve"> please indicate the total number of patients who have not previously received any prior therapy, who were randomised in the relevant study, and who received </w:t>
      </w:r>
      <w:r w:rsidR="00F22D76">
        <w:t>ipilimumab</w:t>
      </w:r>
      <w:r w:rsidR="00307D0C" w:rsidRPr="00B33310">
        <w:t xml:space="preserve"> </w:t>
      </w:r>
      <w:r w:rsidR="00C108F1">
        <w:t>3 mg</w:t>
      </w:r>
      <w:r w:rsidR="00307D0C" w:rsidRPr="00B33310">
        <w:t xml:space="preserve">/kg monotherapy without any maintenance therapy? The efficacy of the drug for these patients is relevant for the proposed indication, such that further clarification is requested from the </w:t>
      </w:r>
      <w:r w:rsidR="005F5E22">
        <w:t>sponsor</w:t>
      </w:r>
      <w:r w:rsidR="00307D0C" w:rsidRPr="00B33310">
        <w:t>, regarding effica</w:t>
      </w:r>
      <w:r w:rsidR="008A0369">
        <w:t>cy data for this subgroup only.</w:t>
      </w:r>
    </w:p>
    <w:p w:rsidR="00307D0C" w:rsidRPr="00B33310" w:rsidRDefault="00307D0C" w:rsidP="008A0369">
      <w:pPr>
        <w:pStyle w:val="Heading4"/>
      </w:pPr>
      <w:bookmarkStart w:id="198" w:name="_Toc390676218"/>
      <w:r w:rsidRPr="00B33310">
        <w:t xml:space="preserve">Pooled OS analyses </w:t>
      </w:r>
      <w:r w:rsidR="00A20998" w:rsidRPr="00B33310">
        <w:t>from clinical overview</w:t>
      </w:r>
      <w:bookmarkEnd w:id="198"/>
    </w:p>
    <w:p w:rsidR="00307D0C" w:rsidRPr="008A0369" w:rsidRDefault="00307D0C" w:rsidP="008A0369">
      <w:r w:rsidRPr="008A0369">
        <w:t xml:space="preserve">A similar pooled OS analysis was performed for all studies using </w:t>
      </w:r>
      <w:r w:rsidR="00C108F1" w:rsidRPr="008A0369">
        <w:t>3 mg</w:t>
      </w:r>
      <w:r w:rsidRPr="008A0369">
        <w:t xml:space="preserve">/kg dosing of </w:t>
      </w:r>
      <w:r w:rsidR="00F22D76" w:rsidRPr="008A0369">
        <w:t>ipilimumab</w:t>
      </w:r>
      <w:r w:rsidRPr="008A0369">
        <w:t xml:space="preserve"> according to pre-treatment status. These include the observational studies, and studies previously discussed above (CA184004, CA184022, MDX010-20, MDX010-08) from which the pooled previously untreated (n</w:t>
      </w:r>
      <w:r w:rsidR="008A0369" w:rsidRPr="008A0369">
        <w:t xml:space="preserve"> </w:t>
      </w:r>
      <w:r w:rsidRPr="008A0369">
        <w:t>=</w:t>
      </w:r>
      <w:r w:rsidR="008A0369" w:rsidRPr="008A0369">
        <w:t xml:space="preserve"> </w:t>
      </w:r>
      <w:r w:rsidRPr="008A0369">
        <w:t>35) and chemotherapy naïve (n</w:t>
      </w:r>
      <w:r w:rsidR="008A0369" w:rsidRPr="008A0369">
        <w:t xml:space="preserve"> </w:t>
      </w:r>
      <w:r w:rsidRPr="008A0369">
        <w:t>=</w:t>
      </w:r>
      <w:r w:rsidR="008A0369" w:rsidRPr="008A0369">
        <w:t xml:space="preserve"> </w:t>
      </w:r>
      <w:r w:rsidRPr="008A0369">
        <w:t>78) data are derived</w:t>
      </w:r>
      <w:r w:rsidR="005F5E22" w:rsidRPr="008A0369">
        <w:t xml:space="preserve">. </w:t>
      </w:r>
      <w:r w:rsidRPr="008A0369">
        <w:t>O</w:t>
      </w:r>
      <w:r w:rsidR="008A0369" w:rsidRPr="008A0369">
        <w:t>verall survival</w:t>
      </w:r>
      <w:r w:rsidRPr="008A0369">
        <w:t xml:space="preserve"> rates were compared to rates from </w:t>
      </w:r>
      <w:r w:rsidR="00C108F1" w:rsidRPr="008A0369">
        <w:t>‘</w:t>
      </w:r>
      <w:r w:rsidRPr="008A0369">
        <w:t>standard arms</w:t>
      </w:r>
      <w:r w:rsidR="00C108F1" w:rsidRPr="008A0369">
        <w:t>’</w:t>
      </w:r>
      <w:r w:rsidRPr="008A0369">
        <w:t xml:space="preserve"> from patients treated with DTIC monotherapy on CA184024 and </w:t>
      </w:r>
      <w:r w:rsidR="00F22D76" w:rsidRPr="008A0369">
        <w:t>ipilimumab</w:t>
      </w:r>
      <w:r w:rsidRPr="008A0369">
        <w:t xml:space="preserve"> </w:t>
      </w:r>
      <w:r w:rsidR="00C108F1" w:rsidRPr="008A0369">
        <w:t>3 mg</w:t>
      </w:r>
      <w:r w:rsidRPr="008A0369">
        <w:t>/kg monotherapy arm from MDX010-20.</w:t>
      </w:r>
    </w:p>
    <w:p w:rsidR="00307D0C" w:rsidRPr="008A0369" w:rsidRDefault="00307D0C" w:rsidP="008A0369">
      <w:r w:rsidRPr="008A0369">
        <w:t>Note should be made that the studies included within this pooled analysis are heterogeneous. Pooled data and cross study comparisons should be interpreted with consideration of the differing study designs, the different treatment schedules, and the heterogen</w:t>
      </w:r>
      <w:r w:rsidR="00B33310" w:rsidRPr="008A0369">
        <w:t>eous populations investigated.</w:t>
      </w:r>
    </w:p>
    <w:p w:rsidR="00307D0C" w:rsidRDefault="00307D0C" w:rsidP="00307D0C">
      <w:r w:rsidRPr="00B33310">
        <w:t xml:space="preserve">As per the previous subsection, the queries regarding the relevant population also apply to this analysis; can the </w:t>
      </w:r>
      <w:r w:rsidR="005F5E22">
        <w:t>sponsor</w:t>
      </w:r>
      <w:r w:rsidRPr="00B33310">
        <w:t xml:space="preserve"> confirm that the patients investigated within MDX010-08 were previously untreated rather than chemotherapy </w:t>
      </w:r>
      <w:r w:rsidRPr="00B95A18">
        <w:t xml:space="preserve">naive? Table </w:t>
      </w:r>
      <w:r w:rsidR="004572B9">
        <w:t>23</w:t>
      </w:r>
      <w:r w:rsidRPr="00B95A18">
        <w:t xml:space="preserve"> and</w:t>
      </w:r>
      <w:r w:rsidRPr="00B33310">
        <w:t xml:space="preserve"> the </w:t>
      </w:r>
      <w:r w:rsidR="005F5E22">
        <w:t>sponsor</w:t>
      </w:r>
      <w:r w:rsidRPr="00B33310">
        <w:t>’s text indicate that patients from this study were previously treated</w:t>
      </w:r>
      <w:r w:rsidR="005F5E22">
        <w:t xml:space="preserve">. </w:t>
      </w:r>
      <w:r w:rsidRPr="00B33310">
        <w:t xml:space="preserve">Thus, the </w:t>
      </w:r>
      <w:r w:rsidR="005F5E22">
        <w:t>sponsor</w:t>
      </w:r>
      <w:r w:rsidRPr="00B33310">
        <w:t xml:space="preserve"> is requested to clarify the total number of patients who have not previously received any prior therapy, who were randomised in the relevant study, and who received </w:t>
      </w:r>
      <w:r w:rsidR="00F22D76">
        <w:t>ipilimumab</w:t>
      </w:r>
      <w:r w:rsidRPr="00B33310">
        <w:t xml:space="preserve"> </w:t>
      </w:r>
      <w:r w:rsidR="00C108F1">
        <w:t>3 mg</w:t>
      </w:r>
      <w:r w:rsidRPr="00B33310">
        <w:t xml:space="preserve">/kg monotherapy without any maintenance therapy. The efficacy of the drug for this subgroup of patients is relevant for the proposed indication, such that further clarification is requested from the </w:t>
      </w:r>
      <w:r w:rsidR="005F5E22">
        <w:t>sponsor</w:t>
      </w:r>
      <w:r w:rsidRPr="00B33310">
        <w:t xml:space="preserve"> regarding effica</w:t>
      </w:r>
      <w:r w:rsidR="00B36D80">
        <w:t>cy data for this subgroup only.</w:t>
      </w:r>
    </w:p>
    <w:p w:rsidR="00307D0C" w:rsidRPr="00B33310" w:rsidRDefault="00307D0C" w:rsidP="00B33310">
      <w:r w:rsidRPr="00B33310">
        <w:lastRenderedPageBreak/>
        <w:t xml:space="preserve">Details for CA184004, CA184022, MDX010-20, and MDX010-08 have been previously described </w:t>
      </w:r>
      <w:r w:rsidRPr="00B95A18">
        <w:t xml:space="preserve">(see Table </w:t>
      </w:r>
      <w:r w:rsidR="004572B9">
        <w:t>23</w:t>
      </w:r>
      <w:r w:rsidRPr="00B95A18">
        <w:t xml:space="preserve">). Baseline characteristics between populations from the observational </w:t>
      </w:r>
      <w:r w:rsidR="007F1683" w:rsidRPr="00B95A18">
        <w:t>Studies</w:t>
      </w:r>
      <w:r w:rsidRPr="00B95A18">
        <w:t>, CA184024, and pooled</w:t>
      </w:r>
      <w:r w:rsidRPr="00B33310">
        <w:t xml:space="preserve"> chemotherapy naive patients were reported to be similar. The </w:t>
      </w:r>
      <w:r w:rsidR="005F5E22">
        <w:t>sponsor</w:t>
      </w:r>
      <w:r w:rsidRPr="00B33310">
        <w:t xml:space="preserve"> uses these similarities between populations as bridging data in support of the current application</w:t>
      </w:r>
      <w:r w:rsidR="00B33310">
        <w:t>.</w:t>
      </w:r>
    </w:p>
    <w:p w:rsidR="00307D0C" w:rsidRDefault="00307D0C" w:rsidP="00B33310">
      <w:r w:rsidRPr="00B95A18">
        <w:t xml:space="preserve">Table </w:t>
      </w:r>
      <w:r w:rsidR="004572B9">
        <w:t>27</w:t>
      </w:r>
      <w:r w:rsidR="00B36D80" w:rsidRPr="00B95A18">
        <w:t>.</w:t>
      </w:r>
      <w:r w:rsidRPr="00B95A18">
        <w:t>summarises</w:t>
      </w:r>
      <w:r w:rsidRPr="00B33310">
        <w:t xml:space="preserve"> the OS rates between each of the studies for this pooled analyses.</w:t>
      </w:r>
    </w:p>
    <w:p w:rsidR="00B36D80" w:rsidRDefault="004572B9" w:rsidP="00B36D80">
      <w:pPr>
        <w:pStyle w:val="Tabletitle"/>
      </w:pPr>
      <w:r>
        <w:t>Table 27</w:t>
      </w:r>
      <w:r w:rsidR="00B95A18" w:rsidRPr="00B95A18">
        <w:t>:</w:t>
      </w:r>
      <w:r w:rsidR="00B36D80" w:rsidRPr="00B95A18">
        <w:t xml:space="preserve"> OS for subjects</w:t>
      </w:r>
      <w:r w:rsidR="00B36D80" w:rsidRPr="00B36D80">
        <w:t xml:space="preserve"> treated with 3mg/kg </w:t>
      </w:r>
      <w:r w:rsidR="00A60A6A">
        <w:t>ipilimumab</w:t>
      </w:r>
      <w:r w:rsidR="00B36D80" w:rsidRPr="00B36D80">
        <w:t xml:space="preserve"> accordin</w:t>
      </w:r>
      <w:r w:rsidR="00B95A18">
        <w:t>g to treatment status and study</w:t>
      </w:r>
    </w:p>
    <w:p w:rsidR="00B36D80" w:rsidRPr="00B33310" w:rsidRDefault="00B36D80" w:rsidP="00B33310">
      <w:r>
        <w:rPr>
          <w:noProof/>
          <w:lang w:eastAsia="en-AU"/>
        </w:rPr>
        <w:drawing>
          <wp:inline distT="0" distB="0" distL="0" distR="0" wp14:anchorId="06FB6F91" wp14:editId="76F3D4EE">
            <wp:extent cx="5449824" cy="3742095"/>
            <wp:effectExtent l="0" t="0" r="0" b="0"/>
            <wp:docPr id="10" name="Picture 10" descr="Table 27: OS for subjects treated with 3mg/kg ipilimumab according to treatment status an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49737" cy="3742035"/>
                    </a:xfrm>
                    <a:prstGeom prst="rect">
                      <a:avLst/>
                    </a:prstGeom>
                  </pic:spPr>
                </pic:pic>
              </a:graphicData>
            </a:graphic>
          </wp:inline>
        </w:drawing>
      </w:r>
    </w:p>
    <w:p w:rsidR="00307D0C" w:rsidRPr="00B33310" w:rsidRDefault="00307D0C" w:rsidP="00B33310">
      <w:r w:rsidRPr="00B33310">
        <w:t xml:space="preserve">The estimated </w:t>
      </w:r>
      <w:r w:rsidR="009730D1">
        <w:t>1 year</w:t>
      </w:r>
      <w:r w:rsidRPr="00B33310">
        <w:t xml:space="preserve"> OS for previously untreated patients who received 3 mg/kg </w:t>
      </w:r>
      <w:r w:rsidR="00F22D76">
        <w:t>ipilimumab</w:t>
      </w:r>
      <w:r w:rsidRPr="00B33310">
        <w:t xml:space="preserve"> monotherapy in </w:t>
      </w:r>
      <w:r w:rsidR="007F1683">
        <w:t>Studies</w:t>
      </w:r>
      <w:r w:rsidRPr="00B33310">
        <w:t xml:space="preserve"> CA184338, CA184332, or the pooled </w:t>
      </w:r>
      <w:r w:rsidR="00F22D76">
        <w:t>Phase II</w:t>
      </w:r>
      <w:r w:rsidRPr="00B33310">
        <w:t xml:space="preserve"> trials ranged from 4</w:t>
      </w:r>
      <w:r w:rsidR="002A40A6">
        <w:t xml:space="preserve">9.3% to 59.5%; the chemotherapy </w:t>
      </w:r>
      <w:r w:rsidRPr="00B33310">
        <w:t xml:space="preserve">naive </w:t>
      </w:r>
      <w:r w:rsidR="009730D1">
        <w:t>1 year</w:t>
      </w:r>
      <w:r w:rsidRPr="00B33310">
        <w:t xml:space="preserve"> OS rate was 54.1%. In all of these datasets, the estimated </w:t>
      </w:r>
      <w:r w:rsidR="009730D1">
        <w:t>1 year</w:t>
      </w:r>
      <w:r w:rsidRPr="00B33310">
        <w:t xml:space="preserve"> OS rates are mature with the majority of patient censoring occurring after this time point, are internally consistent, and compare favourably to the estimated </w:t>
      </w:r>
      <w:r w:rsidR="009730D1">
        <w:t>1 year</w:t>
      </w:r>
      <w:r w:rsidRPr="00B33310">
        <w:t xml:space="preserve"> OS rate for DTIC (36%). For comparison, the </w:t>
      </w:r>
      <w:r w:rsidR="009730D1">
        <w:t>1 year</w:t>
      </w:r>
      <w:r w:rsidRPr="00B33310">
        <w:t xml:space="preserve"> OS rate for previously </w:t>
      </w:r>
      <w:r w:rsidR="002A40A6">
        <w:t>treated subjects who received 3 </w:t>
      </w:r>
      <w:r w:rsidRPr="00B33310">
        <w:t xml:space="preserve">mg/kg </w:t>
      </w:r>
      <w:r w:rsidR="00F22D76">
        <w:t>ipilimumab</w:t>
      </w:r>
      <w:r w:rsidRPr="00B33310">
        <w:t xml:space="preserve"> was 46%. Although not yet fully mature for CA184332 and CA184338, the </w:t>
      </w:r>
      <w:r w:rsidR="00864309">
        <w:t>2 year</w:t>
      </w:r>
      <w:r w:rsidRPr="00B33310">
        <w:t xml:space="preserve"> estimated OS rate is mat</w:t>
      </w:r>
      <w:r w:rsidR="002A40A6">
        <w:t xml:space="preserve">ure for the pooled chemotherapy </w:t>
      </w:r>
      <w:r w:rsidRPr="00B33310">
        <w:t>naive subjects, is numerically higher to those observed in the random</w:t>
      </w:r>
      <w:r w:rsidR="00C91631">
        <w:t>is</w:t>
      </w:r>
      <w:r w:rsidRPr="00B33310">
        <w:t xml:space="preserve">ed </w:t>
      </w:r>
      <w:r w:rsidR="00F22D76">
        <w:t>Phase III</w:t>
      </w:r>
      <w:r w:rsidRPr="00B33310">
        <w:t xml:space="preserve"> trials of DTIC, and compares favourably to the </w:t>
      </w:r>
      <w:r w:rsidR="00864309">
        <w:t>2 year</w:t>
      </w:r>
      <w:r w:rsidRPr="00B33310">
        <w:t xml:space="preserve"> OS rates for the DTIC arm in CA184024.</w:t>
      </w:r>
    </w:p>
    <w:p w:rsidR="00307D0C" w:rsidRDefault="00307D0C" w:rsidP="00307D0C">
      <w:r w:rsidRPr="00B33310">
        <w:t>The median OS for CA184332 and CA184338 (11</w:t>
      </w:r>
      <w:r w:rsidR="002A40A6">
        <w:t>.5 and 14 months, respectively)</w:t>
      </w:r>
      <w:r w:rsidRPr="00B33310">
        <w:t xml:space="preserve"> the pooled subjects from the </w:t>
      </w:r>
      <w:r w:rsidR="00F22D76">
        <w:t>Phase II</w:t>
      </w:r>
      <w:r w:rsidRPr="00B33310">
        <w:t xml:space="preserve"> (13.5 months) and for the </w:t>
      </w:r>
      <w:r w:rsidR="002A40A6">
        <w:t xml:space="preserve">pooled chemotherapy naive group </w:t>
      </w:r>
      <w:r w:rsidRPr="00B33310">
        <w:t>(13.5 months) are both internally consistent and numerically higher than that observed for DTIC monotherapy (range,</w:t>
      </w:r>
      <w:r w:rsidR="002A40A6">
        <w:t xml:space="preserve"> 5.6 to 9.4 months). The follow </w:t>
      </w:r>
      <w:r w:rsidRPr="00B33310">
        <w:t>up of subjects in all these data sets, except for CA184338, is sufficient to allow estimation of the median OS. For CA</w:t>
      </w:r>
      <w:r w:rsidR="003302A2">
        <w:t xml:space="preserve">184338, censoring around the 14 </w:t>
      </w:r>
      <w:r w:rsidRPr="00B33310">
        <w:t>month time point may limit accurate estimatio</w:t>
      </w:r>
      <w:r w:rsidR="003302A2">
        <w:t>n of median OS. OS rates for 10 </w:t>
      </w:r>
      <w:r w:rsidRPr="00B33310">
        <w:t xml:space="preserve">mg/kg </w:t>
      </w:r>
      <w:r w:rsidR="00F22D76">
        <w:t>ipilimumab</w:t>
      </w:r>
      <w:r w:rsidRPr="00B33310">
        <w:t xml:space="preserve"> + DTIC are provided as reference and appear</w:t>
      </w:r>
      <w:r w:rsidR="002A40A6">
        <w:t xml:space="preserve"> to be similar to that of the 3 </w:t>
      </w:r>
      <w:r w:rsidRPr="00B33310">
        <w:t xml:space="preserve">mg/kg </w:t>
      </w:r>
      <w:r w:rsidR="00F22D76">
        <w:t>ipilimumab</w:t>
      </w:r>
      <w:r w:rsidRPr="00B33310">
        <w:t xml:space="preserve"> popula</w:t>
      </w:r>
      <w:r w:rsidR="00B33310">
        <w:t>tions.</w:t>
      </w:r>
    </w:p>
    <w:p w:rsidR="00307D0C" w:rsidRPr="00601FA1" w:rsidRDefault="00307D0C" w:rsidP="00B33310">
      <w:r w:rsidRPr="00B33310">
        <w:lastRenderedPageBreak/>
        <w:t xml:space="preserve">Overall, it should also be noted that the OS benefit obtained for patients treated with </w:t>
      </w:r>
      <w:r w:rsidR="00F22D76">
        <w:t>ipilimumab</w:t>
      </w:r>
      <w:r w:rsidRPr="00B33310">
        <w:t xml:space="preserve">, regardless of previous treatment status, is superior to than historical controls and other historical models. Again, trials in previously untreated, advanced melanoma demonstrate a median OS of approximately 9 months and estimated </w:t>
      </w:r>
      <w:r w:rsidR="009730D1">
        <w:t>1 year</w:t>
      </w:r>
      <w:r w:rsidRPr="00B33310">
        <w:t xml:space="preserve"> OS rate of approximately 36% as historical benchmark for DTIC monotherapy</w:t>
      </w:r>
      <w:r w:rsidR="005F5E22">
        <w:t xml:space="preserve">. </w:t>
      </w:r>
      <w:r w:rsidRPr="00B33310">
        <w:t xml:space="preserve">For Fotemustine therapy, a median OS of 7.2 months and estimated </w:t>
      </w:r>
      <w:r w:rsidR="009730D1">
        <w:t>1 year</w:t>
      </w:r>
      <w:r w:rsidRPr="00B33310">
        <w:t xml:space="preserve"> OS rate of approximately 30% is obtained (</w:t>
      </w:r>
      <w:r w:rsidRPr="002E3EE6">
        <w:t>Avril et. al 2004; Chapman et. al 1999; Middleton et al 2000, Patel et al, 20</w:t>
      </w:r>
      <w:r w:rsidR="002A40A6" w:rsidRPr="002E3EE6">
        <w:t>11</w:t>
      </w:r>
      <w:r w:rsidRPr="002E3EE6">
        <w:t>).</w:t>
      </w:r>
    </w:p>
    <w:p w:rsidR="00307D0C" w:rsidRPr="00B33310" w:rsidRDefault="00A20998" w:rsidP="00A20998">
      <w:pPr>
        <w:pStyle w:val="Comment"/>
        <w:ind w:left="1134" w:hanging="1134"/>
      </w:pPr>
      <w:r>
        <w:rPr>
          <w:b/>
        </w:rPr>
        <w:t>C</w:t>
      </w:r>
      <w:r w:rsidR="006E15A4" w:rsidRPr="002A40A6">
        <w:rPr>
          <w:b/>
        </w:rPr>
        <w:t>omment</w:t>
      </w:r>
      <w:r w:rsidR="00B33310" w:rsidRPr="00A20998">
        <w:rPr>
          <w:b/>
        </w:rPr>
        <w:t>:</w:t>
      </w:r>
      <w:r w:rsidR="00B33310" w:rsidRPr="00B33310">
        <w:t xml:space="preserve"> </w:t>
      </w:r>
      <w:r w:rsidR="00307D0C" w:rsidRPr="00B33310">
        <w:t xml:space="preserve">Within the pooled previously untreated group there is a patient who was followed up for only 4.8 days, and in the pooled chemotherapy naïve group a patient followed up for 0.9 days. Can the </w:t>
      </w:r>
      <w:r w:rsidR="005F5E22">
        <w:t>sponsor</w:t>
      </w:r>
      <w:r w:rsidR="00307D0C" w:rsidRPr="00B33310">
        <w:t xml:space="preserve"> please provide details of the patients’ performance status, the reason f</w:t>
      </w:r>
      <w:r w:rsidR="002A40A6">
        <w:t xml:space="preserve">or the short duration of follow </w:t>
      </w:r>
      <w:r w:rsidR="00307D0C" w:rsidRPr="00B33310">
        <w:t xml:space="preserve">up and confirmation that these patients met the eligibility criteria of the relevant study? Can the </w:t>
      </w:r>
      <w:r w:rsidR="005F5E22">
        <w:t>sponsor</w:t>
      </w:r>
      <w:r w:rsidR="00307D0C" w:rsidRPr="00B33310">
        <w:t xml:space="preserve"> please provide the interquarti</w:t>
      </w:r>
      <w:r w:rsidR="002A40A6">
        <w:t xml:space="preserve">le ranges for the median follow </w:t>
      </w:r>
      <w:r w:rsidR="00307D0C" w:rsidRPr="00B33310">
        <w:t>up? The previous queries regarding the clarification of total number of patients relevant to the proposed in</w:t>
      </w:r>
      <w:r w:rsidR="002A40A6">
        <w:t>dication is also pertinent here</w:t>
      </w:r>
      <w:r w:rsidR="00307D0C" w:rsidRPr="00B33310">
        <w:t>.</w:t>
      </w:r>
    </w:p>
    <w:p w:rsidR="00307D0C" w:rsidRPr="00B33310" w:rsidRDefault="00307D0C" w:rsidP="00A20998">
      <w:pPr>
        <w:pStyle w:val="Comment"/>
        <w:ind w:left="1134" w:firstLine="0"/>
      </w:pPr>
      <w:r w:rsidRPr="00B33310">
        <w:t xml:space="preserve">Despite comparisons demonstrating numerical similarities, with regard to adequacy of evidence provided in support of the current application, this data is considered of low quality. There is a significant likelihood of bias given the </w:t>
      </w:r>
      <w:r w:rsidR="00661517">
        <w:t>cross study</w:t>
      </w:r>
      <w:r w:rsidRPr="00B33310">
        <w:t xml:space="preserve"> comparisons and the pooling of data from heterogeneous studies that differ from the current application with regards to both the population being studied and the treatment schedules. Survival data from a study investigating </w:t>
      </w:r>
      <w:r w:rsidR="00C108F1">
        <w:t>10 mg</w:t>
      </w:r>
      <w:r w:rsidRPr="00B33310">
        <w:t>/kg dosing cannot prove the efficacy of another posology. Combination therapy (</w:t>
      </w:r>
      <w:r w:rsidR="00F22D76">
        <w:t>ipilimumab</w:t>
      </w:r>
      <w:r w:rsidRPr="00B33310">
        <w:t xml:space="preserve"> +DTIC) studies cannot provide evidence for efficacy of monotherapy. Studies that utilise maintenance therapy cannot provide evidence for the proposed usage. The efficacy data presented relevant to the population of interest for the current application is based on only 35 pooled patients. Cross comparison of OS rates between different studies and different populations should be interpreted and regarded with caution.</w:t>
      </w:r>
    </w:p>
    <w:p w:rsidR="00307D0C" w:rsidRDefault="00307D0C" w:rsidP="00A20998">
      <w:pPr>
        <w:pStyle w:val="Comment"/>
        <w:ind w:left="1134" w:firstLine="0"/>
      </w:pPr>
      <w:r w:rsidRPr="00B33310">
        <w:t xml:space="preserve">The </w:t>
      </w:r>
      <w:r w:rsidR="005F5E22">
        <w:t>sponsor</w:t>
      </w:r>
      <w:r w:rsidRPr="00B33310">
        <w:t xml:space="preserve"> has included overlying KM curves from these different studies to visually demonstrate what is presented </w:t>
      </w:r>
      <w:r w:rsidRPr="00B95A18">
        <w:t xml:space="preserve">in Table </w:t>
      </w:r>
      <w:r w:rsidR="004572B9">
        <w:t>27</w:t>
      </w:r>
      <w:r w:rsidRPr="00B95A18">
        <w:t>. The Kaplan</w:t>
      </w:r>
      <w:r w:rsidRPr="00B33310">
        <w:t xml:space="preserve">-Meier curve presented actually omits the population of interest, however does demonstrate what the table shows, which is that the OS rates were similar between studies (the lowest line is DTIC alone, </w:t>
      </w:r>
      <w:r w:rsidR="006401A0">
        <w:t xml:space="preserve">as shown </w:t>
      </w:r>
      <w:r w:rsidR="006401A0" w:rsidRPr="00F047E2">
        <w:t>in</w:t>
      </w:r>
      <w:r w:rsidRPr="00F047E2">
        <w:t xml:space="preserve"> Figure </w:t>
      </w:r>
      <w:r w:rsidR="006401A0" w:rsidRPr="00F047E2">
        <w:t>6</w:t>
      </w:r>
      <w:r w:rsidRPr="00F047E2">
        <w:t>).The</w:t>
      </w:r>
      <w:r w:rsidRPr="00B33310">
        <w:t xml:space="preserve"> overlaying of KM curves is a poor statistical method of cross study comparisons that is easily misinterpreted. For example, it is difficult to appreciate that previously untreated patients are excluded from the overlaid curves. The </w:t>
      </w:r>
      <w:r w:rsidR="005F5E22">
        <w:t>sponsor</w:t>
      </w:r>
      <w:r w:rsidRPr="00B33310">
        <w:t xml:space="preserve"> writes regarding the omission of this curve the following</w:t>
      </w:r>
      <w:r w:rsidR="006401A0">
        <w:t>;</w:t>
      </w:r>
      <w:r w:rsidRPr="00B33310">
        <w:t xml:space="preserve"> </w:t>
      </w:r>
      <w:r w:rsidR="00C108F1">
        <w:t>‘</w:t>
      </w:r>
      <w:r w:rsidRPr="006401A0">
        <w:rPr>
          <w:i/>
        </w:rPr>
        <w:t xml:space="preserve">The Kaplan-Meier OS curve for 10 mg/kg </w:t>
      </w:r>
      <w:r w:rsidR="00F22D76" w:rsidRPr="006401A0">
        <w:rPr>
          <w:i/>
        </w:rPr>
        <w:t>ipilimumab</w:t>
      </w:r>
      <w:r w:rsidRPr="006401A0">
        <w:rPr>
          <w:i/>
        </w:rPr>
        <w:t xml:space="preserve"> + DTIC is provided as reference and appears to be similar to that of the 3 mg/kg </w:t>
      </w:r>
      <w:r w:rsidR="00F22D76" w:rsidRPr="006401A0">
        <w:rPr>
          <w:i/>
        </w:rPr>
        <w:t>ipilimumab</w:t>
      </w:r>
      <w:r w:rsidRPr="006401A0">
        <w:rPr>
          <w:i/>
        </w:rPr>
        <w:t xml:space="preserve"> populations. The Kaplan-Meier OS curve for the 35 previously untreated subjects from the </w:t>
      </w:r>
      <w:r w:rsidR="00F22D76" w:rsidRPr="006401A0">
        <w:rPr>
          <w:i/>
        </w:rPr>
        <w:t>Phase II</w:t>
      </w:r>
      <w:r w:rsidRPr="006401A0">
        <w:rPr>
          <w:i/>
        </w:rPr>
        <w:t xml:space="preserve"> program, the smallest of the data sets, are not included in this figure to avoid too many curves.</w:t>
      </w:r>
      <w:r w:rsidR="00C108F1">
        <w:t>’</w:t>
      </w:r>
    </w:p>
    <w:p w:rsidR="006401A0" w:rsidRDefault="00A20998" w:rsidP="006401A0">
      <w:pPr>
        <w:pStyle w:val="FigureTitle"/>
        <w:keepNext/>
      </w:pPr>
      <w:r>
        <w:lastRenderedPageBreak/>
        <w:t>Figure 6:</w:t>
      </w:r>
      <w:r w:rsidR="006401A0">
        <w:t xml:space="preserve"> Kaplan-Meier of </w:t>
      </w:r>
      <w:r>
        <w:t>overall survival up to 24 months</w:t>
      </w:r>
    </w:p>
    <w:p w:rsidR="006401A0" w:rsidRPr="006401A0" w:rsidRDefault="006401A0" w:rsidP="006401A0">
      <w:r>
        <w:rPr>
          <w:noProof/>
          <w:lang w:eastAsia="en-AU"/>
        </w:rPr>
        <w:drawing>
          <wp:inline distT="0" distB="0" distL="0" distR="0" wp14:anchorId="033CA4B4" wp14:editId="488732A1">
            <wp:extent cx="5375712" cy="2948026"/>
            <wp:effectExtent l="0" t="0" r="0" b="0"/>
            <wp:docPr id="11" name="Picture 11" descr="Figure 6: Kaplan-Meier of overall survival up to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72331" cy="2946172"/>
                    </a:xfrm>
                    <a:prstGeom prst="rect">
                      <a:avLst/>
                    </a:prstGeom>
                  </pic:spPr>
                </pic:pic>
              </a:graphicData>
            </a:graphic>
          </wp:inline>
        </w:drawing>
      </w:r>
    </w:p>
    <w:p w:rsidR="00307D0C" w:rsidRPr="00B33310" w:rsidRDefault="00307D0C" w:rsidP="006401A0">
      <w:pPr>
        <w:pStyle w:val="Heading4"/>
      </w:pPr>
      <w:bookmarkStart w:id="199" w:name="_Ref387041505"/>
      <w:bookmarkStart w:id="200" w:name="_Toc390676219"/>
      <w:r w:rsidRPr="00B33310">
        <w:t>Population PK reports</w:t>
      </w:r>
      <w:bookmarkEnd w:id="199"/>
      <w:bookmarkEnd w:id="200"/>
    </w:p>
    <w:p w:rsidR="00307D0C" w:rsidRPr="00B33310" w:rsidRDefault="00307D0C" w:rsidP="006401A0">
      <w:pPr>
        <w:pStyle w:val="Heading5"/>
      </w:pPr>
      <w:r w:rsidRPr="00B33310">
        <w:t>ES-OR modelling from the newly submitted PopPK report</w:t>
      </w:r>
    </w:p>
    <w:p w:rsidR="009175D6" w:rsidRDefault="00307D0C" w:rsidP="00B33310">
      <w:r w:rsidRPr="00B33310">
        <w:t>Please refer to section 4 for fu</w:t>
      </w:r>
      <w:r w:rsidR="00386E46">
        <w:t>ll details of the PopPK report.</w:t>
      </w:r>
    </w:p>
    <w:p w:rsidR="009175D6" w:rsidRPr="0022412E" w:rsidRDefault="009175D6" w:rsidP="0022412E">
      <w:r w:rsidRPr="0022412E">
        <w:t xml:space="preserve">Similar to the previous PopPK analysis, the sponsor considered that the comparison of predicted values with actually observed values provided external validation of the model. For the </w:t>
      </w:r>
      <w:r w:rsidR="0039038B">
        <w:t>ER</w:t>
      </w:r>
      <w:r w:rsidRPr="0022412E">
        <w:t xml:space="preserve"> OS and the irAE analysis, no external validation of results was performed.</w:t>
      </w:r>
    </w:p>
    <w:p w:rsidR="009175D6" w:rsidRDefault="009175D6" w:rsidP="00B33310">
      <w:r w:rsidRPr="009175D6">
        <w:t xml:space="preserve">The final </w:t>
      </w:r>
      <w:r w:rsidR="0039038B">
        <w:t>ER</w:t>
      </w:r>
      <w:r w:rsidRPr="009175D6">
        <w:t>-OS model (based only on data from untreated patients at 10</w:t>
      </w:r>
      <w:r w:rsidR="0022412E">
        <w:t xml:space="preserve"> </w:t>
      </w:r>
      <w:r w:rsidRPr="009175D6">
        <w:t>mg/kg dosing with DTIC taken from study CA184024), was used to charact</w:t>
      </w:r>
      <w:r w:rsidR="00A20998">
        <w:t xml:space="preserve">erise the relationship between ipilimumab steady </w:t>
      </w:r>
      <w:r w:rsidRPr="009175D6">
        <w:t>state trough concentration (</w:t>
      </w:r>
      <w:r w:rsidR="00A05B08" w:rsidRPr="00FA355C">
        <w:t>C</w:t>
      </w:r>
      <w:r w:rsidR="00A05B08" w:rsidRPr="00A05B08">
        <w:rPr>
          <w:vertAlign w:val="subscript"/>
        </w:rPr>
        <w:t>minss</w:t>
      </w:r>
      <w:r w:rsidRPr="009175D6">
        <w:t xml:space="preserve">) and selected clinical endpoints identified four significant covariates (metastatic status, ECOG, </w:t>
      </w:r>
      <w:r w:rsidR="00A05B08" w:rsidRPr="00FA355C">
        <w:t>C</w:t>
      </w:r>
      <w:r w:rsidR="00A05B08" w:rsidRPr="00A05B08">
        <w:rPr>
          <w:vertAlign w:val="subscript"/>
        </w:rPr>
        <w:t>minss</w:t>
      </w:r>
      <w:r w:rsidRPr="009175D6">
        <w:t xml:space="preserve">, LDH status), with their effects summarised </w:t>
      </w:r>
      <w:r w:rsidRPr="00B95A18">
        <w:t xml:space="preserve">in Table </w:t>
      </w:r>
      <w:r w:rsidR="0022412E" w:rsidRPr="00B95A18">
        <w:t>12(above in Section 4).</w:t>
      </w:r>
      <w:r w:rsidRPr="009175D6">
        <w:t xml:space="preserve"> Improvement in survival with higher </w:t>
      </w:r>
      <w:r w:rsidR="0022412E">
        <w:t>i</w:t>
      </w:r>
      <w:r w:rsidRPr="009175D6">
        <w:t xml:space="preserve">pilimumab </w:t>
      </w:r>
      <w:r w:rsidR="00A05B08" w:rsidRPr="00FA355C">
        <w:t>C</w:t>
      </w:r>
      <w:r w:rsidR="00A05B08" w:rsidRPr="00A05B08">
        <w:rPr>
          <w:vertAlign w:val="subscript"/>
        </w:rPr>
        <w:t>minss</w:t>
      </w:r>
      <w:r w:rsidRPr="009175D6">
        <w:t xml:space="preserve"> value is noted, with patients with median </w:t>
      </w:r>
      <w:r w:rsidR="00A05B08" w:rsidRPr="00FA355C">
        <w:t>C</w:t>
      </w:r>
      <w:r w:rsidR="00A05B08" w:rsidRPr="00A05B08">
        <w:rPr>
          <w:vertAlign w:val="subscript"/>
        </w:rPr>
        <w:t>minss</w:t>
      </w:r>
      <w:r w:rsidRPr="009175D6">
        <w:t xml:space="preserve"> of 49.9 </w:t>
      </w:r>
      <w:r w:rsidR="0022412E">
        <w:t>µ</w:t>
      </w:r>
      <w:r w:rsidRPr="009175D6">
        <w:t>g/mL having a relative OS hazard ratio of 0.73 compared to placebo (+DTIC). Higher M-category status, ECOG status</w:t>
      </w:r>
      <w:r w:rsidR="0022412E">
        <w:t xml:space="preserve"> </w:t>
      </w:r>
      <w:r w:rsidRPr="009175D6">
        <w:t>=</w:t>
      </w:r>
      <w:r w:rsidR="0022412E">
        <w:t xml:space="preserve"> </w:t>
      </w:r>
      <w:r w:rsidRPr="009175D6">
        <w:t>1, and elevated LDH above the ULN carried a relatively higher risk of worse survival. Note is made that although gender was an important predictor of overall survival in the full model, it was not retained in the final model based on Bayesian criterion. The coefficient for gender varied between each model (</w:t>
      </w:r>
      <w:r w:rsidR="0022412E">
        <w:t>for example</w:t>
      </w:r>
      <w:r w:rsidRPr="009175D6">
        <w:t xml:space="preserve"> &gt; 55% difference). Thus, data supportive of the survival benefit of </w:t>
      </w:r>
      <w:r w:rsidR="00A60A6A">
        <w:t>ipilimumab</w:t>
      </w:r>
      <w:r w:rsidRPr="009175D6">
        <w:t xml:space="preserve"> 10mg/kg (with increasing </w:t>
      </w:r>
      <w:r w:rsidR="00A05B08" w:rsidRPr="00FA355C">
        <w:t>C</w:t>
      </w:r>
      <w:r w:rsidR="00A05B08" w:rsidRPr="00A05B08">
        <w:rPr>
          <w:vertAlign w:val="subscript"/>
        </w:rPr>
        <w:t>minss</w:t>
      </w:r>
      <w:r w:rsidRPr="009175D6">
        <w:t>) in an untreated patient population is provided utilising PopPK modelling.</w:t>
      </w:r>
    </w:p>
    <w:p w:rsidR="00307D0C" w:rsidRDefault="00307D0C" w:rsidP="00307D0C">
      <w:r w:rsidRPr="00B33310">
        <w:t xml:space="preserve">Given the examination of previously untreated patients, the use of </w:t>
      </w:r>
      <w:r w:rsidR="00F22D76">
        <w:t>ipilimumab</w:t>
      </w:r>
      <w:r w:rsidRPr="00B33310">
        <w:t xml:space="preserve"> </w:t>
      </w:r>
      <w:r w:rsidR="00C108F1">
        <w:t>10 mg</w:t>
      </w:r>
      <w:r w:rsidRPr="00B33310">
        <w:t>/kg administered concurrently with DTIC and a maintenance phase within the analysed study, there is limited external validity of this analysis for the current application. This patient population is not informative for the covariate of previous therapy.</w:t>
      </w:r>
    </w:p>
    <w:p w:rsidR="00307D0C" w:rsidRPr="00B33310" w:rsidRDefault="00307D0C" w:rsidP="0017606C">
      <w:pPr>
        <w:pStyle w:val="Heading5"/>
      </w:pPr>
      <w:r w:rsidRPr="00B33310">
        <w:t>ER-OS modelling from the previous PopPK report</w:t>
      </w:r>
    </w:p>
    <w:p w:rsidR="00307D0C" w:rsidRPr="00B33310" w:rsidRDefault="00307D0C" w:rsidP="00B33310">
      <w:r w:rsidRPr="00B33310">
        <w:t xml:space="preserve">The </w:t>
      </w:r>
      <w:r w:rsidR="006B1657" w:rsidRPr="00B33310">
        <w:t xml:space="preserve">clinical overview </w:t>
      </w:r>
      <w:r w:rsidRPr="00B33310">
        <w:t xml:space="preserve">contains reference to the ER-OS modelling from the previously evaluated report which demonstrated that efficacy was independent of prior treatment status. Note should be made that this modelling was performed on the four previously discussed </w:t>
      </w:r>
      <w:r w:rsidR="00F22D76">
        <w:t>Phase II</w:t>
      </w:r>
      <w:r w:rsidR="0022412E">
        <w:t xml:space="preserve"> studies</w:t>
      </w:r>
      <w:r w:rsidRPr="00B33310">
        <w:t xml:space="preserve"> which included 35 patients relevant to the current application. The previous queries regarding the clarification of the actual total number of patients relevant to the proposed usage are also pertinent here.</w:t>
      </w:r>
    </w:p>
    <w:p w:rsidR="00307D0C" w:rsidRPr="00B33310" w:rsidRDefault="0022412E" w:rsidP="00B33310">
      <w:r>
        <w:lastRenderedPageBreak/>
        <w:t xml:space="preserve">An exposure </w:t>
      </w:r>
      <w:r w:rsidR="00307D0C" w:rsidRPr="00B33310">
        <w:t>survival analysis using a Cox Proportional Haza</w:t>
      </w:r>
      <w:r w:rsidR="0017606C">
        <w:t xml:space="preserve">rd (CPH) model was conducted on </w:t>
      </w:r>
      <w:r w:rsidR="00307D0C" w:rsidRPr="00B33310">
        <w:t>419 previously treated and 78 previously untreated, advanced melanoma subjects treate</w:t>
      </w:r>
      <w:r w:rsidR="0017606C">
        <w:t xml:space="preserve">d in </w:t>
      </w:r>
      <w:r w:rsidR="00F22D76">
        <w:t>Phase II</w:t>
      </w:r>
      <w:r w:rsidR="00307D0C" w:rsidRPr="00B33310">
        <w:t xml:space="preserve"> </w:t>
      </w:r>
      <w:r w:rsidR="00F22D76">
        <w:t>ipilimumab</w:t>
      </w:r>
      <w:r w:rsidR="00307D0C" w:rsidRPr="00B33310">
        <w:t xml:space="preserve"> </w:t>
      </w:r>
      <w:r w:rsidR="007F1683">
        <w:t>Studies</w:t>
      </w:r>
      <w:r w:rsidR="00307D0C" w:rsidRPr="00B33310">
        <w:t xml:space="preserve"> (CA184004, CA184007, CA184008, and CA184022) and demonstrated that </w:t>
      </w:r>
      <w:r w:rsidR="00F22D76">
        <w:t>ipilimumab</w:t>
      </w:r>
      <w:r w:rsidR="0017606C">
        <w:t>’</w:t>
      </w:r>
      <w:r w:rsidR="00307D0C" w:rsidRPr="00B33310">
        <w:t xml:space="preserve">s efficacy was independent of line of therapy. The analysis was limited to subjects who received </w:t>
      </w:r>
      <w:r w:rsidR="00F22D76">
        <w:t>ipilimumab</w:t>
      </w:r>
      <w:r w:rsidR="00307D0C" w:rsidRPr="00B33310">
        <w:t xml:space="preserve"> monotherapy to avoid potential bias of </w:t>
      </w:r>
      <w:r w:rsidR="00307D0C" w:rsidRPr="0017674F">
        <w:t>concomitant</w:t>
      </w:r>
      <w:r w:rsidR="00307D0C">
        <w:t xml:space="preserve"> </w:t>
      </w:r>
      <w:r w:rsidR="00307D0C" w:rsidRPr="0017674F">
        <w:t>therapies. The analysis included subjects treated with 0.3 mg/kg (n</w:t>
      </w:r>
      <w:r w:rsidR="00F3471F">
        <w:t xml:space="preserve"> </w:t>
      </w:r>
      <w:r w:rsidR="00307D0C" w:rsidRPr="0017674F">
        <w:t>=</w:t>
      </w:r>
      <w:r w:rsidR="00F3471F">
        <w:t xml:space="preserve"> </w:t>
      </w:r>
      <w:r w:rsidR="00307D0C" w:rsidRPr="0017674F">
        <w:t xml:space="preserve">47), 3 mg/kg </w:t>
      </w:r>
      <w:r w:rsidR="00307D0C" w:rsidRPr="00B33310">
        <w:t>(n</w:t>
      </w:r>
      <w:r w:rsidR="00F3471F">
        <w:t xml:space="preserve"> </w:t>
      </w:r>
      <w:r w:rsidR="00307D0C" w:rsidRPr="00B33310">
        <w:t>=</w:t>
      </w:r>
      <w:r w:rsidR="00F3471F">
        <w:t xml:space="preserve"> </w:t>
      </w:r>
      <w:r w:rsidR="00307D0C" w:rsidRPr="00B33310">
        <w:t>98), and 10 mg/kg (n</w:t>
      </w:r>
      <w:r w:rsidR="00F3471F">
        <w:t xml:space="preserve"> </w:t>
      </w:r>
      <w:r w:rsidR="00307D0C" w:rsidRPr="00B33310">
        <w:t>=</w:t>
      </w:r>
      <w:r w:rsidR="00F3471F">
        <w:t xml:space="preserve"> </w:t>
      </w:r>
      <w:r w:rsidR="00307D0C" w:rsidRPr="00B33310">
        <w:t xml:space="preserve">352) doses of </w:t>
      </w:r>
      <w:r w:rsidR="00F22D76">
        <w:t>ipilimumab</w:t>
      </w:r>
      <w:r w:rsidR="00307D0C" w:rsidRPr="00B33310">
        <w:t xml:space="preserve"> since actual exposure (trough concentration) rather than nominal dose was used in the model. The magnitude of the effect of key covariates on OS was also assessed in this model.</w:t>
      </w:r>
    </w:p>
    <w:p w:rsidR="00307D0C" w:rsidRDefault="00307D0C" w:rsidP="00307D0C">
      <w:r w:rsidRPr="00B33310">
        <w:t xml:space="preserve">Prior anti-cancer systemic treatment (yes </w:t>
      </w:r>
      <w:r w:rsidR="00046414">
        <w:t>versus</w:t>
      </w:r>
      <w:r w:rsidRPr="00B33310">
        <w:t xml:space="preserve"> no) was not a significant covariate for risk of death</w:t>
      </w:r>
      <w:r w:rsidR="00F3471F">
        <w:t xml:space="preserve"> </w:t>
      </w:r>
      <w:r w:rsidRPr="00B33310">
        <w:t xml:space="preserve">(HR 1.16; 95% confidence interval </w:t>
      </w:r>
      <w:r w:rsidR="00BE4457">
        <w:t>(</w:t>
      </w:r>
      <w:r w:rsidRPr="00B33310">
        <w:t>CI</w:t>
      </w:r>
      <w:r w:rsidR="00BE4457">
        <w:t>)</w:t>
      </w:r>
      <w:r w:rsidRPr="00B33310">
        <w:t>: 0.805, 1.66). Similarly, use of prior immunothe</w:t>
      </w:r>
      <w:r w:rsidR="00F3471F">
        <w:t xml:space="preserve">rapy </w:t>
      </w:r>
      <w:r w:rsidRPr="00B33310">
        <w:t>(primarily interferon and IL-2) was not a significant covariate</w:t>
      </w:r>
      <w:r w:rsidR="00F3471F">
        <w:t xml:space="preserve"> (HR 1.01; 95% CI: 0.76, 1.34). </w:t>
      </w:r>
      <w:r w:rsidRPr="00B33310">
        <w:t>The only baseline covariates associated with significant effect on risk of death were increasing lactate dehydrogenase (LDH), trough concentration at steady state (</w:t>
      </w:r>
      <w:r w:rsidR="00A05B08" w:rsidRPr="00FA355C">
        <w:t>C</w:t>
      </w:r>
      <w:r w:rsidR="00A05B08" w:rsidRPr="00A05B08">
        <w:rPr>
          <w:vertAlign w:val="subscript"/>
        </w:rPr>
        <w:t>minss</w:t>
      </w:r>
      <w:r w:rsidR="00F3471F">
        <w:t xml:space="preserve">), and Eastern </w:t>
      </w:r>
      <w:r w:rsidRPr="00B33310">
        <w:t>Cooperativ</w:t>
      </w:r>
      <w:r w:rsidR="00F3471F">
        <w:t>e Oncology Group (ECOG) PS &gt; 0</w:t>
      </w:r>
      <w:r w:rsidRPr="00B33310">
        <w:t xml:space="preserve">; therefore, based on these </w:t>
      </w:r>
      <w:r w:rsidR="00F22D76">
        <w:t>Phase II</w:t>
      </w:r>
      <w:r w:rsidRPr="00B33310">
        <w:t xml:space="preserve"> data, the risk of death while receiving </w:t>
      </w:r>
      <w:r w:rsidR="00F22D76">
        <w:t>ipilimumab</w:t>
      </w:r>
      <w:r w:rsidRPr="00B33310">
        <w:t xml:space="preserve"> is independent of prior therapy.</w:t>
      </w:r>
    </w:p>
    <w:p w:rsidR="00307D0C" w:rsidRPr="00C73828" w:rsidRDefault="006B1657" w:rsidP="006B1657">
      <w:pPr>
        <w:pStyle w:val="Comment"/>
        <w:ind w:left="1134" w:hanging="1134"/>
      </w:pPr>
      <w:r>
        <w:rPr>
          <w:b/>
        </w:rPr>
        <w:t>C</w:t>
      </w:r>
      <w:r w:rsidR="006E15A4" w:rsidRPr="00F3471F">
        <w:rPr>
          <w:b/>
        </w:rPr>
        <w:t>omment</w:t>
      </w:r>
      <w:r w:rsidR="00B33310" w:rsidRPr="00F3471F">
        <w:rPr>
          <w:b/>
        </w:rPr>
        <w:t>:</w:t>
      </w:r>
      <w:r w:rsidR="00B33310">
        <w:t xml:space="preserve"> </w:t>
      </w:r>
      <w:r w:rsidR="00307D0C" w:rsidRPr="00B33310">
        <w:t xml:space="preserve">The </w:t>
      </w:r>
      <w:r w:rsidR="005F5E22">
        <w:t>sponsor</w:t>
      </w:r>
      <w:r w:rsidR="00307D0C" w:rsidRPr="00B33310">
        <w:t xml:space="preserve">’s comment on the population analysed within this previous report should be noted, being </w:t>
      </w:r>
      <w:r w:rsidR="00C108F1">
        <w:t>‘</w:t>
      </w:r>
      <w:r w:rsidR="00307D0C" w:rsidRPr="0022412E">
        <w:rPr>
          <w:i/>
        </w:rPr>
        <w:t xml:space="preserve">limited to subjects who received </w:t>
      </w:r>
      <w:r w:rsidR="00F22D76" w:rsidRPr="0022412E">
        <w:rPr>
          <w:i/>
        </w:rPr>
        <w:t>ipilimumab</w:t>
      </w:r>
      <w:r w:rsidR="00307D0C" w:rsidRPr="0022412E">
        <w:rPr>
          <w:i/>
        </w:rPr>
        <w:t xml:space="preserve"> monotherapy to avoid potential bias of concomitant therapies</w:t>
      </w:r>
      <w:r w:rsidR="00307D0C" w:rsidRPr="00B33310">
        <w:t>.</w:t>
      </w:r>
      <w:r w:rsidR="00C108F1">
        <w:t>’</w:t>
      </w:r>
    </w:p>
    <w:p w:rsidR="00307D0C" w:rsidRPr="00B33310" w:rsidRDefault="00307D0C" w:rsidP="00B33310">
      <w:pPr>
        <w:pStyle w:val="Heading4"/>
      </w:pPr>
      <w:bookmarkStart w:id="201" w:name="_Ref271126605"/>
      <w:bookmarkStart w:id="202" w:name="_Toc272414657"/>
      <w:bookmarkStart w:id="203" w:name="_Toc290846282"/>
      <w:bookmarkStart w:id="204" w:name="_Ref384735929"/>
      <w:bookmarkStart w:id="205" w:name="_Ref384735962"/>
      <w:bookmarkStart w:id="206" w:name="_Toc390676220"/>
      <w:r w:rsidRPr="00B33310">
        <w:t xml:space="preserve">Evaluator’s conclusions on clinical efficacy for </w:t>
      </w:r>
      <w:bookmarkEnd w:id="201"/>
      <w:bookmarkEnd w:id="202"/>
      <w:bookmarkEnd w:id="203"/>
      <w:r w:rsidRPr="00B33310">
        <w:t>overall survival</w:t>
      </w:r>
      <w:bookmarkEnd w:id="204"/>
      <w:bookmarkEnd w:id="205"/>
      <w:bookmarkEnd w:id="206"/>
    </w:p>
    <w:p w:rsidR="00307D0C" w:rsidRPr="00B33310" w:rsidRDefault="00307D0C" w:rsidP="00B33310">
      <w:r w:rsidRPr="00B33310">
        <w:t xml:space="preserve">There was no investigation of efficacy utilising </w:t>
      </w:r>
      <w:r w:rsidR="00F22D76">
        <w:t>ipilimumab</w:t>
      </w:r>
      <w:r w:rsidRPr="00B33310">
        <w:t xml:space="preserve"> </w:t>
      </w:r>
      <w:r w:rsidR="00C108F1">
        <w:t>3 mg</w:t>
      </w:r>
      <w:r w:rsidRPr="00B33310">
        <w:t>/kg monotherapy according to the proposed usage where efficacy was the primary endpoint. Current claim utilises the concept of non-inferiority but appropriate studies have not been carried out prospectively to test this.</w:t>
      </w:r>
    </w:p>
    <w:p w:rsidR="00307D0C" w:rsidRPr="00B33310" w:rsidRDefault="00307D0C" w:rsidP="00B33310">
      <w:r w:rsidRPr="00B33310">
        <w:t xml:space="preserve">A single Phase III </w:t>
      </w:r>
      <w:r w:rsidR="00284E81">
        <w:t>Study</w:t>
      </w:r>
      <w:r w:rsidRPr="00B33310">
        <w:t xml:space="preserve"> (CA184024) demonstrates a statistically significant survival benefit obtained for previously untreated patients with advanced melanoma administered combination </w:t>
      </w:r>
      <w:r w:rsidR="00F22D76">
        <w:t>ipilimumab</w:t>
      </w:r>
      <w:r w:rsidRPr="00B33310">
        <w:t xml:space="preserve"> </w:t>
      </w:r>
      <w:r w:rsidR="00C108F1">
        <w:t>10 mg</w:t>
      </w:r>
      <w:r w:rsidRPr="00B33310">
        <w:t xml:space="preserve">/kg and DTIC versus DTIC monotherapy. The study design, study execution, quality of the efficacy data, and plausibility of </w:t>
      </w:r>
      <w:r w:rsidR="00B33310">
        <w:t>hypothesis tested were robust.</w:t>
      </w:r>
    </w:p>
    <w:p w:rsidR="00307D0C" w:rsidRPr="00B33310" w:rsidRDefault="00307D0C" w:rsidP="00B33310">
      <w:r w:rsidRPr="00B33310">
        <w:t xml:space="preserve">However, this study has been submitted by the </w:t>
      </w:r>
      <w:r w:rsidR="005F5E22">
        <w:t>sponsor</w:t>
      </w:r>
      <w:r w:rsidRPr="00B33310">
        <w:t xml:space="preserve"> as part of the </w:t>
      </w:r>
      <w:r w:rsidR="00C108F1">
        <w:t>‘</w:t>
      </w:r>
      <w:r w:rsidRPr="00B33310">
        <w:t>bridging argument</w:t>
      </w:r>
      <w:r w:rsidR="00C108F1">
        <w:t>’</w:t>
      </w:r>
      <w:r w:rsidRPr="00B33310">
        <w:t xml:space="preserve"> for the proposed usage. The current application seeks to use the </w:t>
      </w:r>
      <w:r w:rsidR="00C108F1">
        <w:t>3 mg</w:t>
      </w:r>
      <w:r w:rsidRPr="00B33310">
        <w:t xml:space="preserve">/kg dosing schedule and seeks use of </w:t>
      </w:r>
      <w:r w:rsidR="00F22D76">
        <w:t>ipilimumab</w:t>
      </w:r>
      <w:r w:rsidRPr="00B33310">
        <w:t xml:space="preserve"> as monotherapy. In comparison, this Phase III study utilises a different posology, utilises drug administration concurrently with DTIC and incorporated a maintenance phase of treatment. Thus, this study has limited external validity for the current application. It therefore provides limited relevant ev</w:t>
      </w:r>
      <w:r w:rsidR="00B33310">
        <w:t>idence for the proposed usage.</w:t>
      </w:r>
    </w:p>
    <w:p w:rsidR="00307D0C" w:rsidRPr="00B33310" w:rsidRDefault="00307D0C" w:rsidP="00B33310">
      <w:r w:rsidRPr="00B33310">
        <w:t xml:space="preserve">An interim report from one Phase II </w:t>
      </w:r>
      <w:r w:rsidR="00284E81">
        <w:t>Study</w:t>
      </w:r>
      <w:r w:rsidRPr="00B33310">
        <w:t xml:space="preserve"> (CA184042) was submitted which used </w:t>
      </w:r>
      <w:r w:rsidR="00C108F1">
        <w:t>10 mg</w:t>
      </w:r>
      <w:r w:rsidRPr="00B33310">
        <w:t xml:space="preserve">/kg </w:t>
      </w:r>
      <w:r w:rsidR="00F22D76">
        <w:t>ipilimumab</w:t>
      </w:r>
      <w:r w:rsidRPr="00B33310">
        <w:t xml:space="preserve"> in previously untreated patients with brain metastases without (Arm A</w:t>
      </w:r>
      <w:r w:rsidR="00F3471F">
        <w:t>;</w:t>
      </w:r>
      <w:r w:rsidRPr="00B33310">
        <w:t xml:space="preserve"> </w:t>
      </w:r>
      <w:r w:rsidR="00F3471F">
        <w:t xml:space="preserve">n = </w:t>
      </w:r>
      <w:r w:rsidRPr="00B33310">
        <w:t>51) or with concomitant steroids (Arm B</w:t>
      </w:r>
      <w:r w:rsidR="00F3471F">
        <w:t>;</w:t>
      </w:r>
      <w:r w:rsidRPr="00B33310">
        <w:t xml:space="preserve"> </w:t>
      </w:r>
      <w:r w:rsidR="00F3471F">
        <w:t xml:space="preserve">n = </w:t>
      </w:r>
      <w:r w:rsidRPr="00B33310">
        <w:t xml:space="preserve">21). This study provides supportive evidence for the global disease control rate and survival benefit with use of </w:t>
      </w:r>
      <w:r w:rsidR="00F22D76">
        <w:t>ipilimumab</w:t>
      </w:r>
      <w:r w:rsidRPr="00B33310">
        <w:t xml:space="preserve"> </w:t>
      </w:r>
      <w:r w:rsidR="00C108F1">
        <w:t>10 mg</w:t>
      </w:r>
      <w:r w:rsidRPr="00B33310">
        <w:t>/kg in patients with metastatic melanoma with brain lesions, of which patients without concomitant steroids have an improved outcome compared to patients on steroids.</w:t>
      </w:r>
    </w:p>
    <w:p w:rsidR="00307D0C" w:rsidRPr="00B33310" w:rsidRDefault="00307D0C" w:rsidP="00B33310">
      <w:r w:rsidRPr="00B33310">
        <w:t xml:space="preserve">This study is submitted by the </w:t>
      </w:r>
      <w:r w:rsidR="005F5E22">
        <w:t>sponsor</w:t>
      </w:r>
      <w:r w:rsidRPr="00B33310">
        <w:t xml:space="preserve"> as part of the </w:t>
      </w:r>
      <w:r w:rsidR="00C108F1">
        <w:t>‘</w:t>
      </w:r>
      <w:r w:rsidRPr="00B33310">
        <w:t>bridging argument</w:t>
      </w:r>
      <w:r w:rsidR="00C108F1">
        <w:t>’</w:t>
      </w:r>
      <w:r w:rsidRPr="00B33310">
        <w:t xml:space="preserve"> for the proposed usage. The external validity of this study is limited in the context of the current application. Limited supportive evidence is provided by this data as a </w:t>
      </w:r>
      <w:r w:rsidR="00C108F1">
        <w:t>‘</w:t>
      </w:r>
      <w:r w:rsidRPr="00B33310">
        <w:t>bridging argument</w:t>
      </w:r>
      <w:r w:rsidR="00C108F1">
        <w:t>’</w:t>
      </w:r>
      <w:r w:rsidRPr="00B33310">
        <w:t xml:space="preserve"> given the use of the </w:t>
      </w:r>
      <w:r w:rsidR="00C108F1">
        <w:t>10 mg</w:t>
      </w:r>
      <w:r w:rsidRPr="00B33310">
        <w:t xml:space="preserve">/kg posology. The population examined in this study differs to MDX010-20 and other studies which utilise the </w:t>
      </w:r>
      <w:r w:rsidR="00C108F1">
        <w:t>3 mg</w:t>
      </w:r>
      <w:r w:rsidRPr="00B33310">
        <w:t>/kg posology, limiting the external validity of comparisons. The study was not randomised. It therefore provides limited relevant ev</w:t>
      </w:r>
      <w:r w:rsidR="00B33310">
        <w:t>idence for the proposed usage.</w:t>
      </w:r>
    </w:p>
    <w:p w:rsidR="00307D0C" w:rsidRPr="00B33310" w:rsidRDefault="00307D0C" w:rsidP="00B33310">
      <w:r w:rsidRPr="00B33310">
        <w:t xml:space="preserve">Pooled analyses using previously evaluated and newly submitted studies demonstrated numerically similar OS rates, despite use of </w:t>
      </w:r>
      <w:r w:rsidR="00C108F1">
        <w:t>3 mg</w:t>
      </w:r>
      <w:r w:rsidRPr="00B33310">
        <w:t xml:space="preserve">/kg dosing, </w:t>
      </w:r>
      <w:r w:rsidR="00C108F1">
        <w:t>10 mg</w:t>
      </w:r>
      <w:r w:rsidRPr="00B33310">
        <w:t xml:space="preserve">/kg dosing, and monotherapy or combination treatment schedules. The populations between studies appear similar. However, </w:t>
      </w:r>
      <w:r w:rsidRPr="00B33310">
        <w:lastRenderedPageBreak/>
        <w:t>uncontro</w:t>
      </w:r>
      <w:r w:rsidR="00393145">
        <w:t xml:space="preserve">lled, post hoc exploratory, </w:t>
      </w:r>
      <w:r w:rsidR="006B1657">
        <w:t>non-</w:t>
      </w:r>
      <w:r w:rsidR="006B1657" w:rsidRPr="00B33310">
        <w:t>confirmatory</w:t>
      </w:r>
      <w:r w:rsidRPr="00B33310">
        <w:t xml:space="preserve"> cross study comparisons do not provide sufficient quality evidence for robust conclusions, and are only useful for hypothesis generation. There is limited external validity of the comparison of survival rates between different treatment schedules and patient populations. The inclusion of bias, in particular selection bias and the use of concomitant therapy, is not accounted for. The pooled analyses provided efficacy data for (maximally) 35 previously untreated patients who were administered </w:t>
      </w:r>
      <w:r w:rsidR="00C108F1">
        <w:t>3 mg</w:t>
      </w:r>
      <w:r w:rsidRPr="00B33310">
        <w:t xml:space="preserve">/kg </w:t>
      </w:r>
      <w:r w:rsidR="00F22D76">
        <w:t>ipilimumab</w:t>
      </w:r>
      <w:r w:rsidRPr="00B33310">
        <w:t xml:space="preserve"> monotherapy. The additional benefit of pooled data from two studies is limited, when the numbers in each study are small (</w:t>
      </w:r>
      <w:r w:rsidR="00F3471F">
        <w:t xml:space="preserve">n = </w:t>
      </w:r>
      <w:r w:rsidRPr="00B33310">
        <w:t xml:space="preserve">20 + </w:t>
      </w:r>
      <w:r w:rsidR="00F3471F">
        <w:t xml:space="preserve">n = </w:t>
      </w:r>
      <w:r w:rsidRPr="00B33310">
        <w:t xml:space="preserve">15). ER-OS modelling from the new PopPK report has limited external validity for the current application due to its use of patients’ data only from CA184024. PopPK modelling from the previous submission included a small number of patients relevant to the current application (maximally </w:t>
      </w:r>
      <w:r w:rsidR="00F3471F">
        <w:t xml:space="preserve">n = </w:t>
      </w:r>
      <w:r w:rsidRPr="00B33310">
        <w:t>35). Furthermore, all studies included a maintenance therapy phase.</w:t>
      </w:r>
    </w:p>
    <w:p w:rsidR="00307D0C" w:rsidRPr="00B33310" w:rsidRDefault="00307D0C" w:rsidP="00B33310">
      <w:r w:rsidRPr="00B33310">
        <w:t xml:space="preserve">Thus, with respect to the current application for use of </w:t>
      </w:r>
      <w:r w:rsidR="00F22D76">
        <w:t>ipilimumab</w:t>
      </w:r>
      <w:r w:rsidRPr="00B33310">
        <w:t xml:space="preserve"> </w:t>
      </w:r>
      <w:r w:rsidR="00C108F1">
        <w:t>3 mg</w:t>
      </w:r>
      <w:r w:rsidRPr="00B33310">
        <w:t>/kg monotherapy in previously untreated patients, the relevant data provided by the pooled analyses derived from heterogeneous studies is considered limited, and does not provide sufficient quality of evidence for regulatory purposes.</w:t>
      </w:r>
    </w:p>
    <w:p w:rsidR="00307D0C" w:rsidRPr="00B33310" w:rsidRDefault="00307D0C" w:rsidP="00B33310">
      <w:r w:rsidRPr="00B33310">
        <w:t xml:space="preserve">Other studies summarised within this section (CA184078, two interim reports from observational post-marketing studies, and one interim report summarising data from the EAP) were submitted by the </w:t>
      </w:r>
      <w:r w:rsidR="005F5E22">
        <w:t>sponsor</w:t>
      </w:r>
      <w:r w:rsidRPr="00B33310">
        <w:t xml:space="preserve"> as additional support for the proposed usage. These studies were shown to demonstrate similar numerical OS rates observed within the controlled studies. However, evidence provided by these studies is considered not to be of sufficient quality for robust conclusions. This is due to Phase I study having limited relevance to the proposed usage (study design, primary endpoint, numbers investigated, </w:t>
      </w:r>
      <w:r w:rsidR="00C108F1">
        <w:t>10 mg</w:t>
      </w:r>
      <w:r w:rsidRPr="00B33310">
        <w:t>/kg posology), and the low quality level of evidence contributed by uncontrolled data collection in the three observational studies. Data was also immature. Thus, the Phase I study provides limited quality evidence and limited relevant evidence for the proposed usage (limited external validity). The observational studies provide limited quality eviden</w:t>
      </w:r>
      <w:r w:rsidR="00B33310">
        <w:t>ce for the current application.</w:t>
      </w:r>
    </w:p>
    <w:p w:rsidR="00307D0C" w:rsidRPr="00B33310" w:rsidRDefault="00307D0C" w:rsidP="00307D0C">
      <w:r w:rsidRPr="00B33310">
        <w:t xml:space="preserve">Overall, limited data is presented that is relevant to the current application which seeks approval for the use of </w:t>
      </w:r>
      <w:r w:rsidR="00F22D76">
        <w:t>ipilimumab</w:t>
      </w:r>
      <w:r w:rsidRPr="00B33310">
        <w:t xml:space="preserve"> </w:t>
      </w:r>
      <w:r w:rsidR="00C108F1">
        <w:t>3 mg</w:t>
      </w:r>
      <w:r w:rsidRPr="00B33310">
        <w:t>/kg monotherapy in previously untreated patients. No randomised data addressing t</w:t>
      </w:r>
      <w:r w:rsidR="00B33310">
        <w:t>he proposed usage was provided.</w:t>
      </w:r>
    </w:p>
    <w:p w:rsidR="00307D0C" w:rsidRPr="00B33310" w:rsidRDefault="00307D0C" w:rsidP="00B33310">
      <w:r w:rsidRPr="00B33310">
        <w:t>Data derived pooled from maximally 35 patients across two Phase II studies provides insufficient evidence for robust conclusions on the efficacy of the drug for the proposed usage. It is impossible to derive an understanding of the efficacy of the drug for the proposed usage from studies that utilise a different dosing schedule (</w:t>
      </w:r>
      <w:r w:rsidR="00C108F1">
        <w:t>10 mg</w:t>
      </w:r>
      <w:r w:rsidRPr="00B33310">
        <w:t>/kg) or treatment schedule (combination therapy and maintenance therapy)</w:t>
      </w:r>
      <w:r w:rsidR="005F5E22">
        <w:t xml:space="preserve">. </w:t>
      </w:r>
      <w:r w:rsidRPr="00B33310">
        <w:t xml:space="preserve">Though pooled data has been presented as a </w:t>
      </w:r>
      <w:r w:rsidR="00C108F1">
        <w:t>‘</w:t>
      </w:r>
      <w:r w:rsidRPr="00B33310">
        <w:t>bridging argument</w:t>
      </w:r>
      <w:r w:rsidR="00C108F1">
        <w:t>’</w:t>
      </w:r>
      <w:r w:rsidRPr="00B33310">
        <w:t xml:space="preserve"> to indirectly address the efficacy of </w:t>
      </w:r>
      <w:r w:rsidR="00F22D76">
        <w:t>ipilimumab</w:t>
      </w:r>
      <w:r w:rsidRPr="00B33310">
        <w:t xml:space="preserve"> </w:t>
      </w:r>
      <w:r w:rsidR="00C108F1">
        <w:t>3 mg</w:t>
      </w:r>
      <w:r w:rsidRPr="00B33310">
        <w:t xml:space="preserve">/kg monotherapy in previously untreated patients, the limited numbers of relevant </w:t>
      </w:r>
      <w:r w:rsidR="00A77729">
        <w:t>patients within pooled analyses</w:t>
      </w:r>
      <w:r w:rsidRPr="00B33310">
        <w:t xml:space="preserve"> and the use of cross study comparisons argues strongly that there is insufficient evidence available to support the current application. The </w:t>
      </w:r>
      <w:r w:rsidR="00C108F1">
        <w:t>‘</w:t>
      </w:r>
      <w:r w:rsidRPr="00B33310">
        <w:t>bridging argument</w:t>
      </w:r>
      <w:r w:rsidR="00C108F1">
        <w:t>’</w:t>
      </w:r>
      <w:r w:rsidRPr="00B33310">
        <w:t xml:space="preserve"> has not been established on randomised data. The </w:t>
      </w:r>
      <w:r w:rsidR="00C108F1">
        <w:t>‘</w:t>
      </w:r>
      <w:r w:rsidRPr="00B33310">
        <w:t>bridging argument</w:t>
      </w:r>
      <w:r w:rsidR="00C108F1">
        <w:t>’</w:t>
      </w:r>
      <w:r w:rsidRPr="00B33310">
        <w:t xml:space="preserve"> has been established on cross study comparisons and pooled data f</w:t>
      </w:r>
      <w:r w:rsidR="00A77729">
        <w:t>rom heterogeneous studies. Thus</w:t>
      </w:r>
      <w:r w:rsidRPr="00B33310">
        <w:t xml:space="preserve"> the likelihood of bias (</w:t>
      </w:r>
      <w:r w:rsidR="00CF24F8">
        <w:t>for example</w:t>
      </w:r>
      <w:r w:rsidRPr="00B33310">
        <w:t xml:space="preserve"> selection bias, concomitant use of other therapy), within these analyses needs to be considered as unaccounted </w:t>
      </w:r>
      <w:r w:rsidR="00A77729">
        <w:t xml:space="preserve">for given the uncontrolled, </w:t>
      </w:r>
      <w:r w:rsidR="006B1657">
        <w:t>non-</w:t>
      </w:r>
      <w:r w:rsidR="006B1657" w:rsidRPr="00B33310">
        <w:t>randomised</w:t>
      </w:r>
      <w:r w:rsidRPr="00B33310">
        <w:t xml:space="preserve"> methodology utilised. The data presented in support of the current application does not meet the statistical principles of clinical trials guidelines.</w:t>
      </w:r>
    </w:p>
    <w:p w:rsidR="00307D0C" w:rsidRPr="00B33310" w:rsidRDefault="00307D0C" w:rsidP="00307D0C">
      <w:r w:rsidRPr="00B33310">
        <w:t xml:space="preserve">Whilst note is made of the clinical need for effective therapy in this patient population, the likely biological plausibility for the efficacy </w:t>
      </w:r>
      <w:r w:rsidR="00A77729">
        <w:t xml:space="preserve">of the proposed usage, the long </w:t>
      </w:r>
      <w:r w:rsidRPr="00B33310">
        <w:t>term survival benefit provided for a subgroup of previously treated patients, the desire to avoid toxicity with higher dosing schedules, and the pre-submission meeting notes, on the presented data alone insufficient evidence has been provided that directly addresses or su</w:t>
      </w:r>
      <w:r w:rsidR="00B33310">
        <w:t>pports the current application.</w:t>
      </w:r>
    </w:p>
    <w:p w:rsidR="00307D0C" w:rsidRPr="00B33310" w:rsidRDefault="00307D0C" w:rsidP="00B33310">
      <w:r w:rsidRPr="00B33310">
        <w:lastRenderedPageBreak/>
        <w:t>Therefore, the efficacy of the proposed usage (or the optimal dose) in the untreated population has not been sufficiently proven due to the absence of randomised data and absence of data with sufficient quality or relevance.</w:t>
      </w:r>
    </w:p>
    <w:p w:rsidR="00307D0C" w:rsidRDefault="00307D0C" w:rsidP="00307D0C">
      <w:r w:rsidRPr="00B33310">
        <w:t xml:space="preserve">Please also see Section </w:t>
      </w:r>
      <w:r w:rsidR="00A77729">
        <w:t>6</w:t>
      </w:r>
      <w:r w:rsidRPr="00B33310">
        <w:t xml:space="preserve"> </w:t>
      </w:r>
      <w:r w:rsidR="00C108F1">
        <w:t>‘</w:t>
      </w:r>
      <w:r w:rsidRPr="00B33310">
        <w:t>Comments regarding the dosage selection for the current application</w:t>
      </w:r>
      <w:r w:rsidR="00C108F1">
        <w:t>’</w:t>
      </w:r>
      <w:r w:rsidRPr="00B33310">
        <w:t>.</w:t>
      </w:r>
    </w:p>
    <w:p w:rsidR="00307D0C" w:rsidRPr="00B33310" w:rsidRDefault="00307D0C" w:rsidP="00B33310">
      <w:pPr>
        <w:pStyle w:val="Heading3"/>
      </w:pPr>
      <w:bookmarkStart w:id="207" w:name="_Ref384733396"/>
      <w:bookmarkStart w:id="208" w:name="_Toc390676221"/>
      <w:bookmarkStart w:id="209" w:name="_Toc475616224"/>
      <w:r w:rsidRPr="00B33310">
        <w:t>For overall survival benefit in patients with BRAFV600E mutation positive tumours</w:t>
      </w:r>
      <w:bookmarkEnd w:id="207"/>
      <w:bookmarkEnd w:id="208"/>
      <w:bookmarkEnd w:id="209"/>
    </w:p>
    <w:p w:rsidR="00307D0C" w:rsidRPr="00B33310" w:rsidRDefault="00307D0C" w:rsidP="00B33310">
      <w:r w:rsidRPr="00B33310">
        <w:t xml:space="preserve">A retrospective analysis of the BRAF mutation status of patient tumours obtained in the </w:t>
      </w:r>
      <w:r w:rsidR="00F22D76">
        <w:t>Phase II</w:t>
      </w:r>
      <w:r w:rsidRPr="00B33310">
        <w:t xml:space="preserve"> </w:t>
      </w:r>
      <w:r w:rsidR="00284E81">
        <w:t>Study</w:t>
      </w:r>
      <w:r w:rsidRPr="00B33310">
        <w:t xml:space="preserve"> CA184004 was performed. This previously evaluated study was a random</w:t>
      </w:r>
      <w:r w:rsidR="00C91631">
        <w:t>is</w:t>
      </w:r>
      <w:r w:rsidR="00A77729">
        <w:t xml:space="preserve">ed, double </w:t>
      </w:r>
      <w:r w:rsidRPr="00B33310">
        <w:t xml:space="preserve">blind, multicentre study of 82 pre-treated or untreated subjects with </w:t>
      </w:r>
      <w:r w:rsidR="009730D1">
        <w:t>un-resectable</w:t>
      </w:r>
      <w:r w:rsidR="00A77729">
        <w:t xml:space="preserve"> Stage III or S</w:t>
      </w:r>
      <w:r w:rsidRPr="00B33310">
        <w:t xml:space="preserve">tage IV melanoma. Subjects received </w:t>
      </w:r>
      <w:r w:rsidR="00F22D76">
        <w:t>ipilimumab</w:t>
      </w:r>
      <w:r w:rsidRPr="00B33310">
        <w:t xml:space="preserve"> </w:t>
      </w:r>
      <w:r w:rsidR="00C108F1">
        <w:t>3 mg</w:t>
      </w:r>
      <w:r w:rsidRPr="00B33310">
        <w:t>/kg (</w:t>
      </w:r>
      <w:r w:rsidR="00F3471F">
        <w:t xml:space="preserve">n = </w:t>
      </w:r>
      <w:r w:rsidRPr="00B33310">
        <w:t>40) or 10 mg/kg (</w:t>
      </w:r>
      <w:r w:rsidR="00F3471F">
        <w:t xml:space="preserve">n = </w:t>
      </w:r>
      <w:r w:rsidRPr="00B33310">
        <w:t>42) every 3 weeks for 4 doses followed by maintenance dosing in eligible subjects. The BRAFV600E mutation status was assessed in 80 tumour biopsies by two compe</w:t>
      </w:r>
      <w:r w:rsidR="00A77729">
        <w:t xml:space="preserve">titive allele </w:t>
      </w:r>
      <w:r w:rsidRPr="00B33310">
        <w:t xml:space="preserve">specific </w:t>
      </w:r>
      <w:r w:rsidR="00A77729">
        <w:t xml:space="preserve">polymerase chain reaction (PCR) </w:t>
      </w:r>
      <w:r w:rsidRPr="00B33310">
        <w:t>based assays. Of these samples, data on disease control were available for 69 subjects.</w:t>
      </w:r>
    </w:p>
    <w:p w:rsidR="00307D0C" w:rsidRDefault="00307D0C" w:rsidP="00307D0C">
      <w:r w:rsidRPr="00B33310">
        <w:t xml:space="preserve">Rates of objective responses (CR or PR) and SD in subjects with BRAFV600E mutation positive tumours (0% CR, 10% PR, and 20% SD) were comparable to </w:t>
      </w:r>
      <w:r w:rsidR="00A77729">
        <w:t xml:space="preserve">those in subjects with the wild </w:t>
      </w:r>
      <w:r w:rsidRPr="00B33310">
        <w:t>type BRAF (3</w:t>
      </w:r>
      <w:r w:rsidR="00A413D2">
        <w:t>.2%,</w:t>
      </w:r>
      <w:r w:rsidRPr="00B33310">
        <w:t xml:space="preserve"> CR, 9.7% PR, and 22.6% SD). Eleven subjects had durable disease control of which 6 (55%) had BRAFV600E mutation positive tumours and 5 (45%) did not. In the 48 subjects without durable disease control, the mutation frequency was 50%. Therefore, in this study of 80 tumours, the </w:t>
      </w:r>
      <w:r w:rsidR="005F5E22">
        <w:t>sponsor</w:t>
      </w:r>
      <w:r w:rsidRPr="00B33310">
        <w:t xml:space="preserve"> concludes that </w:t>
      </w:r>
      <w:r w:rsidR="00F22D76">
        <w:t>ipilimumab</w:t>
      </w:r>
      <w:r w:rsidRPr="00B33310">
        <w:t xml:space="preserve"> was shown to be equally active in BRAFV600E mutant and wild type melanoma.</w:t>
      </w:r>
    </w:p>
    <w:p w:rsidR="00307D0C" w:rsidRDefault="00307D0C" w:rsidP="00307D0C">
      <w:r w:rsidRPr="00B33310">
        <w:t xml:space="preserve">No information was provided by the </w:t>
      </w:r>
      <w:r w:rsidR="005F5E22">
        <w:t>sponsor</w:t>
      </w:r>
      <w:r w:rsidRPr="00B33310">
        <w:t xml:space="preserve"> of the frequency of BRAFV600E status stratified according to previous treatment status, study treatment dose, response and survival (combined).</w:t>
      </w:r>
    </w:p>
    <w:p w:rsidR="00307D0C" w:rsidRPr="00DE19F8" w:rsidRDefault="006B1657" w:rsidP="006B1657">
      <w:pPr>
        <w:pStyle w:val="Comment"/>
        <w:ind w:left="1134" w:hanging="1134"/>
      </w:pPr>
      <w:r>
        <w:rPr>
          <w:b/>
        </w:rPr>
        <w:t>C</w:t>
      </w:r>
      <w:r w:rsidR="006E15A4" w:rsidRPr="00A77729">
        <w:rPr>
          <w:b/>
        </w:rPr>
        <w:t>omment</w:t>
      </w:r>
      <w:r w:rsidR="00B33310" w:rsidRPr="00A77729">
        <w:rPr>
          <w:b/>
        </w:rPr>
        <w:t>:</w:t>
      </w:r>
      <w:r w:rsidR="00B33310" w:rsidRPr="00B33310">
        <w:t xml:space="preserve"> </w:t>
      </w:r>
      <w:r w:rsidR="00307D0C" w:rsidRPr="00B33310">
        <w:t xml:space="preserve">This information has not been requested because on the sample size, the limited analysis, the study design and the post hoc analysis, even with additional data this isolated study provides inadequate evidence supportive of the </w:t>
      </w:r>
      <w:r w:rsidR="005F5E22">
        <w:t>sponsor</w:t>
      </w:r>
      <w:r w:rsidR="00307D0C" w:rsidRPr="00B33310">
        <w:t>’s claim.</w:t>
      </w:r>
    </w:p>
    <w:p w:rsidR="00307D0C" w:rsidRDefault="00307D0C" w:rsidP="00307D0C">
      <w:r w:rsidRPr="00B33310">
        <w:t xml:space="preserve">From the publication </w:t>
      </w:r>
      <w:r w:rsidRPr="002E3EE6">
        <w:t>by Shahabi et al. (2012)</w:t>
      </w:r>
      <w:r w:rsidRPr="00B33310">
        <w:t xml:space="preserve"> regarding this study, 23</w:t>
      </w:r>
      <w:r w:rsidR="005853BB">
        <w:t xml:space="preserve"> out of </w:t>
      </w:r>
      <w:r w:rsidRPr="00B33310">
        <w:t>40 (57.5%) B</w:t>
      </w:r>
      <w:r w:rsidR="004F1477">
        <w:t>RAF</w:t>
      </w:r>
      <w:r w:rsidRPr="00B33310">
        <w:t xml:space="preserve">mt were detected in the </w:t>
      </w:r>
      <w:r w:rsidR="00C108F1">
        <w:t>3 mg</w:t>
      </w:r>
      <w:r w:rsidRPr="00B33310">
        <w:t>/kg cohort, and 17</w:t>
      </w:r>
      <w:r w:rsidR="005853BB">
        <w:t xml:space="preserve"> out of </w:t>
      </w:r>
      <w:r w:rsidRPr="00B33310">
        <w:t xml:space="preserve">40 (42.5%) were detected in the </w:t>
      </w:r>
      <w:r w:rsidR="004F1477">
        <w:t>10 </w:t>
      </w:r>
      <w:r w:rsidR="00C108F1">
        <w:t>mg</w:t>
      </w:r>
      <w:r w:rsidRPr="00B33310">
        <w:t xml:space="preserve">/kg cohort. In addition, the numbers of patients contributing to the above summarised information is as summarised </w:t>
      </w:r>
      <w:r w:rsidRPr="00B95A18">
        <w:t xml:space="preserve">in Table </w:t>
      </w:r>
      <w:r w:rsidR="004572B9">
        <w:t>28</w:t>
      </w:r>
      <w:r w:rsidRPr="00B95A18">
        <w:t>,</w:t>
      </w:r>
      <w:r w:rsidRPr="00B33310">
        <w:t xml:space="preserve"> below.</w:t>
      </w:r>
    </w:p>
    <w:p w:rsidR="00307D0C" w:rsidRPr="00B33310" w:rsidRDefault="00307D0C" w:rsidP="00521385">
      <w:pPr>
        <w:pStyle w:val="Tabletitle"/>
      </w:pPr>
      <w:bookmarkStart w:id="210" w:name="_Toc390676307"/>
      <w:r w:rsidRPr="00B33310">
        <w:t xml:space="preserve">Table </w:t>
      </w:r>
      <w:r w:rsidR="004572B9">
        <w:t>28</w:t>
      </w:r>
      <w:r w:rsidR="006B1657">
        <w:t>:</w:t>
      </w:r>
      <w:r w:rsidRPr="00B33310">
        <w:t xml:space="preserve"> Best overall response according to BRAFV600E status, for patients studied on CA184004</w:t>
      </w:r>
      <w:bookmarkEnd w:id="210"/>
    </w:p>
    <w:tbl>
      <w:tblPr>
        <w:tblStyle w:val="TableTGAblue"/>
        <w:tblW w:w="0" w:type="auto"/>
        <w:tblLook w:val="00A0" w:firstRow="1" w:lastRow="0" w:firstColumn="1" w:lastColumn="0" w:noHBand="0" w:noVBand="0"/>
      </w:tblPr>
      <w:tblGrid>
        <w:gridCol w:w="2943"/>
        <w:gridCol w:w="2159"/>
        <w:gridCol w:w="2551"/>
      </w:tblGrid>
      <w:tr w:rsidR="00307D0C" w:rsidRPr="00DC0066" w:rsidTr="00DC00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Best overall response</w:t>
            </w:r>
          </w:p>
        </w:tc>
        <w:tc>
          <w:tcPr>
            <w:tcW w:w="2159" w:type="dxa"/>
          </w:tcPr>
          <w:p w:rsidR="00307D0C" w:rsidRPr="00DC0066" w:rsidRDefault="00307D0C" w:rsidP="00DC0066">
            <w:pPr>
              <w:cnfStyle w:val="100000000000" w:firstRow="1" w:lastRow="0" w:firstColumn="0" w:lastColumn="0" w:oddVBand="0" w:evenVBand="0" w:oddHBand="0" w:evenHBand="0" w:firstRowFirstColumn="0" w:firstRowLastColumn="0" w:lastRowFirstColumn="0" w:lastRowLastColumn="0"/>
              <w:rPr>
                <w:sz w:val="20"/>
                <w:szCs w:val="20"/>
              </w:rPr>
            </w:pPr>
            <w:r w:rsidRPr="00DC0066">
              <w:rPr>
                <w:sz w:val="20"/>
                <w:szCs w:val="20"/>
              </w:rPr>
              <w:t>Wild-type</w:t>
            </w:r>
          </w:p>
        </w:tc>
        <w:tc>
          <w:tcPr>
            <w:tcW w:w="2551" w:type="dxa"/>
          </w:tcPr>
          <w:p w:rsidR="00307D0C" w:rsidRPr="00DC0066" w:rsidRDefault="00307D0C" w:rsidP="00DC0066">
            <w:pPr>
              <w:cnfStyle w:val="100000000000" w:firstRow="1" w:lastRow="0" w:firstColumn="0" w:lastColumn="0" w:oddVBand="0" w:evenVBand="0" w:oddHBand="0" w:evenHBand="0" w:firstRowFirstColumn="0" w:firstRowLastColumn="0" w:lastRowFirstColumn="0" w:lastRowLastColumn="0"/>
              <w:rPr>
                <w:sz w:val="20"/>
                <w:szCs w:val="20"/>
              </w:rPr>
            </w:pPr>
            <w:r w:rsidRPr="00DC0066">
              <w:rPr>
                <w:sz w:val="20"/>
                <w:szCs w:val="20"/>
              </w:rPr>
              <w:t>BRAFV600E</w:t>
            </w:r>
          </w:p>
        </w:tc>
      </w:tr>
      <w:tr w:rsidR="00307D0C" w:rsidRPr="00DC0066" w:rsidTr="00DC0066">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CR (</w:t>
            </w:r>
            <w:r w:rsidR="00F3471F" w:rsidRPr="00DC0066">
              <w:rPr>
                <w:sz w:val="20"/>
                <w:szCs w:val="20"/>
              </w:rPr>
              <w:t xml:space="preserve">n = </w:t>
            </w:r>
            <w:r w:rsidRPr="00DC0066">
              <w:rPr>
                <w:sz w:val="20"/>
                <w:szCs w:val="20"/>
              </w:rPr>
              <w:t>1)</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1</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NA</w:t>
            </w:r>
          </w:p>
        </w:tc>
      </w:tr>
      <w:tr w:rsidR="00307D0C" w:rsidRPr="00DC0066" w:rsidTr="00DC0066">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PR (</w:t>
            </w:r>
            <w:r w:rsidR="00F3471F" w:rsidRPr="00DC0066">
              <w:rPr>
                <w:sz w:val="20"/>
                <w:szCs w:val="20"/>
              </w:rPr>
              <w:t xml:space="preserve">n = </w:t>
            </w:r>
            <w:r w:rsidRPr="00DC0066">
              <w:rPr>
                <w:sz w:val="20"/>
                <w:szCs w:val="20"/>
              </w:rPr>
              <w:t>6)</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3</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3</w:t>
            </w:r>
          </w:p>
        </w:tc>
      </w:tr>
      <w:tr w:rsidR="00307D0C" w:rsidRPr="00DC0066" w:rsidTr="00DC0066">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SD (</w:t>
            </w:r>
            <w:r w:rsidR="00F3471F" w:rsidRPr="00DC0066">
              <w:rPr>
                <w:sz w:val="20"/>
                <w:szCs w:val="20"/>
              </w:rPr>
              <w:t xml:space="preserve">n = </w:t>
            </w:r>
            <w:r w:rsidRPr="00DC0066">
              <w:rPr>
                <w:sz w:val="20"/>
                <w:szCs w:val="20"/>
              </w:rPr>
              <w:t>13)</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7</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6</w:t>
            </w:r>
          </w:p>
        </w:tc>
      </w:tr>
      <w:tr w:rsidR="00307D0C" w:rsidRPr="00DC0066" w:rsidTr="00DC0066">
        <w:trPr>
          <w:trHeight w:val="220"/>
        </w:trPr>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PD (</w:t>
            </w:r>
            <w:r w:rsidR="00F3471F" w:rsidRPr="00DC0066">
              <w:rPr>
                <w:sz w:val="20"/>
                <w:szCs w:val="20"/>
              </w:rPr>
              <w:t xml:space="preserve">n = </w:t>
            </w:r>
            <w:r w:rsidRPr="00DC0066">
              <w:rPr>
                <w:sz w:val="20"/>
                <w:szCs w:val="20"/>
              </w:rPr>
              <w:t>41)</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20</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21</w:t>
            </w:r>
          </w:p>
        </w:tc>
      </w:tr>
      <w:tr w:rsidR="00307D0C" w:rsidRPr="00DC0066" w:rsidTr="00DC0066">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Unknown (</w:t>
            </w:r>
            <w:r w:rsidR="00F3471F" w:rsidRPr="00DC0066">
              <w:rPr>
                <w:sz w:val="20"/>
                <w:szCs w:val="20"/>
              </w:rPr>
              <w:t xml:space="preserve">n = </w:t>
            </w:r>
            <w:r w:rsidRPr="00DC0066">
              <w:rPr>
                <w:sz w:val="20"/>
                <w:szCs w:val="20"/>
              </w:rPr>
              <w:t>8)</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4</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4</w:t>
            </w:r>
          </w:p>
        </w:tc>
      </w:tr>
      <w:tr w:rsidR="00307D0C" w:rsidRPr="00DC0066" w:rsidTr="00DC0066">
        <w:tc>
          <w:tcPr>
            <w:cnfStyle w:val="001000000000" w:firstRow="0" w:lastRow="0" w:firstColumn="1" w:lastColumn="0" w:oddVBand="0" w:evenVBand="0" w:oddHBand="0" w:evenHBand="0" w:firstRowFirstColumn="0" w:firstRowLastColumn="0" w:lastRowFirstColumn="0" w:lastRowLastColumn="0"/>
            <w:tcW w:w="2943" w:type="dxa"/>
          </w:tcPr>
          <w:p w:rsidR="00307D0C" w:rsidRPr="00DC0066" w:rsidRDefault="00307D0C" w:rsidP="00DC0066">
            <w:pPr>
              <w:rPr>
                <w:sz w:val="20"/>
                <w:szCs w:val="20"/>
              </w:rPr>
            </w:pPr>
            <w:r w:rsidRPr="00DC0066">
              <w:rPr>
                <w:sz w:val="20"/>
                <w:szCs w:val="20"/>
              </w:rPr>
              <w:t>Total</w:t>
            </w:r>
          </w:p>
        </w:tc>
        <w:tc>
          <w:tcPr>
            <w:tcW w:w="2159"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35</w:t>
            </w:r>
          </w:p>
        </w:tc>
        <w:tc>
          <w:tcPr>
            <w:tcW w:w="2551" w:type="dxa"/>
          </w:tcPr>
          <w:p w:rsidR="00307D0C" w:rsidRPr="00DC0066" w:rsidRDefault="00307D0C" w:rsidP="00DC0066">
            <w:pPr>
              <w:cnfStyle w:val="000000000000" w:firstRow="0" w:lastRow="0" w:firstColumn="0" w:lastColumn="0" w:oddVBand="0" w:evenVBand="0" w:oddHBand="0" w:evenHBand="0" w:firstRowFirstColumn="0" w:firstRowLastColumn="0" w:lastRowFirstColumn="0" w:lastRowLastColumn="0"/>
              <w:rPr>
                <w:sz w:val="20"/>
                <w:szCs w:val="20"/>
              </w:rPr>
            </w:pPr>
            <w:r w:rsidRPr="00DC0066">
              <w:rPr>
                <w:sz w:val="20"/>
                <w:szCs w:val="20"/>
              </w:rPr>
              <w:t>34</w:t>
            </w:r>
          </w:p>
        </w:tc>
      </w:tr>
    </w:tbl>
    <w:p w:rsidR="00521385" w:rsidRDefault="00521385" w:rsidP="004F1477">
      <w:pPr>
        <w:pStyle w:val="TableDescription"/>
      </w:pPr>
      <w:r w:rsidRPr="00521385">
        <w:lastRenderedPageBreak/>
        <w:t xml:space="preserve">CR </w:t>
      </w:r>
      <w:proofErr w:type="gramStart"/>
      <w:r w:rsidRPr="00521385">
        <w:t>complete</w:t>
      </w:r>
      <w:proofErr w:type="gramEnd"/>
      <w:r w:rsidRPr="00521385">
        <w:t xml:space="preserve"> response; PR partial response; SD stable disease; PD progressive disease; NA not applicable.</w:t>
      </w:r>
      <w:r w:rsidR="004F1477">
        <w:t xml:space="preserve"> </w:t>
      </w:r>
      <w:r w:rsidRPr="00521385">
        <w:t>This table is reproduced from the publication by Shahabi et al. (2012) with exchange of ‘NA’ instead of ‘0’ given that there were no patients in this group.</w:t>
      </w:r>
    </w:p>
    <w:p w:rsidR="00307D0C" w:rsidRPr="00B33310" w:rsidRDefault="00307D0C" w:rsidP="00307D0C">
      <w:r w:rsidRPr="00B33310">
        <w:t xml:space="preserve">There is insufficient evidence supporting the </w:t>
      </w:r>
      <w:r w:rsidR="005F5E22">
        <w:t>sponsor</w:t>
      </w:r>
      <w:r w:rsidRPr="00B33310">
        <w:t xml:space="preserve">’s conclusions that </w:t>
      </w:r>
      <w:r w:rsidR="00C108F1">
        <w:t>‘</w:t>
      </w:r>
      <w:r w:rsidRPr="00521385">
        <w:rPr>
          <w:i/>
        </w:rPr>
        <w:t xml:space="preserve">Therefore, </w:t>
      </w:r>
      <w:r w:rsidR="00F22D76" w:rsidRPr="00521385">
        <w:rPr>
          <w:i/>
        </w:rPr>
        <w:t>ipilimumab</w:t>
      </w:r>
      <w:r w:rsidR="004F1477">
        <w:rPr>
          <w:i/>
        </w:rPr>
        <w:t xml:space="preserve"> is equally active in B</w:t>
      </w:r>
      <w:r w:rsidRPr="00521385">
        <w:rPr>
          <w:i/>
        </w:rPr>
        <w:t>RAF mutant and wild type melanoma</w:t>
      </w:r>
      <w:r w:rsidRPr="00B33310">
        <w:t>.</w:t>
      </w:r>
      <w:r w:rsidR="00C108F1">
        <w:t>’</w:t>
      </w:r>
      <w:r w:rsidRPr="00B33310">
        <w:t xml:space="preserve"> This is predominantly on the basis of the small numbers examined, and the limited information according to study dosing combined with other relevant factors of interest. Presumably the commercially available castPCR kit referred to in the publication that was additionally utilised to confirm mutation status contained (control) probes for the V600K and V600D mutations. Regardless of this, the sample size of the cohort is unlikely to be sufficient to detect other mutations of lower frequency.</w:t>
      </w:r>
    </w:p>
    <w:p w:rsidR="00307D0C" w:rsidRPr="005C4D71" w:rsidRDefault="00167572" w:rsidP="00167572">
      <w:pPr>
        <w:pStyle w:val="Comment"/>
        <w:ind w:left="1134" w:hanging="1134"/>
      </w:pPr>
      <w:r>
        <w:rPr>
          <w:b/>
        </w:rPr>
        <w:t>C</w:t>
      </w:r>
      <w:r w:rsidR="006E15A4" w:rsidRPr="00521385">
        <w:rPr>
          <w:b/>
        </w:rPr>
        <w:t>omment</w:t>
      </w:r>
      <w:r w:rsidR="00B33310" w:rsidRPr="00521385">
        <w:rPr>
          <w:b/>
        </w:rPr>
        <w:t>:</w:t>
      </w:r>
      <w:r w:rsidR="00B33310" w:rsidRPr="00B33310">
        <w:t xml:space="preserve"> </w:t>
      </w:r>
      <w:r w:rsidR="00307D0C" w:rsidRPr="00B33310">
        <w:t>The table demonstrates that numbers were small in each group, there were only seven patients that responded to treatment, and there was only one patient who had CR.</w:t>
      </w:r>
    </w:p>
    <w:p w:rsidR="00307D0C" w:rsidRPr="00B33310" w:rsidRDefault="00307D0C" w:rsidP="00B33310">
      <w:pPr>
        <w:pStyle w:val="Heading4"/>
      </w:pPr>
      <w:bookmarkStart w:id="211" w:name="_Toc390676222"/>
      <w:r w:rsidRPr="00B33310">
        <w:t>Evaluator’s conclusions on use in patients according to BRAF mutation status</w:t>
      </w:r>
      <w:bookmarkEnd w:id="211"/>
    </w:p>
    <w:p w:rsidR="00307D0C" w:rsidRPr="00B33310" w:rsidRDefault="00307D0C" w:rsidP="00B33310">
      <w:r w:rsidRPr="00B33310">
        <w:t xml:space="preserve">Limited evidence is provided regarding the efficacy of </w:t>
      </w:r>
      <w:r w:rsidR="00F22D76">
        <w:t>ipilimumab</w:t>
      </w:r>
      <w:r w:rsidRPr="00B33310">
        <w:t xml:space="preserve"> regardless of BRAFV600E mutation status, from a small retrospective study of 82 patients without specific details of treatment or survival provided.</w:t>
      </w:r>
    </w:p>
    <w:p w:rsidR="00307D0C" w:rsidRPr="00B33310" w:rsidRDefault="00307D0C" w:rsidP="00B33310">
      <w:r w:rsidRPr="00B33310">
        <w:t xml:space="preserve">Regardless of this, data from a single retrospective Phase II study of 82 patients is not considered sufficient evidence to support use of </w:t>
      </w:r>
      <w:r w:rsidR="00F22D76">
        <w:t>ipilimumab</w:t>
      </w:r>
      <w:r w:rsidRPr="00B33310">
        <w:t xml:space="preserve"> as first line therapy regardless of BRAFmt status for regulatory purposes. Other relevant BRAF mutations (</w:t>
      </w:r>
      <w:r w:rsidR="00CF24F8">
        <w:t>for example</w:t>
      </w:r>
      <w:r w:rsidRPr="00B33310">
        <w:t xml:space="preserve"> BRAFV600K or BRAFV600D) were not detected in this single study, likely due to insufficient numbers to detect less frequent mutations (the power of the study was limited). Numbers examined were small overall, and of particular interest, the total number of patients with a tumour response to the drug was smaller. Comprehensive information was not provided by the </w:t>
      </w:r>
      <w:r w:rsidR="005F5E22">
        <w:t>sponsor</w:t>
      </w:r>
      <w:r w:rsidRPr="00B33310">
        <w:t xml:space="preserve"> with treatment and clinical outcome stratified according to mutation status. Thus, response to </w:t>
      </w:r>
      <w:r w:rsidR="00F22D76">
        <w:t>ipilimumab</w:t>
      </w:r>
      <w:r w:rsidRPr="00B33310">
        <w:t xml:space="preserve"> according to mutation status is insufficiently characterised. Therefore, there is insufficient evidence to support the conclusion written by the sponsor that </w:t>
      </w:r>
      <w:r w:rsidR="00C108F1">
        <w:t>‘</w:t>
      </w:r>
      <w:r w:rsidRPr="00521385">
        <w:rPr>
          <w:i/>
        </w:rPr>
        <w:t xml:space="preserve">Therefore, </w:t>
      </w:r>
      <w:r w:rsidR="00F22D76" w:rsidRPr="00521385">
        <w:rPr>
          <w:i/>
        </w:rPr>
        <w:t>ipilimumab</w:t>
      </w:r>
      <w:r w:rsidR="00BC2E33">
        <w:rPr>
          <w:i/>
        </w:rPr>
        <w:t xml:space="preserve"> is equally active in B</w:t>
      </w:r>
      <w:r w:rsidRPr="00521385">
        <w:rPr>
          <w:i/>
        </w:rPr>
        <w:t>RAF mutant and wild type melanoma</w:t>
      </w:r>
      <w:r w:rsidR="00B33310" w:rsidRPr="00521385">
        <w:rPr>
          <w:i/>
        </w:rPr>
        <w:t>.</w:t>
      </w:r>
      <w:r w:rsidR="00C108F1">
        <w:t>’</w:t>
      </w:r>
    </w:p>
    <w:p w:rsidR="00307D0C" w:rsidRPr="00B33310" w:rsidRDefault="00307D0C" w:rsidP="00B33310">
      <w:r w:rsidRPr="00B33310">
        <w:t xml:space="preserve">From a </w:t>
      </w:r>
      <w:r w:rsidR="00C108F1">
        <w:t>‘</w:t>
      </w:r>
      <w:r w:rsidRPr="00B33310">
        <w:t>real world</w:t>
      </w:r>
      <w:r w:rsidR="00C108F1">
        <w:t>’</w:t>
      </w:r>
      <w:r w:rsidRPr="00B33310">
        <w:t xml:space="preserve"> oncological perspective, patients with mutation positive tumo</w:t>
      </w:r>
      <w:r w:rsidR="00521385">
        <w:t xml:space="preserve">urs are unlikely to receive </w:t>
      </w:r>
      <w:r w:rsidR="00167572">
        <w:t>non-</w:t>
      </w:r>
      <w:r w:rsidR="00167572" w:rsidRPr="00B33310">
        <w:t>targeted</w:t>
      </w:r>
      <w:r w:rsidRPr="00B33310">
        <w:t xml:space="preserve"> therapy (</w:t>
      </w:r>
      <w:r w:rsidR="00CF24F8">
        <w:t>for example</w:t>
      </w:r>
      <w:r w:rsidRPr="00B33310">
        <w:t xml:space="preserve"> chemotherapy, immunotherapy) prior to targeted therapy in order to maximise the number of clinical treatment lines available. The setting whereby therapy is used as </w:t>
      </w:r>
      <w:r w:rsidR="009730D1">
        <w:t>first line</w:t>
      </w:r>
      <w:r w:rsidRPr="00B33310">
        <w:t xml:space="preserve"> treatment is usually established by the appropriate randomised controlled trial demonstrating efficacy (superiority) in relevant populations of sufficient size.</w:t>
      </w:r>
    </w:p>
    <w:p w:rsidR="00307D0C" w:rsidRDefault="00307D0C" w:rsidP="00307D0C">
      <w:r w:rsidRPr="00B33310">
        <w:t xml:space="preserve">The </w:t>
      </w:r>
      <w:r w:rsidR="005F5E22">
        <w:t>sponsor</w:t>
      </w:r>
      <w:r w:rsidRPr="00B33310">
        <w:t xml:space="preserve"> has proposed a change to the PI, to alter </w:t>
      </w:r>
      <w:r w:rsidR="00167572">
        <w:t>clinical trial information</w:t>
      </w:r>
      <w:r w:rsidR="00167572" w:rsidRPr="00B33310">
        <w:t xml:space="preserve"> </w:t>
      </w:r>
      <w:r w:rsidRPr="00B33310">
        <w:t xml:space="preserve">for the study description of MDX010-20 was updated to include the following statement: </w:t>
      </w:r>
      <w:r w:rsidR="00C108F1">
        <w:t>‘</w:t>
      </w:r>
      <w:r w:rsidRPr="00B33310">
        <w:t>Patients were enrolled regardless of their baseline BRAF mutation status.</w:t>
      </w:r>
      <w:r w:rsidR="00C108F1">
        <w:t>’</w:t>
      </w:r>
      <w:r w:rsidRPr="00B33310">
        <w:t xml:space="preserve"> Whilst this statement is true with respect to the trial, this may be mistaken to imply that the efficacy of </w:t>
      </w:r>
      <w:r w:rsidR="00F22D76">
        <w:t>ipilimumab</w:t>
      </w:r>
      <w:r w:rsidRPr="00B33310">
        <w:t xml:space="preserve"> has been sufficiently examined and proven to be equal in BRAFmt positive and negative tumours. The efficacy of </w:t>
      </w:r>
      <w:r w:rsidR="00F22D76">
        <w:t>ipilimumab</w:t>
      </w:r>
      <w:r w:rsidRPr="00B33310">
        <w:t xml:space="preserve"> according to BRAF mutations status has been sufficiently investigated, and the proposed change to the PI is not supported with adequate data to justify this change. A trial to directly compare the efficacy of BRAF targeted therapy versus </w:t>
      </w:r>
      <w:r w:rsidR="00F22D76">
        <w:t>ipilimumab</w:t>
      </w:r>
      <w:r w:rsidRPr="00B33310">
        <w:t xml:space="preserve"> in the first line setting with BRAFmt status prospectively collected, would need to be performed to provide randomised evidence for the benefit of </w:t>
      </w:r>
      <w:r w:rsidR="00F22D76">
        <w:t>ipilimumab</w:t>
      </w:r>
      <w:r w:rsidRPr="00B33310">
        <w:t xml:space="preserve"> in the first line setting.</w:t>
      </w:r>
    </w:p>
    <w:p w:rsidR="00C22678" w:rsidRDefault="00C22678" w:rsidP="00C22678">
      <w:pPr>
        <w:pStyle w:val="Heading2"/>
      </w:pPr>
      <w:bookmarkStart w:id="212" w:name="_Toc475616225"/>
      <w:r>
        <w:lastRenderedPageBreak/>
        <w:t>Clinical safety</w:t>
      </w:r>
      <w:bookmarkEnd w:id="212"/>
    </w:p>
    <w:p w:rsidR="000957AE" w:rsidRPr="00CE5029" w:rsidRDefault="000957AE" w:rsidP="00CE5029">
      <w:pPr>
        <w:pStyle w:val="Heading3"/>
      </w:pPr>
      <w:bookmarkStart w:id="213" w:name="_Toc272414659"/>
      <w:bookmarkStart w:id="214" w:name="_Toc290846284"/>
      <w:bookmarkStart w:id="215" w:name="_Toc390676224"/>
      <w:bookmarkStart w:id="216" w:name="_Toc475616226"/>
      <w:r w:rsidRPr="00CE5029">
        <w:t>Studies providing evaluable safety data</w:t>
      </w:r>
      <w:bookmarkEnd w:id="213"/>
      <w:bookmarkEnd w:id="214"/>
      <w:bookmarkEnd w:id="215"/>
      <w:bookmarkEnd w:id="216"/>
    </w:p>
    <w:p w:rsidR="000957AE" w:rsidRPr="00CE5029" w:rsidRDefault="000957AE" w:rsidP="00CE5029">
      <w:pPr>
        <w:pStyle w:val="Heading4"/>
      </w:pPr>
      <w:bookmarkStart w:id="217" w:name="_Ref268776745"/>
      <w:bookmarkStart w:id="218" w:name="_Toc390676225"/>
      <w:r w:rsidRPr="00CE5029">
        <w:t>Pivotal efficacy studies</w:t>
      </w:r>
      <w:bookmarkEnd w:id="217"/>
      <w:bookmarkEnd w:id="218"/>
    </w:p>
    <w:p w:rsidR="000957AE" w:rsidRPr="001B6D6B" w:rsidRDefault="000957AE" w:rsidP="000957AE">
      <w:r w:rsidRPr="00CE5029">
        <w:t xml:space="preserve">As commented previously, in the context of the current application for the </w:t>
      </w:r>
      <w:r w:rsidR="00C108F1">
        <w:t>3 mg</w:t>
      </w:r>
      <w:r w:rsidRPr="00CE5029">
        <w:t xml:space="preserve">/kg posology, no submitted studies are considered pivotal. The </w:t>
      </w:r>
      <w:r w:rsidR="005F5E22">
        <w:t>sponsor</w:t>
      </w:r>
      <w:r w:rsidRPr="00CE5029">
        <w:t xml:space="preserve"> states that the primary evidence of safety for the current application comes from data from previously evaluated studies that utilise the </w:t>
      </w:r>
      <w:r w:rsidR="00521385">
        <w:t>3 </w:t>
      </w:r>
      <w:r w:rsidR="00C108F1">
        <w:t>mg</w:t>
      </w:r>
      <w:r w:rsidRPr="00CE5029">
        <w:t>/kg posology and a maintenance phase.</w:t>
      </w:r>
    </w:p>
    <w:p w:rsidR="000957AE" w:rsidRPr="00CE5029" w:rsidRDefault="000957AE" w:rsidP="00CE5029">
      <w:pPr>
        <w:pStyle w:val="Heading4"/>
      </w:pPr>
      <w:bookmarkStart w:id="219" w:name="_Toc390676226"/>
      <w:r w:rsidRPr="00CE5029">
        <w:t>Pivotal studies that assessed safety as a primary outcome</w:t>
      </w:r>
      <w:bookmarkEnd w:id="219"/>
    </w:p>
    <w:p w:rsidR="000957AE" w:rsidRDefault="000957AE" w:rsidP="000957AE">
      <w:r w:rsidRPr="00CE5029">
        <w:t>There were</w:t>
      </w:r>
      <w:r w:rsidR="00CE5029">
        <w:t xml:space="preserve"> no relevant studies submitted.</w:t>
      </w:r>
    </w:p>
    <w:p w:rsidR="000957AE" w:rsidRDefault="000957AE" w:rsidP="00CE5029">
      <w:pPr>
        <w:pStyle w:val="Heading4"/>
      </w:pPr>
      <w:bookmarkStart w:id="220" w:name="_Toc390676227"/>
      <w:r w:rsidRPr="00CE5029">
        <w:t>Dose-response and non-pivotal efficacy studies</w:t>
      </w:r>
      <w:bookmarkEnd w:id="220"/>
    </w:p>
    <w:p w:rsidR="00CE5029" w:rsidRPr="00CE5029" w:rsidRDefault="00BC2E33" w:rsidP="00CE5029">
      <w:r>
        <w:t>N</w:t>
      </w:r>
      <w:r w:rsidR="00CE5029" w:rsidRPr="00CE5029">
        <w:t>o pivotal study was submitted in support of the proposed usage. The majority of studies within this application provided limited relevant evidence. Thus, the majority of the safety data from these studies also provide limited relevant data.</w:t>
      </w:r>
    </w:p>
    <w:p w:rsidR="00CE5029" w:rsidRPr="00CE5029" w:rsidRDefault="00CE5029" w:rsidP="00CE5029">
      <w:r w:rsidRPr="00CE5029">
        <w:t>Review of the submitted studies has identified a number of uncertainties regarding the accuracy of the source safety data and subsequent analyses from these sources. Overall, the uncertainties regarding the safety data for all studies refer to;</w:t>
      </w:r>
    </w:p>
    <w:p w:rsidR="00CE5029" w:rsidRPr="00CE5029" w:rsidRDefault="00CE5029" w:rsidP="00FE2511">
      <w:pPr>
        <w:pStyle w:val="Numberbullet0"/>
        <w:numPr>
          <w:ilvl w:val="0"/>
          <w:numId w:val="17"/>
        </w:numPr>
      </w:pPr>
      <w:r w:rsidRPr="00CE5029">
        <w:t>The appropriate documentation of AEs</w:t>
      </w:r>
    </w:p>
    <w:p w:rsidR="00CE5029" w:rsidRPr="00CE5029" w:rsidRDefault="00CE5029" w:rsidP="00FE2511">
      <w:pPr>
        <w:pStyle w:val="Numberbullet0"/>
        <w:numPr>
          <w:ilvl w:val="0"/>
          <w:numId w:val="17"/>
        </w:numPr>
      </w:pPr>
      <w:r w:rsidRPr="00CE5029">
        <w:t>The grading of AEs</w:t>
      </w:r>
    </w:p>
    <w:p w:rsidR="00CE5029" w:rsidRPr="00CE5029" w:rsidRDefault="00CE5029" w:rsidP="00FE2511">
      <w:pPr>
        <w:pStyle w:val="Numberbullet0"/>
        <w:numPr>
          <w:ilvl w:val="0"/>
          <w:numId w:val="17"/>
        </w:numPr>
      </w:pPr>
      <w:r w:rsidRPr="00CE5029">
        <w:t>The allocation of causality for AEs</w:t>
      </w:r>
    </w:p>
    <w:p w:rsidR="00CE5029" w:rsidRPr="00CE5029" w:rsidRDefault="00CE5029" w:rsidP="00FE2511">
      <w:pPr>
        <w:pStyle w:val="Numberbullet0"/>
        <w:numPr>
          <w:ilvl w:val="0"/>
          <w:numId w:val="17"/>
        </w:numPr>
      </w:pPr>
      <w:r w:rsidRPr="00CE5029">
        <w:t>The summarised data is limited due to the two previous points and the text does not comprehensively summarise clinically meaningful information</w:t>
      </w:r>
    </w:p>
    <w:p w:rsidR="00CE5029" w:rsidRPr="00CE5029" w:rsidRDefault="00CE5029" w:rsidP="00FE2511">
      <w:pPr>
        <w:pStyle w:val="Numberbullet0"/>
        <w:numPr>
          <w:ilvl w:val="0"/>
          <w:numId w:val="17"/>
        </w:numPr>
      </w:pPr>
      <w:r w:rsidRPr="00CE5029">
        <w:t>The presentation of data appears to minimise the frequency of clinically meaningful safety data, through the use of MedDRA preferred terms which are highly specific (in comparison to considering higher level terms, collapsing terms or summating the data in a meaningful way)</w:t>
      </w:r>
    </w:p>
    <w:p w:rsidR="00CE5029" w:rsidRPr="00CE5029" w:rsidRDefault="00CE5029" w:rsidP="00FE2511">
      <w:pPr>
        <w:pStyle w:val="Numberbullet0"/>
        <w:numPr>
          <w:ilvl w:val="0"/>
          <w:numId w:val="17"/>
        </w:numPr>
      </w:pPr>
      <w:r w:rsidRPr="00CE5029">
        <w:t>Specific pertinent examples of deficiencies include the apparent incorrect documentation of Grade 5 events (representation on tables, reporting, and allocation of causality), GI perforations, GI toxicity in general, hepatotoxicity, and a case o</w:t>
      </w:r>
      <w:r>
        <w:t>f G4 optic neuritis (CA184078).</w:t>
      </w:r>
    </w:p>
    <w:p w:rsidR="00CE5029" w:rsidRPr="00CE5029" w:rsidRDefault="00CE5029" w:rsidP="00CE5029">
      <w:r w:rsidRPr="00CE5029">
        <w:t xml:space="preserve">Thus as the accuracy of source data is uncertain, the accuracy of subsequent analyses are also uncertain. Resultantly, the </w:t>
      </w:r>
      <w:r w:rsidR="005F5E22">
        <w:t>sponsor</w:t>
      </w:r>
      <w:r w:rsidRPr="00CE5029">
        <w:t xml:space="preserve"> has not adequately presented safety data in a manner that facilitated the assessment of the drug’s safety.</w:t>
      </w:r>
    </w:p>
    <w:p w:rsidR="00CE5029" w:rsidRPr="00CE5029" w:rsidRDefault="00CE5029" w:rsidP="00CE5029">
      <w:r w:rsidRPr="00CE5029">
        <w:t xml:space="preserve">However, questions to the </w:t>
      </w:r>
      <w:r w:rsidR="005F5E22">
        <w:t>sponsor</w:t>
      </w:r>
      <w:r w:rsidR="003D3BCB">
        <w:t xml:space="preserve"> within this s</w:t>
      </w:r>
      <w:r w:rsidRPr="00CE5029">
        <w:t>ection focus only on information that will inform the safety of the drug relevant for the proposed usage. Again, there are no randomised studies submitted that provide relevant safety info</w:t>
      </w:r>
      <w:r>
        <w:t>rmation for the proposed usage.</w:t>
      </w:r>
    </w:p>
    <w:p w:rsidR="00CE5029" w:rsidRPr="00CE5029" w:rsidRDefault="00CE5029" w:rsidP="00CE5029">
      <w:r w:rsidRPr="00CE5029">
        <w:t>The following studies submitted with this application that provide evaluable safety data are</w:t>
      </w:r>
      <w:r>
        <w:t>:</w:t>
      </w:r>
    </w:p>
    <w:p w:rsidR="00CE5029" w:rsidRPr="00CE5029" w:rsidRDefault="00CE5029" w:rsidP="00CE5029">
      <w:r w:rsidRPr="00CE5029">
        <w:t>CA184024, CA184042, MDX010-16, CA184078, one observational study (one did not capture safety events), and one EAP study</w:t>
      </w:r>
      <w:r w:rsidR="003D3BCB">
        <w:t xml:space="preserve">. </w:t>
      </w:r>
      <w:r w:rsidRPr="00CE5029">
        <w:t xml:space="preserve">A synopsis of MDX010-16 </w:t>
      </w:r>
      <w:r w:rsidR="003D3BCB">
        <w:t xml:space="preserve">was provided </w:t>
      </w:r>
      <w:r w:rsidRPr="00CE5029">
        <w:t xml:space="preserve">due to its investigation of drug use in the adjuvant setting, whilst all other newly submitted studies have been comprehensively summarised </w:t>
      </w:r>
      <w:r w:rsidR="00167572">
        <w:t xml:space="preserve">above </w:t>
      </w:r>
      <w:r w:rsidRPr="00CE5029">
        <w:t>in Section 7.</w:t>
      </w:r>
    </w:p>
    <w:p w:rsidR="00CE5029" w:rsidRPr="00CE5029" w:rsidRDefault="00CE5029" w:rsidP="00CE5029">
      <w:r w:rsidRPr="00CE5029">
        <w:t>As an important background, there are a number of key issues identified through the course of evaluation, which should be noted to permit the appropriate interpretation of safety ev</w:t>
      </w:r>
      <w:r w:rsidR="00167572">
        <w:t>ents. These are described below.</w:t>
      </w:r>
    </w:p>
    <w:p w:rsidR="00CE5029" w:rsidRPr="00CE5029" w:rsidRDefault="00CE5029" w:rsidP="00BC2E33">
      <w:pPr>
        <w:pStyle w:val="Numberbullet0"/>
        <w:numPr>
          <w:ilvl w:val="0"/>
          <w:numId w:val="15"/>
        </w:numPr>
      </w:pPr>
      <w:r w:rsidRPr="00887C42">
        <w:lastRenderedPageBreak/>
        <w:t>Note should be made that some Grade 2 events represent clinically serious AEs due to the necessity of dose skipping and the hospitalisation of patients for the management of events.</w:t>
      </w:r>
      <w:r w:rsidR="00BC2E33">
        <w:t xml:space="preserve"> </w:t>
      </w:r>
      <w:r w:rsidRPr="00CE5029">
        <w:t xml:space="preserve">For example, it is worth noting two amendments to the CA184024 protocol that were made post subject enrolment and were in response to SAEs on this study. Attention is brought to these SAEs as these amendments indicate dose skipping or discontinuation was required with Grade 2 events that may be overlooked as less serious </w:t>
      </w:r>
      <w:r>
        <w:t>AEs.</w:t>
      </w:r>
    </w:p>
    <w:p w:rsidR="00CE5029" w:rsidRPr="00CE5029" w:rsidRDefault="00CE5029" w:rsidP="00147263">
      <w:pPr>
        <w:ind w:left="425"/>
      </w:pPr>
      <w:r w:rsidRPr="00CE5029">
        <w:t>Amendment 9 of the protocol indicated that:</w:t>
      </w:r>
    </w:p>
    <w:p w:rsidR="00CE5029" w:rsidRPr="00167572" w:rsidRDefault="00C108F1" w:rsidP="00147263">
      <w:pPr>
        <w:ind w:left="785"/>
      </w:pPr>
      <w:r w:rsidRPr="00167572">
        <w:t>‘</w:t>
      </w:r>
      <w:r w:rsidR="00CE5029" w:rsidRPr="00167572">
        <w:t>It may be necessary to skip study drug dosing for the following related adverse event(s):</w:t>
      </w:r>
    </w:p>
    <w:p w:rsidR="00CE5029" w:rsidRPr="00167572" w:rsidRDefault="00CE5029" w:rsidP="00147263">
      <w:pPr>
        <w:pStyle w:val="ListBullet"/>
        <w:ind w:left="1145"/>
      </w:pPr>
      <w:r w:rsidRPr="00167572">
        <w:t xml:space="preserve">Any </w:t>
      </w:r>
      <w:r w:rsidR="00A413D2" w:rsidRPr="00167572">
        <w:t>≥</w:t>
      </w:r>
      <w:r w:rsidRPr="00167572">
        <w:t xml:space="preserve"> Grade 2 non-skin related adverse event (including IBEs), except for laboratory abnormalities</w:t>
      </w:r>
    </w:p>
    <w:p w:rsidR="00CE5029" w:rsidRPr="00167572" w:rsidRDefault="00CE5029" w:rsidP="00147263">
      <w:pPr>
        <w:pStyle w:val="ListBullet"/>
        <w:ind w:left="1145"/>
      </w:pPr>
      <w:r w:rsidRPr="00167572">
        <w:t xml:space="preserve">Any </w:t>
      </w:r>
      <w:r w:rsidR="00A413D2" w:rsidRPr="00167572">
        <w:t>≥</w:t>
      </w:r>
      <w:r w:rsidRPr="00167572">
        <w:t xml:space="preserve"> Grade 3 laboratory abnormality</w:t>
      </w:r>
    </w:p>
    <w:p w:rsidR="00CE5029" w:rsidRPr="00167572" w:rsidRDefault="00CE5029" w:rsidP="00147263">
      <w:pPr>
        <w:ind w:left="785"/>
      </w:pPr>
      <w:r w:rsidRPr="00167572">
        <w:t>It is necessary to skip study drug dosing for the following adverse events:</w:t>
      </w:r>
    </w:p>
    <w:p w:rsidR="00CE5029" w:rsidRPr="00167572" w:rsidRDefault="00CE5029" w:rsidP="00147263">
      <w:pPr>
        <w:pStyle w:val="ListBullet"/>
        <w:ind w:left="1145"/>
      </w:pPr>
      <w:r w:rsidRPr="00167572">
        <w:t xml:space="preserve">Any </w:t>
      </w:r>
      <w:r w:rsidR="00A413D2" w:rsidRPr="00167572">
        <w:t>≥</w:t>
      </w:r>
      <w:r w:rsidR="00BC2E33" w:rsidRPr="00167572">
        <w:t xml:space="preserve"> Grade 3 skin </w:t>
      </w:r>
      <w:r w:rsidRPr="00167572">
        <w:t>related adverse event regardless of causality.</w:t>
      </w:r>
      <w:r w:rsidR="00C108F1" w:rsidRPr="00167572">
        <w:t>’</w:t>
      </w:r>
    </w:p>
    <w:p w:rsidR="00CE5029" w:rsidRPr="00167572" w:rsidRDefault="00CE5029" w:rsidP="00147263">
      <w:pPr>
        <w:ind w:left="425"/>
      </w:pPr>
      <w:r w:rsidRPr="00167572">
        <w:t xml:space="preserve">Amendment 7 </w:t>
      </w:r>
      <w:r w:rsidR="00887C42" w:rsidRPr="00167572">
        <w:t>of the protocol indicated that;</w:t>
      </w:r>
    </w:p>
    <w:p w:rsidR="00CE5029" w:rsidRPr="00167572" w:rsidRDefault="00C108F1" w:rsidP="00147263">
      <w:pPr>
        <w:ind w:left="785"/>
      </w:pPr>
      <w:r w:rsidRPr="00167572">
        <w:t>‘</w:t>
      </w:r>
      <w:r w:rsidR="00CE5029" w:rsidRPr="00167572">
        <w:t>Permanent Discontinuation of study drug for related adverse events or other criteria:</w:t>
      </w:r>
    </w:p>
    <w:p w:rsidR="00CE5029" w:rsidRPr="00167572" w:rsidRDefault="00CE5029" w:rsidP="00147263">
      <w:pPr>
        <w:pStyle w:val="ListBullet"/>
        <w:ind w:left="1145"/>
      </w:pPr>
      <w:r w:rsidRPr="00167572">
        <w:t xml:space="preserve">Any </w:t>
      </w:r>
      <w:r w:rsidR="00A413D2" w:rsidRPr="00167572">
        <w:t>≥</w:t>
      </w:r>
      <w:r w:rsidRPr="00167572">
        <w:t xml:space="preserve"> Grade 3 eye pain or reduction of visual acuity or any </w:t>
      </w:r>
      <w:r w:rsidR="00A413D2" w:rsidRPr="00167572">
        <w:t>≤</w:t>
      </w:r>
      <w:r w:rsidRPr="00167572">
        <w:t xml:space="preserve"> Grade 2 ocular toxicity that does not respond to topical therapy.</w:t>
      </w:r>
      <w:r w:rsidR="00C108F1" w:rsidRPr="00167572">
        <w:t>’</w:t>
      </w:r>
    </w:p>
    <w:p w:rsidR="00CE5029" w:rsidRPr="00CE5029" w:rsidRDefault="00CE5029" w:rsidP="00147263">
      <w:pPr>
        <w:ind w:left="425"/>
      </w:pPr>
      <w:r w:rsidRPr="00CE5029">
        <w:t>See the next point for further elaboration of this point.</w:t>
      </w:r>
    </w:p>
    <w:p w:rsidR="00CE5029" w:rsidRPr="00CE5029" w:rsidRDefault="00CE5029" w:rsidP="00CE5029">
      <w:pPr>
        <w:pStyle w:val="Numberbullet0"/>
      </w:pPr>
      <w:r w:rsidRPr="00CE5029">
        <w:t>Limitations of the (appropriately used) conventional CTCAE criteria to represent the severity of AEs should also be noted. The limitations are irrespective of the version utilised. Limitations of any toxicity grading criteria are an anticipated normality that requires clinical expertise for the assessment, summary and interpretation of the data in a clinically meaningful fashion.</w:t>
      </w:r>
    </w:p>
    <w:p w:rsidR="00CE5029" w:rsidRPr="00CE5029" w:rsidRDefault="00CE5029" w:rsidP="00147263">
      <w:pPr>
        <w:ind w:left="425"/>
      </w:pPr>
      <w:r w:rsidRPr="00CE5029">
        <w:t xml:space="preserve">For example, version 3.0 does not incorporate hospitalisation into the grading of the severity of vomiting. Thus, a number of patients were hospitalised for Grade 2 vomiting. Similarly, whilst hospitalisation for </w:t>
      </w:r>
      <w:r w:rsidR="00C108F1">
        <w:t>‘</w:t>
      </w:r>
      <w:r w:rsidRPr="00CE5029">
        <w:t>diarrhoea</w:t>
      </w:r>
      <w:r w:rsidR="00C108F1">
        <w:t>’</w:t>
      </w:r>
      <w:r w:rsidRPr="00CE5029">
        <w:t xml:space="preserve"> is a Gr</w:t>
      </w:r>
      <w:r w:rsidR="0045181F">
        <w:t>ade</w:t>
      </w:r>
      <w:r w:rsidRPr="00CE5029">
        <w:t xml:space="preserve"> 3 event, for </w:t>
      </w:r>
      <w:r w:rsidR="00C108F1">
        <w:t>‘</w:t>
      </w:r>
      <w:r w:rsidRPr="00CE5029">
        <w:t>colitis</w:t>
      </w:r>
      <w:r w:rsidR="00C108F1">
        <w:t>’</w:t>
      </w:r>
      <w:r w:rsidRPr="00CE5029">
        <w:t xml:space="preserve"> hospitalisation is not accounted for in the grading system and thus a number of patients were hospitalised for less than Gr</w:t>
      </w:r>
      <w:r w:rsidR="0045181F">
        <w:t xml:space="preserve">ade </w:t>
      </w:r>
      <w:r w:rsidRPr="00CE5029">
        <w:t xml:space="preserve">3 colitis. </w:t>
      </w:r>
      <w:r w:rsidR="00C108F1">
        <w:t>‘</w:t>
      </w:r>
      <w:r w:rsidRPr="00CE5029">
        <w:t>Autoimmune colitis</w:t>
      </w:r>
      <w:r w:rsidR="00C108F1">
        <w:t>’</w:t>
      </w:r>
      <w:r w:rsidRPr="00CE5029">
        <w:t xml:space="preserve"> however, classes hospitalisation as a Gr</w:t>
      </w:r>
      <w:r w:rsidR="0045181F">
        <w:t>ade</w:t>
      </w:r>
      <w:r w:rsidRPr="00CE5029">
        <w:t xml:space="preserve"> 3 event. All these terms are often reported </w:t>
      </w:r>
      <w:r w:rsidR="00147263">
        <w:t>sep</w:t>
      </w:r>
      <w:r w:rsidRPr="00CE5029">
        <w:t xml:space="preserve">arately as MedDRA </w:t>
      </w:r>
      <w:r w:rsidR="00C108F1">
        <w:t>‘</w:t>
      </w:r>
      <w:r w:rsidRPr="00CE5029">
        <w:t>preferred terms</w:t>
      </w:r>
      <w:r w:rsidR="00C108F1">
        <w:t>’</w:t>
      </w:r>
      <w:r w:rsidRPr="00CE5029">
        <w:t xml:space="preserve"> within the provided narratives and tables of the CSRs. Thus, if diarrhoea is captured only as </w:t>
      </w:r>
      <w:r w:rsidR="00C108F1">
        <w:t>‘</w:t>
      </w:r>
      <w:r w:rsidRPr="00CE5029">
        <w:t>colitis</w:t>
      </w:r>
      <w:r w:rsidR="00C108F1">
        <w:t>’</w:t>
      </w:r>
      <w:r w:rsidRPr="00CE5029">
        <w:t xml:space="preserve"> an indication of whether hospitalisation resulted</w:t>
      </w:r>
      <w:r>
        <w:t xml:space="preserve"> for the AE is not represented.</w:t>
      </w:r>
    </w:p>
    <w:p w:rsidR="00CE5029" w:rsidRPr="00CE5029" w:rsidRDefault="00CE5029" w:rsidP="0045181F">
      <w:pPr>
        <w:ind w:left="425"/>
      </w:pPr>
      <w:r w:rsidRPr="00CE5029">
        <w:t>Furthermore, the requirement for systemic corticosteroids or other agents (</w:t>
      </w:r>
      <w:r w:rsidR="00CF24F8">
        <w:t>for example</w:t>
      </w:r>
      <w:r w:rsidRPr="00CE5029">
        <w:t xml:space="preserve"> infliximab) or TPN or surgical intervention is also not necessarily taken into account in the toxicity grading system.</w:t>
      </w:r>
      <w:r w:rsidR="0045181F">
        <w:t xml:space="preserve"> </w:t>
      </w:r>
      <w:r w:rsidRPr="00CE5029">
        <w:t>Thus, the clinical severity of the AE may not be accurately represented by the grade or the choice of clinical term used and its subsequent grading system.</w:t>
      </w:r>
    </w:p>
    <w:p w:rsidR="00CE5029" w:rsidRDefault="00CE5029" w:rsidP="00DC0066">
      <w:pPr>
        <w:pStyle w:val="Numberbullet0"/>
      </w:pPr>
      <w:r w:rsidRPr="00CE5029">
        <w:t>The statistical analysis plan should be noted for each report as these were not necessarily uniform</w:t>
      </w:r>
      <w:r w:rsidRPr="0045181F">
        <w:t>. The statistical plan for the Summary of Clinical Safety was excellent and embedded within each relevant section of the report. In comparison, the statistical analysis plan for the safety analysis of CSRs often required cross referencing to the Appendix. It</w:t>
      </w:r>
      <w:r w:rsidRPr="00CE5029">
        <w:t xml:space="preserve"> is unclear if each newly submitted study and analysis used different MedDRA terms, and conventions for dealing with multiple AEs within a time period. For example, in the pooled analyses for trials using the </w:t>
      </w:r>
      <w:r w:rsidR="00C108F1">
        <w:t>3 mg</w:t>
      </w:r>
      <w:r w:rsidRPr="00CE5029">
        <w:t xml:space="preserve">/kg </w:t>
      </w:r>
      <w:r>
        <w:t>posology, MedDRA v14.1 was used. For multiple episodes of the same AE rates of the event were calculated;</w:t>
      </w:r>
    </w:p>
    <w:p w:rsidR="00CE5029" w:rsidRPr="00167572" w:rsidRDefault="00C108F1" w:rsidP="00DC0066">
      <w:pPr>
        <w:ind w:left="426"/>
      </w:pPr>
      <w:r>
        <w:lastRenderedPageBreak/>
        <w:t>‘</w:t>
      </w:r>
      <w:r w:rsidR="00CE5029" w:rsidRPr="00167572">
        <w:t>All multiple event presentations during the induction period were performed for all treated subjects. The induction period started from the first date of study therapy dosing and ended 70 days after the last date of study therapy dosing in the induction period or at the day before the first</w:t>
      </w:r>
      <w:r w:rsidR="00147263" w:rsidRPr="00167572">
        <w:t xml:space="preserve"> maintenance/re-induction/cross </w:t>
      </w:r>
      <w:r w:rsidR="00CE5029" w:rsidRPr="00167572">
        <w:t>over dose, whichever came first. Incidence rates per 100 person-years were calculated and summar</w:t>
      </w:r>
      <w:r w:rsidR="00C91631" w:rsidRPr="00167572">
        <w:t>is</w:t>
      </w:r>
      <w:r w:rsidR="00CE5029" w:rsidRPr="00167572">
        <w:t>ed for all AEs during the induction period. The numerator is the number of unique events (</w:t>
      </w:r>
      <w:r w:rsidR="0026410F" w:rsidRPr="00167572">
        <w:t>that is</w:t>
      </w:r>
      <w:r w:rsidR="00CE5029" w:rsidRPr="00167572">
        <w:t xml:space="preserve">, after duplicates were eliminated and overlapping and contiguous occurrences of the same event were collapsed) during the induction period. The denominator is the overall total exposure (person-years) during the induction period with total exposure (person-years) calculated as the sum over all subjects of (minimum </w:t>
      </w:r>
      <w:r w:rsidR="00BE4457" w:rsidRPr="00167572">
        <w:t>(</w:t>
      </w:r>
      <w:r w:rsidR="00CE5029" w:rsidRPr="00167572">
        <w:t>last date of stud</w:t>
      </w:r>
      <w:r w:rsidR="0045181F" w:rsidRPr="00167572">
        <w:t>y therapy dosing in induction + </w:t>
      </w:r>
      <w:r w:rsidR="00CE5029" w:rsidRPr="00167572">
        <w:t>70, maintenance/re-induction/cross-over first dose date - 1</w:t>
      </w:r>
      <w:r w:rsidR="00BE4457" w:rsidRPr="00167572">
        <w:t>)</w:t>
      </w:r>
      <w:r w:rsidR="0045181F" w:rsidRPr="00167572">
        <w:t xml:space="preserve"> - </w:t>
      </w:r>
      <w:r w:rsidR="00CE5029" w:rsidRPr="00167572">
        <w:t>first date of study therapy dosing +</w:t>
      </w:r>
      <w:r w:rsidR="0045181F" w:rsidRPr="00167572">
        <w:t xml:space="preserve"> </w:t>
      </w:r>
      <w:r w:rsidR="00CE5029" w:rsidRPr="00167572">
        <w:t>1)/365.25, regardless if the subject had events or not. The resulting incidence rate is multiplied by 100 to express the rate per 100 person-years.</w:t>
      </w:r>
    </w:p>
    <w:p w:rsidR="00CE5029" w:rsidRPr="00167572" w:rsidRDefault="0089761E" w:rsidP="00DC0066">
      <w:pPr>
        <w:ind w:left="426"/>
      </w:pPr>
      <w:r w:rsidRPr="00167572">
        <w:t xml:space="preserve">Similarly, for all immune </w:t>
      </w:r>
      <w:r w:rsidR="00CE5029" w:rsidRPr="00167572">
        <w:t>related AEs (irAEs), incidence rates per 100 person-years were summar</w:t>
      </w:r>
      <w:r w:rsidR="00C91631" w:rsidRPr="00167572">
        <w:t>is</w:t>
      </w:r>
      <w:r w:rsidRPr="00167572">
        <w:t xml:space="preserve">ed by time interval: 0 to 6 months, 6 to </w:t>
      </w:r>
      <w:r w:rsidR="00CE5029" w:rsidRPr="00167572">
        <w:t>12 months and annually thereafter. In addition, the number of subjects who experienced an irAE once or multiple times during the induction period is presented.</w:t>
      </w:r>
      <w:r w:rsidR="00C108F1" w:rsidRPr="00167572">
        <w:t>’</w:t>
      </w:r>
    </w:p>
    <w:p w:rsidR="00CE5029" w:rsidRPr="00CE5029" w:rsidRDefault="00CE5029" w:rsidP="00147263">
      <w:pPr>
        <w:ind w:left="425"/>
      </w:pPr>
      <w:r w:rsidRPr="00CE5029">
        <w:t xml:space="preserve">In comparison, for CA184024, MedDRA v13.1 was used for the analysis. It appears that multiple AEs were categorised in different ways. Only the worst CTCAE grade was reported for some tables such as </w:t>
      </w:r>
      <w:r w:rsidR="00C108F1">
        <w:t>‘</w:t>
      </w:r>
      <w:r w:rsidRPr="00CE5029">
        <w:t xml:space="preserve">Inflammatory events regardless of causality (worst CTC grade </w:t>
      </w:r>
      <w:r w:rsidR="00BE4457">
        <w:t>(</w:t>
      </w:r>
      <w:r w:rsidR="0089761E">
        <w:t xml:space="preserve">Any grade, 3 to </w:t>
      </w:r>
      <w:r w:rsidRPr="00CE5029">
        <w:t>4, 5</w:t>
      </w:r>
      <w:r w:rsidR="00BE4457">
        <w:t>)</w:t>
      </w:r>
      <w:r w:rsidRPr="00CE5029">
        <w:t xml:space="preserve"> of any event and of events by system organ class)</w:t>
      </w:r>
      <w:r w:rsidR="00C108F1">
        <w:t>’</w:t>
      </w:r>
      <w:r w:rsidRPr="00CE5029">
        <w:t xml:space="preserve"> and for irAEs multiple events were collapsed </w:t>
      </w:r>
      <w:r w:rsidR="00C108F1">
        <w:t>‘</w:t>
      </w:r>
      <w:r w:rsidRPr="00CE5029">
        <w:t>Any irAEs occurring within same dosing period in the induction phase (Week 1, Week 4, Week 7 and Week 10) should be considered as a single event.</w:t>
      </w:r>
      <w:r w:rsidR="00C108F1">
        <w:t>’</w:t>
      </w:r>
      <w:r w:rsidRPr="00CE5029">
        <w:t xml:space="preserve"> Numbers of episodes for irAEs were also counted according to grade and provided in one of the supplementary tables.</w:t>
      </w:r>
    </w:p>
    <w:p w:rsidR="00CE5029" w:rsidRPr="00CE5029" w:rsidRDefault="00CE5029" w:rsidP="00147263">
      <w:pPr>
        <w:ind w:left="425"/>
      </w:pPr>
      <w:r w:rsidRPr="00CE5029">
        <w:t>The convention for the reporting of multiple episodes of AEs for CA184042,</w:t>
      </w:r>
      <w:r w:rsidR="0089761E">
        <w:t xml:space="preserve"> and CA184078 were not </w:t>
      </w:r>
      <w:r w:rsidR="00880317" w:rsidRPr="0045181F">
        <w:t>located</w:t>
      </w:r>
      <w:r w:rsidR="0089761E" w:rsidRPr="0045181F">
        <w:t>.</w:t>
      </w:r>
    </w:p>
    <w:p w:rsidR="00CE5029" w:rsidRPr="00CE5029" w:rsidRDefault="00CE5029" w:rsidP="0045181F">
      <w:pPr>
        <w:pStyle w:val="Numberbullet0"/>
      </w:pPr>
      <w:r w:rsidRPr="00CE5029">
        <w:t xml:space="preserve">The choice of specific MedDRA terms presented should also be noted, which affects the clinical relevance or clinical interpretation of a reported frequency for an AE. For example, if </w:t>
      </w:r>
      <w:r w:rsidR="00C108F1">
        <w:t>‘</w:t>
      </w:r>
      <w:r w:rsidRPr="00CE5029">
        <w:t>preferred terms</w:t>
      </w:r>
      <w:r w:rsidR="00C108F1">
        <w:t>’</w:t>
      </w:r>
      <w:r w:rsidRPr="00CE5029">
        <w:t xml:space="preserve"> are reported, what will be reported is the frequency of one specific clinical term rather than the breadth of terms that are considered synonymous.</w:t>
      </w:r>
      <w:r w:rsidR="0045181F">
        <w:t xml:space="preserve"> </w:t>
      </w:r>
      <w:r w:rsidRPr="00CE5029">
        <w:t>Thus, use of a specific preferred term will underrepresent the frequency of an AE that may have multiple clinically relevant synonyms.</w:t>
      </w:r>
    </w:p>
    <w:p w:rsidR="00CE5029" w:rsidRPr="00CE5029" w:rsidRDefault="00CE5029" w:rsidP="0089761E">
      <w:pPr>
        <w:ind w:left="425"/>
      </w:pPr>
      <w:r w:rsidRPr="00CE5029">
        <w:t>Overall the frequency of AEs was not prese</w:t>
      </w:r>
      <w:r>
        <w:t xml:space="preserve">nted adequately by the </w:t>
      </w:r>
      <w:r w:rsidR="005F5E22">
        <w:t>sponsor</w:t>
      </w:r>
      <w:r>
        <w:t>.</w:t>
      </w:r>
    </w:p>
    <w:p w:rsidR="00CE5029" w:rsidRPr="00CE5029" w:rsidRDefault="00CE5029" w:rsidP="0089761E">
      <w:pPr>
        <w:ind w:left="425"/>
      </w:pPr>
      <w:r w:rsidRPr="00CE5029">
        <w:t xml:space="preserve">The presentation of analysed safety data according to the </w:t>
      </w:r>
      <w:r w:rsidR="005F5E22">
        <w:t>sponsor</w:t>
      </w:r>
      <w:r w:rsidRPr="00CE5029">
        <w:t xml:space="preserve">’s choice of MedDRA terminology made the clinical interpretation impossible. As an example, the frequency of all AEs was difficult to determine. This does arise due to the necessary use of comprehensive terminology (MedDRA terms) to capture relevant events, but how this information is meaningfully collated is crucial. For example, for GI irAEs it appears that </w:t>
      </w:r>
      <w:r w:rsidR="00C108F1">
        <w:t>‘</w:t>
      </w:r>
      <w:r w:rsidRPr="00CE5029">
        <w:t>colitis</w:t>
      </w:r>
      <w:r w:rsidR="00C108F1">
        <w:t>’</w:t>
      </w:r>
      <w:r w:rsidRPr="00CE5029">
        <w:t xml:space="preserve"> </w:t>
      </w:r>
      <w:r w:rsidR="00C108F1">
        <w:t>‘</w:t>
      </w:r>
      <w:r w:rsidRPr="00CE5029">
        <w:t>enterocolitis</w:t>
      </w:r>
      <w:r w:rsidR="00C108F1">
        <w:t>’</w:t>
      </w:r>
      <w:r w:rsidRPr="00CE5029">
        <w:t xml:space="preserve"> </w:t>
      </w:r>
      <w:r w:rsidR="00C108F1">
        <w:t>‘</w:t>
      </w:r>
      <w:r w:rsidRPr="00CE5029">
        <w:t>proctitis</w:t>
      </w:r>
      <w:r w:rsidR="00C108F1">
        <w:t>’</w:t>
      </w:r>
      <w:r w:rsidRPr="00CE5029">
        <w:t xml:space="preserve"> and </w:t>
      </w:r>
      <w:r w:rsidR="00C108F1">
        <w:t>‘</w:t>
      </w:r>
      <w:r w:rsidRPr="00CE5029">
        <w:t>procotocolitis</w:t>
      </w:r>
      <w:r w:rsidR="00C108F1">
        <w:t>’</w:t>
      </w:r>
      <w:r w:rsidRPr="00CE5029">
        <w:t xml:space="preserve"> are listed as </w:t>
      </w:r>
      <w:r w:rsidR="0089761E">
        <w:t>s</w:t>
      </w:r>
      <w:r w:rsidR="0017606C">
        <w:t>ep</w:t>
      </w:r>
      <w:r w:rsidRPr="00CE5029">
        <w:t xml:space="preserve">arate terms (according to MedDRA preferred terms), and are accounted for differently according to numerous different summary tables. As a result, the true frequency </w:t>
      </w:r>
      <w:r>
        <w:t>of GI inflammation is unclear.</w:t>
      </w:r>
    </w:p>
    <w:p w:rsidR="00CE5029" w:rsidRPr="00CE5029" w:rsidRDefault="00CE5029" w:rsidP="007C4059">
      <w:pPr>
        <w:ind w:left="425"/>
      </w:pPr>
      <w:r w:rsidRPr="00CE5029">
        <w:t>As an example, for CA184024 the most common irAEs for the study arm (</w:t>
      </w:r>
      <w:r w:rsidR="007C4059">
        <w:t>≥</w:t>
      </w:r>
      <w:r w:rsidR="0089761E">
        <w:t> </w:t>
      </w:r>
      <w:r w:rsidRPr="00CE5029">
        <w:t xml:space="preserve">20%) were </w:t>
      </w:r>
      <w:r w:rsidR="00C108F1">
        <w:t>‘</w:t>
      </w:r>
      <w:r w:rsidRPr="00CE5029">
        <w:t>diarrhoea, ALT increased, AST increased, pruritus, and rash</w:t>
      </w:r>
      <w:r w:rsidR="005F5E22">
        <w:t xml:space="preserve">. </w:t>
      </w:r>
      <w:r w:rsidR="0089761E">
        <w:t>The</w:t>
      </w:r>
      <w:r w:rsidRPr="00CE5029">
        <w:t xml:space="preserve"> </w:t>
      </w:r>
      <w:r w:rsidR="00C108F1">
        <w:t>‘</w:t>
      </w:r>
      <w:r w:rsidRPr="00CE5029">
        <w:t>Summary of On-Study Immune-Related Adverse Events</w:t>
      </w:r>
      <w:r w:rsidR="00C108F1">
        <w:t>’</w:t>
      </w:r>
      <w:r w:rsidRPr="00CE5029">
        <w:t xml:space="preserve"> lists all events according to MedDRA search terms. For any grade of AE, this Appendix shows that a total of 88 patients had a Gastrointestinal AEs, of which 81 had diarrhoea, 11 had colitis, 4 stomatitis, 1 GI haemorrhage, 1 aphthous stomatitis, 0 enteritis, 0 h</w:t>
      </w:r>
      <w:r w:rsidR="0089761E">
        <w:t>a</w:t>
      </w:r>
      <w:r w:rsidRPr="00CE5029">
        <w:t>ematochezia, 0 mouth ulceration, 1 proctitis and</w:t>
      </w:r>
      <w:r>
        <w:t xml:space="preserve"> other categories were listed.</w:t>
      </w:r>
      <w:r w:rsidR="007C4059">
        <w:t xml:space="preserve"> </w:t>
      </w:r>
      <w:r w:rsidRPr="00CE5029">
        <w:t>Thus, if a reader wished to determine how many patients had immune relate</w:t>
      </w:r>
      <w:r w:rsidR="007C4059">
        <w:t>d diarrhoea or GI inflammation</w:t>
      </w:r>
      <w:r w:rsidRPr="00CE5029">
        <w:t xml:space="preserve"> the answer is unclear, as diarrhoea is a symptom of </w:t>
      </w:r>
      <w:r w:rsidRPr="00CE5029">
        <w:lastRenderedPageBreak/>
        <w:t xml:space="preserve">inflammation of the GIT. The following relevant questions remain unanswered by the </w:t>
      </w:r>
      <w:r w:rsidR="005F5E22">
        <w:t>sponsor</w:t>
      </w:r>
      <w:r w:rsidRPr="00CE5029">
        <w:t>’s presentation of data;</w:t>
      </w:r>
    </w:p>
    <w:p w:rsidR="00CE5029" w:rsidRPr="00CE5029" w:rsidRDefault="00CE5029" w:rsidP="00CE5029">
      <w:pPr>
        <w:pStyle w:val="Numberbullet2"/>
      </w:pPr>
      <w:r w:rsidRPr="00CE5029">
        <w:t>Did the cases of GIT inflammation (</w:t>
      </w:r>
      <w:r w:rsidR="00CF24F8">
        <w:t>for example</w:t>
      </w:r>
      <w:r w:rsidRPr="00CE5029">
        <w:t xml:space="preserve"> colitis) also have diarrhoea captured concurrently? How was colitis diagnosed without concurrent diarrhoea? If the investigator did not capture diarrhoea but captured colitis, how was it ensured that the data captured was comprehensive and clinically represented the true frequency of the AE? How many of the patients with diarrhoea also had colitis or GIT inflammation?</w:t>
      </w:r>
    </w:p>
    <w:p w:rsidR="00CE5029" w:rsidRPr="00CE5029" w:rsidRDefault="00CE5029" w:rsidP="00CE5029">
      <w:pPr>
        <w:pStyle w:val="Numberbullet2"/>
      </w:pPr>
      <w:r w:rsidRPr="00CE5029">
        <w:t>How many patients experienced inflammation along the GIT? This would include the cases of colitis, stomatitis, aphthous stomatitis, and proctitis from above.</w:t>
      </w:r>
    </w:p>
    <w:p w:rsidR="00CE5029" w:rsidRPr="00CE5029" w:rsidRDefault="00CE5029" w:rsidP="00CE5029">
      <w:pPr>
        <w:pStyle w:val="Numberbullet2"/>
      </w:pPr>
      <w:r>
        <w:t>How many patients overlapped?</w:t>
      </w:r>
    </w:p>
    <w:p w:rsidR="00CE5029" w:rsidRPr="00CE5029" w:rsidRDefault="00CE5029" w:rsidP="00CE5029">
      <w:pPr>
        <w:pStyle w:val="Numberbullet2"/>
      </w:pPr>
      <w:r w:rsidRPr="00CE5029">
        <w:t>How were the differences between enteritis and colitis defin</w:t>
      </w:r>
      <w:r>
        <w:t>ed? How many events overlapped?</w:t>
      </w:r>
    </w:p>
    <w:p w:rsidR="00CE5029" w:rsidRPr="00CE5029" w:rsidRDefault="00CE5029" w:rsidP="009016C6">
      <w:pPr>
        <w:ind w:left="425"/>
      </w:pPr>
      <w:r w:rsidRPr="00CE5029">
        <w:t xml:space="preserve">With the data presented in the current form, if a reader concluded that no patients on this study had </w:t>
      </w:r>
      <w:r w:rsidR="00C108F1">
        <w:t>‘</w:t>
      </w:r>
      <w:r w:rsidRPr="00CE5029">
        <w:t>mouth ulceration</w:t>
      </w:r>
      <w:r w:rsidR="00C108F1">
        <w:t>’</w:t>
      </w:r>
      <w:r w:rsidRPr="00CE5029">
        <w:t xml:space="preserve"> this would in itself be true but four patients had stomatitis and one had aphthous stomatitis. Therefore, the frequency of events clinically synonymous with </w:t>
      </w:r>
      <w:r w:rsidR="00C108F1">
        <w:t>‘</w:t>
      </w:r>
      <w:r w:rsidRPr="00CE5029">
        <w:t>mouth ulceration</w:t>
      </w:r>
      <w:r w:rsidR="00C108F1">
        <w:t>’</w:t>
      </w:r>
      <w:r w:rsidR="009016C6">
        <w:t xml:space="preserve"> is under </w:t>
      </w:r>
      <w:r w:rsidRPr="00CE5029">
        <w:t>represented.</w:t>
      </w:r>
    </w:p>
    <w:p w:rsidR="00CE5029" w:rsidRDefault="00CE5029" w:rsidP="009016C6">
      <w:pPr>
        <w:ind w:left="425"/>
      </w:pPr>
      <w:r w:rsidRPr="00CE5029">
        <w:t xml:space="preserve">More examples of the apparent limitations of the </w:t>
      </w:r>
      <w:r w:rsidR="005F5E22">
        <w:t>sponsor</w:t>
      </w:r>
      <w:r w:rsidRPr="00CE5029">
        <w:t xml:space="preserve">’s presentation of safety data are given </w:t>
      </w:r>
      <w:r w:rsidR="007C4059">
        <w:t>below</w:t>
      </w:r>
      <w:r w:rsidRPr="00CE5029">
        <w:t xml:space="preserve"> according to study</w:t>
      </w:r>
      <w:r>
        <w:t xml:space="preserve"> and are also summarised below.</w:t>
      </w:r>
    </w:p>
    <w:p w:rsidR="00CE5029" w:rsidRPr="00CE5029" w:rsidRDefault="00CE5029" w:rsidP="00CE5029">
      <w:pPr>
        <w:pStyle w:val="Numberbullet0"/>
      </w:pPr>
      <w:r w:rsidRPr="00CE5029">
        <w:t>The definition of inflammation related AE (versus SAE) terms is described very clearly in CA184024</w:t>
      </w:r>
      <w:r w:rsidR="005F5E22">
        <w:t xml:space="preserve">. </w:t>
      </w:r>
      <w:r w:rsidRPr="00CE5029">
        <w:t>The definition of these is as follows;</w:t>
      </w:r>
    </w:p>
    <w:p w:rsidR="00CE5029" w:rsidRPr="00CE5029" w:rsidRDefault="00CE5029" w:rsidP="009016C6">
      <w:pPr>
        <w:ind w:left="360"/>
      </w:pPr>
      <w:r w:rsidRPr="00CE5029">
        <w:t>An SAE was defined as an untoward (unfavourable) event which:</w:t>
      </w:r>
    </w:p>
    <w:p w:rsidR="00CE5029" w:rsidRPr="00CE5029" w:rsidRDefault="007C4059" w:rsidP="009016C6">
      <w:pPr>
        <w:pStyle w:val="ListBullet"/>
        <w:ind w:left="720"/>
      </w:pPr>
      <w:r>
        <w:t xml:space="preserve">was fatal or life </w:t>
      </w:r>
      <w:r w:rsidR="009016C6">
        <w:t>threatening</w:t>
      </w:r>
    </w:p>
    <w:p w:rsidR="00CE5029" w:rsidRPr="00CE5029" w:rsidRDefault="00CE5029" w:rsidP="009016C6">
      <w:pPr>
        <w:pStyle w:val="ListBullet"/>
        <w:ind w:left="720"/>
      </w:pPr>
      <w:r w:rsidRPr="00CE5029">
        <w:t>required or prolonged hospital</w:t>
      </w:r>
      <w:r w:rsidR="00C91631">
        <w:t>is</w:t>
      </w:r>
      <w:r w:rsidR="009016C6">
        <w:t>ation</w:t>
      </w:r>
    </w:p>
    <w:p w:rsidR="00CE5029" w:rsidRPr="00CE5029" w:rsidRDefault="00CE5029" w:rsidP="009016C6">
      <w:pPr>
        <w:pStyle w:val="ListBullet"/>
        <w:ind w:left="720"/>
      </w:pPr>
      <w:r w:rsidRPr="00CE5029">
        <w:t>was significantly or permanen</w:t>
      </w:r>
      <w:r w:rsidR="009016C6">
        <w:t>tly disabling or incapacitating</w:t>
      </w:r>
    </w:p>
    <w:p w:rsidR="00CE5029" w:rsidRPr="00CE5029" w:rsidRDefault="00CE5029" w:rsidP="009016C6">
      <w:pPr>
        <w:pStyle w:val="ListBullet"/>
        <w:ind w:left="720"/>
      </w:pPr>
      <w:r w:rsidRPr="00CE5029">
        <w:t xml:space="preserve">constituted a congenital anomaly or </w:t>
      </w:r>
      <w:r w:rsidR="009016C6">
        <w:t xml:space="preserve">a birth defect, </w:t>
      </w:r>
      <w:r w:rsidRPr="00CE5029">
        <w:t>or</w:t>
      </w:r>
    </w:p>
    <w:p w:rsidR="00CE5029" w:rsidRPr="00CE5029" w:rsidRDefault="00CE5029" w:rsidP="009016C6">
      <w:pPr>
        <w:pStyle w:val="ListBullet"/>
        <w:ind w:left="720"/>
      </w:pPr>
      <w:proofErr w:type="gramStart"/>
      <w:r w:rsidRPr="00CE5029">
        <w:t>may</w:t>
      </w:r>
      <w:proofErr w:type="gramEnd"/>
      <w:r w:rsidRPr="00CE5029">
        <w:t xml:space="preserve"> have jeopard</w:t>
      </w:r>
      <w:r w:rsidR="00C91631">
        <w:t>is</w:t>
      </w:r>
      <w:r w:rsidRPr="00CE5029">
        <w:t>ed the subject and may have required medical or surgical intervention to prevent one of the outcomes listed above.</w:t>
      </w:r>
    </w:p>
    <w:p w:rsidR="00CE5029" w:rsidRPr="00CE5029" w:rsidRDefault="00CE5029" w:rsidP="009016C6">
      <w:pPr>
        <w:ind w:left="360"/>
      </w:pPr>
      <w:r w:rsidRPr="00CE5029">
        <w:t>Hospital</w:t>
      </w:r>
      <w:r w:rsidR="00C91631">
        <w:t>is</w:t>
      </w:r>
      <w:r w:rsidRPr="00CE5029">
        <w:t>ations were not considered SAEs if they:</w:t>
      </w:r>
    </w:p>
    <w:p w:rsidR="00CE5029" w:rsidRPr="00CE5029" w:rsidRDefault="00CE5029" w:rsidP="009016C6">
      <w:pPr>
        <w:pStyle w:val="ListBullet"/>
        <w:ind w:left="720"/>
      </w:pPr>
      <w:r w:rsidRPr="00CE5029">
        <w:t>were admission to a hospice for respite care</w:t>
      </w:r>
    </w:p>
    <w:p w:rsidR="00CE5029" w:rsidRPr="00CE5029" w:rsidRDefault="00CE5029" w:rsidP="009016C6">
      <w:pPr>
        <w:pStyle w:val="ListBullet"/>
        <w:ind w:left="720"/>
      </w:pPr>
      <w:r w:rsidRPr="00CE5029">
        <w:t>were planned before entry into the clinical study</w:t>
      </w:r>
    </w:p>
    <w:p w:rsidR="00CE5029" w:rsidRPr="00CE5029" w:rsidRDefault="00CE5029" w:rsidP="009016C6">
      <w:pPr>
        <w:pStyle w:val="ListBullet"/>
        <w:ind w:left="720"/>
      </w:pPr>
      <w:r w:rsidRPr="00CE5029">
        <w:t>were for elective treatment of a condition unrelated to the study indication or its treatment</w:t>
      </w:r>
    </w:p>
    <w:p w:rsidR="00CE5029" w:rsidRPr="00CE5029" w:rsidRDefault="00CE5029" w:rsidP="009016C6">
      <w:pPr>
        <w:pStyle w:val="ListBullet"/>
        <w:ind w:left="720"/>
      </w:pPr>
      <w:r w:rsidRPr="00CE5029">
        <w:t>occurred on an emergency, outpatient basis and did not result in admission (unless fulfilling one or both of the criterion above)</w:t>
      </w:r>
    </w:p>
    <w:p w:rsidR="00CE5029" w:rsidRPr="00E16409" w:rsidRDefault="00CE5029" w:rsidP="009016C6">
      <w:pPr>
        <w:pStyle w:val="ListBullet"/>
        <w:ind w:left="720"/>
      </w:pPr>
      <w:proofErr w:type="gramStart"/>
      <w:r w:rsidRPr="00CE5029">
        <w:t>were</w:t>
      </w:r>
      <w:proofErr w:type="gramEnd"/>
      <w:r w:rsidRPr="00CE5029">
        <w:t xml:space="preserve"> part of the normal treatment or monitoring of the studied indication and not associated with any deterioration in condition.</w:t>
      </w:r>
    </w:p>
    <w:p w:rsidR="00F3606A" w:rsidRDefault="00CE5029" w:rsidP="007C4059">
      <w:r w:rsidRPr="00CE5029">
        <w:t>Inflammatory</w:t>
      </w:r>
      <w:r w:rsidR="00F3606A">
        <w:t xml:space="preserve"> eve</w:t>
      </w:r>
      <w:r w:rsidR="004522BB">
        <w:t>nts regardless of causality</w:t>
      </w:r>
      <w:r w:rsidR="007C4059">
        <w:t>:</w:t>
      </w:r>
    </w:p>
    <w:p w:rsidR="00CE5029" w:rsidRPr="004522BB" w:rsidRDefault="00F3606A" w:rsidP="007C4059">
      <w:pPr>
        <w:ind w:left="720"/>
      </w:pPr>
      <w:r w:rsidRPr="004522BB">
        <w:t>Inflammatory events regardless of causality (IERCs)</w:t>
      </w:r>
      <w:r w:rsidR="00CE5029" w:rsidRPr="004522BB">
        <w:t xml:space="preserve"> represent all reported inflammatory AEs, regardless of whether the investigator considered the event to be drug related.</w:t>
      </w:r>
    </w:p>
    <w:p w:rsidR="00F3606A" w:rsidRDefault="004522BB" w:rsidP="007C4059">
      <w:r>
        <w:t>Immune-related adverse events</w:t>
      </w:r>
      <w:r w:rsidR="007C4059">
        <w:t>:</w:t>
      </w:r>
    </w:p>
    <w:p w:rsidR="00CE5029" w:rsidRPr="00CE5029" w:rsidRDefault="004522BB" w:rsidP="007C4059">
      <w:pPr>
        <w:ind w:left="720"/>
      </w:pPr>
      <w:r>
        <w:lastRenderedPageBreak/>
        <w:t xml:space="preserve">Immune </w:t>
      </w:r>
      <w:r w:rsidR="00F3606A" w:rsidRPr="00F3606A">
        <w:t xml:space="preserve">related adverse events </w:t>
      </w:r>
      <w:r w:rsidR="00CE5029" w:rsidRPr="00CE5029">
        <w:t>(irAEs) represent the subset of IERCs that were considered by the investigator to be drug related.</w:t>
      </w:r>
    </w:p>
    <w:p w:rsidR="00CE5029" w:rsidRPr="00CE5029" w:rsidRDefault="00CE5029" w:rsidP="00CE5029">
      <w:r w:rsidRPr="00CE5029">
        <w:t>For both an</w:t>
      </w:r>
      <w:r w:rsidR="00F3606A">
        <w:t xml:space="preserve">alyses, formal exclusion of </w:t>
      </w:r>
      <w:r w:rsidR="00167572">
        <w:t>non-</w:t>
      </w:r>
      <w:r w:rsidR="00167572" w:rsidRPr="00CE5029">
        <w:t>inflammatory</w:t>
      </w:r>
      <w:r w:rsidRPr="00CE5029">
        <w:t xml:space="preserve"> aetiologies wa</w:t>
      </w:r>
      <w:r w:rsidR="00F3606A">
        <w:t xml:space="preserve">s not required. </w:t>
      </w:r>
      <w:r w:rsidRPr="00CE5029">
        <w:t xml:space="preserve">An exploratory, retrospective analysis based on sponsor physician data review to exclude non-inflammatory aetiologies and consider available evidence of inflammation to determine whether specific events of clinical interest (enterocolitis, hepatitis, dermatitis, neuropathies, endocrinopathies, and other AEs) were likely immune mediated and associated with </w:t>
      </w:r>
      <w:r w:rsidR="00F22D76">
        <w:t>ipilimumab</w:t>
      </w:r>
      <w:r w:rsidRPr="00CE5029">
        <w:t xml:space="preserve"> treatment, regardless of the investigator’s </w:t>
      </w:r>
      <w:r>
        <w:t>assessment of causality.</w:t>
      </w:r>
    </w:p>
    <w:p w:rsidR="00F3606A" w:rsidRDefault="009016C6" w:rsidP="007C4059">
      <w:r>
        <w:t xml:space="preserve">Immune </w:t>
      </w:r>
      <w:r w:rsidR="00CE5029" w:rsidRPr="00CE5029">
        <w:t>medi</w:t>
      </w:r>
      <w:r w:rsidR="004522BB">
        <w:t>ated adverse reactions</w:t>
      </w:r>
    </w:p>
    <w:p w:rsidR="00CE5029" w:rsidRPr="00CE5029" w:rsidRDefault="00CE5029" w:rsidP="007C4059">
      <w:pPr>
        <w:ind w:left="720"/>
      </w:pPr>
      <w:r w:rsidRPr="00CE5029">
        <w:t>An exploratory, retros</w:t>
      </w:r>
      <w:r w:rsidR="009016C6">
        <w:t xml:space="preserve">pective analysis defined immune </w:t>
      </w:r>
      <w:r w:rsidRPr="00CE5029">
        <w:t>mediated adverse reactions (imARs). The imARs were adjudicated in a b</w:t>
      </w:r>
      <w:r w:rsidR="004522BB">
        <w:t xml:space="preserve">linded fashion based on sponsor </w:t>
      </w:r>
      <w:r w:rsidRPr="00CE5029">
        <w:t xml:space="preserve">physician data review to exclude non-inflammatory aetiologies such as infection or tumour progression, and to consider available evidence of inflammation such as tumour biopsies or responsiveness to steroids, in an effort to determine whether specific AEs or abnormal hepatic laboratory values were likely to be immune-mediated and associated with </w:t>
      </w:r>
      <w:r w:rsidR="00F22D76">
        <w:t>ipilimumab</w:t>
      </w:r>
      <w:r w:rsidRPr="00CE5029">
        <w:t xml:space="preserve"> treatment. The imARs included specific events of clinical interest </w:t>
      </w:r>
      <w:r w:rsidR="00CF24F8">
        <w:t>for example</w:t>
      </w:r>
      <w:r w:rsidRPr="00CE5029">
        <w:t xml:space="preserve">, enterocolitis, hepatitis, dermatitis, neuropathies, or endocrinopathies, including hypophysitis. The methodology for imAR analysis was developed between BMS and the US FDA for the first approval of 3 mg/kg </w:t>
      </w:r>
      <w:r w:rsidR="00F22D76">
        <w:t>ipilimumab</w:t>
      </w:r>
      <w:r w:rsidRPr="00CE5029">
        <w:t xml:space="preserve"> monotherapy in the US.</w:t>
      </w:r>
    </w:p>
    <w:p w:rsidR="00F3606A" w:rsidRDefault="004522BB" w:rsidP="007C4059">
      <w:r>
        <w:t>On study AEs</w:t>
      </w:r>
    </w:p>
    <w:p w:rsidR="00CE5029" w:rsidRPr="00CE5029" w:rsidRDefault="004522BB" w:rsidP="007C4059">
      <w:pPr>
        <w:ind w:left="720"/>
      </w:pPr>
      <w:r>
        <w:t xml:space="preserve">On </w:t>
      </w:r>
      <w:r w:rsidR="00F3606A" w:rsidRPr="00F3606A">
        <w:t xml:space="preserve">study AEs </w:t>
      </w:r>
      <w:r w:rsidR="00CE5029" w:rsidRPr="00CE5029">
        <w:t>(with start date on or after the first date of dosing and no later than 70 days following last date of dosing) were included in the adjudication process. The following categories of imARs were included: enterocolitis, dermatitis, hepatitis, and endocrinopathies, with a particular focus on high-grade events due to their clinical relevance.</w:t>
      </w:r>
    </w:p>
    <w:p w:rsidR="00CE5029" w:rsidRPr="00CE5029" w:rsidRDefault="00CE5029" w:rsidP="007C4059">
      <w:pPr>
        <w:ind w:left="720"/>
      </w:pPr>
      <w:r w:rsidRPr="00CE5029">
        <w:t xml:space="preserve">A list of preferred MedDRA terms that was the basis of the database search to define the imARs </w:t>
      </w:r>
      <w:r w:rsidR="00F3606A">
        <w:t>was provided. All AE records</w:t>
      </w:r>
      <w:r w:rsidRPr="00CE5029">
        <w:t xml:space="preserve"> with an onset date on or after the first dosing date and meeting the identified preferred terms were selected and downloaded in a clinical review tool. Only AE records of subjects treated with study medication were included. In addition, ALT and AST laboratory abnormalities (from the laboratory data in the clinical database), with a CTC grade of 3 or more, that occurred after the first dosing date were selected. BMS physicians adjudicated whether an AE was an imAR using all available evidence. The analyses of imARs were based on these adjudicated data.</w:t>
      </w:r>
    </w:p>
    <w:p w:rsidR="00CE5029" w:rsidRPr="00CE5029" w:rsidRDefault="00CE5029" w:rsidP="007C4059">
      <w:pPr>
        <w:ind w:left="720"/>
      </w:pPr>
      <w:r w:rsidRPr="00CE5029">
        <w:t>The imARs were adjudicated in a b</w:t>
      </w:r>
      <w:r w:rsidR="002532FE">
        <w:t xml:space="preserve">linded fashion based on sponsor </w:t>
      </w:r>
      <w:r w:rsidRPr="00CE5029">
        <w:t xml:space="preserve">physician data review to exclude inflammatory aetiologies, such as </w:t>
      </w:r>
      <w:r w:rsidR="002532FE">
        <w:t>infection or tumour progression</w:t>
      </w:r>
      <w:r w:rsidRPr="00CE5029">
        <w:t xml:space="preserve"> and to consider available evidence of inflammation such as tumour biopsies or responsiveness to steroids, in an effort to determine whether specific AEs or abnormal hepatic laboratory values were likely to be immune mediated and associated with </w:t>
      </w:r>
      <w:r w:rsidR="00F22D76">
        <w:t>ipilimumab</w:t>
      </w:r>
      <w:r w:rsidRPr="00CE5029">
        <w:t xml:space="preserve"> treatment. The imARs included specific events of clinical interest (enterocolitis, hepatitis, dermatitis, neuropathi</w:t>
      </w:r>
      <w:r w:rsidR="002532FE">
        <w:t>es, endocrinopathies, and other</w:t>
      </w:r>
      <w:r w:rsidRPr="00CE5029">
        <w:t>).</w:t>
      </w:r>
    </w:p>
    <w:p w:rsidR="00CE5029" w:rsidRDefault="00CE5029" w:rsidP="007C4059">
      <w:pPr>
        <w:ind w:left="720"/>
      </w:pPr>
      <w:r w:rsidRPr="00CE5029">
        <w:t xml:space="preserve">The list of MedDRA terms (preferred terms, and higher level terms) utilised to generate lists for the assessment of imARs </w:t>
      </w:r>
      <w:r w:rsidR="002532FE">
        <w:t>was provided</w:t>
      </w:r>
      <w:r w:rsidRPr="00CE5029">
        <w:t>. However, apart from the listing of terms, further information of the definition of the terms, or whether and how the terms were clinically collated were not found. These were not found in</w:t>
      </w:r>
      <w:r w:rsidR="002532FE">
        <w:t xml:space="preserve"> the relevant</w:t>
      </w:r>
      <w:r w:rsidR="00182795">
        <w:t xml:space="preserve"> s</w:t>
      </w:r>
      <w:r w:rsidRPr="00CE5029">
        <w:t>ection or in</w:t>
      </w:r>
      <w:r w:rsidR="002532FE">
        <w:t xml:space="preserve"> </w:t>
      </w:r>
      <w:r w:rsidR="004522BB">
        <w:t xml:space="preserve">the </w:t>
      </w:r>
      <w:r w:rsidR="00182795">
        <w:t>a</w:t>
      </w:r>
      <w:r w:rsidR="004522BB" w:rsidRPr="00CE5029">
        <w:t>ppendices</w:t>
      </w:r>
      <w:r w:rsidRPr="00CE5029">
        <w:t xml:space="preserve"> which </w:t>
      </w:r>
      <w:r w:rsidR="002532FE">
        <w:t>were</w:t>
      </w:r>
      <w:r w:rsidR="004522BB">
        <w:t xml:space="preserve"> referenced within the reports.</w:t>
      </w:r>
    </w:p>
    <w:p w:rsidR="00CE5029" w:rsidRDefault="00CE5029" w:rsidP="00182795">
      <w:pPr>
        <w:ind w:left="170"/>
      </w:pPr>
      <w:r w:rsidRPr="00CE5029">
        <w:t>Thus, these outlined issues should be considered regard</w:t>
      </w:r>
      <w:r w:rsidR="002532FE">
        <w:t>ing data presented within this s</w:t>
      </w:r>
      <w:r w:rsidRPr="00CE5029">
        <w:t>ection and impact (and can limit) the clinical interpretation of presented data</w:t>
      </w:r>
      <w:r>
        <w:t>.</w:t>
      </w:r>
    </w:p>
    <w:p w:rsidR="00CE5029" w:rsidRPr="00CE5029" w:rsidRDefault="00CE5029" w:rsidP="002532FE">
      <w:pPr>
        <w:pStyle w:val="Heading4"/>
      </w:pPr>
      <w:bookmarkStart w:id="221" w:name="_Ref387044743"/>
      <w:bookmarkStart w:id="222" w:name="_Toc390676228"/>
      <w:r w:rsidRPr="00CE5029">
        <w:lastRenderedPageBreak/>
        <w:t>Pooled data</w:t>
      </w:r>
      <w:bookmarkEnd w:id="221"/>
      <w:bookmarkEnd w:id="222"/>
    </w:p>
    <w:p w:rsidR="00CE5029" w:rsidRPr="00CE5029" w:rsidRDefault="00CE5029" w:rsidP="00CE5029">
      <w:r w:rsidRPr="00CE5029">
        <w:t xml:space="preserve">A summary of safety issues derived from the pooled dataset of completed melanoma clinical trials is presented in the </w:t>
      </w:r>
      <w:r w:rsidR="00C108F1">
        <w:t>‘</w:t>
      </w:r>
      <w:r w:rsidR="002532FE">
        <w:t xml:space="preserve">clinical overview efficacy </w:t>
      </w:r>
      <w:r w:rsidRPr="00CE5029">
        <w:t>safety</w:t>
      </w:r>
      <w:r w:rsidR="00C108F1">
        <w:t>’</w:t>
      </w:r>
      <w:r w:rsidRPr="00CE5029">
        <w:t xml:space="preserve"> report. The </w:t>
      </w:r>
      <w:r w:rsidR="005F5E22">
        <w:t>sponsor</w:t>
      </w:r>
      <w:r w:rsidRPr="00CE5029">
        <w:t xml:space="preserve"> reports that this analysis consisted of 1,924 patients exposed to </w:t>
      </w:r>
      <w:r w:rsidR="00F22D76">
        <w:t>ipilimumab</w:t>
      </w:r>
      <w:r w:rsidRPr="00CE5029">
        <w:t xml:space="preserve"> at various dose/regimen from 17 clinical trials (CA184-004, -007, -008, -022, -024, - 042, -078, MDX-CTLA4-02, 03, 04, and MDX010-05, 08, 13, 15, 16, 19, 20). The Expanded Access Programs (EAP) (CA184-045 and Named Patient Program (CA184-089) of </w:t>
      </w:r>
      <w:r w:rsidR="00F22D76">
        <w:t>ipilimumab</w:t>
      </w:r>
      <w:r w:rsidRPr="00CE5029">
        <w:t xml:space="preserve"> for advanced melanoma are ongoing and capture serious adverse events. The E</w:t>
      </w:r>
      <w:r w:rsidR="002532FE">
        <w:t xml:space="preserve">AP had 9,334 patients (as of 24 </w:t>
      </w:r>
      <w:r w:rsidRPr="00CE5029">
        <w:t>Mar</w:t>
      </w:r>
      <w:r w:rsidR="002532FE">
        <w:t xml:space="preserve">ch </w:t>
      </w:r>
      <w:r w:rsidRPr="00CE5029">
        <w:t xml:space="preserve">2013) treated with </w:t>
      </w:r>
      <w:r w:rsidR="00F22D76">
        <w:t>ipilimumab</w:t>
      </w:r>
      <w:r w:rsidR="002532FE">
        <w:t xml:space="preserve"> and the EAP drug </w:t>
      </w:r>
      <w:r w:rsidRPr="00CE5029">
        <w:t xml:space="preserve">related serious adverse events (SAE) was also reviewed. In total, 11,258 patients with advanced melanoma were exposed to </w:t>
      </w:r>
      <w:r w:rsidR="00F22D76">
        <w:t>ipilimumab</w:t>
      </w:r>
      <w:r w:rsidRPr="00CE5029">
        <w:t xml:space="preserve"> in BMS melanoma clinical trials including the EAP.</w:t>
      </w:r>
    </w:p>
    <w:p w:rsidR="00CE5029" w:rsidRPr="00CE5029" w:rsidRDefault="00CE5029" w:rsidP="00CE5029">
      <w:r w:rsidRPr="00CE5029">
        <w:t xml:space="preserve">Similarly, in the Summary of Clinical Safety, pooled analyses for the </w:t>
      </w:r>
      <w:r w:rsidR="00C108F1">
        <w:t>10 mg</w:t>
      </w:r>
      <w:r w:rsidRPr="00CE5029">
        <w:t xml:space="preserve">/kg studies were included (in addition to the pooled analyses for the </w:t>
      </w:r>
      <w:r w:rsidR="00C108F1">
        <w:t>3 mg</w:t>
      </w:r>
      <w:r w:rsidRPr="00CE5029">
        <w:t>/kg studies which are presented below)</w:t>
      </w:r>
      <w:r>
        <w:t>.</w:t>
      </w:r>
    </w:p>
    <w:p w:rsidR="00CE5029" w:rsidRPr="00CE5029" w:rsidRDefault="00CE5029" w:rsidP="00CE5029">
      <w:r w:rsidRPr="00CE5029">
        <w:t>Given the focus on safety information relevant to the proposed usage and the aforementioned issues regarding the accuracy of the safety data sources for the submitted studies within this dossier, an assessment of this pool</w:t>
      </w:r>
      <w:r w:rsidR="002532FE">
        <w:t>ed safety data was not possible</w:t>
      </w:r>
      <w:r>
        <w:t>.</w:t>
      </w:r>
    </w:p>
    <w:p w:rsidR="00CE5029" w:rsidRPr="00CE5029" w:rsidRDefault="00CE5029" w:rsidP="002532FE">
      <w:pPr>
        <w:pStyle w:val="Heading4"/>
      </w:pPr>
      <w:bookmarkStart w:id="223" w:name="_Ref390438391"/>
      <w:bookmarkStart w:id="224" w:name="_Toc390676229"/>
      <w:r w:rsidRPr="00CE5029">
        <w:t xml:space="preserve">Pooled safety data for previously evaluated studies using the </w:t>
      </w:r>
      <w:r w:rsidR="00C108F1">
        <w:t>3 mg</w:t>
      </w:r>
      <w:r w:rsidRPr="00CE5029">
        <w:t>/kg posology</w:t>
      </w:r>
      <w:bookmarkEnd w:id="223"/>
      <w:bookmarkEnd w:id="224"/>
    </w:p>
    <w:p w:rsidR="00CE5029" w:rsidRDefault="00CE5029" w:rsidP="00CE5029">
      <w:r w:rsidRPr="00CE5029">
        <w:t xml:space="preserve">Within the </w:t>
      </w:r>
      <w:r w:rsidR="00C108F1">
        <w:t>‘</w:t>
      </w:r>
      <w:r w:rsidRPr="00CE5029">
        <w:t>Summary of Clinical Safety</w:t>
      </w:r>
      <w:r w:rsidR="00C108F1">
        <w:t>’</w:t>
      </w:r>
      <w:r w:rsidRPr="00CE5029">
        <w:t xml:space="preserve">, a pooled analysis was performed for MDX010-20, MDX010-08, CA184004 and CA184022. These studies have been discussed and study populations described </w:t>
      </w:r>
      <w:r w:rsidR="00D61A9D">
        <w:t>above</w:t>
      </w:r>
      <w:r w:rsidRPr="00CE5029">
        <w:t xml:space="preserve">. However, the numbers analysed in each population were slightly different, whereby the number of previously untreated patients administered </w:t>
      </w:r>
      <w:r w:rsidR="00F22D76">
        <w:t>ipilimumab</w:t>
      </w:r>
      <w:r w:rsidRPr="00CE5029">
        <w:t xml:space="preserve"> </w:t>
      </w:r>
      <w:r w:rsidR="00D61A9D">
        <w:t>3 </w:t>
      </w:r>
      <w:r w:rsidR="00C108F1">
        <w:t>mg</w:t>
      </w:r>
      <w:r w:rsidRPr="00CE5029">
        <w:t>/kg monotherapy was 34, and the chemotherapy naïve population consisted of 75 patients. The summary table defining the population analysed for this pooled safety</w:t>
      </w:r>
      <w:r w:rsidR="00D61A9D">
        <w:t xml:space="preserve"> </w:t>
      </w:r>
      <w:r w:rsidR="004572B9">
        <w:t>is Table 29</w:t>
      </w:r>
      <w:r w:rsidR="00D61A9D" w:rsidRPr="00B95A18">
        <w:t xml:space="preserve"> below</w:t>
      </w:r>
      <w:r>
        <w:t>.</w:t>
      </w:r>
    </w:p>
    <w:p w:rsidR="00D61A9D" w:rsidRDefault="004572B9" w:rsidP="00D61A9D">
      <w:pPr>
        <w:pStyle w:val="Tabletitle"/>
      </w:pPr>
      <w:r>
        <w:lastRenderedPageBreak/>
        <w:t>Table 29</w:t>
      </w:r>
      <w:r w:rsidR="00182795" w:rsidRPr="00B95A18">
        <w:t>:</w:t>
      </w:r>
      <w:r w:rsidR="00D61A9D" w:rsidRPr="00B95A18">
        <w:t xml:space="preserve"> The</w:t>
      </w:r>
      <w:r w:rsidR="00D61A9D">
        <w:t xml:space="preserve"> number of patients according study for </w:t>
      </w:r>
      <w:r w:rsidR="00182795">
        <w:t>the pooled safety analysis of 3 </w:t>
      </w:r>
      <w:r w:rsidR="00B95A18">
        <w:t>mg/kg trials</w:t>
      </w:r>
    </w:p>
    <w:p w:rsidR="00D61A9D" w:rsidRPr="00D61A9D" w:rsidRDefault="00D61A9D" w:rsidP="00D61A9D">
      <w:r>
        <w:rPr>
          <w:noProof/>
          <w:lang w:eastAsia="en-AU"/>
        </w:rPr>
        <w:drawing>
          <wp:inline distT="0" distB="0" distL="0" distR="0" wp14:anchorId="05AE2EE6" wp14:editId="0649E0F6">
            <wp:extent cx="5320153" cy="3825849"/>
            <wp:effectExtent l="0" t="0" r="0" b="0"/>
            <wp:docPr id="19" name="Picture 19" descr="Table 29: The number of patients according study for the pooled safety analysis of 3 mg/kg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24298" cy="3828830"/>
                    </a:xfrm>
                    <a:prstGeom prst="rect">
                      <a:avLst/>
                    </a:prstGeom>
                  </pic:spPr>
                </pic:pic>
              </a:graphicData>
            </a:graphic>
          </wp:inline>
        </w:drawing>
      </w:r>
    </w:p>
    <w:p w:rsidR="00CE5029" w:rsidRPr="00CE5029" w:rsidRDefault="00CE5029" w:rsidP="00CE5029">
      <w:r w:rsidRPr="00CE5029">
        <w:t xml:space="preserve">Again, clarification of the population relevant to the proposed usage as raised in the previous section is pertinent here. The </w:t>
      </w:r>
      <w:r w:rsidR="005F5E22">
        <w:t>sponsor</w:t>
      </w:r>
      <w:r w:rsidRPr="00CE5029">
        <w:t xml:space="preserve"> referred to the population in MDX010-08 as previously treated </w:t>
      </w:r>
      <w:r w:rsidRPr="00B95A18">
        <w:t xml:space="preserve">(Table </w:t>
      </w:r>
      <w:r w:rsidR="004572B9">
        <w:t>23</w:t>
      </w:r>
      <w:r w:rsidRPr="00B95A18">
        <w:t>).</w:t>
      </w:r>
      <w:r w:rsidRPr="00CE5029">
        <w:t xml:space="preserve"> It is therefore unclear how many of the indicated number of 34 </w:t>
      </w:r>
      <w:r w:rsidR="00C108F1">
        <w:t>‘</w:t>
      </w:r>
      <w:r w:rsidRPr="00CE5029">
        <w:t>previously untreated</w:t>
      </w:r>
      <w:r w:rsidR="00C108F1">
        <w:t>’</w:t>
      </w:r>
      <w:r w:rsidRPr="00CE5029">
        <w:t xml:space="preserve"> patients were randomised to receive </w:t>
      </w:r>
      <w:r w:rsidR="00F22D76">
        <w:t>ipilimumab</w:t>
      </w:r>
      <w:r w:rsidRPr="00CE5029">
        <w:t xml:space="preserve"> </w:t>
      </w:r>
      <w:r w:rsidR="00C108F1">
        <w:t>3 mg</w:t>
      </w:r>
      <w:r w:rsidRPr="00CE5029">
        <w:t>/kg monotherapy and who did not receive maintenance therapy, pertinent to the proposed usage. Thus, the safety data relevant to the proposed usage throughout</w:t>
      </w:r>
      <w:r w:rsidR="00802C4E">
        <w:t xml:space="preserve"> this entire report is unclear.</w:t>
      </w:r>
    </w:p>
    <w:p w:rsidR="00CE5029" w:rsidRPr="00A20E0C" w:rsidRDefault="00CE5029" w:rsidP="00CE5029">
      <w:r w:rsidRPr="00CE5029">
        <w:t xml:space="preserve">Note should also be made that the current application seeks use for </w:t>
      </w:r>
      <w:r w:rsidR="00F22D76">
        <w:t>ipilimumab</w:t>
      </w:r>
      <w:r w:rsidRPr="00CE5029">
        <w:t xml:space="preserve"> </w:t>
      </w:r>
      <w:r w:rsidR="00C108F1">
        <w:t>3 mg</w:t>
      </w:r>
      <w:r w:rsidRPr="00CE5029">
        <w:t>/kg in previously untreated patients, and n</w:t>
      </w:r>
      <w:r>
        <w:t>ot chemotherapy naïve patients.</w:t>
      </w:r>
    </w:p>
    <w:p w:rsidR="00CE5029" w:rsidRPr="00CE5029" w:rsidRDefault="00CE5029" w:rsidP="00802C4E">
      <w:pPr>
        <w:pStyle w:val="Heading5"/>
      </w:pPr>
      <w:r w:rsidRPr="00CE5029">
        <w:t xml:space="preserve">Statistical </w:t>
      </w:r>
      <w:r w:rsidR="00DC0066" w:rsidRPr="00CE5029">
        <w:t>analysis plan</w:t>
      </w:r>
    </w:p>
    <w:p w:rsidR="00CE5029" w:rsidRPr="00CE5029" w:rsidRDefault="00CE5029" w:rsidP="00CE5029">
      <w:r w:rsidRPr="00CE5029">
        <w:t>The MedDRA version 14.1 and CTCAE v3 were used for this analysis. If an individual AE was reported more than once for a subject during treatment, the greatest severity was used for tabulation.</w:t>
      </w:r>
    </w:p>
    <w:p w:rsidR="00CE5029" w:rsidRDefault="00CE5029" w:rsidP="00CE5029">
      <w:r w:rsidRPr="00CE5029">
        <w:t>All multiple event presentations during the induction period were performed for all treated subjects. The induction period started from the first date of study therapy dosing and ended 70 days after the last date of study therapy dosing in the induction period or at the day before the first</w:t>
      </w:r>
      <w:r w:rsidR="00802C4E">
        <w:t xml:space="preserve"> maintenance/re-induction/cross </w:t>
      </w:r>
      <w:r w:rsidRPr="00CE5029">
        <w:t>over dose, whichever came first. Incidence rates per 100 person-years were calculated and summar</w:t>
      </w:r>
      <w:r w:rsidR="00C91631">
        <w:t>is</w:t>
      </w:r>
      <w:r w:rsidRPr="00CE5029">
        <w:t>ed for all AEs during the induction period. The numerator is the number of unique events (</w:t>
      </w:r>
      <w:r w:rsidR="0026410F">
        <w:t>that is</w:t>
      </w:r>
      <w:r w:rsidRPr="00CE5029">
        <w:t xml:space="preserve">, after duplicates were eliminated and overlapping and contiguous occurrences of the same event were collapsed) during the induction period. </w:t>
      </w:r>
      <w:r w:rsidRPr="00C1063B">
        <w:t xml:space="preserve">The denominator is the overall total exposure (person-years) during the induction period with total exposure (person-years) calculated as the sum over all subjects of (minimum </w:t>
      </w:r>
      <w:r w:rsidR="00BE4457" w:rsidRPr="00C1063B">
        <w:t>(</w:t>
      </w:r>
      <w:r w:rsidRPr="00C1063B">
        <w:t>last date of study therapy dosing in induction + 70,</w:t>
      </w:r>
      <w:r w:rsidR="00420773" w:rsidRPr="00C1063B">
        <w:t xml:space="preserve"> maintenance/re-induction/cross </w:t>
      </w:r>
      <w:r w:rsidRPr="00C1063B">
        <w:t>over first dose date - 1</w:t>
      </w:r>
      <w:r w:rsidR="00BE4457" w:rsidRPr="00C1063B">
        <w:t>)</w:t>
      </w:r>
      <w:r w:rsidRPr="00C1063B">
        <w:t xml:space="preserve"> - first date of study therapy dosing +1)/365.25, regardless if the subject had events or not.</w:t>
      </w:r>
      <w:r w:rsidRPr="00CE5029">
        <w:t xml:space="preserve"> The resulting incidence rate is multiplied by 100 to express the rate per 100 person-years.</w:t>
      </w:r>
    </w:p>
    <w:p w:rsidR="00CE5029" w:rsidRPr="00CE5029" w:rsidRDefault="00CE5029" w:rsidP="00CE5029">
      <w:r w:rsidRPr="00CE5029">
        <w:lastRenderedPageBreak/>
        <w:t>Similarly, for all immune-related AEs (irAEs), incidence rates per 100 person-years were summar</w:t>
      </w:r>
      <w:r w:rsidR="00C91631">
        <w:t>is</w:t>
      </w:r>
      <w:r w:rsidR="00C1063B">
        <w:t xml:space="preserve">ed by time </w:t>
      </w:r>
      <w:r w:rsidRPr="00CE5029">
        <w:t>interv</w:t>
      </w:r>
      <w:r w:rsidR="00420773">
        <w:t xml:space="preserve">al: 0 to 6 months, 6 to </w:t>
      </w:r>
      <w:r w:rsidRPr="00CE5029">
        <w:t>12 months and annually thereafter. In addition, the number of subjects who experienced an irAE once or multiple times during the induction period is presented.</w:t>
      </w:r>
    </w:p>
    <w:p w:rsidR="00CE5029" w:rsidRPr="00CE5029" w:rsidRDefault="00CE5029" w:rsidP="00802C4E">
      <w:pPr>
        <w:pStyle w:val="Heading5"/>
      </w:pPr>
      <w:r w:rsidRPr="00CE5029">
        <w:t>Population analysed</w:t>
      </w:r>
    </w:p>
    <w:p w:rsidR="00CE5029" w:rsidRPr="00CE5029" w:rsidRDefault="00CE5029" w:rsidP="00802C4E">
      <w:pPr>
        <w:pStyle w:val="Heading6"/>
      </w:pPr>
      <w:r w:rsidRPr="00CE5029">
        <w:t>According to previous treatment status</w:t>
      </w:r>
    </w:p>
    <w:p w:rsidR="00CE5029" w:rsidRDefault="00CE5029" w:rsidP="00CE5029">
      <w:r w:rsidRPr="00CE5029">
        <w:t>A total of 697 subjects (55 previously untreated and 642 previously treated) were treated with study medication. These 642 previously treated subjects include 2 compassionate use subjects from MDX010-08 who were not random</w:t>
      </w:r>
      <w:r w:rsidR="00C91631">
        <w:t>is</w:t>
      </w:r>
      <w:r w:rsidRPr="00CE5029">
        <w:t xml:space="preserve">ed but were treated in the study with </w:t>
      </w:r>
      <w:r w:rsidR="00F22D76">
        <w:t>ipilimumab</w:t>
      </w:r>
      <w:r w:rsidR="00420773">
        <w:t xml:space="preserve"> 3 </w:t>
      </w:r>
      <w:r w:rsidRPr="00CE5029">
        <w:t xml:space="preserve">mg/kg. One of the 642 subjects in the previously treated group received gp100 instead of </w:t>
      </w:r>
      <w:r w:rsidR="00F22D76">
        <w:t>ipilimumab</w:t>
      </w:r>
      <w:r w:rsidRPr="00CE5029">
        <w:t xml:space="preserve"> + gp100 though. As a result, 641 subjects who were previously treated received </w:t>
      </w:r>
      <w:r w:rsidR="00F22D76">
        <w:t>ipilimumab</w:t>
      </w:r>
      <w:r w:rsidRPr="00CE5029">
        <w:t xml:space="preserve"> 3 mg/kg.</w:t>
      </w:r>
    </w:p>
    <w:p w:rsidR="00CE5029" w:rsidRDefault="00182795" w:rsidP="00182795">
      <w:pPr>
        <w:pStyle w:val="Comment"/>
        <w:ind w:left="1134" w:hanging="1134"/>
      </w:pPr>
      <w:r w:rsidRPr="00182795">
        <w:rPr>
          <w:b/>
        </w:rPr>
        <w:t>C</w:t>
      </w:r>
      <w:r w:rsidR="006E15A4" w:rsidRPr="00182795">
        <w:rPr>
          <w:b/>
        </w:rPr>
        <w:t>omment</w:t>
      </w:r>
      <w:r w:rsidR="00D62FEF" w:rsidRPr="00182795">
        <w:rPr>
          <w:b/>
        </w:rPr>
        <w:t>:</w:t>
      </w:r>
      <w:r w:rsidR="00D62FEF">
        <w:t xml:space="preserve"> It is not clear why </w:t>
      </w:r>
      <w:r>
        <w:t>non-</w:t>
      </w:r>
      <w:r w:rsidRPr="00CE5029">
        <w:t>randomised</w:t>
      </w:r>
      <w:r w:rsidR="00CE5029" w:rsidRPr="00CE5029">
        <w:t xml:space="preserve"> p</w:t>
      </w:r>
      <w:r w:rsidR="00C1063B">
        <w:t>atients were included in MDX010</w:t>
      </w:r>
      <w:r w:rsidR="00C1063B">
        <w:noBreakHyphen/>
      </w:r>
      <w:r w:rsidR="00CE5029" w:rsidRPr="00CE5029">
        <w:t xml:space="preserve">08. Could the </w:t>
      </w:r>
      <w:r w:rsidR="005F5E22">
        <w:t>sponsor</w:t>
      </w:r>
      <w:r w:rsidR="00CE5029" w:rsidRPr="00CE5029">
        <w:t xml:space="preserve"> please clarify how many randomised patients were previously untreated (not chemotherapy naïve) who received </w:t>
      </w:r>
      <w:r w:rsidR="00F22D76">
        <w:t>ipilimumab</w:t>
      </w:r>
      <w:r w:rsidR="00CE5029" w:rsidRPr="00CE5029">
        <w:t xml:space="preserve"> </w:t>
      </w:r>
      <w:r w:rsidR="00C108F1">
        <w:t>3 mg</w:t>
      </w:r>
      <w:r w:rsidR="00CE5029" w:rsidRPr="00CE5029">
        <w:t>/kg monotherapy and who did n</w:t>
      </w:r>
      <w:r w:rsidR="00420773">
        <w:t>ot receive maintenance therapy?</w:t>
      </w:r>
    </w:p>
    <w:p w:rsidR="00CE5029" w:rsidRPr="00CE5029" w:rsidRDefault="00CE5029" w:rsidP="00420773">
      <w:pPr>
        <w:pStyle w:val="Heading6"/>
      </w:pPr>
      <w:r w:rsidRPr="00CE5029">
        <w:t>According to chemotherapy pre-treatment status</w:t>
      </w:r>
    </w:p>
    <w:p w:rsidR="00CE5029" w:rsidRPr="00CE5029" w:rsidRDefault="00CE5029" w:rsidP="00CE5029">
      <w:r w:rsidRPr="00CE5029">
        <w:t>A total of 697 subjec</w:t>
      </w:r>
      <w:r w:rsidR="00B32EFF">
        <w:t>ts (</w:t>
      </w:r>
      <w:proofErr w:type="gramStart"/>
      <w:r w:rsidR="00B32EFF">
        <w:t xml:space="preserve">141 chemotherapy </w:t>
      </w:r>
      <w:r w:rsidRPr="00CE5029">
        <w:t>naive</w:t>
      </w:r>
      <w:proofErr w:type="gramEnd"/>
      <w:r w:rsidRPr="00CE5029">
        <w:t xml:space="preserve"> and 556 chemotherapy pre-treated) were treated with study medication. These include 2 compassionate use subjects from MDX010-08 who were not random</w:t>
      </w:r>
      <w:r w:rsidR="00C91631">
        <w:t>is</w:t>
      </w:r>
      <w:r w:rsidRPr="00CE5029">
        <w:t xml:space="preserve">ed but were treated in the study with </w:t>
      </w:r>
      <w:r w:rsidR="00F22D76">
        <w:t>ipilimumab</w:t>
      </w:r>
      <w:r w:rsidRPr="00CE5029">
        <w:t xml:space="preserve"> 3 mg/kg (1 in each group). One of the 556 subjects in the chemotherapy pre-treated group received gp100 instead of </w:t>
      </w:r>
      <w:r w:rsidR="00F22D76">
        <w:t>ipilimumab</w:t>
      </w:r>
      <w:r w:rsidRPr="00CE5029">
        <w:t xml:space="preserve"> + gp100 though. Hence 555 subjects who were chemotherapy pre-treated received </w:t>
      </w:r>
      <w:r w:rsidR="00F22D76">
        <w:t>ipilimumab</w:t>
      </w:r>
      <w:r w:rsidRPr="00CE5029">
        <w:t xml:space="preserve"> 3 mg/kg.</w:t>
      </w:r>
    </w:p>
    <w:p w:rsidR="00CE5029" w:rsidRPr="00CE5029" w:rsidRDefault="00182795" w:rsidP="00CE5029">
      <w:pPr>
        <w:pStyle w:val="Comment"/>
      </w:pPr>
      <w:r>
        <w:rPr>
          <w:b/>
        </w:rPr>
        <w:t>C</w:t>
      </w:r>
      <w:r w:rsidR="006E15A4" w:rsidRPr="00420773">
        <w:rPr>
          <w:b/>
        </w:rPr>
        <w:t>omment</w:t>
      </w:r>
      <w:r w:rsidR="00CE5029" w:rsidRPr="00420773">
        <w:rPr>
          <w:b/>
        </w:rPr>
        <w:t>:</w:t>
      </w:r>
      <w:r w:rsidR="00CE5029" w:rsidRPr="00CE5029">
        <w:t xml:space="preserve"> It is not clear why non-randomised p</w:t>
      </w:r>
      <w:r w:rsidR="00C1063B">
        <w:t>atients were included in MDX010</w:t>
      </w:r>
      <w:r w:rsidR="00C1063B">
        <w:noBreakHyphen/>
      </w:r>
      <w:r w:rsidR="00CE5029" w:rsidRPr="00CE5029">
        <w:t>08.</w:t>
      </w:r>
    </w:p>
    <w:p w:rsidR="00CE5029" w:rsidRPr="00CE5029" w:rsidRDefault="00CE5029" w:rsidP="00CE5029">
      <w:r w:rsidRPr="00CE5029">
        <w:t xml:space="preserve">In previously treated and previously untreated subjects receiving any </w:t>
      </w:r>
      <w:r w:rsidR="00F22D76">
        <w:t>ipilimumab</w:t>
      </w:r>
      <w:r w:rsidRPr="00CE5029">
        <w:t xml:space="preserve"> 3 mg/kg containing regimen during the induction period, a median of 4 doses of </w:t>
      </w:r>
      <w:r w:rsidR="00F22D76">
        <w:t>ipilimumab</w:t>
      </w:r>
      <w:r w:rsidRPr="00CE5029">
        <w:t xml:space="preserve"> were administered. The majority of subjects in both groups received 4 doses during induction (previously untreated 54.5%, previously treated 64.3%). In chemotherapy naive and chemotherapy pre-treated subjects receiving any </w:t>
      </w:r>
      <w:r w:rsidR="00F22D76">
        <w:t>ipilimumab</w:t>
      </w:r>
      <w:r w:rsidRPr="00CE5029">
        <w:t xml:space="preserve"> 3 mg/kg containing regimen during the induction period, results were similar to that seen in the previously untreated/treated subjects receiving any </w:t>
      </w:r>
      <w:r w:rsidR="00F22D76">
        <w:t>ipilimumab</w:t>
      </w:r>
      <w:r w:rsidRPr="00CE5029">
        <w:t xml:space="preserve"> 3 mg/kg regimen; the majority in both groups received 4 doses during induction (chemotherapy naïve 60.3% </w:t>
      </w:r>
      <w:r w:rsidR="00046414">
        <w:t>versus</w:t>
      </w:r>
      <w:r w:rsidRPr="00CE5029">
        <w:t xml:space="preserve"> chemotherapy pre-treated 64.3%, respectively)</w:t>
      </w:r>
      <w:r>
        <w:t>.</w:t>
      </w:r>
    </w:p>
    <w:p w:rsidR="00CE5029" w:rsidRPr="00CE5029" w:rsidRDefault="00CE5029" w:rsidP="00420773">
      <w:pPr>
        <w:pStyle w:val="Heading6"/>
      </w:pPr>
      <w:r w:rsidRPr="00CE5029">
        <w:t xml:space="preserve">Demographics </w:t>
      </w:r>
      <w:r w:rsidR="00182795" w:rsidRPr="00CE5029">
        <w:t>of previously untreated and previously treated</w:t>
      </w:r>
    </w:p>
    <w:p w:rsidR="00CE5029" w:rsidRPr="00CE5029" w:rsidRDefault="00CE5029" w:rsidP="00CE5029">
      <w:r w:rsidRPr="00CE5029">
        <w:t>Demographics and subject characteristics in chemotherapy naive and chemotherapy pre-treated subjects were similar to those in the previously untreated and previously treated populations, except that a difference between groups was observed in age. Untreated patients were older (median age 66 years versus 57 years treated)</w:t>
      </w:r>
      <w:proofErr w:type="gramStart"/>
      <w:r w:rsidRPr="00CE5029">
        <w:t>,</w:t>
      </w:r>
      <w:proofErr w:type="gramEnd"/>
      <w:r w:rsidRPr="00CE5029">
        <w:t xml:space="preserve"> with 50.9% of previously untreated subjects </w:t>
      </w:r>
      <w:r w:rsidR="00A413D2">
        <w:t>≥</w:t>
      </w:r>
      <w:r w:rsidRPr="00CE5029">
        <w:t xml:space="preserve"> 65 years of age compared to 28.2% of previously treated subjects. Approximately 94% of both groups were white/Caucasian. Nearly all subjects had an Eastern Cooperative Oncology Group (ECOG) performance status (PS) of 0 or 1. Most subjects had M1c stage disease (distant metastases) (previously untreated 52.7% and previously treated 66.5%), and less than half of the subjects had elevated lactic dehydrogenase (LDH) level (&gt; upper limit of normal </w:t>
      </w:r>
      <w:r w:rsidR="00BE4457">
        <w:t>(</w:t>
      </w:r>
      <w:r w:rsidRPr="00CE5029">
        <w:t>ULN</w:t>
      </w:r>
      <w:r w:rsidR="00BE4457">
        <w:t>)</w:t>
      </w:r>
      <w:r w:rsidRPr="00CE5029">
        <w:t xml:space="preserve">) at baseline (previously untreated 25.5% and previously treated 36.8%). As per definition, no subjects in the previously untreated population and all subjects in the previously treated population received prior systemic anticancer therapy for advanced melanoma. In the previously treated population, the most common previous systemic anticancer therapy was dacarbazine (54.3%). Four subjects (7.3%) in the previously untreated population were </w:t>
      </w:r>
      <w:r w:rsidRPr="00AC5B89">
        <w:t>administered prior adjuvant immunotherapy</w:t>
      </w:r>
      <w:r>
        <w:t xml:space="preserve"> </w:t>
      </w:r>
      <w:r w:rsidRPr="00AC5B89">
        <w:t xml:space="preserve">consisting of interferon alfa 2B, interleukin 2, and </w:t>
      </w:r>
      <w:r w:rsidRPr="00AC5B89">
        <w:lastRenderedPageBreak/>
        <w:t>investigational immunotherapy</w:t>
      </w:r>
      <w:r>
        <w:t xml:space="preserve">. </w:t>
      </w:r>
      <w:r w:rsidRPr="00AC5B89">
        <w:t>A total of 321 subjects (50.1%) in the previously treated population</w:t>
      </w:r>
      <w:r>
        <w:t xml:space="preserve"> </w:t>
      </w:r>
      <w:r w:rsidRPr="00AC5B89">
        <w:t>were administered prior immunotherapy; interferon and interleukin 2 were most</w:t>
      </w:r>
      <w:r>
        <w:t xml:space="preserve"> commonly administered.</w:t>
      </w:r>
    </w:p>
    <w:p w:rsidR="00CE5029" w:rsidRPr="00CE5029" w:rsidRDefault="00CE5029" w:rsidP="00420773">
      <w:pPr>
        <w:pStyle w:val="Heading6"/>
      </w:pPr>
      <w:r w:rsidRPr="00CE5029">
        <w:t>Demographic</w:t>
      </w:r>
      <w:r w:rsidRPr="00420773">
        <w:rPr>
          <w:rStyle w:val="Heading6Char"/>
        </w:rPr>
        <w:t>s</w:t>
      </w:r>
      <w:r w:rsidRPr="00CE5029">
        <w:t xml:space="preserve"> of </w:t>
      </w:r>
      <w:r w:rsidR="00182795" w:rsidRPr="00CE5029">
        <w:t>chemotherapy naive and chemotherapy pre-treated</w:t>
      </w:r>
    </w:p>
    <w:p w:rsidR="00CE5029" w:rsidRDefault="00CE5029" w:rsidP="00CE5029">
      <w:r w:rsidRPr="00CE5029">
        <w:t xml:space="preserve">Demography and subject characteristics in chemotherapy naive and chemotherapy pre-treated subjects were similar to those in the previously untreated and previously treated populations, except that median age (58 and 57 years, respectively) and the percentage of subjects </w:t>
      </w:r>
      <w:r w:rsidR="00A413D2">
        <w:t>≥</w:t>
      </w:r>
      <w:r w:rsidRPr="00CE5029">
        <w:t xml:space="preserve"> 65 years of age (33.3% and 29.2%, respectively) were similar. A total of 63.1% of chemotherapy naive subjects and 99.5% of chemotherapy pre-treated subjects had received prior systemic anticancer therapy for advanced melanoma, respectively. In the chemotherapy naive population, the most common previous systemic anticancer therapy was interleukin 2 (41.8%) and in the chemotherapy pre-treated population, was DTIC (62.7%). A total of 83 subjects (58.9%) in the chemotherapy naive population received prior immunotherapy consisting most commonly of interleukin 2 and interferon. A total of 242 subjects (43.6%) in the chemotherapy pre-treated population received prior immunotherapy; interferon and interleukin 2 were the most commonly received.</w:t>
      </w:r>
    </w:p>
    <w:p w:rsidR="00CE5029" w:rsidRPr="00CE5029" w:rsidRDefault="00CE5029" w:rsidP="00B32EFF">
      <w:pPr>
        <w:pStyle w:val="Heading5"/>
      </w:pPr>
      <w:r w:rsidRPr="00CE5029">
        <w:t xml:space="preserve">Infusion </w:t>
      </w:r>
      <w:r w:rsidR="00182795">
        <w:t>i</w:t>
      </w:r>
      <w:r w:rsidRPr="00CE5029">
        <w:t>nterruptions</w:t>
      </w:r>
    </w:p>
    <w:p w:rsidR="00CE5029" w:rsidRDefault="00CE5029" w:rsidP="00CE5029">
      <w:r w:rsidRPr="00CE5029">
        <w:t>A total of 2</w:t>
      </w:r>
      <w:r w:rsidR="005853BB">
        <w:t xml:space="preserve"> out of </w:t>
      </w:r>
      <w:r w:rsidRPr="00CE5029">
        <w:t>55 subjects (3.6%) in the previously untre</w:t>
      </w:r>
      <w:r w:rsidR="00420773">
        <w:t>ated group and 132</w:t>
      </w:r>
      <w:r w:rsidR="005853BB">
        <w:t xml:space="preserve"> out of </w:t>
      </w:r>
      <w:r w:rsidR="00420773">
        <w:t xml:space="preserve">641 subjects </w:t>
      </w:r>
      <w:r w:rsidRPr="00CE5029">
        <w:t>(20.6%) in the previously treated group required at least 1 infusion interruption. Interruptions were more common in chemotherapy pre-treated group, with a total of 18</w:t>
      </w:r>
      <w:r w:rsidR="005853BB">
        <w:t xml:space="preserve"> out of </w:t>
      </w:r>
      <w:r w:rsidRPr="00CE5029">
        <w:t>141 subjects (12.8%) in the chemotherapy naive group and 116</w:t>
      </w:r>
      <w:r w:rsidR="005853BB">
        <w:t xml:space="preserve"> out of </w:t>
      </w:r>
      <w:r w:rsidRPr="00CE5029">
        <w:t xml:space="preserve">555 subjects (20.9%) in the chemotherapy pre-treated group required at least 1 infusion interruption (the majority of these subjects had only 1 infusion interruption). The reason was described as </w:t>
      </w:r>
      <w:r w:rsidR="00C108F1">
        <w:t>‘</w:t>
      </w:r>
      <w:r w:rsidRPr="00CE5029">
        <w:t>other</w:t>
      </w:r>
      <w:r w:rsidR="00C108F1">
        <w:t>’</w:t>
      </w:r>
      <w:r w:rsidRPr="00CE5029">
        <w:t xml:space="preserve"> and not specified.</w:t>
      </w:r>
    </w:p>
    <w:p w:rsidR="00CE5029" w:rsidRPr="00CE5029" w:rsidRDefault="00CE5029" w:rsidP="00B32EFF">
      <w:pPr>
        <w:pStyle w:val="Heading4"/>
      </w:pPr>
      <w:r w:rsidRPr="00CE5029">
        <w:t>Overall AEs</w:t>
      </w:r>
    </w:p>
    <w:p w:rsidR="00CE5029" w:rsidRPr="00CE5029" w:rsidRDefault="00CE5029" w:rsidP="00CE5029">
      <w:r w:rsidRPr="00CE5029">
        <w:t>The majority of patients (</w:t>
      </w:r>
      <w:r w:rsidR="00D62FEF">
        <w:t xml:space="preserve">approximately </w:t>
      </w:r>
      <w:r w:rsidRPr="00CE5029">
        <w:t xml:space="preserve">85%) experienced an AE of any grade but this was similar between groups of patients split according to pre-treatment status and </w:t>
      </w:r>
      <w:r>
        <w:t>previous chemotherapy exposure.</w:t>
      </w:r>
      <w:r w:rsidR="00B32EFF">
        <w:t xml:space="preserve"> </w:t>
      </w:r>
      <w:r w:rsidRPr="00CE5029">
        <w:t>It is difficult to comment on whether AEs were more frequent according to treatment status due to the imbalance in numbers and relative proportion of events</w:t>
      </w:r>
      <w:r>
        <w:t>.</w:t>
      </w:r>
      <w:r w:rsidR="00B32EFF">
        <w:t xml:space="preserve"> </w:t>
      </w:r>
      <w:r w:rsidRPr="00CE5029">
        <w:t xml:space="preserve">The results according to pre-treatment status are summarised below </w:t>
      </w:r>
      <w:r w:rsidRPr="00B95A18">
        <w:t xml:space="preserve">in Table </w:t>
      </w:r>
      <w:r w:rsidR="004572B9">
        <w:t>30</w:t>
      </w:r>
      <w:r w:rsidRPr="00B95A18">
        <w:t>.</w:t>
      </w:r>
    </w:p>
    <w:p w:rsidR="00CE5029" w:rsidRPr="00CE5029" w:rsidRDefault="00CE5029" w:rsidP="00CE5029">
      <w:pPr>
        <w:pStyle w:val="Tabletitle"/>
      </w:pPr>
      <w:bookmarkStart w:id="225" w:name="_Toc390676308"/>
      <w:r w:rsidRPr="00B95A18">
        <w:t xml:space="preserve">Table </w:t>
      </w:r>
      <w:r w:rsidR="004572B9">
        <w:t>30</w:t>
      </w:r>
      <w:r w:rsidR="00182795" w:rsidRPr="00B95A18">
        <w:t>:</w:t>
      </w:r>
      <w:r w:rsidR="00207D77" w:rsidRPr="00B95A18">
        <w:t xml:space="preserve"> </w:t>
      </w:r>
      <w:r w:rsidRPr="00B95A18">
        <w:t>Safety</w:t>
      </w:r>
      <w:r w:rsidRPr="00CE5029">
        <w:t xml:space="preserve"> parameters according to pre-treatment status for patients treated with </w:t>
      </w:r>
      <w:r w:rsidR="00F22D76">
        <w:t>ipilimumab</w:t>
      </w:r>
      <w:r w:rsidRPr="00CE5029">
        <w:t xml:space="preserve"> </w:t>
      </w:r>
      <w:r w:rsidR="00C108F1">
        <w:t>3 mg</w:t>
      </w:r>
      <w:r w:rsidRPr="00CE5029">
        <w:t>/kg (not according to monotherapy)</w:t>
      </w:r>
      <w:bookmarkEnd w:id="225"/>
    </w:p>
    <w:p w:rsidR="00CE5029" w:rsidRDefault="00CE5029" w:rsidP="00CE5029">
      <w:r>
        <w:rPr>
          <w:noProof/>
          <w:lang w:eastAsia="en-AU"/>
        </w:rPr>
        <w:drawing>
          <wp:inline distT="0" distB="0" distL="0" distR="0" wp14:anchorId="5B47E1B5" wp14:editId="6FAABA43">
            <wp:extent cx="4808220" cy="2651760"/>
            <wp:effectExtent l="0" t="0" r="0" b="0"/>
            <wp:docPr id="23" name="Picture 23" descr="Table 30: Safety parameters according to pre-treatment status for patients treated with ipilimumab 3 mg/kg (not according to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08220" cy="2651760"/>
                    </a:xfrm>
                    <a:prstGeom prst="rect">
                      <a:avLst/>
                    </a:prstGeom>
                  </pic:spPr>
                </pic:pic>
              </a:graphicData>
            </a:graphic>
          </wp:inline>
        </w:drawing>
      </w:r>
    </w:p>
    <w:p w:rsidR="00CE5029" w:rsidRPr="00561092" w:rsidRDefault="00182795" w:rsidP="00182795">
      <w:pPr>
        <w:pStyle w:val="Comment"/>
        <w:ind w:left="1134" w:hanging="1134"/>
      </w:pPr>
      <w:r>
        <w:rPr>
          <w:b/>
        </w:rPr>
        <w:lastRenderedPageBreak/>
        <w:t>C</w:t>
      </w:r>
      <w:r w:rsidR="006E15A4" w:rsidRPr="00207D77">
        <w:rPr>
          <w:b/>
        </w:rPr>
        <w:t>omment</w:t>
      </w:r>
      <w:r w:rsidR="00CE5029" w:rsidRPr="00207D77">
        <w:rPr>
          <w:b/>
        </w:rPr>
        <w:t>:</w:t>
      </w:r>
      <w:r w:rsidR="00CE5029" w:rsidRPr="00CE5029">
        <w:t xml:space="preserve"> It is unclear from this table and summary how many patients are</w:t>
      </w:r>
      <w:r w:rsidR="00D62FEF">
        <w:t xml:space="preserve"> relevant to the proposed usage</w:t>
      </w:r>
      <w:r w:rsidR="00CE5029" w:rsidRPr="00CE5029">
        <w:t>.</w:t>
      </w:r>
    </w:p>
    <w:p w:rsidR="00CE5029" w:rsidRPr="00CE5029" w:rsidRDefault="00CE5029" w:rsidP="00207D77">
      <w:pPr>
        <w:pStyle w:val="Heading5"/>
      </w:pPr>
      <w:r w:rsidRPr="00CE5029">
        <w:t xml:space="preserve">All </w:t>
      </w:r>
      <w:r w:rsidR="005C0B86" w:rsidRPr="00CE5029">
        <w:t>adverse events during the induction period</w:t>
      </w:r>
    </w:p>
    <w:p w:rsidR="00CE5029" w:rsidRDefault="00CE5029" w:rsidP="00CE5029">
      <w:r w:rsidRPr="00CE5029">
        <w:t>Nearly all subjects reported at least one AE during induction regardless of relationship to study therapy (previously untreated 98.2%, previously t</w:t>
      </w:r>
      <w:r w:rsidR="00207D77">
        <w:t xml:space="preserve">reated 98.1%). A summary of all </w:t>
      </w:r>
      <w:r w:rsidRPr="00CE5029">
        <w:t xml:space="preserve">AEs reported in at least 5% of subjects in any group is </w:t>
      </w:r>
      <w:r w:rsidRPr="00B95A18">
        <w:t xml:space="preserve">presented in Table </w:t>
      </w:r>
      <w:r w:rsidR="004572B9">
        <w:t>31</w:t>
      </w:r>
      <w:r w:rsidR="00D62FEF" w:rsidRPr="00B95A18">
        <w:t>. Grade</w:t>
      </w:r>
      <w:r w:rsidR="00D62FEF">
        <w:t xml:space="preserve"> 3 to </w:t>
      </w:r>
      <w:r w:rsidRPr="00CE5029">
        <w:t>4 AEs were similar (40.0% previously untreated, 41.7% previously treated), of which Grade 3 events were of similar incidence (32.7% previously untreated versus 34.8% previously treated). Grade 4 events were also similar between groups (7.3% and 6.9%, respectively).</w:t>
      </w:r>
    </w:p>
    <w:p w:rsidR="00CE5029" w:rsidRDefault="00182795" w:rsidP="00182795">
      <w:pPr>
        <w:pStyle w:val="Comment"/>
        <w:ind w:left="1134" w:hanging="1134"/>
      </w:pPr>
      <w:r>
        <w:rPr>
          <w:b/>
        </w:rPr>
        <w:t>C</w:t>
      </w:r>
      <w:r w:rsidR="006E15A4" w:rsidRPr="00207D77">
        <w:rPr>
          <w:b/>
        </w:rPr>
        <w:t>omment</w:t>
      </w:r>
      <w:r w:rsidR="00CE5029" w:rsidRPr="00207D77">
        <w:rPr>
          <w:b/>
        </w:rPr>
        <w:t>:</w:t>
      </w:r>
      <w:r w:rsidR="00CE5029" w:rsidRPr="00CE5029">
        <w:t xml:space="preserve"> There were numerical differences (and many similarities) observed between comparator groups. The differences were deemed by the </w:t>
      </w:r>
      <w:r w:rsidR="005F5E22">
        <w:t>sponsor</w:t>
      </w:r>
      <w:r w:rsidR="00CE5029" w:rsidRPr="00CE5029">
        <w:t xml:space="preserve"> as not </w:t>
      </w:r>
      <w:r w:rsidR="00C108F1">
        <w:t>‘</w:t>
      </w:r>
      <w:r w:rsidR="00CE5029" w:rsidRPr="00CE5029">
        <w:t>clinically relevant</w:t>
      </w:r>
      <w:r w:rsidR="00C108F1">
        <w:t>’</w:t>
      </w:r>
      <w:r w:rsidR="00CE5029" w:rsidRPr="00CE5029">
        <w:t xml:space="preserve">. It is unclear how the </w:t>
      </w:r>
      <w:r w:rsidR="005F5E22">
        <w:t>sponsor</w:t>
      </w:r>
      <w:r w:rsidR="00CE5029" w:rsidRPr="00CE5029">
        <w:t xml:space="preserve"> justifies this, as the same conclusion could also be made for the similarities. It is difficult to make any conclusions on the comparison of the safety data provided given that the previously untreated group contained both patients administered monotherapy and combination therapy. It is also impossible to make conclusions based on comparisons comparing 55 previously untreated patients with 641 previously patients.</w:t>
      </w:r>
    </w:p>
    <w:p w:rsidR="00842CE8" w:rsidRDefault="004572B9" w:rsidP="00842CE8">
      <w:pPr>
        <w:pStyle w:val="Tabletitle"/>
      </w:pPr>
      <w:r>
        <w:lastRenderedPageBreak/>
        <w:t>Table 31</w:t>
      </w:r>
      <w:r w:rsidR="005C0B86" w:rsidRPr="00B95A18">
        <w:t>:</w:t>
      </w:r>
      <w:r w:rsidR="001F3382">
        <w:t xml:space="preserve"> </w:t>
      </w:r>
      <w:r w:rsidR="00207D77">
        <w:t>Summary of adverse events (at least 5%) during induction by prior systemic anti-ca</w:t>
      </w:r>
      <w:r w:rsidR="005C0B86">
        <w:t>ncer therapy – treated subjects</w:t>
      </w:r>
    </w:p>
    <w:p w:rsidR="00842CE8" w:rsidRDefault="00F03491" w:rsidP="00207D77">
      <w:r>
        <w:rPr>
          <w:noProof/>
          <w:lang w:eastAsia="en-AU"/>
        </w:rPr>
        <w:drawing>
          <wp:inline distT="0" distB="0" distL="0" distR="0" wp14:anchorId="03B8908F" wp14:editId="5A8E66EF">
            <wp:extent cx="5400842" cy="7198157"/>
            <wp:effectExtent l="0" t="0" r="0" b="0"/>
            <wp:docPr id="15" name="Picture 15" descr="Table 31: Summary of adverse events (at least 5%) during induction by prior systemic anti-cancer therapy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18000"/>
                              </a14:imgEffect>
                            </a14:imgLayer>
                          </a14:imgProps>
                        </a:ext>
                      </a:extLst>
                    </a:blip>
                    <a:stretch>
                      <a:fillRect/>
                    </a:stretch>
                  </pic:blipFill>
                  <pic:spPr>
                    <a:xfrm>
                      <a:off x="0" y="0"/>
                      <a:ext cx="5402113" cy="7199851"/>
                    </a:xfrm>
                    <a:prstGeom prst="rect">
                      <a:avLst/>
                    </a:prstGeom>
                  </pic:spPr>
                </pic:pic>
              </a:graphicData>
            </a:graphic>
          </wp:inline>
        </w:drawing>
      </w:r>
    </w:p>
    <w:p w:rsidR="00207D77" w:rsidRPr="00842CE8" w:rsidRDefault="00207D77" w:rsidP="00E429BE">
      <w:pPr>
        <w:pStyle w:val="Tabletitle"/>
      </w:pPr>
      <w:r w:rsidRPr="00842CE8">
        <w:lastRenderedPageBreak/>
        <w:t xml:space="preserve">Table </w:t>
      </w:r>
      <w:r w:rsidR="004572B9">
        <w:t>31</w:t>
      </w:r>
      <w:r w:rsidRPr="00842CE8">
        <w:t xml:space="preserve"> </w:t>
      </w:r>
      <w:r w:rsidR="00B95A18">
        <w:t>(continued</w:t>
      </w:r>
      <w:r w:rsidR="00842CE8">
        <w:t>)</w:t>
      </w:r>
      <w:r w:rsidR="005C0B86">
        <w:t>:</w:t>
      </w:r>
      <w:r w:rsidR="00257ECD">
        <w:t xml:space="preserve"> </w:t>
      </w:r>
      <w:r w:rsidRPr="00842CE8">
        <w:t>Summary of adverse events (at least 5%) during induction by prior systemic anti-ca</w:t>
      </w:r>
      <w:r w:rsidR="005C0B86">
        <w:t>ncer therapy – treated subjects</w:t>
      </w:r>
    </w:p>
    <w:p w:rsidR="00207D77" w:rsidRDefault="00257ECD" w:rsidP="00207D77">
      <w:r>
        <w:rPr>
          <w:noProof/>
          <w:lang w:eastAsia="en-AU"/>
        </w:rPr>
        <w:drawing>
          <wp:inline distT="0" distB="0" distL="0" distR="0" wp14:anchorId="240FC661" wp14:editId="0C3A2BC4">
            <wp:extent cx="5383987" cy="4798578"/>
            <wp:effectExtent l="0" t="0" r="0" b="0"/>
            <wp:docPr id="28" name="Picture 28" descr="Table 31 (continued): Summary of adverse events (at least 5%) during induction by prior systemic anti-cancer therapy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2000"/>
                              </a14:imgEffect>
                              <a14:imgEffect>
                                <a14:brightnessContrast bright="5000"/>
                              </a14:imgEffect>
                            </a14:imgLayer>
                          </a14:imgProps>
                        </a:ext>
                      </a:extLst>
                    </a:blip>
                    <a:stretch>
                      <a:fillRect/>
                    </a:stretch>
                  </pic:blipFill>
                  <pic:spPr>
                    <a:xfrm>
                      <a:off x="0" y="0"/>
                      <a:ext cx="5386419" cy="4800745"/>
                    </a:xfrm>
                    <a:prstGeom prst="rect">
                      <a:avLst/>
                    </a:prstGeom>
                  </pic:spPr>
                </pic:pic>
              </a:graphicData>
            </a:graphic>
          </wp:inline>
        </w:drawing>
      </w:r>
    </w:p>
    <w:p w:rsidR="00CE5029" w:rsidRDefault="00257ECD" w:rsidP="00CE5029">
      <w:r>
        <w:t xml:space="preserve">The most common Grade 3 to </w:t>
      </w:r>
      <w:r w:rsidR="00CE5029" w:rsidRPr="00CE5029">
        <w:t xml:space="preserve">4 events (reported in </w:t>
      </w:r>
      <w:r>
        <w:t>≥</w:t>
      </w:r>
      <w:r w:rsidR="00CE5029" w:rsidRPr="00CE5029">
        <w:t xml:space="preserve"> 5% of subjects in either population) were fatigue (7.3% previously untreated; 5.3% previously treated), disease progression (5.5% previously untreated; 0.6% previously treated), and diarrhoea (5.5% previously untreated; 3.7% previously treated). There were more injection site reactions of any grade reported in the previously treated group due to the use of gp100 in MDX010-206. The previously untreated group has more subjects with any grade: fatigue, pyrexia, chills, nausea, pruritus, back pain, dizziness, and cough.</w:t>
      </w:r>
    </w:p>
    <w:p w:rsidR="00CE5029" w:rsidRPr="003F4591" w:rsidRDefault="005C0B86" w:rsidP="00257ECD">
      <w:pPr>
        <w:pStyle w:val="Comment"/>
        <w:ind w:left="1134" w:hanging="1134"/>
      </w:pPr>
      <w:r>
        <w:rPr>
          <w:b/>
        </w:rPr>
        <w:t>C</w:t>
      </w:r>
      <w:r w:rsidR="006E15A4" w:rsidRPr="00257ECD">
        <w:rPr>
          <w:b/>
        </w:rPr>
        <w:t>omment</w:t>
      </w:r>
      <w:r w:rsidR="00CE5029" w:rsidRPr="00257ECD">
        <w:rPr>
          <w:b/>
        </w:rPr>
        <w:t>:</w:t>
      </w:r>
      <w:r w:rsidR="00CE5029" w:rsidRPr="003F4591">
        <w:t xml:space="preserve"> The clinical interpretation of the previous paragraph is challenging without reference to source data. The reference to the Appendices A2.3A and A2.3B, demonstrate that these list MedDRA preferred terms, such that (as examples);</w:t>
      </w:r>
    </w:p>
    <w:p w:rsidR="00CE5029" w:rsidRPr="00257ECD" w:rsidRDefault="00CE5029" w:rsidP="005C0B86">
      <w:pPr>
        <w:pStyle w:val="Numberbullet2"/>
        <w:ind w:left="1854" w:hanging="720"/>
      </w:pPr>
      <w:r w:rsidRPr="00257ECD">
        <w:t xml:space="preserve">diarrhoea, colitis, diarrhoea haemorrhagic, colitis microscopic, enteritis </w:t>
      </w:r>
      <w:r w:rsidR="00E429BE">
        <w:t>etcetera</w:t>
      </w:r>
    </w:p>
    <w:p w:rsidR="00CE5029" w:rsidRPr="00257ECD" w:rsidRDefault="00CE5029" w:rsidP="005C0B86">
      <w:pPr>
        <w:pStyle w:val="Numberbullet2"/>
        <w:ind w:left="1854" w:hanging="720"/>
      </w:pPr>
      <w:r w:rsidRPr="00257ECD">
        <w:t xml:space="preserve">haematochezia, GI haemorrhage, rectal haemorrhage, gastric haemorrhage, haematemesis, intestinal haemorrhage, lower GI haemorrhage </w:t>
      </w:r>
      <w:r w:rsidR="00E429BE" w:rsidRPr="00E429BE">
        <w:t>etcetera</w:t>
      </w:r>
    </w:p>
    <w:p w:rsidR="00CE5029" w:rsidRPr="00257ECD" w:rsidRDefault="00E429BE" w:rsidP="005C0B86">
      <w:pPr>
        <w:pStyle w:val="Numberbullet2"/>
        <w:ind w:left="1854" w:hanging="720"/>
      </w:pPr>
      <w:r>
        <w:t>under general disorders:</w:t>
      </w:r>
      <w:r w:rsidR="00CE5029" w:rsidRPr="00257ECD">
        <w:t xml:space="preserve"> mucosal inflammation, inflammation</w:t>
      </w:r>
    </w:p>
    <w:p w:rsidR="00257ECD" w:rsidRPr="00257ECD" w:rsidRDefault="00CE5029" w:rsidP="005C0B86">
      <w:pPr>
        <w:pStyle w:val="Numberbullet2"/>
        <w:ind w:left="1854" w:hanging="720"/>
      </w:pPr>
      <w:r w:rsidRPr="00257ECD">
        <w:t>un</w:t>
      </w:r>
      <w:r w:rsidR="00E429BE">
        <w:t>der gastrointestinal disorders:</w:t>
      </w:r>
      <w:r w:rsidRPr="00257ECD">
        <w:t xml:space="preserve"> aphthous stomatitis, mouth ulceration, oesophagitis,</w:t>
      </w:r>
      <w:r w:rsidR="00257ECD" w:rsidRPr="00257ECD">
        <w:t xml:space="preserve"> </w:t>
      </w:r>
      <w:r w:rsidR="003F4591" w:rsidRPr="00257ECD">
        <w:t xml:space="preserve">oral </w:t>
      </w:r>
      <w:r w:rsidRPr="00257ECD">
        <w:t>pain, stomatitis, tongue u</w:t>
      </w:r>
      <w:r w:rsidR="003F4591" w:rsidRPr="00257ECD">
        <w:t>lceration, gastritis, gastritis</w:t>
      </w:r>
      <w:r w:rsidR="00257ECD">
        <w:t xml:space="preserve"> </w:t>
      </w:r>
      <w:r w:rsidR="00257ECD" w:rsidRPr="00257ECD">
        <w:t>haemorrhagic, gingival pain, lip ulceration</w:t>
      </w:r>
    </w:p>
    <w:p w:rsidR="00CE5029" w:rsidRPr="00257ECD" w:rsidRDefault="00E429BE" w:rsidP="005C0B86">
      <w:pPr>
        <w:pStyle w:val="Numberbullet2"/>
        <w:ind w:left="1854" w:hanging="720"/>
      </w:pPr>
      <w:proofErr w:type="gramStart"/>
      <w:r>
        <w:lastRenderedPageBreak/>
        <w:t>under</w:t>
      </w:r>
      <w:proofErr w:type="gramEnd"/>
      <w:r>
        <w:t xml:space="preserve"> respiratory disorders:</w:t>
      </w:r>
      <w:r w:rsidR="00257ECD" w:rsidRPr="00257ECD">
        <w:t xml:space="preserve"> oropharyngeal pain etc.</w:t>
      </w:r>
    </w:p>
    <w:p w:rsidR="00CE5029" w:rsidRPr="003F4591" w:rsidRDefault="00257ECD" w:rsidP="00257ECD">
      <w:pPr>
        <w:pStyle w:val="Comment"/>
        <w:ind w:left="1134" w:firstLine="0"/>
      </w:pPr>
      <w:r>
        <w:t>A</w:t>
      </w:r>
      <w:r w:rsidR="00CE5029" w:rsidRPr="003F4591">
        <w:t xml:space="preserve">re all </w:t>
      </w:r>
      <w:r>
        <w:t>Sep</w:t>
      </w:r>
      <w:r w:rsidR="00E429BE">
        <w:t xml:space="preserve">arate listings </w:t>
      </w:r>
      <w:r w:rsidR="00CE5029" w:rsidRPr="003F4591">
        <w:t>a</w:t>
      </w:r>
      <w:r w:rsidR="00E429BE">
        <w:t xml:space="preserve">ccording to the preferred </w:t>
      </w:r>
      <w:r w:rsidR="001854AA">
        <w:t>terms?</w:t>
      </w:r>
    </w:p>
    <w:p w:rsidR="00CE5029" w:rsidRPr="003F4591" w:rsidRDefault="00CE5029" w:rsidP="00257ECD">
      <w:pPr>
        <w:pStyle w:val="Comment"/>
        <w:ind w:left="1134" w:firstLine="0"/>
      </w:pPr>
      <w:r w:rsidRPr="003F4591">
        <w:t>Thus, though the text reports the incidence of a single preferred term accurately, it is unclear how frequent events are if these were collated in a clinically relevant manner. It is also unclear what is being described in the text without reference to the A</w:t>
      </w:r>
      <w:r w:rsidR="003F4591">
        <w:t>ppendices.</w:t>
      </w:r>
    </w:p>
    <w:p w:rsidR="00CE5029" w:rsidRPr="00CD7F28" w:rsidRDefault="00CE5029" w:rsidP="00257ECD">
      <w:pPr>
        <w:pStyle w:val="Comment"/>
        <w:ind w:left="1134" w:firstLine="0"/>
      </w:pPr>
      <w:r w:rsidRPr="003F4591">
        <w:t xml:space="preserve">The </w:t>
      </w:r>
      <w:r w:rsidR="005F5E22">
        <w:t>sponsor</w:t>
      </w:r>
      <w:r w:rsidRPr="003F4591">
        <w:t xml:space="preserve"> is requested to perform an analysis whereby the events (though described by different clinical preferred terms) are collated in a clinically meaningful way, are summarised, and represented in text and tables as an updated version of the data for the patient population </w:t>
      </w:r>
      <w:r w:rsidR="00814EAC">
        <w:t>relevant to the proposed usage.</w:t>
      </w:r>
    </w:p>
    <w:p w:rsidR="00CE5029" w:rsidRDefault="00CE5029" w:rsidP="00CE5029">
      <w:r w:rsidRPr="003F4591">
        <w:t>Similar findings were demonstrated when populations were stratified according to previous chemotherapy exposure.</w:t>
      </w:r>
    </w:p>
    <w:p w:rsidR="00CE5029" w:rsidRPr="003F4591" w:rsidRDefault="00814EAC" w:rsidP="00814EAC">
      <w:pPr>
        <w:pStyle w:val="Heading5"/>
      </w:pPr>
      <w:r>
        <w:t>Analyses of exposure-adjusted AEs including multiple o</w:t>
      </w:r>
      <w:r w:rsidR="00CE5029" w:rsidRPr="003F4591">
        <w:t>ccurren</w:t>
      </w:r>
      <w:r>
        <w:t>ces of unique events occurring during i</w:t>
      </w:r>
      <w:r w:rsidR="00CE5029" w:rsidRPr="003F4591">
        <w:t>nduction</w:t>
      </w:r>
    </w:p>
    <w:p w:rsidR="00CE5029" w:rsidRPr="003F4591" w:rsidRDefault="00CE5029" w:rsidP="003F4591">
      <w:r w:rsidRPr="003F4591">
        <w:t xml:space="preserve">The </w:t>
      </w:r>
      <w:r w:rsidR="005F5E22">
        <w:t>sponsor</w:t>
      </w:r>
      <w:r w:rsidRPr="003F4591">
        <w:t xml:space="preserve"> writes that the analyses of exposure</w:t>
      </w:r>
      <w:r w:rsidR="00814EAC">
        <w:t xml:space="preserve"> </w:t>
      </w:r>
      <w:r w:rsidRPr="003F4591">
        <w:t>adjusted irAEs, including multiple occurrences of unique events occurring during induction in treated subjects, do not reveal any clinically relevant safety differences</w:t>
      </w:r>
      <w:r w:rsidR="003F4591" w:rsidRPr="003F4591">
        <w:t>.</w:t>
      </w:r>
    </w:p>
    <w:p w:rsidR="00CE5029" w:rsidRPr="003F4591" w:rsidRDefault="00CE5029" w:rsidP="003F4591">
      <w:r w:rsidRPr="003F4591">
        <w:t>The incidence rate of any AEs (event/100 person-years) was 3</w:t>
      </w:r>
      <w:r w:rsidR="00814EAC">
        <w:t>,</w:t>
      </w:r>
      <w:r w:rsidRPr="003F4591">
        <w:t>709.2 events/100 person-years in the previously untreated group and 2</w:t>
      </w:r>
      <w:r w:rsidR="00814EAC">
        <w:t>,</w:t>
      </w:r>
      <w:r w:rsidRPr="003F4591">
        <w:t>739.2 events/100 person-years in the previously treated group</w:t>
      </w:r>
      <w:r w:rsidR="003F4591" w:rsidRPr="003F4591">
        <w:t>.</w:t>
      </w:r>
    </w:p>
    <w:p w:rsidR="00CE5029" w:rsidRPr="003F4591" w:rsidRDefault="00CE5029" w:rsidP="003F4591">
      <w:r w:rsidRPr="003F4591">
        <w:t xml:space="preserve">The incidence rate of any irAEs (event/100 person-years) was 471.1 events/100 person-years in the previously untreated group and 381.2 events/100 person-years in the previously treated group. The most common irAEs involved the skin (258.4 </w:t>
      </w:r>
      <w:r w:rsidR="00046414">
        <w:t>versus</w:t>
      </w:r>
      <w:r w:rsidRPr="003F4591">
        <w:t xml:space="preserve"> 189.7) and GI (162.1 </w:t>
      </w:r>
      <w:r w:rsidR="00046414">
        <w:t>versus</w:t>
      </w:r>
      <w:r w:rsidRPr="003F4591">
        <w:t xml:space="preserve"> 145.3) systems in previously untreated and previously treated subjects</w:t>
      </w:r>
      <w:r w:rsidR="00814EAC">
        <w:t xml:space="preserve"> respectively</w:t>
      </w:r>
      <w:r w:rsidRPr="003F4591">
        <w:t>. While there is a numerical difference in the incidence rate of irAEs in these systems, the differences are inconsistent among individual events (</w:t>
      </w:r>
      <w:r w:rsidR="00CF24F8">
        <w:t>for example</w:t>
      </w:r>
      <w:r w:rsidRPr="003F4591">
        <w:t xml:space="preserve">, rash: 91.2 </w:t>
      </w:r>
      <w:r w:rsidR="00046414">
        <w:t>versus</w:t>
      </w:r>
      <w:r w:rsidRPr="003F4591">
        <w:t xml:space="preserve"> 62.6; diarrhoea: 91.2 </w:t>
      </w:r>
      <w:r w:rsidR="00046414">
        <w:t>versus</w:t>
      </w:r>
      <w:r w:rsidRPr="003F4591">
        <w:t xml:space="preserve"> 114.5, previously untreated </w:t>
      </w:r>
      <w:r w:rsidR="00046414">
        <w:t>versus</w:t>
      </w:r>
      <w:r w:rsidR="003F4591" w:rsidRPr="003F4591">
        <w:t xml:space="preserve"> previously treated).</w:t>
      </w:r>
    </w:p>
    <w:p w:rsidR="00CE5029" w:rsidRPr="003F4591" w:rsidRDefault="00CE5029" w:rsidP="003F4591">
      <w:r w:rsidRPr="003F4591">
        <w:t xml:space="preserve">An analysis of the number of subjects who reported 1, </w:t>
      </w:r>
      <w:r w:rsidR="00814EAC">
        <w:t xml:space="preserve">2 to </w:t>
      </w:r>
      <w:r w:rsidRPr="003F4591">
        <w:t xml:space="preserve">3, or </w:t>
      </w:r>
      <w:r w:rsidR="00A413D2">
        <w:t>≥</w:t>
      </w:r>
      <w:r w:rsidRPr="003F4591">
        <w:t xml:space="preserve"> 4 irAEs showed that most individual irAEs were uncommon and rarely occurred in the same subject more than once. Diarrhoea and rash were the only irAEs reported two or more times in the same subject for </w:t>
      </w:r>
      <w:r w:rsidR="00A413D2">
        <w:t>≥</w:t>
      </w:r>
      <w:r w:rsidR="00814EAC">
        <w:t> </w:t>
      </w:r>
      <w:r w:rsidRPr="003F4591">
        <w:t>5% of subjects in any group</w:t>
      </w:r>
      <w:r w:rsidR="003F4591" w:rsidRPr="003F4591">
        <w:t>.</w:t>
      </w:r>
    </w:p>
    <w:p w:rsidR="00CE5029" w:rsidRDefault="005C0B86" w:rsidP="005C0B86">
      <w:pPr>
        <w:pStyle w:val="Comment"/>
        <w:ind w:left="1134" w:hanging="1134"/>
      </w:pPr>
      <w:r>
        <w:rPr>
          <w:b/>
        </w:rPr>
        <w:t>C</w:t>
      </w:r>
      <w:r w:rsidR="006E15A4" w:rsidRPr="00814EAC">
        <w:rPr>
          <w:b/>
        </w:rPr>
        <w:t>omment</w:t>
      </w:r>
      <w:r w:rsidR="003F4591" w:rsidRPr="003F4591">
        <w:t xml:space="preserve">: </w:t>
      </w:r>
      <w:r w:rsidR="00CE5029" w:rsidRPr="003F4591">
        <w:t xml:space="preserve">The clinical interpretation of the previous paragraph is not clear if preferred terms were used for this analysis. The previous comment applies to this situation. Can the </w:t>
      </w:r>
      <w:r w:rsidR="005F5E22">
        <w:t>sponsor</w:t>
      </w:r>
      <w:r w:rsidR="00814EAC">
        <w:t xml:space="preserve"> please re </w:t>
      </w:r>
      <w:r w:rsidR="00CE5029" w:rsidRPr="003F4591">
        <w:t>do the analysis focusing on the patient population relevant to the proposed usage if preferred terms were not meaningfully collated?</w:t>
      </w:r>
    </w:p>
    <w:p w:rsidR="00CE5029" w:rsidRPr="001134F5" w:rsidRDefault="00CE5029" w:rsidP="00CE5029">
      <w:r w:rsidRPr="003F4591">
        <w:t>Similar findings were demonstrated when populations were stratified according to previous chemotherapy exposure.</w:t>
      </w:r>
    </w:p>
    <w:p w:rsidR="00CE5029" w:rsidRPr="003F4591" w:rsidRDefault="00814EAC" w:rsidP="00814EAC">
      <w:pPr>
        <w:pStyle w:val="Heading5"/>
      </w:pPr>
      <w:r>
        <w:t>Treatment related adverse events during the induction p</w:t>
      </w:r>
      <w:r w:rsidR="00CE5029" w:rsidRPr="003F4591">
        <w:t>eriod</w:t>
      </w:r>
    </w:p>
    <w:p w:rsidR="00CE5029" w:rsidRPr="003F4591" w:rsidRDefault="00CE5029" w:rsidP="003F4591">
      <w:r w:rsidRPr="003F4591">
        <w:t>The inci</w:t>
      </w:r>
      <w:r w:rsidR="00777745">
        <w:t xml:space="preserve">dence of any grade treatment </w:t>
      </w:r>
      <w:r w:rsidRPr="003F4591">
        <w:t>related diarrhoea was similar between previously untreated and previously treated group</w:t>
      </w:r>
      <w:r w:rsidR="00777745">
        <w:t xml:space="preserve">s; however, any grade treatment </w:t>
      </w:r>
      <w:r w:rsidRPr="003F4591">
        <w:t xml:space="preserve">related rash and pruritus were numerically higher in the previously untreated subjects compared to previously treated subjects (rash: 25.5% </w:t>
      </w:r>
      <w:r w:rsidR="00046414">
        <w:t>versus</w:t>
      </w:r>
      <w:r w:rsidRPr="003F4591">
        <w:t xml:space="preserve"> 18.7%; pruritus: 30.9% </w:t>
      </w:r>
      <w:r w:rsidR="00046414">
        <w:t>versus</w:t>
      </w:r>
      <w:r w:rsidRPr="003F4591">
        <w:t xml:space="preserve"> 18.1%, respectively). However, the incidence of severe skin irAEs was low and similar </w:t>
      </w:r>
      <w:r w:rsidR="00777745">
        <w:t xml:space="preserve">in both groups. Other treatment </w:t>
      </w:r>
      <w:r w:rsidRPr="003F4591">
        <w:t xml:space="preserve">related AEs of any grade reported more frequently in the previously untreated group were fatigue, pyrexia, chills, and nausea; however, these differences are not clinically </w:t>
      </w:r>
      <w:r w:rsidR="00777745">
        <w:t xml:space="preserve">meaningful. Any grade treatment </w:t>
      </w:r>
      <w:r w:rsidRPr="003F4591">
        <w:t>related injection site reaction was numerically higher in the previously treated group, which is possibly due to gp100 expos</w:t>
      </w:r>
      <w:r w:rsidR="00777745">
        <w:t xml:space="preserve">ure in this population. Grade 3 to </w:t>
      </w:r>
      <w:r w:rsidRPr="003F4591">
        <w:lastRenderedPageBreak/>
        <w:t>4 events were reported for 20.0% and 16.5% of previously untreated and previously treated subjects, respectively. In most cases, these events were Grade 3 in severity (12.7% and 15.0%, respectively), with few reports of Grade 4 events (7.3% and 1.6%, respectively).</w:t>
      </w:r>
    </w:p>
    <w:p w:rsidR="00CE5029" w:rsidRDefault="00CE5029" w:rsidP="00CE5029">
      <w:r w:rsidRPr="003F4591">
        <w:t xml:space="preserve">Similar findings were demonstrated when populations were stratified according to </w:t>
      </w:r>
      <w:r w:rsidR="003F4591">
        <w:t>previous chemotherapy exposure.</w:t>
      </w:r>
    </w:p>
    <w:p w:rsidR="00CE5029" w:rsidRPr="003F4591" w:rsidRDefault="00777745" w:rsidP="00777745">
      <w:pPr>
        <w:pStyle w:val="Heading5"/>
      </w:pPr>
      <w:r>
        <w:t xml:space="preserve">Deaths; </w:t>
      </w:r>
      <w:r w:rsidR="005C0B86" w:rsidRPr="003F4591">
        <w:t>induction period</w:t>
      </w:r>
    </w:p>
    <w:p w:rsidR="00CE5029" w:rsidRDefault="00CE5029" w:rsidP="00CE5029">
      <w:r w:rsidRPr="003F4591">
        <w:t>A total of 5</w:t>
      </w:r>
      <w:r w:rsidR="005853BB">
        <w:t xml:space="preserve"> out of </w:t>
      </w:r>
      <w:r w:rsidRPr="003F4591">
        <w:t>55 (9.1%) subjects in the previously untreated group and 132</w:t>
      </w:r>
      <w:r w:rsidR="005853BB">
        <w:t xml:space="preserve"> out of </w:t>
      </w:r>
      <w:r w:rsidRPr="003F4591">
        <w:t>641 (20.6%) subjects in the previously treated group died during the induction period (all deaths reported between the induction start date and the earliest of 70 days after induction end date or the day before</w:t>
      </w:r>
      <w:r w:rsidR="00777745">
        <w:t xml:space="preserve"> re-induction/maintenance/cross </w:t>
      </w:r>
      <w:r w:rsidRPr="003F4591">
        <w:t xml:space="preserve">over start date), mostly due to disease progression/malignant disease. The difference in death rate between groups may be due to the small number of subjects who died in the previously untreated group, or possibly related to the natural history of previously untreated </w:t>
      </w:r>
      <w:r w:rsidR="00046414">
        <w:t>versus</w:t>
      </w:r>
      <w:r w:rsidRPr="003F4591">
        <w:t xml:space="preserve"> treated subjects consistent with the assumption that previously treated subjects have more advanced or aggressive disease. There were 9 (6.4%) and 128 (23.1%) deaths during induction in the chemotherapy naïve and chemotherapy pre-treated groups, respectively. Most of these deaths were due to disease progression/malignant disease.</w:t>
      </w:r>
    </w:p>
    <w:p w:rsidR="00CE5029" w:rsidRPr="003F4591" w:rsidRDefault="00CE5029" w:rsidP="003F4591">
      <w:r w:rsidRPr="003F4591">
        <w:t>This a</w:t>
      </w:r>
      <w:r w:rsidR="00777745">
        <w:t xml:space="preserve">nalysis identified 16 treatment </w:t>
      </w:r>
      <w:r w:rsidRPr="003F4591">
        <w:t xml:space="preserve">related deaths among the 696 subjects who received </w:t>
      </w:r>
      <w:r w:rsidR="00F22D76">
        <w:t>ipilimumab</w:t>
      </w:r>
      <w:r w:rsidRPr="003F4591">
        <w:t xml:space="preserve"> 3 mg/kg in the four studies pooled for these analyses:</w:t>
      </w:r>
    </w:p>
    <w:p w:rsidR="00CE5029" w:rsidRPr="003F4591" w:rsidRDefault="00CE5029" w:rsidP="003F4591">
      <w:pPr>
        <w:pStyle w:val="ListBullet"/>
      </w:pPr>
      <w:r w:rsidRPr="003F4591">
        <w:t xml:space="preserve">12 in MDX010-20 (8 in the </w:t>
      </w:r>
      <w:r w:rsidR="00F22D76">
        <w:t>ipilimumab</w:t>
      </w:r>
      <w:r w:rsidRPr="003F4591">
        <w:t xml:space="preserve"> + gp100 group and 4 in the </w:t>
      </w:r>
      <w:r w:rsidR="00F22D76">
        <w:t>ipilimumab</w:t>
      </w:r>
      <w:r w:rsidRPr="003F4591">
        <w:t xml:space="preserve"> monotherapy group)</w:t>
      </w:r>
    </w:p>
    <w:p w:rsidR="00CE5029" w:rsidRPr="003F4591" w:rsidRDefault="00CE5029" w:rsidP="003F4591">
      <w:pPr>
        <w:pStyle w:val="ListBullet"/>
      </w:pPr>
      <w:r w:rsidRPr="003F4591">
        <w:t>1 in CA184004</w:t>
      </w:r>
    </w:p>
    <w:p w:rsidR="00CE5029" w:rsidRPr="003F4591" w:rsidRDefault="00CE5029" w:rsidP="003F4591">
      <w:pPr>
        <w:pStyle w:val="ListBullet"/>
      </w:pPr>
      <w:r w:rsidRPr="003F4591">
        <w:t>1 in CA184022</w:t>
      </w:r>
    </w:p>
    <w:p w:rsidR="00CE5029" w:rsidRDefault="00CE5029" w:rsidP="00CE5029">
      <w:pPr>
        <w:pStyle w:val="ListBullet"/>
      </w:pPr>
      <w:r w:rsidRPr="003F4591">
        <w:t>2 in MDX010-08 (the 2 deaths in MDX010-08 were identified in the final M</w:t>
      </w:r>
      <w:r w:rsidR="003F4591">
        <w:t>DX010-08 clinical study report</w:t>
      </w:r>
    </w:p>
    <w:p w:rsidR="00777745" w:rsidRDefault="00777745" w:rsidP="00CE5029">
      <w:r>
        <w:t xml:space="preserve">Of the 16 treatment </w:t>
      </w:r>
      <w:r w:rsidR="00CE5029" w:rsidRPr="003F4591">
        <w:t>related deaths, 3 (5.5%) were in pr</w:t>
      </w:r>
      <w:r>
        <w:t xml:space="preserve">eviously untreated subjects and </w:t>
      </w:r>
      <w:r w:rsidR="00CE5029" w:rsidRPr="003F4591">
        <w:t xml:space="preserve">13 (2.0%) were in previously treated subjects. The </w:t>
      </w:r>
      <w:r w:rsidR="005F5E22">
        <w:t>sponsor</w:t>
      </w:r>
      <w:r w:rsidR="00CE5029" w:rsidRPr="003F4591">
        <w:t xml:space="preserve"> writes, that</w:t>
      </w:r>
      <w:r>
        <w:t>;</w:t>
      </w:r>
    </w:p>
    <w:p w:rsidR="00777745" w:rsidRPr="00777745" w:rsidRDefault="00C108F1" w:rsidP="00B32EFF">
      <w:pPr>
        <w:ind w:left="425"/>
        <w:rPr>
          <w:i/>
        </w:rPr>
      </w:pPr>
      <w:r w:rsidRPr="00777745">
        <w:rPr>
          <w:i/>
        </w:rPr>
        <w:t>‘</w:t>
      </w:r>
      <w:r w:rsidR="00C22CAE" w:rsidRPr="00777745">
        <w:rPr>
          <w:i/>
        </w:rPr>
        <w:t>Although</w:t>
      </w:r>
      <w:r w:rsidR="00777745" w:rsidRPr="00777745">
        <w:rPr>
          <w:i/>
        </w:rPr>
        <w:t xml:space="preserve"> the number of treatment </w:t>
      </w:r>
      <w:r w:rsidR="00CE5029" w:rsidRPr="00777745">
        <w:rPr>
          <w:i/>
        </w:rPr>
        <w:t>related deaths was numerically higher in the previously untreated group, the difference in frequency is not cl</w:t>
      </w:r>
      <w:r w:rsidR="00777745" w:rsidRPr="00777745">
        <w:rPr>
          <w:i/>
        </w:rPr>
        <w:t>inically relevant since:</w:t>
      </w:r>
    </w:p>
    <w:p w:rsidR="00777745" w:rsidRPr="00777745" w:rsidRDefault="00777745" w:rsidP="00FE2511">
      <w:pPr>
        <w:pStyle w:val="Numberbullet0"/>
        <w:numPr>
          <w:ilvl w:val="0"/>
          <w:numId w:val="16"/>
        </w:numPr>
        <w:ind w:left="850"/>
        <w:rPr>
          <w:i/>
        </w:rPr>
      </w:pPr>
      <w:r>
        <w:rPr>
          <w:i/>
        </w:rPr>
        <w:t>t</w:t>
      </w:r>
      <w:r w:rsidR="00CE5029" w:rsidRPr="00777745">
        <w:rPr>
          <w:i/>
        </w:rPr>
        <w:t>here was a co</w:t>
      </w:r>
      <w:r>
        <w:rPr>
          <w:i/>
        </w:rPr>
        <w:t xml:space="preserve">mparable incidence of treatment </w:t>
      </w:r>
      <w:r w:rsidR="00CE5029" w:rsidRPr="00777745">
        <w:rPr>
          <w:i/>
        </w:rPr>
        <w:t>related deaths in the larger analysis between chemotherapy naive and che</w:t>
      </w:r>
      <w:r>
        <w:rPr>
          <w:i/>
        </w:rPr>
        <w:t>motherapy pre-treated subjects</w:t>
      </w:r>
    </w:p>
    <w:p w:rsidR="00777745" w:rsidRPr="00777745" w:rsidRDefault="00CE5029" w:rsidP="00FE2511">
      <w:pPr>
        <w:pStyle w:val="Numberbullet0"/>
        <w:numPr>
          <w:ilvl w:val="0"/>
          <w:numId w:val="16"/>
        </w:numPr>
        <w:ind w:left="850"/>
        <w:rPr>
          <w:i/>
        </w:rPr>
      </w:pPr>
      <w:r w:rsidRPr="00777745">
        <w:rPr>
          <w:i/>
        </w:rPr>
        <w:t xml:space="preserve">of the 3 deaths in previously untreated subjects, 1 was confounded by disease progression complicated by hypersensitivity/vascular collapse due to recent chemotherapy and a second by coincident </w:t>
      </w:r>
      <w:r w:rsidR="00777745" w:rsidRPr="00777745">
        <w:rPr>
          <w:i/>
        </w:rPr>
        <w:t>sep</w:t>
      </w:r>
      <w:r w:rsidR="00777745">
        <w:rPr>
          <w:i/>
        </w:rPr>
        <w:t>sis/pulmonary embolus and</w:t>
      </w:r>
    </w:p>
    <w:p w:rsidR="00CE5029" w:rsidRPr="00777745" w:rsidRDefault="00777745" w:rsidP="00FE2511">
      <w:pPr>
        <w:pStyle w:val="Numberbullet0"/>
        <w:numPr>
          <w:ilvl w:val="0"/>
          <w:numId w:val="16"/>
        </w:numPr>
        <w:ind w:left="850"/>
        <w:rPr>
          <w:i/>
        </w:rPr>
      </w:pPr>
      <w:proofErr w:type="gramStart"/>
      <w:r>
        <w:rPr>
          <w:i/>
        </w:rPr>
        <w:t>there</w:t>
      </w:r>
      <w:proofErr w:type="gramEnd"/>
      <w:r>
        <w:rPr>
          <w:i/>
        </w:rPr>
        <w:t xml:space="preserve"> were no drug </w:t>
      </w:r>
      <w:r w:rsidR="00CE5029" w:rsidRPr="00777745">
        <w:rPr>
          <w:i/>
        </w:rPr>
        <w:t xml:space="preserve">related deaths in 247previously untreated subjects who received a higher dose (10 mg/kg </w:t>
      </w:r>
      <w:r w:rsidR="00F22D76" w:rsidRPr="00777745">
        <w:rPr>
          <w:i/>
        </w:rPr>
        <w:t>ipilimumab</w:t>
      </w:r>
      <w:r w:rsidR="00CE5029" w:rsidRPr="00777745">
        <w:rPr>
          <w:i/>
        </w:rPr>
        <w:t>) in CA184024.</w:t>
      </w:r>
      <w:r w:rsidR="00C108F1" w:rsidRPr="00777745">
        <w:rPr>
          <w:i/>
        </w:rPr>
        <w:t>’</w:t>
      </w:r>
    </w:p>
    <w:p w:rsidR="00CE5029" w:rsidRDefault="005C0B86" w:rsidP="00777745">
      <w:pPr>
        <w:pStyle w:val="Comment"/>
        <w:ind w:left="1134" w:hanging="1134"/>
      </w:pPr>
      <w:r>
        <w:rPr>
          <w:b/>
        </w:rPr>
        <w:t>C</w:t>
      </w:r>
      <w:r w:rsidR="006E15A4" w:rsidRPr="00777745">
        <w:rPr>
          <w:b/>
        </w:rPr>
        <w:t>omment</w:t>
      </w:r>
      <w:r w:rsidR="003F4591" w:rsidRPr="003F4591">
        <w:t xml:space="preserve">: </w:t>
      </w:r>
      <w:r w:rsidR="00CE5029" w:rsidRPr="003F4591">
        <w:t xml:space="preserve">The </w:t>
      </w:r>
      <w:r w:rsidR="005F5E22">
        <w:t>sponsor</w:t>
      </w:r>
      <w:r w:rsidR="00CE5029" w:rsidRPr="003F4591">
        <w:t xml:space="preserve"> concludes that differences in the numbers are not </w:t>
      </w:r>
      <w:r w:rsidR="00C108F1">
        <w:t>‘</w:t>
      </w:r>
      <w:r w:rsidR="00CE5029" w:rsidRPr="00777745">
        <w:rPr>
          <w:i/>
        </w:rPr>
        <w:t>clinically relevant</w:t>
      </w:r>
      <w:r w:rsidR="00C108F1">
        <w:t>’</w:t>
      </w:r>
      <w:r w:rsidR="00CE5029" w:rsidRPr="003F4591">
        <w:t xml:space="preserve"> based on a small number of observations. It is unclear how the </w:t>
      </w:r>
      <w:r w:rsidR="005F5E22">
        <w:t>sponsor</w:t>
      </w:r>
      <w:r w:rsidR="00CE5029" w:rsidRPr="003F4591">
        <w:t xml:space="preserve"> can justify this conclusion given the limited</w:t>
      </w:r>
      <w:r w:rsidR="00777745">
        <w:t xml:space="preserve"> number of observations</w:t>
      </w:r>
      <w:r w:rsidR="00CE5029" w:rsidRPr="003F4591">
        <w:t xml:space="preserve"> and the uncontrolled comparison of death</w:t>
      </w:r>
      <w:r w:rsidR="003F4591" w:rsidRPr="003F4591">
        <w:t>s from one posology to another.</w:t>
      </w:r>
    </w:p>
    <w:p w:rsidR="00CE5029" w:rsidRDefault="00777745" w:rsidP="00CE5029">
      <w:r>
        <w:t xml:space="preserve">Seven of the 16 treatment </w:t>
      </w:r>
      <w:r w:rsidR="00CE5029" w:rsidRPr="003F4591">
        <w:t>related deaths occurred i</w:t>
      </w:r>
      <w:r>
        <w:t>n subjects who received 3 mg/kg i</w:t>
      </w:r>
      <w:r w:rsidR="00CE5029" w:rsidRPr="003F4591">
        <w:t xml:space="preserve">pilimumab monotherapy Overall, in the smaller subsets of subjects who received </w:t>
      </w:r>
      <w:r w:rsidR="00F22D76">
        <w:t>ipilimumab</w:t>
      </w:r>
      <w:r w:rsidR="00E429BE">
        <w:t xml:space="preserve"> 3 </w:t>
      </w:r>
      <w:r w:rsidR="00CE5029" w:rsidRPr="003F4591">
        <w:t>mg/kg mono</w:t>
      </w:r>
      <w:r w:rsidR="00E429BE">
        <w:t xml:space="preserve">therapy, the rates of treatment </w:t>
      </w:r>
      <w:r w:rsidR="00CE5029" w:rsidRPr="003F4591">
        <w:t>related deaths</w:t>
      </w:r>
      <w:r>
        <w:t xml:space="preserve"> ranged from 2.0% to 5.8% (2</w:t>
      </w:r>
      <w:r w:rsidR="005853BB">
        <w:t xml:space="preserve"> out of </w:t>
      </w:r>
      <w:r>
        <w:t xml:space="preserve">34 </w:t>
      </w:r>
      <w:r w:rsidR="00BE4457">
        <w:t>(</w:t>
      </w:r>
      <w:r w:rsidR="00CE5029" w:rsidRPr="003F4591">
        <w:t>5.8%</w:t>
      </w:r>
      <w:r w:rsidR="00BE4457">
        <w:t>)</w:t>
      </w:r>
      <w:r w:rsidR="00CE5029" w:rsidRPr="003F4591">
        <w:t xml:space="preserve"> in previously untreated subjects, 5</w:t>
      </w:r>
      <w:r w:rsidR="005853BB">
        <w:t xml:space="preserve"> out of </w:t>
      </w:r>
      <w:r w:rsidR="00CE5029" w:rsidRPr="003F4591">
        <w:t xml:space="preserve">247 </w:t>
      </w:r>
      <w:r w:rsidR="00BE4457">
        <w:t>(</w:t>
      </w:r>
      <w:r w:rsidR="00CE5029" w:rsidRPr="003F4591">
        <w:t>2.0%</w:t>
      </w:r>
      <w:r w:rsidR="00BE4457">
        <w:t>)</w:t>
      </w:r>
      <w:r w:rsidR="00CE5029" w:rsidRPr="003F4591">
        <w:t xml:space="preserve"> in previously treated subjects, 2</w:t>
      </w:r>
      <w:r w:rsidR="005853BB">
        <w:t xml:space="preserve"> out of </w:t>
      </w:r>
      <w:r w:rsidR="00CE5029" w:rsidRPr="003F4591">
        <w:t>75</w:t>
      </w:r>
      <w:r w:rsidR="00B32EFF">
        <w:t xml:space="preserve"> </w:t>
      </w:r>
      <w:r w:rsidR="00BE4457">
        <w:t>(</w:t>
      </w:r>
      <w:r w:rsidR="00CE5029" w:rsidRPr="003F4591">
        <w:t>2.7%</w:t>
      </w:r>
      <w:r w:rsidR="00BE4457">
        <w:t>)</w:t>
      </w:r>
      <w:r w:rsidR="00CE5029" w:rsidRPr="003F4591">
        <w:t xml:space="preserve"> in chemotherapy naive subjects, and 5</w:t>
      </w:r>
      <w:r w:rsidR="005853BB">
        <w:t xml:space="preserve"> out of </w:t>
      </w:r>
      <w:r w:rsidR="00CE5029" w:rsidRPr="003F4591">
        <w:t xml:space="preserve">206 </w:t>
      </w:r>
      <w:r w:rsidR="00BE4457">
        <w:t>(</w:t>
      </w:r>
      <w:r w:rsidR="00CE5029" w:rsidRPr="003F4591">
        <w:t>2.4%</w:t>
      </w:r>
      <w:r w:rsidR="00BE4457">
        <w:t>)</w:t>
      </w:r>
      <w:r w:rsidR="00CE5029" w:rsidRPr="003F4591">
        <w:t xml:space="preserve"> in chemotherapy pre-treated</w:t>
      </w:r>
      <w:r w:rsidR="00B32EFF">
        <w:t xml:space="preserve"> subjects). </w:t>
      </w:r>
      <w:r w:rsidR="00CE5029" w:rsidRPr="003F4591">
        <w:t xml:space="preserve">Treatment related deaths are presented below </w:t>
      </w:r>
      <w:r w:rsidR="00CE5029" w:rsidRPr="00B95A18">
        <w:t xml:space="preserve">in Table </w:t>
      </w:r>
      <w:r w:rsidR="004572B9">
        <w:t>32</w:t>
      </w:r>
      <w:r w:rsidR="00CE5029" w:rsidRPr="00B95A18">
        <w:t>.</w:t>
      </w:r>
    </w:p>
    <w:p w:rsidR="00CE5029" w:rsidRPr="003F4591" w:rsidRDefault="00CE5029" w:rsidP="003F4591">
      <w:pPr>
        <w:pStyle w:val="Tabletitle"/>
      </w:pPr>
      <w:bookmarkStart w:id="226" w:name="_Toc390676309"/>
      <w:r w:rsidRPr="00B95A18">
        <w:lastRenderedPageBreak/>
        <w:t xml:space="preserve">Table </w:t>
      </w:r>
      <w:r w:rsidR="004572B9">
        <w:t>32</w:t>
      </w:r>
      <w:r w:rsidR="00121E5D" w:rsidRPr="00B95A18">
        <w:t>:</w:t>
      </w:r>
      <w:r w:rsidR="00777745">
        <w:t xml:space="preserve"> </w:t>
      </w:r>
      <w:r w:rsidRPr="003F4591">
        <w:t xml:space="preserve">Summary of treatment related deaths for pooled </w:t>
      </w:r>
      <w:r w:rsidR="00C108F1">
        <w:t>3 mg</w:t>
      </w:r>
      <w:r w:rsidRPr="003F4591">
        <w:t>/kg safety analysis according to pre-treatment status but not according to monotherapy</w:t>
      </w:r>
      <w:bookmarkEnd w:id="226"/>
    </w:p>
    <w:p w:rsidR="00CE5029" w:rsidRPr="003F4591" w:rsidRDefault="003F4591" w:rsidP="00CE5029">
      <w:r>
        <w:rPr>
          <w:noProof/>
          <w:lang w:eastAsia="en-AU"/>
        </w:rPr>
        <w:drawing>
          <wp:inline distT="0" distB="0" distL="0" distR="0" wp14:anchorId="2EADBE58" wp14:editId="5A6BFC07">
            <wp:extent cx="4853940" cy="3794760"/>
            <wp:effectExtent l="0" t="0" r="0" b="0"/>
            <wp:docPr id="24" name="Picture 24" descr="Table 32: Summary of treatment related deaths for pooled 3 mg/kg safety analysis according to pre-treatment status but not according to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53940" cy="3794760"/>
                    </a:xfrm>
                    <a:prstGeom prst="rect">
                      <a:avLst/>
                    </a:prstGeom>
                  </pic:spPr>
                </pic:pic>
              </a:graphicData>
            </a:graphic>
          </wp:inline>
        </w:drawing>
      </w:r>
    </w:p>
    <w:p w:rsidR="00CE5029" w:rsidRPr="00561092" w:rsidRDefault="00121E5D" w:rsidP="00777745">
      <w:pPr>
        <w:pStyle w:val="Comment"/>
        <w:ind w:left="1134" w:hanging="1134"/>
      </w:pPr>
      <w:r>
        <w:rPr>
          <w:b/>
        </w:rPr>
        <w:t>C</w:t>
      </w:r>
      <w:r w:rsidR="006E15A4" w:rsidRPr="00777745">
        <w:rPr>
          <w:b/>
        </w:rPr>
        <w:t>omment</w:t>
      </w:r>
      <w:r w:rsidR="003F4591" w:rsidRPr="003F4591">
        <w:t xml:space="preserve">: </w:t>
      </w:r>
      <w:r w:rsidR="00CE5029" w:rsidRPr="003F4591">
        <w:t>It is unclear how many patients within the previously untreated population are directly</w:t>
      </w:r>
      <w:r w:rsidR="00B32EFF">
        <w:t xml:space="preserve"> relevant to the proposed usage</w:t>
      </w:r>
      <w:r w:rsidR="00CE5029" w:rsidRPr="003F4591">
        <w:t>.</w:t>
      </w:r>
    </w:p>
    <w:p w:rsidR="00CE5029" w:rsidRPr="003F4591" w:rsidRDefault="00CE5029" w:rsidP="00777745">
      <w:pPr>
        <w:pStyle w:val="Heading5"/>
      </w:pPr>
      <w:r w:rsidRPr="003F4591">
        <w:t xml:space="preserve">Adverse </w:t>
      </w:r>
      <w:r w:rsidR="00121E5D" w:rsidRPr="003F4591">
        <w:t>events during the induction period leading to discontinuation of study drug</w:t>
      </w:r>
    </w:p>
    <w:p w:rsidR="00CE5029" w:rsidRPr="003F4591" w:rsidRDefault="00CE5029" w:rsidP="003F4591">
      <w:r w:rsidRPr="003F4591">
        <w:t xml:space="preserve">The frequency of subjects with any grade treatment-related AEs during induction leading to discontinuation of study treatment was numerically higher in the previously untreated group compared to the previously treated (12.7% </w:t>
      </w:r>
      <w:r w:rsidR="00046414">
        <w:t>versus</w:t>
      </w:r>
      <w:r w:rsidRPr="003F4591">
        <w:t xml:space="preserve"> 7.5%, respectively) group. </w:t>
      </w:r>
      <w:r w:rsidR="00AD1647">
        <w:t xml:space="preserve">Grade 3 to 4 treatment </w:t>
      </w:r>
      <w:r w:rsidRPr="003F4591">
        <w:t xml:space="preserve">related AEs leading to discontinuation were similar in the previously untreated </w:t>
      </w:r>
      <w:r w:rsidR="00046414">
        <w:t>versus</w:t>
      </w:r>
      <w:r w:rsidRPr="003F4591">
        <w:t xml:space="preserve"> the previously treated group (7.3% </w:t>
      </w:r>
      <w:r w:rsidR="00046414">
        <w:t>versus</w:t>
      </w:r>
      <w:r w:rsidRPr="003F4591">
        <w:t xml:space="preserve"> 5.0%, respectively).</w:t>
      </w:r>
    </w:p>
    <w:p w:rsidR="00CE5029" w:rsidRPr="003F4591" w:rsidRDefault="00CE5029" w:rsidP="00CE5029">
      <w:r w:rsidRPr="003F4591">
        <w:t xml:space="preserve">Similar findings were demonstrated when populations were stratified according to </w:t>
      </w:r>
      <w:r w:rsidR="003F4591">
        <w:t>previous chemotherapy exposure.</w:t>
      </w:r>
    </w:p>
    <w:p w:rsidR="00CE5029" w:rsidRPr="003F4591" w:rsidRDefault="00CE5029" w:rsidP="00121E5D">
      <w:pPr>
        <w:pStyle w:val="Heading5"/>
      </w:pPr>
      <w:r w:rsidRPr="003F4591">
        <w:t xml:space="preserve">Immune-related </w:t>
      </w:r>
      <w:r w:rsidR="00121E5D" w:rsidRPr="003F4591">
        <w:t xml:space="preserve">adverse events </w:t>
      </w:r>
      <w:r w:rsidRPr="003F4591">
        <w:t>(irAEs)</w:t>
      </w:r>
    </w:p>
    <w:p w:rsidR="00B32EFF" w:rsidRDefault="00CE5029" w:rsidP="003F4591">
      <w:r w:rsidRPr="003F4591">
        <w:t>An irAE was defined as an AE that is</w:t>
      </w:r>
      <w:r w:rsidR="00B32EFF">
        <w:t>;</w:t>
      </w:r>
    </w:p>
    <w:p w:rsidR="00B32EFF" w:rsidRDefault="00AD1647" w:rsidP="00FE2511">
      <w:pPr>
        <w:pStyle w:val="Numberbullet0"/>
        <w:numPr>
          <w:ilvl w:val="0"/>
          <w:numId w:val="18"/>
        </w:numPr>
      </w:pPr>
      <w:r>
        <w:t>C</w:t>
      </w:r>
      <w:r w:rsidR="00CE5029" w:rsidRPr="003F4591">
        <w:t>onsisten</w:t>
      </w:r>
      <w:r w:rsidR="00FF39A7">
        <w:t>t with an immune phenomenon</w:t>
      </w:r>
      <w:r>
        <w:t>;</w:t>
      </w:r>
      <w:r w:rsidR="00FF39A7">
        <w:t xml:space="preserve"> and</w:t>
      </w:r>
    </w:p>
    <w:p w:rsidR="00B32EFF" w:rsidRDefault="00AD1647" w:rsidP="00FE2511">
      <w:pPr>
        <w:pStyle w:val="Numberbullet0"/>
        <w:numPr>
          <w:ilvl w:val="0"/>
          <w:numId w:val="18"/>
        </w:numPr>
      </w:pPr>
      <w:r w:rsidRPr="003F4591">
        <w:t>Considered</w:t>
      </w:r>
      <w:r w:rsidR="00CE5029" w:rsidRPr="003F4591">
        <w:t xml:space="preserve"> related (possibly, probably, or definitely) to study drug by the investiga</w:t>
      </w:r>
      <w:r w:rsidR="00FF39A7">
        <w:t>tors or with unknown causality.</w:t>
      </w:r>
    </w:p>
    <w:p w:rsidR="00CE5029" w:rsidRPr="003F4591" w:rsidRDefault="00CE5029" w:rsidP="003F4591">
      <w:r w:rsidRPr="003F4591">
        <w:t xml:space="preserve">The irAEs were identified by a pre-defined list of MedDRA (version 14.1) preferred terms (PTs) of all possible </w:t>
      </w:r>
      <w:r w:rsidR="00F22D76">
        <w:t>ipilimumab</w:t>
      </w:r>
      <w:r w:rsidR="00FF39A7">
        <w:t xml:space="preserve"> </w:t>
      </w:r>
      <w:r w:rsidRPr="003F4591">
        <w:t>relate</w:t>
      </w:r>
      <w:r w:rsidR="00FF39A7">
        <w:t xml:space="preserve">d AEs based on clinical program </w:t>
      </w:r>
      <w:r w:rsidRPr="003F4591">
        <w:t>wide experience</w:t>
      </w:r>
      <w:r w:rsidR="00FF39A7">
        <w:t xml:space="preserve">. Immune </w:t>
      </w:r>
      <w:r w:rsidRPr="003F4591">
        <w:t>related AEs are programm</w:t>
      </w:r>
      <w:r w:rsidR="00FF39A7">
        <w:t xml:space="preserve">atically derived from treatment </w:t>
      </w:r>
      <w:r w:rsidRPr="003F4591">
        <w:t>related AEs. The incidence and severity of irAEs are presented. Overall i</w:t>
      </w:r>
      <w:r w:rsidR="00FF39A7">
        <w:t xml:space="preserve">rAEs, as well as six irAE organ </w:t>
      </w:r>
      <w:r w:rsidRPr="003F4591">
        <w:t>specific subcategories (GI, hepatic, endocrine, skin, neurological, and other) are presented.</w:t>
      </w:r>
    </w:p>
    <w:p w:rsidR="00CE5029" w:rsidRPr="003F4591" w:rsidRDefault="00CE5029" w:rsidP="003F4591">
      <w:r w:rsidRPr="003F4591">
        <w:t>The overall incidence of any irAEs reported during induction was 63.6% in the previously untreated and 58.8% in the previously treated g</w:t>
      </w:r>
      <w:r w:rsidR="00FF39A7">
        <w:t xml:space="preserve">roups. The incidence of Grade 3 to </w:t>
      </w:r>
      <w:r w:rsidRPr="003F4591">
        <w:t xml:space="preserve">4 irAEs was </w:t>
      </w:r>
      <w:r w:rsidRPr="003F4591">
        <w:lastRenderedPageBreak/>
        <w:t xml:space="preserve">12.7% (Grade 3, 9.1%; Grade 4, 3.6%) and 10.0% (Grade 3, 9.0%; Grade 4, 0.9%) in the </w:t>
      </w:r>
      <w:r w:rsidRPr="000D77B2">
        <w:t>previously untreated and previously treated groups, respectively</w:t>
      </w:r>
      <w:r>
        <w:t xml:space="preserve">. </w:t>
      </w:r>
      <w:r w:rsidRPr="000D77B2">
        <w:t>There was 1 (1.8%)</w:t>
      </w:r>
      <w:r>
        <w:t xml:space="preserve"> </w:t>
      </w:r>
      <w:r w:rsidRPr="003F4591">
        <w:t>previously untreated subject and 5 (0.8%) previously treated subjects with a Grade 5 (fatal) irAE.</w:t>
      </w:r>
    </w:p>
    <w:p w:rsidR="00CE5029" w:rsidRDefault="00CE5029" w:rsidP="00CE5029">
      <w:r w:rsidRPr="003F4591">
        <w:t xml:space="preserve">For each analysis according to organ specific subcategories, the </w:t>
      </w:r>
      <w:r w:rsidR="005F5E22">
        <w:t>sponsor</w:t>
      </w:r>
      <w:r w:rsidRPr="003F4591">
        <w:t xml:space="preserve"> notes no clinically meaningful differences between groups according to treatment status</w:t>
      </w:r>
      <w:r w:rsidR="003F4591">
        <w:t>.</w:t>
      </w:r>
    </w:p>
    <w:p w:rsidR="00CE5029" w:rsidRPr="003F4591" w:rsidRDefault="00CE5029" w:rsidP="00AD1647">
      <w:pPr>
        <w:pStyle w:val="Heading5"/>
      </w:pPr>
      <w:r w:rsidRPr="003F4591">
        <w:t xml:space="preserve">Infusion </w:t>
      </w:r>
      <w:r w:rsidR="00DC0066">
        <w:t>r</w:t>
      </w:r>
      <w:r w:rsidRPr="00AD1647">
        <w:rPr>
          <w:rStyle w:val="Heading5Char"/>
        </w:rPr>
        <w:t>e</w:t>
      </w:r>
      <w:r w:rsidRPr="003F4591">
        <w:t>actions</w:t>
      </w:r>
    </w:p>
    <w:p w:rsidR="00CE5029" w:rsidRPr="003F4591" w:rsidRDefault="00CE5029" w:rsidP="003F4591">
      <w:r w:rsidRPr="003F4591">
        <w:t>Potential infusion reactions were identified based on a search of the clinical database for the pooled analysis for MedDRA high level terms and preferred terms. This analysis was previously performed for the initial submission without preferred terms of hypersensitivity and drug hypersensitivity.</w:t>
      </w:r>
      <w:r w:rsidR="00AD1647">
        <w:t xml:space="preserve"> </w:t>
      </w:r>
      <w:r w:rsidRPr="003F4591">
        <w:t xml:space="preserve">Each event was reviewed for its temporal association with study drug administration and for any contemporaneous additional AE or SAE information. Likely systemic infusion reactions were subsequently defined as any event from the listing that occurred within 48 hours after the subject received study treatment. The discussion in this summary will focus on likely systemic infusion reactions of </w:t>
      </w:r>
      <w:r w:rsidR="00A413D2">
        <w:t>≥</w:t>
      </w:r>
      <w:r w:rsidRPr="003F4591">
        <w:t xml:space="preserve"> Grade 2.</w:t>
      </w:r>
    </w:p>
    <w:p w:rsidR="00CE5029" w:rsidRPr="003F4591" w:rsidRDefault="00CE5029" w:rsidP="003F4591">
      <w:r w:rsidRPr="003F4591">
        <w:t xml:space="preserve">In the pooled analysis for this summary, a total of 12 subjects (MDX010-20: 8 subjects, MDX010-08: 2 subjects, CA184004: 1 subject, and CA184022: 1 subject) were identified with potential infusion reactions at the </w:t>
      </w:r>
      <w:r w:rsidR="00F22D76">
        <w:t>ipilimumab</w:t>
      </w:r>
      <w:r w:rsidRPr="003F4591">
        <w:t xml:space="preserve"> 3 mg/kg dose. Of these 12 subjects, and after clinical assessment of these events, a total of 5 subjects were identified as having a likely </w:t>
      </w:r>
      <w:r w:rsidR="00A413D2">
        <w:t>≥</w:t>
      </w:r>
      <w:r w:rsidRPr="003F4591">
        <w:t xml:space="preserve"> Grade 2 infusion reaction to an </w:t>
      </w:r>
      <w:r w:rsidR="00F22D76">
        <w:t>ipilimumab</w:t>
      </w:r>
      <w:r w:rsidRPr="003F4591">
        <w:t>-containing study treatment (MDX010-20: 4, CA184004: 1).</w:t>
      </w:r>
    </w:p>
    <w:p w:rsidR="00CE5029" w:rsidRPr="00C32D9F" w:rsidRDefault="00CE5029" w:rsidP="00CE5029">
      <w:r w:rsidRPr="003F4591">
        <w:t xml:space="preserve">In MDX010-20, 1 subject received </w:t>
      </w:r>
      <w:r w:rsidR="00F22D76">
        <w:t>ipilimumab</w:t>
      </w:r>
      <w:r w:rsidRPr="003F4591">
        <w:t xml:space="preserve"> 3 mg/kg monotherapy and 3 subjects received </w:t>
      </w:r>
      <w:r w:rsidR="00F22D76">
        <w:t>ipilimumab</w:t>
      </w:r>
      <w:r w:rsidRPr="003F4591">
        <w:t xml:space="preserve"> 3 mg/kg + gp100 (all 4 subjects were in the previously treated, prior chemotherapy populations). Only 1 (in the </w:t>
      </w:r>
      <w:r w:rsidR="00F22D76">
        <w:t>ipilimumab</w:t>
      </w:r>
      <w:r w:rsidRPr="003F4591">
        <w:t xml:space="preserve"> 3 mg/kg + gp100 group) of these 4 subjects had likely Grade 3 infusion reactions (1 occurrence each on Study Days 22 and 64). In CA184004, the 1 subject with a likely infusion reaction to </w:t>
      </w:r>
      <w:r w:rsidR="00F22D76">
        <w:t>ipilimumab</w:t>
      </w:r>
      <w:r w:rsidRPr="003F4591">
        <w:t xml:space="preserve"> study treatment received </w:t>
      </w:r>
      <w:r w:rsidR="00F22D76">
        <w:t>ipilimumab</w:t>
      </w:r>
      <w:r w:rsidR="00FF39A7">
        <w:t xml:space="preserve"> 3 </w:t>
      </w:r>
      <w:r w:rsidRPr="003F4591">
        <w:t xml:space="preserve">mg/kg monotherapy (previously treated, prior chemotherapy). All of the likely infusion reactions, including the Grade 3 events, were transient and resolved on their own or after appropriate treatment; the rest of the likely infusion reactions were </w:t>
      </w:r>
      <w:r w:rsidR="00FF39A7">
        <w:t>≤</w:t>
      </w:r>
      <w:r w:rsidRPr="003F4591">
        <w:t xml:space="preserve"> Grade 2.</w:t>
      </w:r>
    </w:p>
    <w:p w:rsidR="00CE5029" w:rsidRPr="003F4591" w:rsidRDefault="00CE5029" w:rsidP="00CE5029">
      <w:r w:rsidRPr="003F4591">
        <w:t xml:space="preserve">Thus, in the studies in advanced melanoma assessed for potential infusion reactions for this summary, of the 696 subjects who were treated with </w:t>
      </w:r>
      <w:r w:rsidR="00F22D76">
        <w:t>ipilimumab</w:t>
      </w:r>
      <w:r w:rsidRPr="003F4591">
        <w:t xml:space="preserve"> 3 mg/kg monotherapy or in combination with gp100 or DTIC (MDX010-20 = 511, MDX010-08 = 74, CA184004 = 40, and CA184022 = 71) a total of 5 subjects (5</w:t>
      </w:r>
      <w:r w:rsidR="005853BB">
        <w:t xml:space="preserve"> out of </w:t>
      </w:r>
      <w:r w:rsidRPr="003F4591">
        <w:t xml:space="preserve">696, 0.7%) (MDX010-20: 4 subjects, CA184004: 1 subject) had </w:t>
      </w:r>
      <w:r w:rsidR="00A413D2">
        <w:t>≥</w:t>
      </w:r>
      <w:r w:rsidRPr="003F4591">
        <w:t xml:space="preserve"> Grade 2 events likely to be infusion reactions.</w:t>
      </w:r>
    </w:p>
    <w:p w:rsidR="00CE5029" w:rsidRPr="003F4591" w:rsidRDefault="00CE5029" w:rsidP="00AD1647">
      <w:pPr>
        <w:pStyle w:val="Heading5"/>
      </w:pPr>
      <w:r w:rsidRPr="003F4591">
        <w:t>Investigations</w:t>
      </w:r>
    </w:p>
    <w:p w:rsidR="00CE5029" w:rsidRPr="003F4591" w:rsidRDefault="00CE5029" w:rsidP="003F4591">
      <w:r w:rsidRPr="003F4591">
        <w:t xml:space="preserve">For haematology and serum chemistry parameters, the </w:t>
      </w:r>
      <w:r w:rsidR="005F5E22">
        <w:t>sponsor</w:t>
      </w:r>
      <w:r w:rsidRPr="003F4591">
        <w:t xml:space="preserve"> did not identify significant differences in frequency or grade of AEs between groups, according to treatment status. There were no potential DILI cases in subjects who received </w:t>
      </w:r>
      <w:r w:rsidR="00F22D76">
        <w:t>ipilimumab</w:t>
      </w:r>
      <w:r w:rsidRPr="003F4591">
        <w:t xml:space="preserve"> 3 mg/kg, as reported in the initial submission. No new data are available.</w:t>
      </w:r>
    </w:p>
    <w:p w:rsidR="00CE5029" w:rsidRPr="003F4591" w:rsidRDefault="00CE5029" w:rsidP="00AD1647">
      <w:pPr>
        <w:pStyle w:val="Heading5"/>
      </w:pPr>
      <w:r w:rsidRPr="003F4591">
        <w:t>Subgroup analyses for MDX010-20</w:t>
      </w:r>
    </w:p>
    <w:p w:rsidR="00CE5029" w:rsidRDefault="00CE5029" w:rsidP="00CE5029">
      <w:r w:rsidRPr="00377E48">
        <w:t>Subgroup analyse</w:t>
      </w:r>
      <w:r w:rsidR="00FF39A7">
        <w:t xml:space="preserve">s for safety (irAEs and Grade 3 to </w:t>
      </w:r>
      <w:r w:rsidRPr="00377E48">
        <w:t xml:space="preserve">5 irAEs; overall and by subcategory) during the induction period in MDX010-20 for all subjects treated with a </w:t>
      </w:r>
      <w:r w:rsidR="00F22D76">
        <w:t>ipilimumab</w:t>
      </w:r>
      <w:r w:rsidRPr="00377E48">
        <w:t xml:space="preserve"> containing regimen (either </w:t>
      </w:r>
      <w:r w:rsidR="00F22D76">
        <w:t>ipilimumab</w:t>
      </w:r>
      <w:r w:rsidRPr="00377E48">
        <w:t xml:space="preserve"> 3 mg/kg or </w:t>
      </w:r>
      <w:r w:rsidR="00F22D76">
        <w:t>ipilimumab</w:t>
      </w:r>
      <w:r w:rsidRPr="00377E48">
        <w:t xml:space="preserve"> 3 mg/kg + gp100) were performed for the following intrinsic factors: prior use of DTIC (yes/no), prior use of chemotherapy (yes/no), prior use of immunotherapy (yes/no), line of therapy (study drugs as second line, study drugs as third+ line), number of prior therapies (1, &gt; 1).</w:t>
      </w:r>
    </w:p>
    <w:p w:rsidR="00CE5029" w:rsidRPr="00377E48" w:rsidRDefault="00C108F1" w:rsidP="00377E48">
      <w:r>
        <w:t>‘</w:t>
      </w:r>
      <w:r w:rsidR="00CE5029" w:rsidRPr="00FF39A7">
        <w:rPr>
          <w:i/>
        </w:rPr>
        <w:t xml:space="preserve">For each of these factors, the safety profile of the pooled </w:t>
      </w:r>
      <w:r w:rsidR="00F22D76" w:rsidRPr="00FF39A7">
        <w:rPr>
          <w:i/>
        </w:rPr>
        <w:t>ipilimumab</w:t>
      </w:r>
      <w:r w:rsidR="00CE5029" w:rsidRPr="00FF39A7">
        <w:rPr>
          <w:i/>
        </w:rPr>
        <w:t xml:space="preserve"> containing regimens was similar between subgroups, except for any grade skin irAEs. Subjects who received prior therapy seemed to have less skin irAEs than subjects without prior therapy. Some numerical differences </w:t>
      </w:r>
      <w:r w:rsidR="00CE5029" w:rsidRPr="00FF39A7">
        <w:rPr>
          <w:i/>
        </w:rPr>
        <w:lastRenderedPageBreak/>
        <w:t>were observed among subgroups; however, sometimes the small sample size and/or the small number of events limit the interpretability of some of these comparisons. These numerical differences are not clinically meaningful.</w:t>
      </w:r>
      <w:r>
        <w:t>’</w:t>
      </w:r>
    </w:p>
    <w:p w:rsidR="00CE5029" w:rsidRDefault="00CE5029" w:rsidP="00CE5029">
      <w:r w:rsidRPr="00377E48">
        <w:t>Similar safety was observed in the subgroup analysis for prior immunotherapy, although the skin irAEs also showed somewhat higher frequency in the no prior immunotherapy category (36.3% in prior immunotherapy; 43.0% in no pr</w:t>
      </w:r>
      <w:r w:rsidR="00FF39A7">
        <w:t xml:space="preserve">ior immunotherapy). For Grade 3 to </w:t>
      </w:r>
      <w:r w:rsidRPr="00377E48">
        <w:t>5 irAEs, similar safety was observed between subgroups</w:t>
      </w:r>
      <w:r w:rsidR="00377E48">
        <w:t>.</w:t>
      </w:r>
    </w:p>
    <w:p w:rsidR="00CE5029" w:rsidRPr="001C67F1" w:rsidRDefault="00121E5D" w:rsidP="00FF39A7">
      <w:pPr>
        <w:pStyle w:val="Comment"/>
        <w:ind w:left="1134" w:hanging="1134"/>
      </w:pPr>
      <w:r>
        <w:rPr>
          <w:b/>
        </w:rPr>
        <w:t>C</w:t>
      </w:r>
      <w:r w:rsidR="00377E48" w:rsidRPr="00FF39A7">
        <w:rPr>
          <w:b/>
        </w:rPr>
        <w:t>omment:</w:t>
      </w:r>
      <w:r w:rsidR="00377E48" w:rsidRPr="00377E48">
        <w:t xml:space="preserve"> </w:t>
      </w:r>
      <w:r w:rsidR="00CE5029" w:rsidRPr="00377E48">
        <w:t>The previous comments on the imbalanced numbers in each comparator group also apply to this subsection.</w:t>
      </w:r>
    </w:p>
    <w:p w:rsidR="00CE5029" w:rsidRPr="00377E48" w:rsidRDefault="00CE5029" w:rsidP="00664861">
      <w:pPr>
        <w:pStyle w:val="Heading4"/>
      </w:pPr>
      <w:r w:rsidRPr="00377E48">
        <w:t>Post marketing experience</w:t>
      </w:r>
    </w:p>
    <w:p w:rsidR="00CE5029" w:rsidRPr="00121E5D" w:rsidRDefault="00C108F1" w:rsidP="00377E48">
      <w:r>
        <w:t>‘</w:t>
      </w:r>
      <w:r w:rsidR="00CE5029" w:rsidRPr="00121E5D">
        <w:t>The estimated number of patients exposed during the period referenced above is 5</w:t>
      </w:r>
      <w:r w:rsidR="00FF39A7" w:rsidRPr="00121E5D">
        <w:t>,532</w:t>
      </w:r>
      <w:r w:rsidR="00CE5029" w:rsidRPr="00121E5D">
        <w:t xml:space="preserve"> including previously untreated advanced melanoma (United States). The safety profile was similar to the profile established during clinical trials and no new major safety concerns were identified.</w:t>
      </w:r>
      <w:r w:rsidRPr="00121E5D">
        <w:t>’</w:t>
      </w:r>
    </w:p>
    <w:p w:rsidR="00CE5029" w:rsidRDefault="00CE5029" w:rsidP="00CE5029">
      <w:r w:rsidRPr="00377E48">
        <w:t xml:space="preserve">Thus, in summary, the </w:t>
      </w:r>
      <w:r w:rsidR="005F5E22">
        <w:t>sponsor</w:t>
      </w:r>
      <w:r w:rsidRPr="00377E48">
        <w:t xml:space="preserve"> provided a pooled analysis of safety for studies utilising </w:t>
      </w:r>
      <w:r w:rsidR="00C108F1">
        <w:t>3 mg</w:t>
      </w:r>
      <w:r w:rsidRPr="00377E48">
        <w:t xml:space="preserve">/kg </w:t>
      </w:r>
      <w:r w:rsidR="00F22D76">
        <w:t>ipilimumab</w:t>
      </w:r>
      <w:r w:rsidRPr="00377E48">
        <w:t xml:space="preserve"> (monotherapy and in combination) and reported no clinically meaningful differences in safety between groups according to pre-treatment status. The small numbers of patients in the relevant group for the proposed indication, the imbalance of numbers between comparator groups, the different populations that were pooled, and the different treatments being investigated limit any conclusions that can be drawn about the safety of </w:t>
      </w:r>
      <w:r w:rsidR="00F22D76">
        <w:t>ipilimumab</w:t>
      </w:r>
      <w:r w:rsidRPr="00377E48">
        <w:t xml:space="preserve"> for the proposed usage.</w:t>
      </w:r>
    </w:p>
    <w:p w:rsidR="00C75881" w:rsidRPr="00900D64" w:rsidRDefault="00C75881" w:rsidP="00502AC2">
      <w:pPr>
        <w:pStyle w:val="Heading3"/>
      </w:pPr>
      <w:bookmarkStart w:id="227" w:name="_Ref269204367"/>
      <w:bookmarkStart w:id="228" w:name="_Ref271195835"/>
      <w:bookmarkStart w:id="229" w:name="_Ref271195841"/>
      <w:bookmarkStart w:id="230" w:name="_Toc272414660"/>
      <w:bookmarkStart w:id="231" w:name="_Toc290846285"/>
      <w:bookmarkStart w:id="232" w:name="_Toc390676230"/>
      <w:bookmarkStart w:id="233" w:name="_Toc475616227"/>
      <w:r w:rsidRPr="00900D64">
        <w:t>Pivotal studies that assessed safety as a primary outcome</w:t>
      </w:r>
      <w:bookmarkEnd w:id="227"/>
      <w:bookmarkEnd w:id="228"/>
      <w:bookmarkEnd w:id="229"/>
      <w:bookmarkEnd w:id="230"/>
      <w:bookmarkEnd w:id="231"/>
      <w:bookmarkEnd w:id="232"/>
      <w:bookmarkEnd w:id="233"/>
    </w:p>
    <w:p w:rsidR="00C75881" w:rsidRDefault="00C75881" w:rsidP="00C75881">
      <w:r w:rsidRPr="00900D64">
        <w:t>There were no relevant studies submitted.</w:t>
      </w:r>
    </w:p>
    <w:p w:rsidR="00900D64" w:rsidRPr="00900D64" w:rsidRDefault="00900D64" w:rsidP="00900D64">
      <w:pPr>
        <w:pStyle w:val="Heading3"/>
      </w:pPr>
      <w:bookmarkStart w:id="234" w:name="_Toc241374318"/>
      <w:bookmarkStart w:id="235" w:name="_Ref271196630"/>
      <w:bookmarkStart w:id="236" w:name="_Toc272414662"/>
      <w:bookmarkStart w:id="237" w:name="_Toc290846300"/>
      <w:bookmarkStart w:id="238" w:name="_Toc390676231"/>
      <w:bookmarkStart w:id="239" w:name="_Toc475616228"/>
      <w:r w:rsidRPr="00900D64">
        <w:t>Patient exposure</w:t>
      </w:r>
      <w:bookmarkEnd w:id="234"/>
      <w:bookmarkEnd w:id="235"/>
      <w:bookmarkEnd w:id="236"/>
      <w:bookmarkEnd w:id="237"/>
      <w:bookmarkEnd w:id="238"/>
      <w:bookmarkEnd w:id="239"/>
    </w:p>
    <w:p w:rsidR="00900D64" w:rsidRPr="00900D64" w:rsidRDefault="00900D64" w:rsidP="00900D64">
      <w:r w:rsidRPr="00900D64">
        <w:t xml:space="preserve">Note should be made of the proposed usage being for </w:t>
      </w:r>
      <w:r w:rsidR="00F22D76">
        <w:t>ipilimumab</w:t>
      </w:r>
      <w:r w:rsidRPr="00900D64">
        <w:t xml:space="preserve"> </w:t>
      </w:r>
      <w:r w:rsidR="00C108F1">
        <w:t>3 mg</w:t>
      </w:r>
      <w:r w:rsidRPr="00900D64">
        <w:t xml:space="preserve">/kg monotherapy and the external validity (relevance of the evidence) of the majority of listed studies </w:t>
      </w:r>
      <w:r w:rsidRPr="00AC528F">
        <w:t xml:space="preserve">in </w:t>
      </w:r>
      <w:r w:rsidRPr="00B95A18">
        <w:t xml:space="preserve">Table </w:t>
      </w:r>
      <w:r w:rsidR="004572B9">
        <w:t>33</w:t>
      </w:r>
      <w:r w:rsidRPr="00B95A18">
        <w:t>and Table</w:t>
      </w:r>
      <w:r w:rsidR="004572B9">
        <w:t xml:space="preserve"> 34</w:t>
      </w:r>
      <w:r w:rsidRPr="00B95A18">
        <w:t>.</w:t>
      </w:r>
    </w:p>
    <w:p w:rsidR="00900D64" w:rsidRDefault="00900D64" w:rsidP="00900D64">
      <w:pPr>
        <w:pStyle w:val="Tabletitle"/>
      </w:pPr>
      <w:bookmarkStart w:id="240" w:name="_Toc390676310"/>
      <w:r w:rsidRPr="00B95A18">
        <w:t>Table</w:t>
      </w:r>
      <w:r w:rsidR="004572B9">
        <w:t xml:space="preserve"> 33</w:t>
      </w:r>
      <w:r w:rsidR="00121E5D" w:rsidRPr="00B95A18">
        <w:t>:</w:t>
      </w:r>
      <w:r w:rsidRPr="00900D64">
        <w:t xml:space="preserve"> Exposure to </w:t>
      </w:r>
      <w:r w:rsidR="00F22D76">
        <w:t>ipilimumab</w:t>
      </w:r>
      <w:r w:rsidRPr="00900D64">
        <w:t xml:space="preserve"> and comparators by patient numbers in clinical studies</w:t>
      </w:r>
      <w:bookmarkEnd w:id="240"/>
    </w:p>
    <w:tbl>
      <w:tblPr>
        <w:tblStyle w:val="TableTGAblue"/>
        <w:tblW w:w="8680" w:type="dxa"/>
        <w:tblLayout w:type="fixed"/>
        <w:tblLook w:val="04A0" w:firstRow="1" w:lastRow="0" w:firstColumn="1" w:lastColumn="0" w:noHBand="0" w:noVBand="1"/>
      </w:tblPr>
      <w:tblGrid>
        <w:gridCol w:w="1530"/>
        <w:gridCol w:w="1430"/>
        <w:gridCol w:w="2212"/>
        <w:gridCol w:w="1298"/>
        <w:gridCol w:w="1430"/>
        <w:gridCol w:w="780"/>
      </w:tblGrid>
      <w:tr w:rsidR="00664861" w:rsidRPr="00664861" w:rsidTr="002F3779">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1530" w:type="dxa"/>
            <w:vMerge w:val="restart"/>
          </w:tcPr>
          <w:p w:rsidR="00664861" w:rsidRPr="00664861" w:rsidRDefault="00664861" w:rsidP="002F3779">
            <w:pPr>
              <w:spacing w:line="240" w:lineRule="auto"/>
              <w:ind w:left="0" w:right="0"/>
              <w:rPr>
                <w:sz w:val="18"/>
                <w:szCs w:val="18"/>
              </w:rPr>
            </w:pPr>
            <w:r w:rsidRPr="00664861">
              <w:rPr>
                <w:sz w:val="18"/>
                <w:szCs w:val="18"/>
              </w:rPr>
              <w:t>Study type/Indication</w:t>
            </w:r>
          </w:p>
        </w:tc>
        <w:tc>
          <w:tcPr>
            <w:tcW w:w="4940" w:type="dxa"/>
            <w:gridSpan w:val="3"/>
          </w:tcPr>
          <w:p w:rsidR="00664861" w:rsidRPr="0066486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sz w:val="18"/>
                <w:szCs w:val="18"/>
              </w:rPr>
            </w:pPr>
            <w:r w:rsidRPr="00664861">
              <w:rPr>
                <w:sz w:val="18"/>
                <w:szCs w:val="18"/>
              </w:rPr>
              <w:t>Controlled studies</w:t>
            </w:r>
          </w:p>
        </w:tc>
        <w:tc>
          <w:tcPr>
            <w:tcW w:w="1430" w:type="dxa"/>
          </w:tcPr>
          <w:p w:rsidR="00664861" w:rsidRPr="0066486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sz w:val="18"/>
                <w:szCs w:val="18"/>
              </w:rPr>
            </w:pPr>
            <w:r w:rsidRPr="00664861">
              <w:rPr>
                <w:sz w:val="18"/>
                <w:szCs w:val="18"/>
              </w:rPr>
              <w:t>Uncontrolled studies</w:t>
            </w:r>
          </w:p>
        </w:tc>
        <w:tc>
          <w:tcPr>
            <w:tcW w:w="780" w:type="dxa"/>
            <w:vMerge w:val="restart"/>
          </w:tcPr>
          <w:p w:rsidR="00664861" w:rsidRPr="00664861" w:rsidRDefault="00664861" w:rsidP="002F3779">
            <w:pPr>
              <w:spacing w:line="240" w:lineRule="auto"/>
              <w:ind w:left="0" w:right="0"/>
              <w:cnfStyle w:val="100000000000" w:firstRow="1" w:lastRow="0" w:firstColumn="0" w:lastColumn="0" w:oddVBand="0" w:evenVBand="0" w:oddHBand="0" w:evenHBand="0" w:firstRowFirstColumn="0" w:firstRowLastColumn="0" w:lastRowFirstColumn="0" w:lastRowLastColumn="0"/>
            </w:pPr>
            <w:r w:rsidRPr="00664861">
              <w:rPr>
                <w:sz w:val="18"/>
                <w:szCs w:val="18"/>
              </w:rPr>
              <w:t>Total</w:t>
            </w:r>
            <w:r w:rsidR="002F3779">
              <w:rPr>
                <w:sz w:val="18"/>
                <w:szCs w:val="18"/>
              </w:rPr>
              <w:t xml:space="preserve"> </w:t>
            </w:r>
            <w:r w:rsidRPr="00664861">
              <w:rPr>
                <w:sz w:val="18"/>
                <w:szCs w:val="18"/>
              </w:rPr>
              <w:t>Ipilimumab</w:t>
            </w:r>
          </w:p>
        </w:tc>
      </w:tr>
      <w:tr w:rsidR="00664861" w:rsidRPr="00664861" w:rsidTr="002F3779">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1530" w:type="dxa"/>
            <w:vMerge/>
          </w:tcPr>
          <w:p w:rsidR="00664861" w:rsidRPr="00664861" w:rsidRDefault="00664861" w:rsidP="00664861">
            <w:pPr>
              <w:spacing w:line="240" w:lineRule="auto"/>
              <w:ind w:left="0" w:right="0"/>
              <w:rPr>
                <w:sz w:val="18"/>
                <w:szCs w:val="18"/>
              </w:rPr>
            </w:pPr>
          </w:p>
        </w:tc>
        <w:tc>
          <w:tcPr>
            <w:tcW w:w="1430" w:type="dxa"/>
            <w:shd w:val="clear" w:color="auto" w:fill="006DA7" w:themeFill="accent3"/>
          </w:tcPr>
          <w:p w:rsidR="00664861" w:rsidRPr="005531E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5531E1">
              <w:rPr>
                <w:b w:val="0"/>
                <w:sz w:val="18"/>
                <w:szCs w:val="18"/>
              </w:rPr>
              <w:t xml:space="preserve">Ipilimumab </w:t>
            </w:r>
          </w:p>
        </w:tc>
        <w:tc>
          <w:tcPr>
            <w:tcW w:w="2212" w:type="dxa"/>
            <w:shd w:val="clear" w:color="auto" w:fill="006DA7" w:themeFill="accent3"/>
          </w:tcPr>
          <w:p w:rsidR="00664861" w:rsidRPr="005531E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5531E1">
              <w:rPr>
                <w:b w:val="0"/>
                <w:sz w:val="18"/>
                <w:szCs w:val="18"/>
              </w:rPr>
              <w:t>Ipilimumab with Carboplatin/Paclitaxel</w:t>
            </w:r>
          </w:p>
        </w:tc>
        <w:tc>
          <w:tcPr>
            <w:tcW w:w="1298" w:type="dxa"/>
            <w:shd w:val="clear" w:color="auto" w:fill="006DA7" w:themeFill="accent3"/>
          </w:tcPr>
          <w:p w:rsidR="00664861" w:rsidRPr="005531E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5531E1">
              <w:rPr>
                <w:b w:val="0"/>
                <w:sz w:val="18"/>
                <w:szCs w:val="18"/>
              </w:rPr>
              <w:t>Ipilimumab with DTIC</w:t>
            </w:r>
          </w:p>
        </w:tc>
        <w:tc>
          <w:tcPr>
            <w:tcW w:w="1430" w:type="dxa"/>
            <w:shd w:val="clear" w:color="auto" w:fill="006DA7" w:themeFill="accent3"/>
          </w:tcPr>
          <w:p w:rsidR="00664861" w:rsidRPr="005531E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5531E1">
              <w:rPr>
                <w:b w:val="0"/>
                <w:sz w:val="18"/>
                <w:szCs w:val="18"/>
              </w:rPr>
              <w:t>Ipilimumab</w:t>
            </w:r>
          </w:p>
        </w:tc>
        <w:tc>
          <w:tcPr>
            <w:tcW w:w="780" w:type="dxa"/>
            <w:vMerge/>
          </w:tcPr>
          <w:p w:rsidR="00664861" w:rsidRPr="00664861" w:rsidRDefault="00664861" w:rsidP="00664861">
            <w:pPr>
              <w:spacing w:line="240" w:lineRule="auto"/>
              <w:ind w:left="0" w:right="0"/>
              <w:cnfStyle w:val="100000000000" w:firstRow="1" w:lastRow="0" w:firstColumn="0" w:lastColumn="0" w:oddVBand="0" w:evenVBand="0" w:oddHBand="0" w:evenHBand="0" w:firstRowFirstColumn="0" w:firstRowLastColumn="0" w:lastRowFirstColumn="0" w:lastRowLastColumn="0"/>
            </w:pP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Clinical pharmacology</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20</w:t>
            </w:r>
          </w:p>
        </w:tc>
        <w:tc>
          <w:tcPr>
            <w:tcW w:w="2212"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20</w:t>
            </w:r>
          </w:p>
        </w:tc>
        <w:tc>
          <w:tcPr>
            <w:tcW w:w="1298"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19</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tc>
        <w:tc>
          <w:tcPr>
            <w:tcW w:w="78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59</w:t>
            </w:r>
          </w:p>
        </w:tc>
      </w:tr>
      <w:tr w:rsidR="005531E1" w:rsidRPr="00664861" w:rsidTr="00B91C17">
        <w:trPr>
          <w:trHeight w:val="143"/>
        </w:trPr>
        <w:tc>
          <w:tcPr>
            <w:cnfStyle w:val="001000000000" w:firstRow="0" w:lastRow="0" w:firstColumn="1" w:lastColumn="0" w:oddVBand="0" w:evenVBand="0" w:oddHBand="0" w:evenHBand="0" w:firstRowFirstColumn="0" w:firstRowLastColumn="0" w:lastRowFirstColumn="0" w:lastRowLastColumn="0"/>
            <w:tcW w:w="8680" w:type="dxa"/>
            <w:gridSpan w:val="6"/>
          </w:tcPr>
          <w:p w:rsidR="005531E1" w:rsidRPr="00121E5D" w:rsidRDefault="005531E1" w:rsidP="00664861">
            <w:pPr>
              <w:spacing w:line="240" w:lineRule="auto"/>
              <w:ind w:left="0" w:right="0"/>
              <w:rPr>
                <w:b/>
                <w:sz w:val="18"/>
                <w:szCs w:val="18"/>
              </w:rPr>
            </w:pPr>
            <w:r w:rsidRPr="00121E5D">
              <w:rPr>
                <w:b/>
                <w:sz w:val="18"/>
                <w:szCs w:val="18"/>
              </w:rPr>
              <w:t>Ipilimumab 3mg/kg</w:t>
            </w: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Monotherapy</w:t>
            </w:r>
          </w:p>
          <w:p w:rsidR="00664861" w:rsidRPr="00664861" w:rsidRDefault="00664861" w:rsidP="00664861">
            <w:pPr>
              <w:spacing w:line="240" w:lineRule="auto"/>
              <w:ind w:left="0" w:right="0"/>
              <w:rPr>
                <w:sz w:val="18"/>
                <w:szCs w:val="18"/>
              </w:rPr>
            </w:pPr>
            <w:r w:rsidRPr="00664861">
              <w:rPr>
                <w:sz w:val="18"/>
                <w:szCs w:val="18"/>
              </w:rPr>
              <w:t>+peptide</w:t>
            </w:r>
          </w:p>
        </w:tc>
        <w:tc>
          <w:tcPr>
            <w:tcW w:w="1430" w:type="dxa"/>
          </w:tcPr>
          <w:p w:rsidR="005531E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25</w:t>
            </w:r>
          </w:p>
        </w:tc>
        <w:tc>
          <w:tcPr>
            <w:tcW w:w="2212" w:type="dxa"/>
          </w:tcPr>
          <w:p w:rsid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98" w:type="dxa"/>
          </w:tcPr>
          <w:p w:rsid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430" w:type="dxa"/>
          </w:tcPr>
          <w:p w:rsid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120</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780" w:type="dxa"/>
          </w:tcPr>
          <w:p w:rsid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145</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Subtotal Indication 1</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25</w:t>
            </w:r>
          </w:p>
        </w:tc>
        <w:tc>
          <w:tcPr>
            <w:tcW w:w="2212"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298"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120</w:t>
            </w:r>
          </w:p>
        </w:tc>
        <w:tc>
          <w:tcPr>
            <w:tcW w:w="78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145</w:t>
            </w:r>
          </w:p>
        </w:tc>
      </w:tr>
      <w:tr w:rsidR="005531E1" w:rsidRPr="00664861" w:rsidTr="00B91C17">
        <w:trPr>
          <w:trHeight w:val="143"/>
        </w:trPr>
        <w:tc>
          <w:tcPr>
            <w:cnfStyle w:val="001000000000" w:firstRow="0" w:lastRow="0" w:firstColumn="1" w:lastColumn="0" w:oddVBand="0" w:evenVBand="0" w:oddHBand="0" w:evenHBand="0" w:firstRowFirstColumn="0" w:firstRowLastColumn="0" w:lastRowFirstColumn="0" w:lastRowLastColumn="0"/>
            <w:tcW w:w="8680" w:type="dxa"/>
            <w:gridSpan w:val="6"/>
          </w:tcPr>
          <w:p w:rsidR="005531E1" w:rsidRPr="00121E5D" w:rsidRDefault="005531E1" w:rsidP="00664861">
            <w:pPr>
              <w:spacing w:line="240" w:lineRule="auto"/>
              <w:ind w:left="0" w:right="0"/>
              <w:rPr>
                <w:b/>
                <w:sz w:val="18"/>
                <w:szCs w:val="18"/>
              </w:rPr>
            </w:pPr>
            <w:r w:rsidRPr="00121E5D">
              <w:rPr>
                <w:b/>
                <w:sz w:val="18"/>
                <w:szCs w:val="18"/>
              </w:rPr>
              <w:lastRenderedPageBreak/>
              <w:t>Ipilimumab 10mg/kg</w:t>
            </w: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+DTIC</w:t>
            </w:r>
          </w:p>
          <w:p w:rsidR="00664861" w:rsidRPr="00664861" w:rsidRDefault="00664861" w:rsidP="00664861">
            <w:pPr>
              <w:spacing w:line="240" w:lineRule="auto"/>
              <w:ind w:left="0" w:right="0"/>
              <w:rPr>
                <w:sz w:val="18"/>
                <w:szCs w:val="18"/>
              </w:rPr>
            </w:pPr>
            <w:r w:rsidRPr="00664861">
              <w:rPr>
                <w:sz w:val="18"/>
                <w:szCs w:val="18"/>
              </w:rPr>
              <w:t>Monotherapy</w:t>
            </w:r>
          </w:p>
          <w:p w:rsidR="00664861" w:rsidRPr="00664861" w:rsidRDefault="00664861" w:rsidP="00664861">
            <w:pPr>
              <w:spacing w:line="240" w:lineRule="auto"/>
              <w:ind w:left="0" w:right="0"/>
              <w:rPr>
                <w:sz w:val="18"/>
                <w:szCs w:val="18"/>
              </w:rPr>
            </w:pPr>
            <w:r w:rsidRPr="00664861">
              <w:rPr>
                <w:sz w:val="18"/>
                <w:szCs w:val="18"/>
              </w:rPr>
              <w:t>Plus peptide</w:t>
            </w:r>
          </w:p>
          <w:p w:rsidR="00664861" w:rsidRPr="00664861" w:rsidRDefault="00664861" w:rsidP="00664861">
            <w:pPr>
              <w:spacing w:line="240" w:lineRule="auto"/>
              <w:ind w:left="0" w:right="0"/>
              <w:rPr>
                <w:sz w:val="18"/>
                <w:szCs w:val="18"/>
              </w:rPr>
            </w:pPr>
            <w:r w:rsidRPr="00664861">
              <w:rPr>
                <w:sz w:val="18"/>
                <w:szCs w:val="18"/>
              </w:rPr>
              <w:t>+steroids</w:t>
            </w:r>
          </w:p>
        </w:tc>
        <w:tc>
          <w:tcPr>
            <w:tcW w:w="1430" w:type="dxa"/>
          </w:tcPr>
          <w:p w:rsidR="005531E1" w:rsidRDefault="005531E1" w:rsidP="005531E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p w:rsidR="00664861" w:rsidRPr="005531E1" w:rsidRDefault="00664861" w:rsidP="005531E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26</w:t>
            </w:r>
          </w:p>
          <w:p w:rsidR="00664861" w:rsidRPr="005531E1" w:rsidRDefault="00664861" w:rsidP="005531E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25</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72</w:t>
            </w:r>
          </w:p>
        </w:tc>
        <w:tc>
          <w:tcPr>
            <w:tcW w:w="2212" w:type="dxa"/>
          </w:tcPr>
          <w:p w:rsidR="00664861" w:rsidRPr="00664861" w:rsidRDefault="00664861" w:rsidP="005531E1">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298"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247</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p w:rsid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830</w:t>
            </w:r>
          </w:p>
          <w:p w:rsid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w:t>
            </w:r>
          </w:p>
          <w:p w:rsidR="005531E1" w:rsidRPr="00664861" w:rsidRDefault="005531E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78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247</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856</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25</w:t>
            </w:r>
          </w:p>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72</w:t>
            </w: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Subtotal Indication 2</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5531E1">
              <w:rPr>
                <w:sz w:val="18"/>
                <w:szCs w:val="18"/>
              </w:rPr>
              <w:t>123</w:t>
            </w:r>
          </w:p>
        </w:tc>
        <w:tc>
          <w:tcPr>
            <w:tcW w:w="2212"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298"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247</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830</w:t>
            </w:r>
          </w:p>
        </w:tc>
        <w:tc>
          <w:tcPr>
            <w:tcW w:w="78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1200</w:t>
            </w:r>
          </w:p>
        </w:tc>
      </w:tr>
      <w:tr w:rsidR="00664861" w:rsidRPr="00664861" w:rsidTr="00664861">
        <w:trPr>
          <w:trHeight w:val="143"/>
        </w:trPr>
        <w:tc>
          <w:tcPr>
            <w:cnfStyle w:val="001000000000" w:firstRow="0" w:lastRow="0" w:firstColumn="1" w:lastColumn="0" w:oddVBand="0" w:evenVBand="0" w:oddHBand="0" w:evenHBand="0" w:firstRowFirstColumn="0" w:firstRowLastColumn="0" w:lastRowFirstColumn="0" w:lastRowLastColumn="0"/>
            <w:tcW w:w="1530" w:type="dxa"/>
          </w:tcPr>
          <w:p w:rsidR="00664861" w:rsidRPr="00664861" w:rsidRDefault="00664861" w:rsidP="00664861">
            <w:pPr>
              <w:spacing w:line="240" w:lineRule="auto"/>
              <w:ind w:left="0" w:right="0"/>
              <w:rPr>
                <w:sz w:val="18"/>
                <w:szCs w:val="18"/>
              </w:rPr>
            </w:pPr>
            <w:r w:rsidRPr="00664861">
              <w:rPr>
                <w:sz w:val="18"/>
                <w:szCs w:val="18"/>
              </w:rPr>
              <w:t>TOTAL</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168</w:t>
            </w:r>
          </w:p>
        </w:tc>
        <w:tc>
          <w:tcPr>
            <w:tcW w:w="2212"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20</w:t>
            </w:r>
          </w:p>
        </w:tc>
        <w:tc>
          <w:tcPr>
            <w:tcW w:w="1298"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266</w:t>
            </w:r>
          </w:p>
        </w:tc>
        <w:tc>
          <w:tcPr>
            <w:tcW w:w="143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950</w:t>
            </w:r>
          </w:p>
        </w:tc>
        <w:tc>
          <w:tcPr>
            <w:tcW w:w="780" w:type="dxa"/>
          </w:tcPr>
          <w:p w:rsidR="00664861" w:rsidRPr="00664861" w:rsidRDefault="00664861" w:rsidP="00664861">
            <w:pPr>
              <w:spacing w:line="240" w:lineRule="auto"/>
              <w:ind w:left="0" w:right="0"/>
              <w:cnfStyle w:val="000000000000" w:firstRow="0" w:lastRow="0" w:firstColumn="0" w:lastColumn="0" w:oddVBand="0" w:evenVBand="0" w:oddHBand="0" w:evenHBand="0" w:firstRowFirstColumn="0" w:firstRowLastColumn="0" w:lastRowFirstColumn="0" w:lastRowLastColumn="0"/>
              <w:rPr>
                <w:sz w:val="18"/>
                <w:szCs w:val="18"/>
              </w:rPr>
            </w:pPr>
            <w:r w:rsidRPr="00664861">
              <w:rPr>
                <w:sz w:val="18"/>
                <w:szCs w:val="18"/>
              </w:rPr>
              <w:t>1404</w:t>
            </w:r>
          </w:p>
        </w:tc>
      </w:tr>
    </w:tbl>
    <w:p w:rsidR="00900D64" w:rsidRPr="00900D64" w:rsidRDefault="00502AC2" w:rsidP="00900D64">
      <w:pPr>
        <w:pStyle w:val="Tabletitle"/>
      </w:pPr>
      <w:bookmarkStart w:id="241" w:name="_Toc269112508"/>
      <w:bookmarkStart w:id="242" w:name="_Toc390676311"/>
      <w:r>
        <w:t xml:space="preserve">Table </w:t>
      </w:r>
      <w:r w:rsidR="004572B9">
        <w:t>34</w:t>
      </w:r>
      <w:r w:rsidR="00B95A18">
        <w:t>:</w:t>
      </w:r>
      <w:r w:rsidR="00900D64" w:rsidRPr="00900D64">
        <w:t xml:space="preserve"> Patient exposure to </w:t>
      </w:r>
      <w:r w:rsidR="00F22D76">
        <w:t>ipilimumab</w:t>
      </w:r>
      <w:r w:rsidR="00900D64" w:rsidRPr="00900D64">
        <w:t xml:space="preserve"> in clinical studies according to dose and duration</w:t>
      </w:r>
      <w:bookmarkEnd w:id="241"/>
      <w:bookmarkEnd w:id="242"/>
    </w:p>
    <w:p w:rsidR="00900D64" w:rsidRDefault="00900D64" w:rsidP="00900D64">
      <w:r w:rsidRPr="00900D64">
        <w:t>Note should be made that analysis was limited to the induction (3month) period only for some studies.</w:t>
      </w:r>
    </w:p>
    <w:tbl>
      <w:tblPr>
        <w:tblStyle w:val="TableTGAblue"/>
        <w:tblW w:w="8472" w:type="dxa"/>
        <w:tblLayout w:type="fixed"/>
        <w:tblLook w:val="04A0" w:firstRow="1" w:lastRow="0" w:firstColumn="1" w:lastColumn="0" w:noHBand="0" w:noVBand="1"/>
      </w:tblPr>
      <w:tblGrid>
        <w:gridCol w:w="2401"/>
        <w:gridCol w:w="1676"/>
        <w:gridCol w:w="1276"/>
        <w:gridCol w:w="1418"/>
        <w:gridCol w:w="1701"/>
      </w:tblGrid>
      <w:tr w:rsidR="00502AC2" w:rsidTr="00DC00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1" w:type="dxa"/>
            <w:vMerge w:val="restart"/>
          </w:tcPr>
          <w:p w:rsidR="00502AC2" w:rsidRPr="006B14DE" w:rsidRDefault="00502AC2" w:rsidP="00502AC2">
            <w:pPr>
              <w:pStyle w:val="Tabletext"/>
              <w:jc w:val="center"/>
            </w:pPr>
            <w:r>
              <w:t>Study type/ indication</w:t>
            </w:r>
          </w:p>
        </w:tc>
        <w:tc>
          <w:tcPr>
            <w:tcW w:w="1676" w:type="dxa"/>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rPr>
                <w:b w:val="0"/>
              </w:rPr>
            </w:pPr>
            <w:r>
              <w:t>Induction</w:t>
            </w:r>
          </w:p>
        </w:tc>
        <w:tc>
          <w:tcPr>
            <w:tcW w:w="2694" w:type="dxa"/>
            <w:gridSpan w:val="2"/>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rPr>
                <w:b w:val="0"/>
              </w:rPr>
            </w:pPr>
            <w:r>
              <w:t>Maintenance</w:t>
            </w:r>
          </w:p>
        </w:tc>
        <w:tc>
          <w:tcPr>
            <w:tcW w:w="1701" w:type="dxa"/>
          </w:tcPr>
          <w:p w:rsidR="00502AC2" w:rsidRPr="006B14DE" w:rsidRDefault="00502AC2" w:rsidP="00502AC2">
            <w:pPr>
              <w:pStyle w:val="Tabletext"/>
              <w:cnfStyle w:val="100000000000" w:firstRow="1" w:lastRow="0" w:firstColumn="0" w:lastColumn="0" w:oddVBand="0" w:evenVBand="0" w:oddHBand="0" w:evenHBand="0" w:firstRowFirstColumn="0" w:firstRowLastColumn="0" w:lastRowFirstColumn="0" w:lastRowLastColumn="0"/>
              <w:rPr>
                <w:b w:val="0"/>
              </w:rPr>
            </w:pPr>
          </w:p>
        </w:tc>
      </w:tr>
      <w:tr w:rsidR="00502AC2" w:rsidTr="00DC00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1" w:type="dxa"/>
            <w:vMerge/>
          </w:tcPr>
          <w:p w:rsidR="00502AC2" w:rsidRPr="006B14DE" w:rsidRDefault="00502AC2" w:rsidP="00502AC2">
            <w:pPr>
              <w:pStyle w:val="Tabletext"/>
            </w:pPr>
          </w:p>
        </w:tc>
        <w:tc>
          <w:tcPr>
            <w:tcW w:w="1676" w:type="dxa"/>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pPr>
            <w:r w:rsidRPr="006B14DE">
              <w:t>≥ 3</w:t>
            </w:r>
            <w:r>
              <w:t xml:space="preserve"> </w:t>
            </w:r>
            <w:r w:rsidRPr="006B14DE">
              <w:t>mo.</w:t>
            </w:r>
          </w:p>
        </w:tc>
        <w:tc>
          <w:tcPr>
            <w:tcW w:w="1276" w:type="dxa"/>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pPr>
            <w:r w:rsidRPr="006B14DE">
              <w:t>≥ 6</w:t>
            </w:r>
            <w:r>
              <w:t xml:space="preserve"> mo.</w:t>
            </w:r>
          </w:p>
        </w:tc>
        <w:tc>
          <w:tcPr>
            <w:tcW w:w="1418" w:type="dxa"/>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pPr>
            <w:r w:rsidRPr="006B14DE">
              <w:t>≥ 12</w:t>
            </w:r>
            <w:r>
              <w:t xml:space="preserve"> </w:t>
            </w:r>
            <w:r w:rsidRPr="006B14DE">
              <w:t>mo.</w:t>
            </w:r>
          </w:p>
        </w:tc>
        <w:tc>
          <w:tcPr>
            <w:tcW w:w="1701" w:type="dxa"/>
          </w:tcPr>
          <w:p w:rsidR="00502AC2" w:rsidRPr="006B14DE" w:rsidRDefault="00502AC2" w:rsidP="00502AC2">
            <w:pPr>
              <w:pStyle w:val="Tabletext"/>
              <w:jc w:val="center"/>
              <w:cnfStyle w:val="100000000000" w:firstRow="1" w:lastRow="0" w:firstColumn="0" w:lastColumn="0" w:oddVBand="0" w:evenVBand="0" w:oddHBand="0" w:evenHBand="0" w:firstRowFirstColumn="0" w:firstRowLastColumn="0" w:lastRowFirstColumn="0" w:lastRowLastColumn="0"/>
            </w:pPr>
            <w:r w:rsidRPr="006B14DE">
              <w:t>Any</w:t>
            </w:r>
            <w:r>
              <w:t xml:space="preserve"> duratio</w:t>
            </w:r>
            <w:r w:rsidRPr="006B14DE">
              <w:t>n</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A53643" w:rsidRDefault="00502AC2" w:rsidP="00502AC2">
            <w:pPr>
              <w:pStyle w:val="Tabletext"/>
            </w:pPr>
            <w:r w:rsidRPr="00A53643">
              <w:t>Clinical pharmacology</w:t>
            </w:r>
          </w:p>
        </w:tc>
        <w:tc>
          <w:tcPr>
            <w:tcW w:w="1676" w:type="dxa"/>
            <w:vAlign w:val="center"/>
          </w:tcPr>
          <w:p w:rsidR="00502AC2" w:rsidRPr="006E5455"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rsidRPr="006E5455">
              <w:t>59</w:t>
            </w:r>
          </w:p>
        </w:tc>
        <w:tc>
          <w:tcPr>
            <w:tcW w:w="1276" w:type="dxa"/>
            <w:vAlign w:val="center"/>
          </w:tcPr>
          <w:p w:rsidR="00502AC2" w:rsidRPr="00677180"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rsidRPr="00677180">
              <w:t>0</w:t>
            </w:r>
          </w:p>
        </w:tc>
        <w:tc>
          <w:tcPr>
            <w:tcW w:w="1418" w:type="dxa"/>
            <w:vAlign w:val="center"/>
          </w:tcPr>
          <w:p w:rsidR="00502AC2" w:rsidRPr="00677180"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rsidRPr="00677180">
              <w:t>0</w:t>
            </w:r>
          </w:p>
        </w:tc>
        <w:tc>
          <w:tcPr>
            <w:tcW w:w="1701" w:type="dxa"/>
            <w:vAlign w:val="center"/>
          </w:tcPr>
          <w:p w:rsidR="00502AC2" w:rsidRPr="006E5455"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rsidRPr="006E5455">
              <w:t>59</w:t>
            </w:r>
          </w:p>
        </w:tc>
      </w:tr>
      <w:tr w:rsidR="00502AC2" w:rsidTr="00502AC2">
        <w:tc>
          <w:tcPr>
            <w:cnfStyle w:val="001000000000" w:firstRow="0" w:lastRow="0" w:firstColumn="1" w:lastColumn="0" w:oddVBand="0" w:evenVBand="0" w:oddHBand="0" w:evenHBand="0" w:firstRowFirstColumn="0" w:firstRowLastColumn="0" w:lastRowFirstColumn="0" w:lastRowLastColumn="0"/>
            <w:tcW w:w="8472" w:type="dxa"/>
            <w:gridSpan w:val="5"/>
          </w:tcPr>
          <w:p w:rsidR="00502AC2" w:rsidRPr="00502AC2" w:rsidRDefault="00502AC2" w:rsidP="00502AC2">
            <w:pPr>
              <w:pStyle w:val="Tabletext"/>
              <w:rPr>
                <w:b/>
              </w:rPr>
            </w:pPr>
            <w:r w:rsidRPr="00502AC2">
              <w:rPr>
                <w:b/>
              </w:rPr>
              <w:t>Ipilimumab 3mg/kg</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6B14DE" w:rsidRDefault="00502AC2" w:rsidP="00E91060">
            <w:pPr>
              <w:pStyle w:val="Tabletext"/>
              <w:spacing w:before="0" w:after="0" w:line="240" w:lineRule="auto"/>
            </w:pPr>
            <w:r>
              <w:t>Monotherapy</w:t>
            </w:r>
            <w:r w:rsidR="001854AA">
              <w:t xml:space="preserve"> </w:t>
            </w:r>
            <w:r>
              <w:t>+</w:t>
            </w:r>
            <w:r w:rsidR="001854AA">
              <w:t xml:space="preserve"> </w:t>
            </w:r>
            <w:r>
              <w:t>peptide</w:t>
            </w:r>
          </w:p>
        </w:tc>
        <w:tc>
          <w:tcPr>
            <w:tcW w:w="16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25</w:t>
            </w:r>
          </w:p>
        </w:tc>
        <w:tc>
          <w:tcPr>
            <w:tcW w:w="12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1418"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25</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6B14DE" w:rsidRDefault="00502AC2" w:rsidP="00E91060">
            <w:pPr>
              <w:pStyle w:val="Tabletext"/>
              <w:spacing w:before="0" w:after="0" w:line="240" w:lineRule="auto"/>
            </w:pPr>
            <w:r w:rsidRPr="006B14DE">
              <w:t>Active-controlled</w:t>
            </w:r>
          </w:p>
        </w:tc>
        <w:tc>
          <w:tcPr>
            <w:tcW w:w="16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2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418"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1701"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Default="00502AC2" w:rsidP="00E91060">
            <w:pPr>
              <w:pStyle w:val="Tabletext"/>
              <w:spacing w:before="0" w:after="0" w:line="240" w:lineRule="auto"/>
            </w:pPr>
            <w:r w:rsidRPr="006B14DE">
              <w:t>Uncontrolled</w:t>
            </w:r>
          </w:p>
        </w:tc>
        <w:tc>
          <w:tcPr>
            <w:tcW w:w="16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120</w:t>
            </w:r>
          </w:p>
        </w:tc>
        <w:tc>
          <w:tcPr>
            <w:tcW w:w="12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418"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120</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5C5FA2" w:rsidRDefault="00502AC2" w:rsidP="00E91060">
            <w:pPr>
              <w:pStyle w:val="Tabletext"/>
              <w:spacing w:before="0" w:after="0" w:line="240" w:lineRule="auto"/>
            </w:pPr>
            <w:r w:rsidRPr="005C5FA2">
              <w:t>Subtotal Indic</w:t>
            </w:r>
            <w:r>
              <w:t xml:space="preserve">ation </w:t>
            </w:r>
            <w:r w:rsidRPr="005C5FA2">
              <w:t>1</w:t>
            </w:r>
          </w:p>
        </w:tc>
        <w:tc>
          <w:tcPr>
            <w:tcW w:w="1676" w:type="dxa"/>
            <w:vAlign w:val="center"/>
          </w:tcPr>
          <w:p w:rsidR="00502AC2" w:rsidRPr="00DF05CD"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145</w:t>
            </w:r>
          </w:p>
        </w:tc>
        <w:tc>
          <w:tcPr>
            <w:tcW w:w="1276" w:type="dxa"/>
            <w:vAlign w:val="center"/>
          </w:tcPr>
          <w:p w:rsidR="00502AC2" w:rsidRPr="00DF05CD"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418" w:type="dxa"/>
            <w:vAlign w:val="center"/>
          </w:tcPr>
          <w:p w:rsidR="00502AC2" w:rsidRPr="00DF05CD"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DF05CD"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145</w:t>
            </w:r>
          </w:p>
        </w:tc>
      </w:tr>
      <w:tr w:rsidR="00502AC2" w:rsidTr="00502AC2">
        <w:tc>
          <w:tcPr>
            <w:cnfStyle w:val="001000000000" w:firstRow="0" w:lastRow="0" w:firstColumn="1" w:lastColumn="0" w:oddVBand="0" w:evenVBand="0" w:oddHBand="0" w:evenHBand="0" w:firstRowFirstColumn="0" w:firstRowLastColumn="0" w:lastRowFirstColumn="0" w:lastRowLastColumn="0"/>
            <w:tcW w:w="8472" w:type="dxa"/>
            <w:gridSpan w:val="5"/>
          </w:tcPr>
          <w:p w:rsidR="00502AC2" w:rsidRPr="00502AC2" w:rsidRDefault="00502AC2" w:rsidP="00502AC2">
            <w:pPr>
              <w:pStyle w:val="Tabletext"/>
              <w:rPr>
                <w:b/>
              </w:rPr>
            </w:pPr>
            <w:r w:rsidRPr="00502AC2">
              <w:rPr>
                <w:b/>
              </w:rPr>
              <w:t>Ipilimumab 10mg/kg</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6B14DE" w:rsidRDefault="00502AC2" w:rsidP="00E91060">
            <w:pPr>
              <w:pStyle w:val="Tabletext"/>
              <w:spacing w:before="0" w:after="0" w:line="240" w:lineRule="auto"/>
            </w:pPr>
            <w:r>
              <w:t>With DTIC</w:t>
            </w:r>
          </w:p>
        </w:tc>
        <w:tc>
          <w:tcPr>
            <w:tcW w:w="16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247</w:t>
            </w:r>
          </w:p>
        </w:tc>
        <w:tc>
          <w:tcPr>
            <w:tcW w:w="12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43</w:t>
            </w:r>
          </w:p>
        </w:tc>
        <w:tc>
          <w:tcPr>
            <w:tcW w:w="1418"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247</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6B14DE" w:rsidRDefault="00502AC2" w:rsidP="00E91060">
            <w:pPr>
              <w:pStyle w:val="Tabletext"/>
              <w:spacing w:before="0" w:after="0" w:line="240" w:lineRule="auto"/>
            </w:pPr>
            <w:r>
              <w:t>Monotherapy vs. with steroids</w:t>
            </w:r>
          </w:p>
        </w:tc>
        <w:tc>
          <w:tcPr>
            <w:tcW w:w="16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72</w:t>
            </w:r>
          </w:p>
        </w:tc>
        <w:tc>
          <w:tcPr>
            <w:tcW w:w="1276"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13</w:t>
            </w:r>
          </w:p>
        </w:tc>
        <w:tc>
          <w:tcPr>
            <w:tcW w:w="1418"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72</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Default="00502AC2" w:rsidP="00E91060">
            <w:pPr>
              <w:pStyle w:val="Tabletext"/>
              <w:spacing w:before="0" w:after="0" w:line="240" w:lineRule="auto"/>
            </w:pPr>
            <w:r>
              <w:t>Monotherapy</w:t>
            </w:r>
          </w:p>
          <w:p w:rsidR="00502AC2" w:rsidRDefault="00502AC2" w:rsidP="00E91060">
            <w:pPr>
              <w:pStyle w:val="Tabletext"/>
              <w:spacing w:before="0" w:after="0" w:line="240" w:lineRule="auto"/>
            </w:pPr>
            <w:r>
              <w:t>With peptide</w:t>
            </w:r>
          </w:p>
          <w:p w:rsidR="00502AC2" w:rsidRDefault="00502AC2" w:rsidP="00E91060">
            <w:pPr>
              <w:pStyle w:val="Tabletext"/>
              <w:spacing w:before="0" w:after="0" w:line="240" w:lineRule="auto"/>
            </w:pPr>
            <w:r>
              <w:t>Uncontrolled</w:t>
            </w:r>
          </w:p>
        </w:tc>
        <w:tc>
          <w:tcPr>
            <w:tcW w:w="1676" w:type="dxa"/>
            <w:vAlign w:val="center"/>
          </w:tcPr>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26</w:t>
            </w:r>
          </w:p>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25</w:t>
            </w:r>
          </w:p>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830</w:t>
            </w:r>
          </w:p>
        </w:tc>
        <w:tc>
          <w:tcPr>
            <w:tcW w:w="1276" w:type="dxa"/>
            <w:vAlign w:val="center"/>
          </w:tcPr>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6</w:t>
            </w:r>
          </w:p>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1418" w:type="dxa"/>
            <w:vAlign w:val="center"/>
          </w:tcPr>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26</w:t>
            </w:r>
          </w:p>
          <w:p w:rsidR="00502AC2"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25</w:t>
            </w:r>
          </w:p>
          <w:p w:rsidR="00502AC2" w:rsidRPr="006B14DE" w:rsidRDefault="00502AC2" w:rsidP="00E91060">
            <w:pPr>
              <w:pStyle w:val="Tabletext"/>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830</w:t>
            </w:r>
          </w:p>
        </w:tc>
      </w:tr>
      <w:tr w:rsidR="00502AC2" w:rsidTr="00502AC2">
        <w:tc>
          <w:tcPr>
            <w:cnfStyle w:val="001000000000" w:firstRow="0" w:lastRow="0" w:firstColumn="1" w:lastColumn="0" w:oddVBand="0" w:evenVBand="0" w:oddHBand="0" w:evenHBand="0" w:firstRowFirstColumn="0" w:firstRowLastColumn="0" w:lastRowFirstColumn="0" w:lastRowLastColumn="0"/>
            <w:tcW w:w="2401" w:type="dxa"/>
          </w:tcPr>
          <w:p w:rsidR="00502AC2" w:rsidRPr="005C5FA2" w:rsidRDefault="00502AC2" w:rsidP="00502AC2">
            <w:pPr>
              <w:pStyle w:val="Tabletext"/>
            </w:pPr>
            <w:r w:rsidRPr="005C5FA2">
              <w:t>Subtotal Indic</w:t>
            </w:r>
            <w:r>
              <w:t>ation</w:t>
            </w:r>
            <w:r w:rsidRPr="005C5FA2">
              <w:t xml:space="preserve"> </w:t>
            </w:r>
            <w:r>
              <w:t>2</w:t>
            </w:r>
          </w:p>
        </w:tc>
        <w:tc>
          <w:tcPr>
            <w:tcW w:w="1676" w:type="dxa"/>
            <w:vAlign w:val="center"/>
          </w:tcPr>
          <w:p w:rsidR="00502AC2" w:rsidRPr="005C5FA2"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t>1200</w:t>
            </w:r>
          </w:p>
        </w:tc>
        <w:tc>
          <w:tcPr>
            <w:tcW w:w="1276" w:type="dxa"/>
            <w:vAlign w:val="center"/>
          </w:tcPr>
          <w:p w:rsidR="00502AC2" w:rsidRPr="005C5FA2"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t>68</w:t>
            </w:r>
          </w:p>
        </w:tc>
        <w:tc>
          <w:tcPr>
            <w:tcW w:w="1418" w:type="dxa"/>
            <w:vAlign w:val="center"/>
          </w:tcPr>
          <w:p w:rsidR="00502AC2" w:rsidRPr="005C5FA2"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701" w:type="dxa"/>
            <w:vAlign w:val="center"/>
          </w:tcPr>
          <w:p w:rsidR="00502AC2" w:rsidRPr="005C5FA2" w:rsidRDefault="00502AC2" w:rsidP="00502AC2">
            <w:pPr>
              <w:pStyle w:val="Tabletext"/>
              <w:jc w:val="center"/>
              <w:cnfStyle w:val="000000000000" w:firstRow="0" w:lastRow="0" w:firstColumn="0" w:lastColumn="0" w:oddVBand="0" w:evenVBand="0" w:oddHBand="0" w:evenHBand="0" w:firstRowFirstColumn="0" w:firstRowLastColumn="0" w:lastRowFirstColumn="0" w:lastRowLastColumn="0"/>
            </w:pPr>
            <w:r>
              <w:t>1200</w:t>
            </w:r>
          </w:p>
        </w:tc>
      </w:tr>
      <w:tr w:rsidR="00502AC2" w:rsidTr="00121E5D">
        <w:tc>
          <w:tcPr>
            <w:cnfStyle w:val="001000000000" w:firstRow="0" w:lastRow="0" w:firstColumn="1" w:lastColumn="0" w:oddVBand="0" w:evenVBand="0" w:oddHBand="0" w:evenHBand="0" w:firstRowFirstColumn="0" w:firstRowLastColumn="0" w:lastRowFirstColumn="0" w:lastRowLastColumn="0"/>
            <w:tcW w:w="2401" w:type="dxa"/>
          </w:tcPr>
          <w:p w:rsidR="00502AC2" w:rsidRPr="005C5FA2" w:rsidRDefault="00502AC2" w:rsidP="00502AC2">
            <w:pPr>
              <w:pStyle w:val="Tabletext"/>
            </w:pPr>
            <w:r w:rsidRPr="005C5FA2">
              <w:t>TOTAL</w:t>
            </w:r>
          </w:p>
        </w:tc>
        <w:tc>
          <w:tcPr>
            <w:tcW w:w="1676" w:type="dxa"/>
          </w:tcPr>
          <w:p w:rsidR="00502AC2" w:rsidRPr="00DF05CD" w:rsidRDefault="00502AC2" w:rsidP="00121E5D">
            <w:pPr>
              <w:pStyle w:val="Tabletext"/>
              <w:jc w:val="center"/>
              <w:cnfStyle w:val="000000000000" w:firstRow="0" w:lastRow="0" w:firstColumn="0" w:lastColumn="0" w:oddVBand="0" w:evenVBand="0" w:oddHBand="0" w:evenHBand="0" w:firstRowFirstColumn="0" w:firstRowLastColumn="0" w:lastRowFirstColumn="0" w:lastRowLastColumn="0"/>
            </w:pPr>
            <w:r>
              <w:t>1404</w:t>
            </w:r>
          </w:p>
        </w:tc>
        <w:tc>
          <w:tcPr>
            <w:tcW w:w="1276" w:type="dxa"/>
          </w:tcPr>
          <w:p w:rsidR="00502AC2" w:rsidRPr="00DF05CD" w:rsidRDefault="00502AC2" w:rsidP="00121E5D">
            <w:pPr>
              <w:pStyle w:val="Tabletext"/>
              <w:jc w:val="center"/>
              <w:cnfStyle w:val="000000000000" w:firstRow="0" w:lastRow="0" w:firstColumn="0" w:lastColumn="0" w:oddVBand="0" w:evenVBand="0" w:oddHBand="0" w:evenHBand="0" w:firstRowFirstColumn="0" w:firstRowLastColumn="0" w:lastRowFirstColumn="0" w:lastRowLastColumn="0"/>
            </w:pPr>
            <w:r>
              <w:t>68</w:t>
            </w:r>
          </w:p>
        </w:tc>
        <w:tc>
          <w:tcPr>
            <w:tcW w:w="1418" w:type="dxa"/>
          </w:tcPr>
          <w:p w:rsidR="00502AC2" w:rsidRPr="00DF05CD" w:rsidRDefault="00502AC2" w:rsidP="00121E5D">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701" w:type="dxa"/>
          </w:tcPr>
          <w:p w:rsidR="00502AC2" w:rsidRPr="00DF05CD" w:rsidRDefault="00502AC2" w:rsidP="00121E5D">
            <w:pPr>
              <w:pStyle w:val="Tabletext"/>
              <w:jc w:val="center"/>
              <w:cnfStyle w:val="000000000000" w:firstRow="0" w:lastRow="0" w:firstColumn="0" w:lastColumn="0" w:oddVBand="0" w:evenVBand="0" w:oddHBand="0" w:evenHBand="0" w:firstRowFirstColumn="0" w:firstRowLastColumn="0" w:lastRowFirstColumn="0" w:lastRowLastColumn="0"/>
            </w:pPr>
            <w:r>
              <w:t>1404</w:t>
            </w:r>
          </w:p>
        </w:tc>
      </w:tr>
    </w:tbl>
    <w:p w:rsidR="00900D64" w:rsidRDefault="00900D64" w:rsidP="00900D64">
      <w:pPr>
        <w:pStyle w:val="Heading3"/>
      </w:pPr>
      <w:bookmarkStart w:id="243" w:name="_Toc241374319"/>
      <w:bookmarkStart w:id="244" w:name="_Ref271044764"/>
      <w:bookmarkStart w:id="245" w:name="_Toc272414663"/>
      <w:bookmarkStart w:id="246" w:name="_Toc290846301"/>
      <w:bookmarkStart w:id="247" w:name="_Toc390676232"/>
      <w:bookmarkStart w:id="248" w:name="_Toc475616229"/>
      <w:r>
        <w:lastRenderedPageBreak/>
        <w:t xml:space="preserve">Adverse </w:t>
      </w:r>
      <w:r w:rsidRPr="00900D64">
        <w:t>events</w:t>
      </w:r>
      <w:bookmarkEnd w:id="243"/>
      <w:bookmarkEnd w:id="244"/>
      <w:bookmarkEnd w:id="245"/>
      <w:bookmarkEnd w:id="246"/>
      <w:bookmarkEnd w:id="247"/>
      <w:bookmarkEnd w:id="248"/>
    </w:p>
    <w:p w:rsidR="00900D64" w:rsidRPr="00900D64" w:rsidRDefault="00900D64" w:rsidP="00900D64">
      <w:pPr>
        <w:pStyle w:val="Heading4"/>
      </w:pPr>
      <w:bookmarkStart w:id="249" w:name="_Ref272317284"/>
      <w:bookmarkStart w:id="250" w:name="_Ref272333565"/>
      <w:bookmarkStart w:id="251" w:name="_Toc272414664"/>
      <w:bookmarkStart w:id="252" w:name="_Toc290846302"/>
      <w:bookmarkStart w:id="253" w:name="_Toc390676233"/>
      <w:r w:rsidRPr="00900D64">
        <w:t>All adverse events (irrespective of relationship to study treatment)</w:t>
      </w:r>
      <w:bookmarkEnd w:id="249"/>
      <w:bookmarkEnd w:id="250"/>
      <w:bookmarkEnd w:id="251"/>
      <w:bookmarkEnd w:id="252"/>
      <w:bookmarkEnd w:id="253"/>
    </w:p>
    <w:p w:rsidR="00900D64" w:rsidRPr="00900D64" w:rsidRDefault="00900D64" w:rsidP="00900D64">
      <w:r w:rsidRPr="00900D64">
        <w:t>As previo</w:t>
      </w:r>
      <w:r>
        <w:t>usly detailed;</w:t>
      </w:r>
      <w:r w:rsidR="00E91060">
        <w:t xml:space="preserve"> ’</w:t>
      </w:r>
      <w:r w:rsidRPr="00900D64">
        <w:t>no pivotal study was submitted in support of the proposed usage. The majority of studies within this application provided limited relevant evidence. Thus, the majority of the safety data from these studies also p</w:t>
      </w:r>
      <w:r>
        <w:t>rovide limited relevant data.</w:t>
      </w:r>
      <w:r w:rsidR="00E91060">
        <w:t>’</w:t>
      </w:r>
    </w:p>
    <w:p w:rsidR="00900D64" w:rsidRPr="00900D64" w:rsidRDefault="00900D64" w:rsidP="00900D64">
      <w:r w:rsidRPr="00900D64">
        <w:t>Safety review of the submitted studies has identified a number of uncertainties regarding the accuracy of the source safety data and subsequent analyses from these sources. Overall, the uncertainties regarding the safety data for all studies refer to;</w:t>
      </w:r>
    </w:p>
    <w:p w:rsidR="00900D64" w:rsidRPr="00900D64" w:rsidRDefault="00900D64" w:rsidP="00FE2511">
      <w:pPr>
        <w:pStyle w:val="Numberbullet0"/>
        <w:numPr>
          <w:ilvl w:val="0"/>
          <w:numId w:val="11"/>
        </w:numPr>
      </w:pPr>
      <w:r w:rsidRPr="00900D64">
        <w:t>The appropriate documentation of AEs</w:t>
      </w:r>
    </w:p>
    <w:p w:rsidR="00900D64" w:rsidRPr="00900D64" w:rsidRDefault="00900D64" w:rsidP="00FE2511">
      <w:pPr>
        <w:pStyle w:val="Numberbullet0"/>
        <w:numPr>
          <w:ilvl w:val="0"/>
          <w:numId w:val="11"/>
        </w:numPr>
      </w:pPr>
      <w:r w:rsidRPr="00900D64">
        <w:t>The grading of AEs</w:t>
      </w:r>
    </w:p>
    <w:p w:rsidR="00900D64" w:rsidRPr="00900D64" w:rsidRDefault="00900D64" w:rsidP="00FE2511">
      <w:pPr>
        <w:pStyle w:val="Numberbullet0"/>
        <w:numPr>
          <w:ilvl w:val="0"/>
          <w:numId w:val="11"/>
        </w:numPr>
      </w:pPr>
      <w:r w:rsidRPr="00900D64">
        <w:t>The allocation of causality for AEs</w:t>
      </w:r>
    </w:p>
    <w:p w:rsidR="00900D64" w:rsidRPr="00900D64" w:rsidRDefault="00900D64" w:rsidP="00FE2511">
      <w:pPr>
        <w:pStyle w:val="Numberbullet0"/>
        <w:numPr>
          <w:ilvl w:val="0"/>
          <w:numId w:val="11"/>
        </w:numPr>
      </w:pPr>
      <w:r w:rsidRPr="00900D64">
        <w:t>The summarised data is limited due to the two previous points and the text does not comprehensively summarise clinically meaningful information</w:t>
      </w:r>
    </w:p>
    <w:p w:rsidR="00900D64" w:rsidRPr="00900D64" w:rsidRDefault="00900D64" w:rsidP="00FE2511">
      <w:pPr>
        <w:pStyle w:val="Numberbullet0"/>
        <w:numPr>
          <w:ilvl w:val="0"/>
          <w:numId w:val="11"/>
        </w:numPr>
      </w:pPr>
      <w:r w:rsidRPr="00900D64">
        <w:t>The presentation of data appears to minimise the frequency of clinically meaningful safety data, through the use of MedDRA preferred terms which are highly specific (in comparison to considering higher level terms, collapsing terms or summating the data in a meaningful way)</w:t>
      </w:r>
    </w:p>
    <w:p w:rsidR="00900D64" w:rsidRPr="00900D64" w:rsidRDefault="00900D64" w:rsidP="00FE2511">
      <w:pPr>
        <w:pStyle w:val="Numberbullet0"/>
        <w:numPr>
          <w:ilvl w:val="0"/>
          <w:numId w:val="11"/>
        </w:numPr>
      </w:pPr>
      <w:r>
        <w:t>S</w:t>
      </w:r>
      <w:r w:rsidRPr="00900D64">
        <w:t>pecific pertinent examples of deficiencies include the apparent incorrect documentation of Grade 5 events (representation on tables, reporting, and allocation of causality), GI perforations, GI toxicity in general, hepatotoxicity, and a case of G4 optic neuritis (CA184078).</w:t>
      </w:r>
    </w:p>
    <w:p w:rsidR="00900D64" w:rsidRPr="00900D64" w:rsidRDefault="00900D64" w:rsidP="00900D64">
      <w:r w:rsidRPr="00900D64">
        <w:t xml:space="preserve">Thus as the accuracy of source data is uncertain, the accuracy of subsequent analyses are also uncertain. Resultantly, the </w:t>
      </w:r>
      <w:r w:rsidR="005F5E22">
        <w:t>sponsor</w:t>
      </w:r>
      <w:r w:rsidRPr="00900D64">
        <w:t xml:space="preserve"> has not adequately presented safety data in a manner that facilitated the</w:t>
      </w:r>
      <w:r w:rsidR="00121E5D">
        <w:t xml:space="preserve"> assessment of the drug safety. </w:t>
      </w:r>
      <w:r w:rsidRPr="00900D64">
        <w:t xml:space="preserve">Questions to the </w:t>
      </w:r>
      <w:r w:rsidR="005F5E22">
        <w:t>sponsor</w:t>
      </w:r>
      <w:r w:rsidRPr="00900D64">
        <w:t xml:space="preserve"> will focus on pertinent cases and those relevant to the proposed indication.</w:t>
      </w:r>
      <w:r w:rsidR="00C108F1">
        <w:t>’</w:t>
      </w:r>
    </w:p>
    <w:p w:rsidR="00900D64" w:rsidRPr="00900D64" w:rsidRDefault="00900D64" w:rsidP="00900D64">
      <w:r w:rsidRPr="00900D64">
        <w:t>The cases listed here do not represent an exhaustive collation of all noted discrepancies but serve to illustrate the issues discussed.</w:t>
      </w:r>
    </w:p>
    <w:p w:rsidR="00900D64" w:rsidRPr="00900D64" w:rsidRDefault="00900D64" w:rsidP="00900D64">
      <w:pPr>
        <w:pStyle w:val="Heading5"/>
      </w:pPr>
      <w:r w:rsidRPr="00900D64">
        <w:t>CA184024</w:t>
      </w:r>
    </w:p>
    <w:p w:rsidR="00900D64" w:rsidRPr="00900D64" w:rsidRDefault="00900D64" w:rsidP="00E91060">
      <w:pPr>
        <w:pStyle w:val="Heading6"/>
      </w:pPr>
      <w:r w:rsidRPr="00900D64">
        <w:t>AE classificatio</w:t>
      </w:r>
      <w:r w:rsidR="00E91060">
        <w:t>n on summary tables is unclear</w:t>
      </w:r>
    </w:p>
    <w:p w:rsidR="00900D64" w:rsidRPr="00E91060" w:rsidRDefault="00E91060" w:rsidP="00E91060">
      <w:pPr>
        <w:pStyle w:val="Heading7"/>
        <w:rPr>
          <w:sz w:val="20"/>
          <w:szCs w:val="20"/>
        </w:rPr>
      </w:pPr>
      <w:proofErr w:type="gramStart"/>
      <w:r w:rsidRPr="00E91060">
        <w:rPr>
          <w:sz w:val="20"/>
          <w:szCs w:val="20"/>
        </w:rPr>
        <w:t>Example 1.</w:t>
      </w:r>
      <w:proofErr w:type="gramEnd"/>
      <w:r w:rsidRPr="00E91060">
        <w:rPr>
          <w:sz w:val="20"/>
          <w:szCs w:val="20"/>
        </w:rPr>
        <w:t xml:space="preserve"> </w:t>
      </w:r>
      <w:r w:rsidR="00900D64" w:rsidRPr="00E91060">
        <w:rPr>
          <w:sz w:val="20"/>
          <w:szCs w:val="20"/>
        </w:rPr>
        <w:t>The frequency of liver r</w:t>
      </w:r>
      <w:r w:rsidR="00121E5D">
        <w:rPr>
          <w:sz w:val="20"/>
          <w:szCs w:val="20"/>
        </w:rPr>
        <w:t>elated irAEs cannot be verified</w:t>
      </w:r>
    </w:p>
    <w:p w:rsidR="00900D64" w:rsidRPr="00900D64" w:rsidRDefault="00900D64" w:rsidP="00900D64">
      <w:r w:rsidRPr="00900D64">
        <w:t xml:space="preserve">On manual inspection of the SAE narratives, there seems to be at least 17 Gr3/4 events of hepatitis which differs to that captured in the </w:t>
      </w:r>
      <w:r w:rsidR="00C108F1">
        <w:t>‘</w:t>
      </w:r>
      <w:r w:rsidRPr="00900D64">
        <w:t>hepatobiliary disorders</w:t>
      </w:r>
      <w:r w:rsidR="00C108F1">
        <w:t>’</w:t>
      </w:r>
      <w:r w:rsidRPr="00900D64">
        <w:t xml:space="preserve"> category </w:t>
      </w:r>
      <w:r w:rsidR="00121E5D">
        <w:t>(</w:t>
      </w:r>
      <w:r w:rsidR="00E91060">
        <w:t xml:space="preserve">provided in </w:t>
      </w:r>
      <w:r w:rsidRPr="00121E5D">
        <w:t>Table 8.5.2.2</w:t>
      </w:r>
      <w:r w:rsidR="00121E5D" w:rsidRPr="00121E5D">
        <w:t>)</w:t>
      </w:r>
      <w:r w:rsidRPr="00900D64">
        <w:t xml:space="preserve"> </w:t>
      </w:r>
      <w:r w:rsidR="00C108F1">
        <w:t>‘</w:t>
      </w:r>
      <w:r w:rsidRPr="00900D64">
        <w:t>Su</w:t>
      </w:r>
      <w:r w:rsidR="005531E1">
        <w:t xml:space="preserve">mmary of On-study Liver irAEs; </w:t>
      </w:r>
      <w:r w:rsidRPr="00900D64">
        <w:t>Treated Subjects</w:t>
      </w:r>
      <w:r w:rsidR="00C108F1">
        <w:t>’</w:t>
      </w:r>
      <w:r w:rsidRPr="00900D64">
        <w:t xml:space="preserve"> which indicates only 15 Gr 3/4 events. Manual identification of AEs is not likely to comprehensively capture all events. Below lists the patient identifier</w:t>
      </w:r>
      <w:r w:rsidR="00FE7676">
        <w:t xml:space="preserve"> (note the patient identifier has been redacted)</w:t>
      </w:r>
      <w:r w:rsidRPr="00900D64">
        <w:t xml:space="preserve"> for the G4 and G3 liver toxicity events manually identified from the narratives, with </w:t>
      </w:r>
      <w:r w:rsidR="00C108F1">
        <w:t>‘</w:t>
      </w:r>
      <w:r w:rsidRPr="00900D64">
        <w:t>yes</w:t>
      </w:r>
      <w:r w:rsidR="00C108F1">
        <w:t>’</w:t>
      </w:r>
      <w:r w:rsidRPr="00900D64">
        <w:t xml:space="preserve"> indicating that the investigator attributed causality to the study treatment;</w:t>
      </w:r>
    </w:p>
    <w:p w:rsidR="00900D64" w:rsidRPr="00900D64" w:rsidRDefault="00900D64" w:rsidP="00900D64">
      <w:r w:rsidRPr="00900D64">
        <w:t>Grade 4 hepatitis</w:t>
      </w:r>
      <w:r w:rsidR="001854AA">
        <w:t>:</w:t>
      </w:r>
    </w:p>
    <w:p w:rsidR="00900D64" w:rsidRPr="00900D64" w:rsidRDefault="00900D64" w:rsidP="00E91060">
      <w:pPr>
        <w:pStyle w:val="ListBullet"/>
      </w:pPr>
      <w:r w:rsidRPr="00900D64">
        <w:t>CA184024-</w:t>
      </w:r>
      <w:r w:rsidR="00FE7676">
        <w:t>[information redacted]</w:t>
      </w:r>
      <w:r w:rsidRPr="00900D64">
        <w:t xml:space="preserve"> 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lastRenderedPageBreak/>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 xml:space="preserve">investigator annotated </w:t>
      </w:r>
      <w:r w:rsidR="00C108F1">
        <w:t>‘</w:t>
      </w:r>
      <w:r w:rsidRPr="00900D64">
        <w:t>autoimmune event</w:t>
      </w:r>
      <w:r w:rsidR="00C108F1">
        <w:t>’</w:t>
      </w:r>
      <w:r w:rsidRPr="00900D64">
        <w:t xml:space="preserve"> not liver related; yes</w:t>
      </w:r>
    </w:p>
    <w:p w:rsidR="00900D64" w:rsidRPr="00900D64" w:rsidRDefault="00900D64" w:rsidP="00E91060">
      <w:pPr>
        <w:pStyle w:val="ListBullet"/>
      </w:pPr>
      <w:r w:rsidRPr="00900D64">
        <w:t>CA184024</w:t>
      </w:r>
      <w:r w:rsidR="00FE7676">
        <w:t>-</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E91060">
      <w:pPr>
        <w:pStyle w:val="ListBullet"/>
      </w:pPr>
      <w:r w:rsidRPr="00900D64">
        <w:t>CA184024-</w:t>
      </w:r>
      <w:r w:rsidR="00FE7676" w:rsidRPr="00FE7676">
        <w:t xml:space="preserve">[information redacted] </w:t>
      </w:r>
      <w:r w:rsidRPr="00900D64">
        <w:t>yes</w:t>
      </w:r>
    </w:p>
    <w:p w:rsidR="00900D64" w:rsidRPr="00900D64" w:rsidRDefault="00900D64" w:rsidP="00900D64">
      <w:r w:rsidRPr="00900D64">
        <w:t>Total G4 events = 11 episodes, +/- 1</w:t>
      </w:r>
    </w:p>
    <w:p w:rsidR="00900D64" w:rsidRPr="00900D64" w:rsidRDefault="00900D64" w:rsidP="00900D64">
      <w:r w:rsidRPr="00900D64">
        <w:t>G3 hepatitis</w:t>
      </w:r>
      <w:r w:rsidR="001854AA">
        <w:t>:</w:t>
      </w:r>
    </w:p>
    <w:p w:rsidR="00900D64" w:rsidRPr="00900D64" w:rsidRDefault="00900D64" w:rsidP="00E91060">
      <w:pPr>
        <w:pStyle w:val="ListBullet"/>
      </w:pPr>
      <w:r w:rsidRPr="00900D64">
        <w:t>CA184024</w:t>
      </w:r>
      <w:r w:rsidR="00B91C17">
        <w:t xml:space="preserve"> - </w:t>
      </w:r>
      <w:r w:rsidR="00B91C17" w:rsidRPr="00B91C17">
        <w:t xml:space="preserve">[information redacted] </w:t>
      </w:r>
      <w:r w:rsidRPr="00900D64">
        <w:t>no comment re: causality but listed as irAE</w:t>
      </w:r>
    </w:p>
    <w:p w:rsidR="00900D64" w:rsidRPr="00900D64" w:rsidRDefault="00900D64" w:rsidP="00E91060">
      <w:pPr>
        <w:pStyle w:val="ListBullet"/>
      </w:pPr>
      <w:r w:rsidRPr="00900D64">
        <w:t>CA184024</w:t>
      </w:r>
      <w:r w:rsidR="00B91C17">
        <w:t xml:space="preserve"> - </w:t>
      </w:r>
      <w:r w:rsidR="00B91C17" w:rsidRPr="00B91C17">
        <w:t xml:space="preserve">[information redacted] </w:t>
      </w:r>
      <w:r w:rsidRPr="00900D64">
        <w:t>yes</w:t>
      </w:r>
    </w:p>
    <w:p w:rsidR="00900D64" w:rsidRPr="00900D64" w:rsidRDefault="00900D64" w:rsidP="00E91060">
      <w:pPr>
        <w:pStyle w:val="ListBullet"/>
      </w:pPr>
      <w:r w:rsidRPr="00900D64">
        <w:t>CA184024</w:t>
      </w:r>
      <w:r w:rsidR="00B91C17">
        <w:t xml:space="preserve"> </w:t>
      </w:r>
      <w:r w:rsidRPr="00900D64">
        <w:t>-</w:t>
      </w:r>
      <w:r w:rsidR="00B91C17">
        <w:t xml:space="preserve"> </w:t>
      </w:r>
      <w:r w:rsidR="00B91C17" w:rsidRPr="00B91C17">
        <w:t xml:space="preserve">[information redacted] </w:t>
      </w:r>
      <w:r w:rsidRPr="00900D64">
        <w:t>no comment but listed as irAE</w:t>
      </w:r>
    </w:p>
    <w:p w:rsidR="00900D64" w:rsidRPr="00900D64" w:rsidRDefault="00900D64" w:rsidP="00E91060">
      <w:pPr>
        <w:pStyle w:val="ListBullet"/>
      </w:pPr>
      <w:r w:rsidRPr="00900D64">
        <w:t>CA184024</w:t>
      </w:r>
      <w:r w:rsidR="00B91C17">
        <w:t xml:space="preserve"> - </w:t>
      </w:r>
      <w:r w:rsidR="00B91C17" w:rsidRPr="00B91C17">
        <w:t xml:space="preserve">[information redacted] </w:t>
      </w:r>
      <w:r w:rsidRPr="00900D64">
        <w:t>yes</w:t>
      </w:r>
    </w:p>
    <w:p w:rsidR="00900D64" w:rsidRPr="00900D64" w:rsidRDefault="00900D64" w:rsidP="00E91060">
      <w:pPr>
        <w:pStyle w:val="ListBullet"/>
      </w:pPr>
      <w:r w:rsidRPr="00900D64">
        <w:t>CA184024</w:t>
      </w:r>
      <w:r w:rsidR="00B91C17">
        <w:t xml:space="preserve"> - </w:t>
      </w:r>
      <w:r w:rsidR="00B91C17" w:rsidRPr="00B91C17">
        <w:t xml:space="preserve">[information redacted] </w:t>
      </w:r>
      <w:r w:rsidRPr="00900D64">
        <w:t>yes</w:t>
      </w:r>
    </w:p>
    <w:p w:rsidR="00900D64" w:rsidRPr="00900D64" w:rsidRDefault="00900D64" w:rsidP="00E91060">
      <w:pPr>
        <w:pStyle w:val="ListBullet"/>
      </w:pPr>
      <w:r w:rsidRPr="00900D64">
        <w:t>CA184024</w:t>
      </w:r>
      <w:r w:rsidR="00B91C17">
        <w:t xml:space="preserve"> - </w:t>
      </w:r>
      <w:r w:rsidR="00B91C17" w:rsidRPr="00B91C17">
        <w:t xml:space="preserve">[information redacted] </w:t>
      </w:r>
      <w:r w:rsidRPr="00900D64">
        <w:t>yes</w:t>
      </w:r>
    </w:p>
    <w:p w:rsidR="00900D64" w:rsidRPr="00AC528F" w:rsidRDefault="00121E5D" w:rsidP="00900D64">
      <w:r>
        <w:t>Total G3 events = 6 cases.</w:t>
      </w:r>
    </w:p>
    <w:p w:rsidR="00900D64" w:rsidRPr="00AC528F" w:rsidRDefault="00900D64" w:rsidP="00900D64">
      <w:r w:rsidRPr="00AC528F">
        <w:t xml:space="preserve">The total is at least 17 G3/4 liver irAEs. This does not match up with </w:t>
      </w:r>
      <w:r w:rsidR="00E91060" w:rsidRPr="00AC528F">
        <w:t xml:space="preserve">the numbers in the </w:t>
      </w:r>
      <w:r w:rsidRPr="00121E5D">
        <w:t xml:space="preserve">Table </w:t>
      </w:r>
      <w:r w:rsidR="00B91C17" w:rsidRPr="00121E5D">
        <w:t>8.5.2.2</w:t>
      </w:r>
      <w:r w:rsidR="00B91C17">
        <w:t xml:space="preserve"> </w:t>
      </w:r>
      <w:r w:rsidRPr="00AC528F">
        <w:t xml:space="preserve">category </w:t>
      </w:r>
      <w:r w:rsidR="00C108F1" w:rsidRPr="00AC528F">
        <w:t>‘</w:t>
      </w:r>
      <w:r w:rsidRPr="00AC528F">
        <w:t>hepatobiliary disorders</w:t>
      </w:r>
      <w:r w:rsidR="00C108F1" w:rsidRPr="00AC528F">
        <w:t>’</w:t>
      </w:r>
      <w:r w:rsidRPr="00AC528F">
        <w:t xml:space="preserve"> where hepatitis is captured that appears to indicate a total of 15 Gr3/4 events.</w:t>
      </w:r>
    </w:p>
    <w:p w:rsidR="00900D64" w:rsidRPr="00AC528F" w:rsidRDefault="00900D64" w:rsidP="00436B2E">
      <w:pPr>
        <w:pStyle w:val="Heading7"/>
        <w:rPr>
          <w:sz w:val="20"/>
          <w:szCs w:val="20"/>
        </w:rPr>
      </w:pPr>
      <w:r w:rsidRPr="00AC528F">
        <w:rPr>
          <w:sz w:val="20"/>
          <w:szCs w:val="20"/>
        </w:rPr>
        <w:t>Example 2 – The frequency of GI toxicity is un</w:t>
      </w:r>
      <w:r w:rsidR="00121E5D">
        <w:rPr>
          <w:sz w:val="20"/>
          <w:szCs w:val="20"/>
        </w:rPr>
        <w:t>clear and apparently discordant</w:t>
      </w:r>
    </w:p>
    <w:p w:rsidR="00900D64" w:rsidRPr="00AC528F" w:rsidRDefault="00B91C17" w:rsidP="00B91C17">
      <w:pPr>
        <w:pStyle w:val="ListBullet"/>
      </w:pPr>
      <w:r>
        <w:t>In</w:t>
      </w:r>
      <w:r w:rsidR="00AC528F">
        <w:t xml:space="preserve"> </w:t>
      </w:r>
      <w:r w:rsidR="00900D64" w:rsidRPr="00AC528F">
        <w:t xml:space="preserve">Table S6.2 </w:t>
      </w:r>
      <w:r w:rsidR="00C108F1" w:rsidRPr="00AC528F">
        <w:t>‘</w:t>
      </w:r>
      <w:r w:rsidR="00900D64" w:rsidRPr="00AC528F">
        <w:t>Intens</w:t>
      </w:r>
      <w:r w:rsidR="00AC528F">
        <w:t>ity of On-Study Adverse Events;</w:t>
      </w:r>
      <w:r w:rsidR="00900D64" w:rsidRPr="00AC528F">
        <w:t xml:space="preserve"> 10 mg/kg </w:t>
      </w:r>
      <w:r w:rsidR="00AC528F">
        <w:t>+</w:t>
      </w:r>
      <w:r w:rsidR="00900D64" w:rsidRPr="00AC528F">
        <w:t xml:space="preserve"> </w:t>
      </w:r>
      <w:r w:rsidR="00851B52" w:rsidRPr="00AC528F">
        <w:t>dacarbazine</w:t>
      </w:r>
      <w:r w:rsidR="00900D64" w:rsidRPr="00AC528F">
        <w:t xml:space="preserve"> Treated Subjects</w:t>
      </w:r>
      <w:r w:rsidR="00C108F1" w:rsidRPr="00AC528F">
        <w:t>’</w:t>
      </w:r>
      <w:r w:rsidR="00900D64" w:rsidRPr="00AC528F">
        <w:t xml:space="preserve">, has one Gr1 </w:t>
      </w:r>
      <w:r w:rsidR="00C108F1" w:rsidRPr="00AC528F">
        <w:t>‘</w:t>
      </w:r>
      <w:r w:rsidR="00900D64" w:rsidRPr="00AC528F">
        <w:t>GI haemorrhage</w:t>
      </w:r>
      <w:r w:rsidR="00C108F1" w:rsidRPr="00AC528F">
        <w:t>’</w:t>
      </w:r>
      <w:r w:rsidR="00900D64" w:rsidRPr="00AC528F">
        <w:t xml:space="preserve"> event, but has </w:t>
      </w:r>
      <w:r w:rsidR="00AC528F">
        <w:t>s</w:t>
      </w:r>
      <w:r w:rsidR="0017606C" w:rsidRPr="00AC528F">
        <w:t>ep</w:t>
      </w:r>
      <w:r w:rsidR="00900D64" w:rsidRPr="00AC528F">
        <w:t xml:space="preserve">arately listed two Gr1 </w:t>
      </w:r>
      <w:r w:rsidR="00C108F1" w:rsidRPr="00AC528F">
        <w:t>‘</w:t>
      </w:r>
      <w:r w:rsidR="00900D64" w:rsidRPr="00AC528F">
        <w:t>rectal haemorrhage</w:t>
      </w:r>
      <w:r w:rsidR="00C108F1" w:rsidRPr="00AC528F">
        <w:t>’</w:t>
      </w:r>
      <w:r w:rsidR="00900D64" w:rsidRPr="00AC528F">
        <w:t xml:space="preserve">, one G4 </w:t>
      </w:r>
      <w:r w:rsidR="00C108F1" w:rsidRPr="00AC528F">
        <w:t>‘</w:t>
      </w:r>
      <w:r w:rsidR="00900D64" w:rsidRPr="00AC528F">
        <w:t>intestinal haemorrhage</w:t>
      </w:r>
      <w:r w:rsidR="00C108F1" w:rsidRPr="00AC528F">
        <w:t>’</w:t>
      </w:r>
      <w:r w:rsidR="00900D64" w:rsidRPr="00AC528F">
        <w:t xml:space="preserve"> and one Gr3 </w:t>
      </w:r>
      <w:r w:rsidR="00C108F1" w:rsidRPr="00AC528F">
        <w:t>‘</w:t>
      </w:r>
      <w:r w:rsidR="00900D64" w:rsidRPr="00AC528F">
        <w:t>large intestinal haemorrhage</w:t>
      </w:r>
      <w:r w:rsidR="00C108F1" w:rsidRPr="00AC528F">
        <w:t>’</w:t>
      </w:r>
      <w:r w:rsidR="00900D64" w:rsidRPr="00AC528F">
        <w:t xml:space="preserve">. Under vascular disorders there is one listing of one Gr2 </w:t>
      </w:r>
      <w:r w:rsidR="00C108F1" w:rsidRPr="00AC528F">
        <w:t>‘</w:t>
      </w:r>
      <w:r w:rsidR="00900D64" w:rsidRPr="00AC528F">
        <w:t>haemorrhage</w:t>
      </w:r>
      <w:r w:rsidR="00C108F1" w:rsidRPr="00AC528F">
        <w:t>’</w:t>
      </w:r>
      <w:r w:rsidR="00900D64" w:rsidRPr="00AC528F">
        <w:t xml:space="preserve"> not otherwise specified.</w:t>
      </w:r>
    </w:p>
    <w:p w:rsidR="00900D64" w:rsidRPr="00AC528F" w:rsidRDefault="00AC528F" w:rsidP="00B91C17">
      <w:pPr>
        <w:pStyle w:val="ListBullet"/>
      </w:pPr>
      <w:r w:rsidRPr="00AC528F">
        <w:t xml:space="preserve">In the </w:t>
      </w:r>
      <w:r w:rsidR="00900D64" w:rsidRPr="00AC528F">
        <w:t xml:space="preserve">Table S.6.5 </w:t>
      </w:r>
      <w:r w:rsidR="00C108F1" w:rsidRPr="00AC528F">
        <w:t>‘</w:t>
      </w:r>
      <w:r w:rsidR="00900D64" w:rsidRPr="00AC528F">
        <w:t>Intensity of O</w:t>
      </w:r>
      <w:r w:rsidRPr="00AC528F">
        <w:t>n-Study Serious Adverse Events;</w:t>
      </w:r>
      <w:r w:rsidR="00900D64" w:rsidRPr="00AC528F">
        <w:t xml:space="preserve"> 10 mg/kg + </w:t>
      </w:r>
      <w:r w:rsidR="00851B52" w:rsidRPr="00AC528F">
        <w:t>dacarbazine</w:t>
      </w:r>
      <w:r w:rsidR="00900D64" w:rsidRPr="00AC528F">
        <w:t xml:space="preserve"> Treated Subjects</w:t>
      </w:r>
      <w:r w:rsidR="00C108F1" w:rsidRPr="00AC528F">
        <w:t>’</w:t>
      </w:r>
      <w:r w:rsidR="00900D64" w:rsidRPr="00AC528F">
        <w:t xml:space="preserve"> lists one Gr3 large intestinal haemorrhage under gastrointestinal disorders.</w:t>
      </w:r>
    </w:p>
    <w:p w:rsidR="00900D64" w:rsidRPr="00AC528F" w:rsidRDefault="00900D64" w:rsidP="00B91C17">
      <w:pPr>
        <w:pStyle w:val="ListBullet"/>
      </w:pPr>
      <w:r w:rsidRPr="00AC528F">
        <w:t xml:space="preserve">However, inspection of Table S6.4.6 </w:t>
      </w:r>
      <w:r w:rsidR="00C108F1" w:rsidRPr="00AC528F">
        <w:t>‘</w:t>
      </w:r>
      <w:r w:rsidRPr="00AC528F">
        <w:t xml:space="preserve">Intensity of On-Study Serious Inflammatory </w:t>
      </w:r>
      <w:r w:rsidR="00AC528F">
        <w:t>Events regardless of causality;</w:t>
      </w:r>
      <w:r w:rsidRPr="00AC528F">
        <w:t xml:space="preserve"> 10 mg/kg + </w:t>
      </w:r>
      <w:r w:rsidR="00851B52" w:rsidRPr="00AC528F">
        <w:t>dacarbazine</w:t>
      </w:r>
      <w:r w:rsidRPr="00AC528F">
        <w:t xml:space="preserve"> Treated Subjects</w:t>
      </w:r>
      <w:r w:rsidR="00C108F1" w:rsidRPr="00AC528F">
        <w:t>’</w:t>
      </w:r>
      <w:r w:rsidRPr="00AC528F">
        <w:t xml:space="preserve"> lists only one event of Gr 3 </w:t>
      </w:r>
      <w:r w:rsidR="00C108F1" w:rsidRPr="00AC528F">
        <w:t>‘</w:t>
      </w:r>
      <w:r w:rsidRPr="00AC528F">
        <w:t>large intestinal haemorrhage</w:t>
      </w:r>
      <w:r w:rsidR="00C108F1" w:rsidRPr="00AC528F">
        <w:t>’</w:t>
      </w:r>
      <w:r w:rsidRPr="00AC528F">
        <w:t>.</w:t>
      </w:r>
    </w:p>
    <w:p w:rsidR="00900D64" w:rsidRPr="00AC528F" w:rsidRDefault="00AC528F" w:rsidP="00B91C17">
      <w:pPr>
        <w:pStyle w:val="ListBullet"/>
      </w:pPr>
      <w:r>
        <w:t xml:space="preserve">In </w:t>
      </w:r>
      <w:r w:rsidR="00900D64" w:rsidRPr="00AC528F">
        <w:t xml:space="preserve">Appendix 6.26 </w:t>
      </w:r>
      <w:r w:rsidR="00C108F1" w:rsidRPr="00AC528F">
        <w:t>‘</w:t>
      </w:r>
      <w:r w:rsidR="00900D64" w:rsidRPr="00AC528F">
        <w:t xml:space="preserve">Summary of On-Study Serious Inflammatory Events </w:t>
      </w:r>
      <w:r>
        <w:t>r</w:t>
      </w:r>
      <w:r w:rsidRPr="00AC528F">
        <w:t>egardless</w:t>
      </w:r>
      <w:r>
        <w:t xml:space="preserve"> of Causality;</w:t>
      </w:r>
      <w:r w:rsidR="00900D64" w:rsidRPr="00AC528F">
        <w:t xml:space="preserve"> Treated Subjects</w:t>
      </w:r>
      <w:r w:rsidR="00C108F1" w:rsidRPr="00AC528F">
        <w:t>’</w:t>
      </w:r>
      <w:r w:rsidR="00900D64" w:rsidRPr="00AC528F">
        <w:t xml:space="preserve"> lists one Gr3/4 large intestinal haemorrhage.</w:t>
      </w:r>
    </w:p>
    <w:p w:rsidR="00900D64" w:rsidRPr="00AC528F" w:rsidRDefault="00900D64" w:rsidP="00B91C17">
      <w:pPr>
        <w:pStyle w:val="ListBullet"/>
      </w:pPr>
      <w:r w:rsidRPr="00AC528F">
        <w:t xml:space="preserve">Appendix 6.42 </w:t>
      </w:r>
      <w:r w:rsidR="00C108F1" w:rsidRPr="00AC528F">
        <w:t>‘</w:t>
      </w:r>
      <w:r w:rsidRPr="00AC528F">
        <w:t>Summary o</w:t>
      </w:r>
      <w:r w:rsidR="00AC528F">
        <w:t>f On-Study Inflammatory Events r</w:t>
      </w:r>
      <w:r w:rsidRPr="00AC528F">
        <w:t>egardless</w:t>
      </w:r>
      <w:r w:rsidR="00AC528F">
        <w:t xml:space="preserve"> of Causality; </w:t>
      </w:r>
      <w:r w:rsidRPr="00AC528F">
        <w:t>Treated Subjects</w:t>
      </w:r>
      <w:r w:rsidR="00C108F1" w:rsidRPr="00AC528F">
        <w:t>’</w:t>
      </w:r>
      <w:r w:rsidRPr="00AC528F">
        <w:t xml:space="preserve"> reports similar findings to Table S6.2.</w:t>
      </w:r>
    </w:p>
    <w:p w:rsidR="00900D64" w:rsidRPr="00AC528F" w:rsidRDefault="00900D64" w:rsidP="00900D64">
      <w:r w:rsidRPr="00AC528F">
        <w:t xml:space="preserve">Whilst it is noted that the first table lists </w:t>
      </w:r>
      <w:r w:rsidR="00C108F1" w:rsidRPr="00AC528F">
        <w:t>‘</w:t>
      </w:r>
      <w:r w:rsidRPr="00AC528F">
        <w:t>AEs</w:t>
      </w:r>
      <w:r w:rsidR="00C108F1" w:rsidRPr="00AC528F">
        <w:t>’</w:t>
      </w:r>
      <w:r w:rsidRPr="00AC528F">
        <w:t xml:space="preserve"> and the latter two tables list </w:t>
      </w:r>
      <w:r w:rsidR="00C108F1" w:rsidRPr="00AC528F">
        <w:t>‘</w:t>
      </w:r>
      <w:r w:rsidRPr="00AC528F">
        <w:t>Serious</w:t>
      </w:r>
      <w:r w:rsidR="00C108F1" w:rsidRPr="00AC528F">
        <w:t>’</w:t>
      </w:r>
      <w:r w:rsidRPr="00AC528F">
        <w:t xml:space="preserve"> AEs, each table captures all grades of AEs and the reason for differences is unclear.</w:t>
      </w:r>
    </w:p>
    <w:p w:rsidR="00900D64" w:rsidRPr="00AC528F" w:rsidRDefault="00900D64" w:rsidP="00436B2E">
      <w:pPr>
        <w:pStyle w:val="Heading7"/>
        <w:rPr>
          <w:sz w:val="20"/>
          <w:szCs w:val="20"/>
        </w:rPr>
      </w:pPr>
      <w:r w:rsidRPr="00AC528F">
        <w:rPr>
          <w:sz w:val="20"/>
          <w:szCs w:val="20"/>
        </w:rPr>
        <w:lastRenderedPageBreak/>
        <w:t>Example 3 – the number of</w:t>
      </w:r>
      <w:r w:rsidR="00121E5D">
        <w:rPr>
          <w:sz w:val="20"/>
          <w:szCs w:val="20"/>
        </w:rPr>
        <w:t xml:space="preserve"> events of diarrhoea is unclear</w:t>
      </w:r>
    </w:p>
    <w:p w:rsidR="00900D64" w:rsidRPr="00AC528F" w:rsidRDefault="00900D64" w:rsidP="00900D64">
      <w:r w:rsidRPr="00AC528F">
        <w:t>The total number of Gr3/4 events of diarrhoea was reported for this study as 12. On manual inspection of the narratives (which will not comprehensively capture all events), the number of cases found is as follows;</w:t>
      </w:r>
    </w:p>
    <w:p w:rsidR="00900D64" w:rsidRPr="00AC528F" w:rsidRDefault="00900D64" w:rsidP="00900D64">
      <w:r w:rsidRPr="00AC528F">
        <w:t>G3/4 diarrhoea events listed (11 on manual inspection)</w:t>
      </w:r>
    </w:p>
    <w:p w:rsidR="00900D64" w:rsidRPr="00B91C17" w:rsidRDefault="00900D64" w:rsidP="00900D64">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 xml:space="preserve">[information redacted], </w:t>
      </w:r>
      <w:r w:rsidRPr="00B91C17">
        <w:t>CA184024-</w:t>
      </w:r>
      <w:r w:rsidR="00B91C17" w:rsidRPr="00B91C17">
        <w:t>[information redacted].</w:t>
      </w:r>
    </w:p>
    <w:p w:rsidR="00900D64" w:rsidRPr="00B91C17" w:rsidRDefault="00900D64" w:rsidP="00900D64">
      <w:r w:rsidRPr="00B91C17">
        <w:t>However, inspection of the narratives demonstrated the following questions that are listed below (with most being described in more details within this section from Case 10 onwards);</w:t>
      </w:r>
    </w:p>
    <w:p w:rsidR="00900D64" w:rsidRPr="00870756" w:rsidRDefault="00900D64" w:rsidP="00900D64">
      <w:pPr>
        <w:pStyle w:val="ListBullet"/>
      </w:pPr>
      <w:r w:rsidRPr="00870756">
        <w:t>CA184024-</w:t>
      </w:r>
      <w:r w:rsidR="00870756" w:rsidRPr="00870756">
        <w:t>[information redacted]</w:t>
      </w:r>
      <w:r w:rsidRPr="00870756">
        <w:t>: was graded as Gr2 but was hospitalised for the diarrhoea. Is this grading correct?</w:t>
      </w:r>
    </w:p>
    <w:p w:rsidR="00900D64" w:rsidRPr="00870756" w:rsidRDefault="00900D64" w:rsidP="00900D64">
      <w:pPr>
        <w:pStyle w:val="ListBullet"/>
      </w:pPr>
      <w:r w:rsidRPr="00C22CAE">
        <w:t>CA184024-</w:t>
      </w:r>
      <w:r w:rsidR="00870756" w:rsidRPr="00C22CAE">
        <w:t xml:space="preserve"> [information redacted</w:t>
      </w:r>
      <w:r w:rsidR="00870756" w:rsidRPr="00870756">
        <w:t xml:space="preserve">] </w:t>
      </w:r>
      <w:r w:rsidRPr="00870756">
        <w:t>This patient is reported within the narrative to have had diarrhoea up to 18 times per day but no event of diarrhoea is listed. Proctitis is listed, as an event but not as an imAR. This issue demonstrates the need for clarification of what is being consistently captured. (This case is discussed further below)</w:t>
      </w:r>
    </w:p>
    <w:p w:rsidR="00900D64" w:rsidRPr="00870756" w:rsidRDefault="00900D64" w:rsidP="00900D64">
      <w:pPr>
        <w:pStyle w:val="ListBullet"/>
      </w:pPr>
      <w:r w:rsidRPr="00870756">
        <w:t>CA184024-</w:t>
      </w:r>
      <w:r w:rsidR="00870756" w:rsidRPr="00870756">
        <w:t xml:space="preserve">[information redacted] </w:t>
      </w:r>
      <w:r w:rsidRPr="00870756">
        <w:t>had G3 proctocolitis documented in the summary list, but the narrative also includes G3 diarrhoea which is not listed.</w:t>
      </w:r>
    </w:p>
    <w:p w:rsidR="00900D64" w:rsidRPr="00870756" w:rsidRDefault="00900D64" w:rsidP="00900D64">
      <w:pPr>
        <w:pStyle w:val="ListBullet"/>
      </w:pPr>
      <w:r w:rsidRPr="00870756">
        <w:t>CA184024-</w:t>
      </w:r>
      <w:r w:rsidR="00870756" w:rsidRPr="00870756">
        <w:t xml:space="preserve">[information redacted] </w:t>
      </w:r>
      <w:r w:rsidRPr="00870756">
        <w:t>has both Gr 3 colitis and Gr3 diarrhoea described in the narrative but only Gr3 colitis is annotated. This patient is included above.</w:t>
      </w:r>
    </w:p>
    <w:p w:rsidR="00900D64" w:rsidRPr="00870756" w:rsidRDefault="00900D64" w:rsidP="00900D64">
      <w:pPr>
        <w:pStyle w:val="ListBullet"/>
      </w:pPr>
      <w:r w:rsidRPr="00870756">
        <w:t>CA184024-</w:t>
      </w:r>
      <w:r w:rsidR="00870756" w:rsidRPr="00870756">
        <w:t xml:space="preserve">[information redacted] </w:t>
      </w:r>
      <w:r w:rsidRPr="00870756">
        <w:t>was hospitalised for diarrhoea but had the event only graded as Gr2 (described below)</w:t>
      </w:r>
    </w:p>
    <w:p w:rsidR="00900D64" w:rsidRPr="00870756" w:rsidRDefault="00900D64" w:rsidP="00900D64">
      <w:pPr>
        <w:pStyle w:val="ListBullet"/>
      </w:pPr>
      <w:r w:rsidRPr="00870756">
        <w:t>CA184024-</w:t>
      </w:r>
      <w:r w:rsidR="00870756" w:rsidRPr="00870756">
        <w:t xml:space="preserve">[information redacted] </w:t>
      </w:r>
      <w:r w:rsidRPr="00870756">
        <w:t>was hospitalised for diarrhoea and colitis but grading does not reflect this</w:t>
      </w:r>
    </w:p>
    <w:p w:rsidR="00900D64" w:rsidRPr="00870756" w:rsidRDefault="00900D64" w:rsidP="00900D64">
      <w:pPr>
        <w:pStyle w:val="ListBullet"/>
      </w:pPr>
      <w:r w:rsidRPr="00870756">
        <w:t>CA184024-</w:t>
      </w:r>
      <w:r w:rsidR="00870756" w:rsidRPr="00870756">
        <w:t xml:space="preserve">[information redacted] </w:t>
      </w:r>
      <w:r w:rsidRPr="00870756">
        <w:t>was hospitalised for a two month history of diarrhoea but is not reflected as Gr3.</w:t>
      </w:r>
    </w:p>
    <w:p w:rsidR="00900D64" w:rsidRPr="00870756" w:rsidRDefault="00900D64" w:rsidP="00900D64">
      <w:r w:rsidRPr="00870756">
        <w:t>Thus, how many G3/4 events of diarrhoea occurred is not clear.</w:t>
      </w:r>
    </w:p>
    <w:p w:rsidR="0098018F" w:rsidRDefault="0098018F" w:rsidP="00900D64">
      <w:pPr>
        <w:pStyle w:val="Heading6"/>
      </w:pPr>
      <w:r>
        <w:t>The grading of AEs</w:t>
      </w:r>
    </w:p>
    <w:p w:rsidR="005B69DD" w:rsidRPr="005B69DD" w:rsidRDefault="005B69DD" w:rsidP="005B69DD">
      <w:r>
        <w:t xml:space="preserve">In this section to assist the reader the </w:t>
      </w:r>
      <w:proofErr w:type="gramStart"/>
      <w:r>
        <w:t>evaluators</w:t>
      </w:r>
      <w:proofErr w:type="gramEnd"/>
      <w:r>
        <w:t xml:space="preserve"> comments within the text are tialicised.</w:t>
      </w:r>
    </w:p>
    <w:p w:rsidR="00900D64" w:rsidRPr="00870756" w:rsidRDefault="0098018F" w:rsidP="0098018F">
      <w:r>
        <w:t xml:space="preserve">The grading of AEs </w:t>
      </w:r>
      <w:r w:rsidR="00900D64" w:rsidRPr="00870756">
        <w:t>annotations of AEs and attri</w:t>
      </w:r>
      <w:r w:rsidR="00121E5D">
        <w:t>bution of causality are unclear</w:t>
      </w:r>
      <w:r>
        <w:t>.</w:t>
      </w:r>
    </w:p>
    <w:p w:rsidR="00900D64" w:rsidRPr="00870756" w:rsidRDefault="005B69DD" w:rsidP="00870756">
      <w:pPr>
        <w:pStyle w:val="Numberbullet0"/>
        <w:numPr>
          <w:ilvl w:val="0"/>
          <w:numId w:val="24"/>
        </w:numPr>
      </w:pPr>
      <w:r w:rsidRPr="00D87C40">
        <w:rPr>
          <w:b/>
        </w:rPr>
        <w:t>Case 1</w:t>
      </w:r>
      <w:r>
        <w:t xml:space="preserve">: </w:t>
      </w:r>
      <w:r w:rsidR="00900D64" w:rsidRPr="00870756">
        <w:t>Causality of death is not reported as study drug related when it appears to be possible.</w:t>
      </w:r>
    </w:p>
    <w:p w:rsidR="00900D64" w:rsidRPr="005B69DD" w:rsidRDefault="00900D64" w:rsidP="00870756">
      <w:pPr>
        <w:ind w:left="425"/>
        <w:rPr>
          <w:i/>
        </w:rPr>
      </w:pPr>
      <w:r w:rsidRPr="005B69DD">
        <w:rPr>
          <w:i/>
        </w:rPr>
        <w:t>CA184024-</w:t>
      </w:r>
      <w:r w:rsidR="00870756" w:rsidRPr="005B69DD">
        <w:rPr>
          <w:i/>
        </w:rPr>
        <w:t xml:space="preserve">[information redacted] </w:t>
      </w:r>
      <w:r w:rsidRPr="005B69DD">
        <w:rPr>
          <w:i/>
        </w:rPr>
        <w:t>died within days of the first dose and causality was not attributed to the study drug, although it appears it may be related. The narrative describes G3 liver AEs on Day 2 as the only event preceding hospitalisation which could account for the sudden deterioration of the patient, as no other cause is identified. Given the rapid deterioration in LFTs within 1 day of dosing, possibility of study drug related de</w:t>
      </w:r>
      <w:r w:rsidR="00870756" w:rsidRPr="005B69DD">
        <w:rPr>
          <w:i/>
        </w:rPr>
        <w:t xml:space="preserve">ath here is highly suspicious. </w:t>
      </w:r>
      <w:r w:rsidRPr="005B69DD">
        <w:rPr>
          <w:i/>
        </w:rPr>
        <w:t xml:space="preserve">Can the </w:t>
      </w:r>
      <w:r w:rsidR="005F5E22" w:rsidRPr="005B69DD">
        <w:rPr>
          <w:i/>
        </w:rPr>
        <w:t>sponsor</w:t>
      </w:r>
      <w:r w:rsidRPr="005B69DD">
        <w:rPr>
          <w:i/>
        </w:rPr>
        <w:t xml:space="preserve"> please clarify this?</w:t>
      </w:r>
    </w:p>
    <w:p w:rsidR="00900D64" w:rsidRPr="005B69DD" w:rsidRDefault="00900D64" w:rsidP="00870756">
      <w:pPr>
        <w:ind w:left="425"/>
        <w:rPr>
          <w:i/>
        </w:rPr>
      </w:pPr>
      <w:r w:rsidRPr="005B69DD">
        <w:rPr>
          <w:i/>
        </w:rPr>
        <w:t xml:space="preserve">The renal dysfunction, altered mental state, hyperkalaemia and elevated ammonia were not captured as AEs. Can the </w:t>
      </w:r>
      <w:r w:rsidR="005F5E22" w:rsidRPr="005B69DD">
        <w:rPr>
          <w:i/>
        </w:rPr>
        <w:t>sponsor</w:t>
      </w:r>
      <w:r w:rsidRPr="005B69DD">
        <w:rPr>
          <w:i/>
        </w:rPr>
        <w:t xml:space="preserve"> please explain why? Were these events captured?</w:t>
      </w:r>
    </w:p>
    <w:p w:rsidR="00900D64" w:rsidRPr="00870756" w:rsidRDefault="00C108F1" w:rsidP="00870756">
      <w:pPr>
        <w:ind w:left="425"/>
      </w:pPr>
      <w:r w:rsidRPr="00870756">
        <w:t>‘</w:t>
      </w:r>
      <w:r w:rsidR="00900D64" w:rsidRPr="00870756">
        <w:t>General Medical History: Accidental shot right leg 1967, alcohol moderate use, smokes 20 cigarettes per week, nil other hepatotoxic meds.</w:t>
      </w:r>
    </w:p>
    <w:p w:rsidR="00900D64" w:rsidRPr="00870756" w:rsidRDefault="00900D64" w:rsidP="00870756">
      <w:pPr>
        <w:ind w:left="425"/>
      </w:pPr>
      <w:proofErr w:type="gramStart"/>
      <w:r w:rsidRPr="00870756">
        <w:lastRenderedPageBreak/>
        <w:t>ECOG PS 1.</w:t>
      </w:r>
      <w:proofErr w:type="gramEnd"/>
    </w:p>
    <w:p w:rsidR="00900D64" w:rsidRPr="00870756" w:rsidRDefault="00900D64" w:rsidP="00870756">
      <w:pPr>
        <w:ind w:left="425"/>
      </w:pPr>
      <w:r w:rsidRPr="00870756">
        <w:t>Event:</w:t>
      </w:r>
    </w:p>
    <w:p w:rsidR="00900D64" w:rsidRPr="00870756" w:rsidRDefault="00900D64" w:rsidP="00870756">
      <w:pPr>
        <w:pStyle w:val="ListBullet"/>
        <w:ind w:left="425"/>
      </w:pPr>
      <w:r w:rsidRPr="00870756">
        <w:t>Disease progression (Grade 5, not likely related, Day 7)</w:t>
      </w:r>
    </w:p>
    <w:p w:rsidR="00900D64" w:rsidRPr="00870756" w:rsidRDefault="00900D64" w:rsidP="00870756">
      <w:pPr>
        <w:ind w:left="425"/>
      </w:pPr>
      <w:proofErr w:type="gramStart"/>
      <w:r w:rsidRPr="00870756">
        <w:t>imAR</w:t>
      </w:r>
      <w:proofErr w:type="gramEnd"/>
      <w:r w:rsidRPr="00870756">
        <w:t>:</w:t>
      </w:r>
    </w:p>
    <w:p w:rsidR="00900D64" w:rsidRPr="00870756" w:rsidRDefault="00900D64" w:rsidP="00870756">
      <w:pPr>
        <w:pStyle w:val="ListBullet"/>
        <w:ind w:left="425"/>
      </w:pPr>
      <w:r w:rsidRPr="00870756">
        <w:t>Hepatitis (Earliest onset any Grade: Day 2, Worst Grade: 3)</w:t>
      </w:r>
    </w:p>
    <w:p w:rsidR="005B69DD" w:rsidRDefault="00900D64" w:rsidP="0098018F">
      <w:pPr>
        <w:ind w:left="425"/>
      </w:pPr>
      <w:proofErr w:type="gramStart"/>
      <w:r w:rsidRPr="00870756">
        <w:t>A baseline spiral CT, Day - 7, showed multiple liver lesions.</w:t>
      </w:r>
      <w:proofErr w:type="gramEnd"/>
    </w:p>
    <w:p w:rsidR="00900D64" w:rsidRPr="00870756" w:rsidRDefault="00870756" w:rsidP="0098018F">
      <w:pPr>
        <w:ind w:left="425"/>
      </w:pPr>
      <w:r>
        <w:t>On Day 2</w:t>
      </w:r>
      <w:r w:rsidR="00900D64" w:rsidRPr="00870756">
        <w:t xml:space="preserve"> of the study laboratory results sho</w:t>
      </w:r>
      <w:r w:rsidR="00866203">
        <w:t>wed an adverse event of alanine </w:t>
      </w:r>
      <w:r w:rsidR="00900D64" w:rsidRPr="00870756">
        <w:t>aminotransferase (ALT) increased (Grade 3) and aspartate aminotransfe</w:t>
      </w:r>
      <w:r w:rsidR="00866203">
        <w:t xml:space="preserve">rase (AST) increased (Grade 3). </w:t>
      </w:r>
      <w:r w:rsidR="00900D64" w:rsidRPr="00870756">
        <w:t>On Day 7, 6 days post</w:t>
      </w:r>
      <w:r w:rsidR="00866203">
        <w:t xml:space="preserve"> 1st dose of study therapy, the </w:t>
      </w:r>
      <w:r w:rsidR="00900D64" w:rsidRPr="00870756">
        <w:t>subject was hospital</w:t>
      </w:r>
      <w:r w:rsidR="00C91631" w:rsidRPr="00870756">
        <w:t>is</w:t>
      </w:r>
      <w:r w:rsidR="00866203">
        <w:t xml:space="preserve">ed for </w:t>
      </w:r>
      <w:r w:rsidR="00900D64" w:rsidRPr="00870756">
        <w:t xml:space="preserve">constitutional symptoms or deteriorating general condition. He developed </w:t>
      </w:r>
      <w:r w:rsidR="00866203">
        <w:t xml:space="preserve">worsening of symptoms after </w:t>
      </w:r>
      <w:r w:rsidR="00900D64" w:rsidRPr="00870756">
        <w:t>hospital</w:t>
      </w:r>
      <w:r w:rsidR="00C91631" w:rsidRPr="00870756">
        <w:t>is</w:t>
      </w:r>
      <w:r>
        <w:t xml:space="preserve">ation with an ECOG score of 3 to </w:t>
      </w:r>
      <w:r w:rsidR="00866203">
        <w:t xml:space="preserve">4 and </w:t>
      </w:r>
      <w:r w:rsidR="00900D64" w:rsidRPr="00870756">
        <w:t xml:space="preserve">increased liver enzymes. A microbiology </w:t>
      </w:r>
      <w:r w:rsidR="00866203">
        <w:t xml:space="preserve">test was </w:t>
      </w:r>
      <w:r w:rsidR="00900D64" w:rsidRPr="00870756">
        <w:t>performed on the same day was negative.</w:t>
      </w:r>
    </w:p>
    <w:p w:rsidR="00900D64" w:rsidRPr="00870756" w:rsidRDefault="00900D64" w:rsidP="00870756">
      <w:pPr>
        <w:ind w:left="425"/>
      </w:pPr>
      <w:r w:rsidRPr="00870756">
        <w:t>His general</w:t>
      </w:r>
      <w:r w:rsidR="00866203">
        <w:t xml:space="preserve"> condition deteriorated </w:t>
      </w:r>
      <w:r w:rsidRPr="00870756">
        <w:t>while hospital</w:t>
      </w:r>
      <w:r w:rsidR="00C91631" w:rsidRPr="00870756">
        <w:t>is</w:t>
      </w:r>
      <w:r w:rsidRPr="00870756">
        <w:t>ed but appear</w:t>
      </w:r>
      <w:r w:rsidR="00866203">
        <w:t xml:space="preserve">ed to be stable after analgesic </w:t>
      </w:r>
      <w:r w:rsidRPr="00870756">
        <w:t>adjustments. A slight fever was also noted. An elevated CRP (C-reactive prote</w:t>
      </w:r>
      <w:r w:rsidR="00866203">
        <w:t>in) to 400 mg/L (normal r</w:t>
      </w:r>
      <w:r w:rsidR="00870756">
        <w:t xml:space="preserve">ange 0 to </w:t>
      </w:r>
      <w:r w:rsidRPr="00870756">
        <w:t xml:space="preserve">10 mg/L) was also seen with no growth in blood culture. </w:t>
      </w:r>
      <w:r w:rsidR="00866203">
        <w:t xml:space="preserve">A chest X-ray showed right side </w:t>
      </w:r>
      <w:r w:rsidRPr="00870756">
        <w:t>pleural fluid without any indications of definite pneumonia. F</w:t>
      </w:r>
      <w:r w:rsidR="00866203">
        <w:t xml:space="preserve">urther, deterioration of kidney </w:t>
      </w:r>
      <w:r w:rsidRPr="00870756">
        <w:t>fu</w:t>
      </w:r>
      <w:r w:rsidR="00866203">
        <w:t xml:space="preserve">nction (creatinine level of 365 </w:t>
      </w:r>
      <w:r w:rsidR="00EE74EF" w:rsidRPr="00870756">
        <w:t>µ</w:t>
      </w:r>
      <w:r w:rsidR="00866203">
        <w:t>mol/L; baseline: 83 </w:t>
      </w:r>
      <w:r w:rsidR="00EE74EF" w:rsidRPr="00870756">
        <w:t>µ</w:t>
      </w:r>
      <w:r w:rsidRPr="00870756">
        <w:t>mol/L), increased</w:t>
      </w:r>
      <w:r w:rsidR="00866203">
        <w:t xml:space="preserve"> clouded mentality, </w:t>
      </w:r>
      <w:r w:rsidRPr="00870756">
        <w:t>hyperka</w:t>
      </w:r>
      <w:r w:rsidR="00870756">
        <w:t xml:space="preserve">laemia (7.6 mmol/L; normal: 4.1 to </w:t>
      </w:r>
      <w:r w:rsidRPr="00870756">
        <w:t>5 mmol/L, baseline: 4.6 mmo</w:t>
      </w:r>
      <w:r w:rsidR="00866203">
        <w:t xml:space="preserve">l/L), and elevated ammonia (120 </w:t>
      </w:r>
      <w:r w:rsidRPr="00870756">
        <w:t>unit not available) were also reported. He expired on Da</w:t>
      </w:r>
      <w:r w:rsidR="00866203">
        <w:t xml:space="preserve">y 11 due to disease progression </w:t>
      </w:r>
      <w:r w:rsidRPr="00870756">
        <w:t>lead</w:t>
      </w:r>
      <w:r w:rsidR="00866203">
        <w:t xml:space="preserve">ing to multi organ failure. The </w:t>
      </w:r>
      <w:r w:rsidRPr="00870756">
        <w:t>event of hepatitis was continuing a</w:t>
      </w:r>
      <w:r w:rsidR="00866203">
        <w:t xml:space="preserve">t the time of death. An autopsy </w:t>
      </w:r>
      <w:r w:rsidRPr="00870756">
        <w:t>was not performed.</w:t>
      </w:r>
    </w:p>
    <w:p w:rsidR="00900D64" w:rsidRPr="005B0BBF" w:rsidRDefault="00900D64" w:rsidP="005B0BBF">
      <w:pPr>
        <w:pStyle w:val="Numberbullet0"/>
      </w:pPr>
      <w:r w:rsidRPr="005B0BBF">
        <w:rPr>
          <w:b/>
        </w:rPr>
        <w:t>Case 2</w:t>
      </w:r>
      <w:r w:rsidRPr="005B0BBF">
        <w:t xml:space="preserve"> – Incomplete documentation of imAR events, unclear grading of AE, AEs in narrative not listed in a narrative containing clinically significant events.</w:t>
      </w:r>
    </w:p>
    <w:p w:rsidR="00900D64" w:rsidRPr="005B69DD" w:rsidRDefault="00900D64" w:rsidP="00DD14B0">
      <w:pPr>
        <w:ind w:left="425"/>
        <w:rPr>
          <w:i/>
        </w:rPr>
      </w:pPr>
      <w:r w:rsidRPr="005B69DD">
        <w:rPr>
          <w:i/>
        </w:rPr>
        <w:t>CA184024-</w:t>
      </w:r>
      <w:r w:rsidR="00870756" w:rsidRPr="005B69DD">
        <w:rPr>
          <w:i/>
        </w:rPr>
        <w:t>[information redacted]</w:t>
      </w:r>
      <w:r w:rsidRPr="005B69DD">
        <w:rPr>
          <w:i/>
        </w:rPr>
        <w:t>: imAR diarrhoea was documented as only Gr 2 despite repeated hospitalisation, repeated colonoscopy, recurrence of symptoms with weaning of corticosteroids, and requirement for TPN. Worst grade severity of diarrhoea has not been documented for a number of episodes correctly.</w:t>
      </w:r>
      <w:r w:rsidR="00DD14B0" w:rsidRPr="005B69DD">
        <w:rPr>
          <w:i/>
        </w:rPr>
        <w:t xml:space="preserve"> Hypokalaemia was not captured. </w:t>
      </w:r>
      <w:r w:rsidRPr="005B69DD">
        <w:rPr>
          <w:i/>
        </w:rPr>
        <w:t xml:space="preserve">Can the </w:t>
      </w:r>
      <w:r w:rsidR="005F5E22" w:rsidRPr="005B69DD">
        <w:rPr>
          <w:i/>
        </w:rPr>
        <w:t>sponsor</w:t>
      </w:r>
      <w:r w:rsidRPr="005B69DD">
        <w:rPr>
          <w:i/>
        </w:rPr>
        <w:t xml:space="preserve"> please explain these discrepancies?</w:t>
      </w:r>
    </w:p>
    <w:p w:rsidR="00900D64" w:rsidRPr="00DD14B0" w:rsidRDefault="005B69DD" w:rsidP="00DD14B0">
      <w:pPr>
        <w:ind w:left="425"/>
      </w:pPr>
      <w:r>
        <w:t>“</w:t>
      </w:r>
      <w:r w:rsidR="00900D64" w:rsidRPr="00DD14B0">
        <w:t>Event:</w:t>
      </w:r>
    </w:p>
    <w:p w:rsidR="00900D64" w:rsidRPr="00DD14B0" w:rsidRDefault="00900D64" w:rsidP="00DD14B0">
      <w:pPr>
        <w:pStyle w:val="ListBullet"/>
        <w:ind w:left="425"/>
      </w:pPr>
      <w:r w:rsidRPr="00DD14B0">
        <w:t>Diarrhoea (Grade 3, certainly related, Day 53)</w:t>
      </w:r>
    </w:p>
    <w:p w:rsidR="00900D64" w:rsidRPr="00DD14B0" w:rsidRDefault="00900D64" w:rsidP="00DD14B0">
      <w:pPr>
        <w:pStyle w:val="ListBullet"/>
        <w:ind w:left="425"/>
      </w:pPr>
      <w:r w:rsidRPr="00DD14B0">
        <w:t>Escherichia infection (Grade 3, possibly related, Day 53)</w:t>
      </w:r>
    </w:p>
    <w:p w:rsidR="00900D64" w:rsidRPr="00DD14B0" w:rsidRDefault="00900D64" w:rsidP="00DD14B0">
      <w:pPr>
        <w:pStyle w:val="ListBullet"/>
        <w:ind w:left="425"/>
      </w:pPr>
      <w:r w:rsidRPr="00DD14B0">
        <w:t>Colitis (Grade 2, certainly related, Day 55)</w:t>
      </w:r>
    </w:p>
    <w:p w:rsidR="00900D64" w:rsidRPr="00DD14B0" w:rsidRDefault="00900D64" w:rsidP="00DD14B0">
      <w:pPr>
        <w:pStyle w:val="ListBullet"/>
        <w:ind w:left="425"/>
      </w:pPr>
      <w:r w:rsidRPr="00DD14B0">
        <w:t>Diarrhoea (Grad</w:t>
      </w:r>
      <w:r w:rsidR="00866203">
        <w:t xml:space="preserve">e 2, certainly related, Day 67) </w:t>
      </w:r>
      <w:r w:rsidRPr="005B69DD">
        <w:rPr>
          <w:i/>
        </w:rPr>
        <w:t xml:space="preserve">but patient was hospitalised on </w:t>
      </w:r>
      <w:r w:rsidR="00AB442E" w:rsidRPr="005B69DD">
        <w:rPr>
          <w:i/>
        </w:rPr>
        <w:t>Day</w:t>
      </w:r>
      <w:r w:rsidRPr="005B69DD">
        <w:rPr>
          <w:i/>
        </w:rPr>
        <w:t xml:space="preserve"> 68 due to this and administered IV corticosteroids. Hospitalisation is G3.</w:t>
      </w:r>
    </w:p>
    <w:p w:rsidR="00900D64" w:rsidRPr="00DD14B0" w:rsidRDefault="00900D64" w:rsidP="00DD14B0">
      <w:pPr>
        <w:pStyle w:val="ListBullet"/>
        <w:ind w:left="425"/>
      </w:pPr>
      <w:r w:rsidRPr="00DD14B0">
        <w:t>Diarrhoea (Grad</w:t>
      </w:r>
      <w:r w:rsidR="00866203">
        <w:t xml:space="preserve">e 2, certainly related, Day 75) </w:t>
      </w:r>
      <w:r w:rsidRPr="005B69DD">
        <w:rPr>
          <w:i/>
        </w:rPr>
        <w:t>but patient was hospitalised, required a colonoscopy on Day 77</w:t>
      </w:r>
    </w:p>
    <w:p w:rsidR="00900D64" w:rsidRPr="00DD14B0" w:rsidRDefault="00900D64" w:rsidP="00DD14B0">
      <w:pPr>
        <w:pStyle w:val="ListBullet"/>
        <w:ind w:left="425"/>
      </w:pPr>
      <w:r w:rsidRPr="00DD14B0">
        <w:t>Diarrhoea (Grad</w:t>
      </w:r>
      <w:r w:rsidR="00866203">
        <w:t xml:space="preserve">e 3, certainly related, Day 85) </w:t>
      </w:r>
      <w:r w:rsidRPr="00866203">
        <w:rPr>
          <w:i/>
        </w:rPr>
        <w:t>due to tapering of the steroids diarrhoea reoccurred and the patient required IV corticosteroids (imAR incorrectly graded)</w:t>
      </w:r>
    </w:p>
    <w:p w:rsidR="00900D64" w:rsidRPr="00DD14B0" w:rsidRDefault="00900D64" w:rsidP="00DD14B0">
      <w:pPr>
        <w:pStyle w:val="ListBullet"/>
        <w:ind w:left="425"/>
      </w:pPr>
      <w:r w:rsidRPr="00DD14B0">
        <w:t>Diarrhoea (Grade</w:t>
      </w:r>
      <w:r w:rsidR="00866203">
        <w:t xml:space="preserve"> 1, certainly related, Day 100) </w:t>
      </w:r>
      <w:r w:rsidRPr="005B69DD">
        <w:rPr>
          <w:i/>
        </w:rPr>
        <w:t>again due to tapering of steroid, required hospitalisation and TPN, toxicity incorrectly graded.</w:t>
      </w:r>
    </w:p>
    <w:p w:rsidR="00900D64" w:rsidRPr="005B69DD" w:rsidRDefault="00900D64" w:rsidP="00DD14B0">
      <w:pPr>
        <w:pStyle w:val="ListBullet2"/>
        <w:ind w:left="867" w:hanging="357"/>
        <w:rPr>
          <w:i/>
        </w:rPr>
      </w:pPr>
      <w:r w:rsidRPr="005B69DD">
        <w:rPr>
          <w:i/>
        </w:rPr>
        <w:t>Not documented - Day 110 (08-</w:t>
      </w:r>
      <w:r w:rsidR="00866203">
        <w:rPr>
          <w:i/>
        </w:rPr>
        <w:t>October</w:t>
      </w:r>
      <w:r w:rsidRPr="005B69DD">
        <w:rPr>
          <w:i/>
        </w:rPr>
        <w:t>-2007), she had an increase in diarrhoea to eight times per day during the admission for the previous dot point which constitutes G3 diarrhoea at least. This required an increase in corticosteroid dosing and treatment with Infliximab.</w:t>
      </w:r>
    </w:p>
    <w:p w:rsidR="00900D64" w:rsidRPr="00DD14B0" w:rsidRDefault="00900D64" w:rsidP="00DD14B0">
      <w:pPr>
        <w:ind w:left="425"/>
      </w:pPr>
      <w:proofErr w:type="gramStart"/>
      <w:r w:rsidRPr="00DD14B0">
        <w:lastRenderedPageBreak/>
        <w:t>imAR</w:t>
      </w:r>
      <w:proofErr w:type="gramEnd"/>
      <w:r w:rsidRPr="00DD14B0">
        <w:t>:</w:t>
      </w:r>
    </w:p>
    <w:p w:rsidR="00900D64" w:rsidRPr="00DD14B0" w:rsidRDefault="00900D64" w:rsidP="00DD14B0">
      <w:pPr>
        <w:pStyle w:val="ListBullet"/>
        <w:ind w:left="425"/>
      </w:pPr>
      <w:r w:rsidRPr="00DD14B0">
        <w:t>Diarrhoea (Grad</w:t>
      </w:r>
      <w:r w:rsidR="005B69DD">
        <w:t>e 2</w:t>
      </w:r>
      <w:r w:rsidR="00866203">
        <w:t xml:space="preserve">, certainly related, Day 67); </w:t>
      </w:r>
      <w:r w:rsidR="00866203" w:rsidRPr="00866203">
        <w:rPr>
          <w:i/>
        </w:rPr>
        <w:t>t</w:t>
      </w:r>
      <w:r w:rsidRPr="00866203">
        <w:rPr>
          <w:i/>
        </w:rPr>
        <w:t>h</w:t>
      </w:r>
      <w:r w:rsidRPr="005B69DD">
        <w:rPr>
          <w:i/>
        </w:rPr>
        <w:t>is is incorrectly graded</w:t>
      </w:r>
      <w:r w:rsidRPr="00DD14B0">
        <w:t>.</w:t>
      </w:r>
    </w:p>
    <w:p w:rsidR="00900D64" w:rsidRPr="00DD14B0" w:rsidRDefault="00900D64" w:rsidP="00DD14B0">
      <w:pPr>
        <w:pStyle w:val="ListBullet"/>
        <w:ind w:left="425"/>
      </w:pPr>
      <w:r w:rsidRPr="00DD14B0">
        <w:t>Dermatitis (Grade 2, certainly related, Day 49)</w:t>
      </w:r>
    </w:p>
    <w:p w:rsidR="00900D64" w:rsidRPr="00DD14B0" w:rsidRDefault="00900D64" w:rsidP="00DD14B0">
      <w:pPr>
        <w:ind w:left="425"/>
      </w:pPr>
      <w:r w:rsidRPr="00DD14B0">
        <w:t>On Day 48, 5 days after the 3rd dose of study t</w:t>
      </w:r>
      <w:r w:rsidR="00866203">
        <w:t xml:space="preserve">herapy, the subject experienced </w:t>
      </w:r>
      <w:r w:rsidRPr="00DD14B0">
        <w:t>diarrhoea (Grade 1) consisting loose stool two to three time a day. She</w:t>
      </w:r>
      <w:r w:rsidR="00866203">
        <w:t xml:space="preserve"> received unknown treatment for </w:t>
      </w:r>
      <w:r w:rsidRPr="00DD14B0">
        <w:t xml:space="preserve">the event. On </w:t>
      </w:r>
      <w:r w:rsidR="00AB442E" w:rsidRPr="00DD14B0">
        <w:t>Day</w:t>
      </w:r>
      <w:r w:rsidRPr="00DD14B0">
        <w:t xml:space="preserve"> 49 the subject presented with grade 2 de</w:t>
      </w:r>
      <w:r w:rsidR="00866203">
        <w:t xml:space="preserve">rmatitis (investigator reported </w:t>
      </w:r>
      <w:r w:rsidRPr="00DD14B0">
        <w:t>term itching and rash). On the evening of Day 53, t</w:t>
      </w:r>
      <w:r w:rsidR="00866203">
        <w:t xml:space="preserve">he subject had four episodes of </w:t>
      </w:r>
      <w:r w:rsidRPr="00DD14B0">
        <w:t>diarrhoea and was diagnosed with Escherichia infection (Grade 3). The sev</w:t>
      </w:r>
      <w:r w:rsidR="00866203">
        <w:t xml:space="preserve">erity of diarrhoea increased to </w:t>
      </w:r>
      <w:r w:rsidRPr="00DD14B0">
        <w:t>Grade 3 on Day 53. On Day 54, she was hospital</w:t>
      </w:r>
      <w:r w:rsidR="00C91631" w:rsidRPr="00DD14B0">
        <w:t>is</w:t>
      </w:r>
      <w:r w:rsidRPr="00DD14B0">
        <w:t>ed due to diarrhoea and was treated</w:t>
      </w:r>
      <w:r w:rsidR="00866203">
        <w:t xml:space="preserve"> with hydration and </w:t>
      </w:r>
      <w:r w:rsidRPr="00DD14B0">
        <w:t>125 mg of methylprednisolone. Sh</w:t>
      </w:r>
      <w:r w:rsidR="00866203">
        <w:t xml:space="preserve">e was afebrile and there was no </w:t>
      </w:r>
      <w:r w:rsidRPr="00DD14B0">
        <w:t xml:space="preserve">blood in her stools. On Day 55, the dermatitis was downgraded to </w:t>
      </w:r>
      <w:r w:rsidR="00866203">
        <w:t xml:space="preserve">grade 1 and she was </w:t>
      </w:r>
      <w:r w:rsidRPr="00DD14B0">
        <w:t>diagnosed with colitis (Grade 2) by a colonoscopy procedure which revealed inflammatory</w:t>
      </w:r>
      <w:r w:rsidR="00866203">
        <w:t xml:space="preserve"> colitis with </w:t>
      </w:r>
      <w:r w:rsidRPr="00DD14B0">
        <w:t>marked colitis changes up to the 50 cm of descending colon. Stool cult</w:t>
      </w:r>
      <w:r w:rsidR="00866203">
        <w:t>ures done on were positive for C</w:t>
      </w:r>
      <w:r w:rsidRPr="00DD14B0">
        <w:t xml:space="preserve">lostridium difficile. She was diagnosed with </w:t>
      </w:r>
      <w:r w:rsidR="00866203">
        <w:t xml:space="preserve">Clostridium difficile infection </w:t>
      </w:r>
      <w:r w:rsidRPr="00DD14B0">
        <w:t>(Grade 3) and treated with metronidazole</w:t>
      </w:r>
      <w:r w:rsidR="005F5E22" w:rsidRPr="00DD14B0">
        <w:t xml:space="preserve">. </w:t>
      </w:r>
      <w:r w:rsidRPr="00DD14B0">
        <w:t xml:space="preserve">On Day 56, diarrhoea </w:t>
      </w:r>
      <w:r w:rsidR="00866203">
        <w:t xml:space="preserve">was still persisting, but </w:t>
      </w:r>
      <w:r w:rsidRPr="00DD14B0">
        <w:t xml:space="preserve">her bowel sounds were </w:t>
      </w:r>
      <w:r w:rsidR="00866203">
        <w:t xml:space="preserve">good and she remained afebrile. </w:t>
      </w:r>
      <w:r w:rsidRPr="00DD14B0">
        <w:t>She was also s</w:t>
      </w:r>
      <w:r w:rsidR="00866203">
        <w:t xml:space="preserve">tarted on intravenous steroids, </w:t>
      </w:r>
      <w:r w:rsidRPr="00DD14B0">
        <w:t>which subsequently switched over to oral steroids. On D</w:t>
      </w:r>
      <w:r w:rsidR="00866203">
        <w:t>ay 58, the events of diarrhoea, Escherichia infection and C</w:t>
      </w:r>
      <w:r w:rsidRPr="00DD14B0">
        <w:t>lostridium difficile infection were consi</w:t>
      </w:r>
      <w:r w:rsidR="00866203">
        <w:t xml:space="preserve">dered as resolved. The event of </w:t>
      </w:r>
      <w:r w:rsidRPr="00DD14B0">
        <w:t>colitis and der</w:t>
      </w:r>
      <w:r w:rsidR="00DD14B0">
        <w:t>matitis both resolved on Day 62.</w:t>
      </w:r>
    </w:p>
    <w:p w:rsidR="00900D64" w:rsidRPr="00DD14B0" w:rsidRDefault="00DD14B0" w:rsidP="00DD14B0">
      <w:pPr>
        <w:ind w:left="425"/>
      </w:pPr>
      <w:r>
        <w:t>On Day 67,</w:t>
      </w:r>
      <w:r w:rsidR="00900D64" w:rsidRPr="00DD14B0">
        <w:t xml:space="preserve"> she had again five episodes of </w:t>
      </w:r>
      <w:r w:rsidR="00866203">
        <w:t xml:space="preserve">diarrhoea (Grade 2). On Day 68, </w:t>
      </w:r>
      <w:r w:rsidR="00900D64" w:rsidRPr="00DD14B0">
        <w:t>she was hospital</w:t>
      </w:r>
      <w:r w:rsidR="00C91631" w:rsidRPr="00DD14B0">
        <w:t>is</w:t>
      </w:r>
      <w:r w:rsidR="00866203">
        <w:t xml:space="preserve">ed </w:t>
      </w:r>
      <w:r w:rsidR="00900D64" w:rsidRPr="00DD14B0">
        <w:t>with no pyrexia, no blood in stool, and not dehydrated. Treatment included methylprednisolone 125 mg QD intravenously. On Day 70, she was discharged from the hospital with Grade 1 diarrhoea; the event was reported to be resolved with sequelae on the same day. She was discharged with 80 mg prednisolone BID.</w:t>
      </w:r>
    </w:p>
    <w:p w:rsidR="00D46ABD" w:rsidRDefault="00900D64" w:rsidP="00D46ABD">
      <w:pPr>
        <w:ind w:left="425"/>
      </w:pPr>
      <w:r w:rsidRPr="00DD14B0">
        <w:t>On D</w:t>
      </w:r>
      <w:r w:rsidR="00D46ABD">
        <w:t xml:space="preserve">ay 75, she was </w:t>
      </w:r>
      <w:r w:rsidRPr="00DD14B0">
        <w:t>readmitte</w:t>
      </w:r>
      <w:r w:rsidR="00DD14B0">
        <w:t xml:space="preserve">d with diarrhoea (Grade 2) of 4 to </w:t>
      </w:r>
      <w:r w:rsidRPr="00DD14B0">
        <w:t>5 episodes daily, which required treatment with solumedrol (continuation 80</w:t>
      </w:r>
      <w:r w:rsidR="00DD14B0">
        <w:t xml:space="preserve"> mg prednisolone BID). </w:t>
      </w:r>
      <w:r w:rsidRPr="00DD14B0">
        <w:t>The recurrence of diarrhoea (Grade 2) was described as sometimes watery/firm. There was no blood in</w:t>
      </w:r>
      <w:r w:rsidR="00D46ABD">
        <w:t xml:space="preserve"> </w:t>
      </w:r>
      <w:r w:rsidRPr="00DD14B0">
        <w:t>the stool and her hydration status was goo</w:t>
      </w:r>
      <w:r w:rsidR="00DD14B0">
        <w:t>d. Laboratory results on Day 76</w:t>
      </w:r>
      <w:r w:rsidR="00D46ABD">
        <w:t xml:space="preserve"> showed </w:t>
      </w:r>
      <w:r w:rsidRPr="00DD14B0">
        <w:t>potassium level 2.6 mmol/L (base</w:t>
      </w:r>
      <w:r w:rsidR="00A057CA">
        <w:t xml:space="preserve">line 4.1; normal 3.5 to </w:t>
      </w:r>
      <w:r w:rsidRPr="00DD14B0">
        <w:t>5). A c</w:t>
      </w:r>
      <w:r w:rsidR="00D46ABD">
        <w:t xml:space="preserve">olonoscopy performed on Day </w:t>
      </w:r>
      <w:r w:rsidR="00A057CA">
        <w:t xml:space="preserve">77 </w:t>
      </w:r>
      <w:r w:rsidRPr="00DD14B0">
        <w:t>revealed that the intestinal mucosa was not fria</w:t>
      </w:r>
      <w:r w:rsidR="00D46ABD">
        <w:t xml:space="preserve">ble and did not bleed on touch, </w:t>
      </w:r>
      <w:r w:rsidR="00A057CA" w:rsidRPr="00DD14B0">
        <w:t>hyperaemia</w:t>
      </w:r>
      <w:r w:rsidRPr="00DD14B0">
        <w:t xml:space="preserve"> proximally with a good improvement </w:t>
      </w:r>
      <w:r w:rsidR="00912E7E" w:rsidRPr="00DD14B0">
        <w:t>and</w:t>
      </w:r>
      <w:r w:rsidRPr="00DD14B0">
        <w:t xml:space="preserve"> colitis was getting b</w:t>
      </w:r>
      <w:r w:rsidR="00D46ABD">
        <w:t xml:space="preserve">etter, which indicated a better </w:t>
      </w:r>
      <w:r w:rsidRPr="00DD14B0">
        <w:t>improvement from the previous colonoscopy done o</w:t>
      </w:r>
      <w:r w:rsidR="00D46ABD">
        <w:t xml:space="preserve">n Day 55. She was discharged on </w:t>
      </w:r>
      <w:r w:rsidRPr="00DD14B0">
        <w:t>Day 79, with prednisolone 8</w:t>
      </w:r>
      <w:r w:rsidR="00D46ABD">
        <w:t xml:space="preserve">0 mg BID tapering over a month. </w:t>
      </w:r>
      <w:r w:rsidRPr="00DD14B0">
        <w:t>Upon tapering of s</w:t>
      </w:r>
      <w:r w:rsidR="00D46ABD">
        <w:t>teroids, diarrhoea reoccurred. O</w:t>
      </w:r>
      <w:r w:rsidRPr="00DD14B0">
        <w:t>n Day 85, the subject again experie</w:t>
      </w:r>
      <w:r w:rsidR="00D46ABD">
        <w:t xml:space="preserve">nce diarrhoea (Grade 3) and her </w:t>
      </w:r>
      <w:r w:rsidRPr="00DD14B0">
        <w:t xml:space="preserve">potassium level was 3.1 mmol/L. She received </w:t>
      </w:r>
      <w:r w:rsidR="00A057CA" w:rsidRPr="00DD14B0">
        <w:t>methyl prednisone</w:t>
      </w:r>
      <w:r w:rsidR="00D46ABD">
        <w:t xml:space="preserve"> 125 mg intravenously. Since </w:t>
      </w:r>
      <w:r w:rsidRPr="00DD14B0">
        <w:t>Day 91, prednisolone therapy was reduced to 80 mg daily. On Da</w:t>
      </w:r>
      <w:r w:rsidR="00D46ABD">
        <w:t xml:space="preserve">y 92, </w:t>
      </w:r>
      <w:r w:rsidRPr="00DD14B0">
        <w:t>she was discharged with Grade 1 diarrhoea. After bein</w:t>
      </w:r>
      <w:r w:rsidR="00D46ABD">
        <w:t xml:space="preserve">g discharged from the hospital, she was tapering </w:t>
      </w:r>
      <w:r w:rsidRPr="00DD14B0">
        <w:t>off of prednisolone therapy from 80 mg daily to 60 mg daily. Subsequently, the diarrhoea increased from once daily to three times daily. On Day 100, she was hospital</w:t>
      </w:r>
      <w:r w:rsidR="00C91631" w:rsidRPr="00DD14B0">
        <w:t>is</w:t>
      </w:r>
      <w:r w:rsidRPr="00DD14B0">
        <w:t>ed again with Grade 1 diarrhoea. At tha</w:t>
      </w:r>
      <w:r w:rsidR="00D46ABD">
        <w:t xml:space="preserve">t time, she was treated through </w:t>
      </w:r>
      <w:r w:rsidRPr="00DD14B0">
        <w:t>total parenteral nutrition (TPN). After one week of TPN, her c</w:t>
      </w:r>
      <w:r w:rsidR="00D46ABD">
        <w:t xml:space="preserve">ondition remained unchanged. On </w:t>
      </w:r>
      <w:r w:rsidRPr="00DD14B0">
        <w:t xml:space="preserve">Day 110, she had an increase in diarrhoea to eight times. The prednisolone dose was increased to 80 mg/day on Day 111. A computed tomography (CT) and colonoscopy were performed on Day 113. The colonoscopy showed further improvement when compared to the last colonoscopy performed. Endoscopy description reported that there were slight changes over the entire colon, granulated mucosa but not </w:t>
      </w:r>
      <w:r w:rsidR="00A057CA" w:rsidRPr="00DD14B0">
        <w:t>haemorrhagic</w:t>
      </w:r>
      <w:r w:rsidRPr="00DD14B0">
        <w:t xml:space="preserve"> and no longer </w:t>
      </w:r>
      <w:r w:rsidR="00A057CA" w:rsidRPr="00DD14B0">
        <w:t>oedematous</w:t>
      </w:r>
      <w:r w:rsidRPr="00DD14B0">
        <w:t>. There were no ulcerations and no fibrin. There was continued haustration and fine capillary bed under granulations. She was started on budesonide and loperamide and had</w:t>
      </w:r>
      <w:r w:rsidR="00D46ABD">
        <w:t xml:space="preserve"> one dose of infliximab 280 mg. </w:t>
      </w:r>
      <w:r w:rsidRPr="00DD14B0">
        <w:t>She was discont</w:t>
      </w:r>
      <w:r w:rsidR="00A057CA">
        <w:t xml:space="preserve">inued from the study on Day 55 </w:t>
      </w:r>
      <w:r w:rsidRPr="00DD14B0">
        <w:t xml:space="preserve">due to </w:t>
      </w:r>
      <w:r w:rsidRPr="00DD14B0">
        <w:lastRenderedPageBreak/>
        <w:t>the events of diarrhoea, Escherichia infection and colitis. She was discharged from th</w:t>
      </w:r>
      <w:r w:rsidR="00A057CA">
        <w:t>e hospital on Day 114</w:t>
      </w:r>
      <w:r w:rsidRPr="00DD14B0">
        <w:t xml:space="preserve"> with diarrhoea (Grade 1). The</w:t>
      </w:r>
      <w:r w:rsidR="00A057CA">
        <w:t xml:space="preserve"> event of diarrhoea resolved on </w:t>
      </w:r>
      <w:r w:rsidR="00D46ABD">
        <w:t>Day 169.</w:t>
      </w:r>
    </w:p>
    <w:p w:rsidR="00900D64" w:rsidRPr="00DD14B0" w:rsidRDefault="00900D64" w:rsidP="00D46ABD">
      <w:pPr>
        <w:ind w:left="425"/>
      </w:pPr>
      <w:r w:rsidRPr="00DD14B0">
        <w:t xml:space="preserve">The investigator considered that the events of diarrhoea and colitis were certainly related and the event of Escherichia infection as possibly related to </w:t>
      </w:r>
      <w:r w:rsidR="00F22D76" w:rsidRPr="00DD14B0">
        <w:t>ipilimumab</w:t>
      </w:r>
      <w:r w:rsidRPr="00DD14B0">
        <w:t xml:space="preserve"> and </w:t>
      </w:r>
      <w:r w:rsidR="00851B52" w:rsidRPr="00DD14B0">
        <w:t>dacarbazine</w:t>
      </w:r>
      <w:r w:rsidRPr="00DD14B0">
        <w:t xml:space="preserve"> study therapy.</w:t>
      </w:r>
      <w:r w:rsidR="005B69DD">
        <w:t>”</w:t>
      </w:r>
    </w:p>
    <w:p w:rsidR="00900D64" w:rsidRPr="005B0BBF" w:rsidRDefault="00900D64" w:rsidP="005B0BBF">
      <w:pPr>
        <w:pStyle w:val="Numberbullet0"/>
      </w:pPr>
      <w:r w:rsidRPr="005B0BBF">
        <w:rPr>
          <w:b/>
        </w:rPr>
        <w:t>Case 3</w:t>
      </w:r>
      <w:r w:rsidRPr="005B0BBF">
        <w:t xml:space="preserve"> - grading of imARs are unclear for Gr4 elevated GGT.</w:t>
      </w:r>
    </w:p>
    <w:p w:rsidR="00900D64" w:rsidRPr="00D46ABD" w:rsidRDefault="00900D64" w:rsidP="00D87C40">
      <w:pPr>
        <w:ind w:left="454"/>
        <w:rPr>
          <w:i/>
        </w:rPr>
      </w:pPr>
      <w:r w:rsidRPr="00D46ABD">
        <w:rPr>
          <w:i/>
        </w:rPr>
        <w:t>CA184024-</w:t>
      </w:r>
      <w:r w:rsidR="00A057CA" w:rsidRPr="00D46ABD">
        <w:rPr>
          <w:i/>
        </w:rPr>
        <w:t>[information redacted]</w:t>
      </w:r>
      <w:r w:rsidRPr="00D46ABD">
        <w:rPr>
          <w:i/>
        </w:rPr>
        <w:t xml:space="preserve">, grade 4 GGT documented but the worst imAR annotated is G3. The imAR lists were only generated with G3 AST/ALT results. The </w:t>
      </w:r>
      <w:r w:rsidR="005F5E22" w:rsidRPr="00D46ABD">
        <w:rPr>
          <w:i/>
        </w:rPr>
        <w:t>sponsor</w:t>
      </w:r>
      <w:r w:rsidRPr="00D46ABD">
        <w:rPr>
          <w:i/>
        </w:rPr>
        <w:t xml:space="preserve"> does not clearly indicate where the rationale for the omission of elevated GGT for imARs was defined.</w:t>
      </w:r>
    </w:p>
    <w:p w:rsidR="00900D64" w:rsidRPr="008E1D00" w:rsidRDefault="00C108F1" w:rsidP="00D87C40">
      <w:pPr>
        <w:ind w:left="454"/>
      </w:pPr>
      <w:r w:rsidRPr="008E1D00">
        <w:t>‘</w:t>
      </w:r>
      <w:r w:rsidR="00900D64" w:rsidRPr="008E1D00">
        <w:t>Event:</w:t>
      </w:r>
    </w:p>
    <w:p w:rsidR="00900D64" w:rsidRPr="008E1D00" w:rsidRDefault="00900D64" w:rsidP="00D87C40">
      <w:pPr>
        <w:pStyle w:val="ListBullet"/>
        <w:ind w:left="814"/>
      </w:pPr>
      <w:r w:rsidRPr="008E1D00">
        <w:t>Aspartate aminotransferase increased (Grade 3, not likely related, Day 66)</w:t>
      </w:r>
    </w:p>
    <w:p w:rsidR="00900D64" w:rsidRPr="008E1D00" w:rsidRDefault="00900D64" w:rsidP="00D87C40">
      <w:pPr>
        <w:pStyle w:val="ListBullet"/>
        <w:ind w:left="814"/>
      </w:pPr>
      <w:r w:rsidRPr="008E1D00">
        <w:t>Alanine aminotransferase increased (Grade 2, not likely related, Day 66)</w:t>
      </w:r>
    </w:p>
    <w:p w:rsidR="00900D64" w:rsidRPr="008E1D00" w:rsidRDefault="00900D64" w:rsidP="00D87C40">
      <w:pPr>
        <w:pStyle w:val="ListBullet"/>
        <w:ind w:left="814"/>
      </w:pPr>
      <w:r w:rsidRPr="008E1D00">
        <w:t>Gamma-glutamyl transferase increased (Grade 3, not likely related, Day 66)</w:t>
      </w:r>
    </w:p>
    <w:p w:rsidR="00900D64" w:rsidRPr="008E1D00" w:rsidRDefault="00900D64" w:rsidP="00D87C40">
      <w:pPr>
        <w:pStyle w:val="ListBullet"/>
        <w:ind w:left="814"/>
      </w:pPr>
      <w:r w:rsidRPr="008E1D00">
        <w:t>Alanine aminotransferase increased (Grade 1, not likely related, Day 70)</w:t>
      </w:r>
    </w:p>
    <w:p w:rsidR="00900D64" w:rsidRPr="008E1D00" w:rsidRDefault="00900D64" w:rsidP="00D87C40">
      <w:pPr>
        <w:pStyle w:val="ListBullet"/>
        <w:ind w:left="814"/>
      </w:pPr>
      <w:r w:rsidRPr="008E1D00">
        <w:t>Aspartate aminotransferase increased (Grade 1, not likely related, Day 80)</w:t>
      </w:r>
    </w:p>
    <w:p w:rsidR="00900D64" w:rsidRPr="008E1D00" w:rsidRDefault="00900D64" w:rsidP="00D87C40">
      <w:pPr>
        <w:pStyle w:val="ListBullet"/>
        <w:ind w:left="814"/>
      </w:pPr>
      <w:r w:rsidRPr="008E1D00">
        <w:t>Gamma-glutamyl transferase increased (Grade 4, not likely related, Day 80)</w:t>
      </w:r>
    </w:p>
    <w:p w:rsidR="00900D64" w:rsidRPr="008E1D00" w:rsidRDefault="00900D64" w:rsidP="00D87C40">
      <w:pPr>
        <w:ind w:left="814"/>
      </w:pPr>
      <w:proofErr w:type="gramStart"/>
      <w:r w:rsidRPr="008E1D00">
        <w:t>imAR</w:t>
      </w:r>
      <w:proofErr w:type="gramEnd"/>
      <w:r w:rsidRPr="008E1D00">
        <w:t>:</w:t>
      </w:r>
    </w:p>
    <w:p w:rsidR="00712559" w:rsidRDefault="00900D64" w:rsidP="00D46ABD">
      <w:pPr>
        <w:pStyle w:val="ListBullet"/>
        <w:ind w:left="811" w:hanging="357"/>
      </w:pPr>
      <w:r w:rsidRPr="00D87C40">
        <w:t xml:space="preserve">Hepatitis (Earliest onset any </w:t>
      </w:r>
      <w:r w:rsidR="00D46ABD">
        <w:t xml:space="preserve">Grade: Day 45, Worst Grade: 3) </w:t>
      </w:r>
      <w:r w:rsidRPr="00D46ABD">
        <w:t xml:space="preserve">Day 70 </w:t>
      </w:r>
      <w:r w:rsidR="00D87C40" w:rsidRPr="00D46ABD">
        <w:t>and Day 80</w:t>
      </w:r>
      <w:r w:rsidR="00D46ABD">
        <w:t xml:space="preserve"> respectively. (V</w:t>
      </w:r>
      <w:r w:rsidRPr="00D46ABD">
        <w:t>alues</w:t>
      </w:r>
      <w:r w:rsidR="00D87C40" w:rsidRPr="00D46ABD">
        <w:t xml:space="preserve"> were not available)</w:t>
      </w:r>
    </w:p>
    <w:p w:rsidR="00900D64" w:rsidRPr="00D46ABD" w:rsidRDefault="00D46ABD" w:rsidP="00D46ABD">
      <w:r>
        <w:t xml:space="preserve">On </w:t>
      </w:r>
      <w:r w:rsidR="00D87C40" w:rsidRPr="00D46ABD">
        <w:t>Day 80</w:t>
      </w:r>
      <w:r>
        <w:t xml:space="preserve">, </w:t>
      </w:r>
      <w:r w:rsidR="00900D64" w:rsidRPr="00D46ABD">
        <w:t>GGT level worsened to Grade 4 with a value of 1</w:t>
      </w:r>
      <w:r w:rsidR="00D87C40" w:rsidRPr="00D46ABD">
        <w:t>,</w:t>
      </w:r>
      <w:r w:rsidR="00900D64" w:rsidRPr="00D46ABD">
        <w:t>125 U/L. He was hospital</w:t>
      </w:r>
      <w:r w:rsidR="00C91631" w:rsidRPr="00D46ABD">
        <w:t>is</w:t>
      </w:r>
      <w:r>
        <w:t xml:space="preserve">ed </w:t>
      </w:r>
      <w:r w:rsidR="00900D64" w:rsidRPr="00D46ABD">
        <w:t>for treatment with IV prednisolone (dose not available) and furth</w:t>
      </w:r>
      <w:r>
        <w:t xml:space="preserve">er workup. On Day 92, </w:t>
      </w:r>
      <w:r w:rsidR="00900D64" w:rsidRPr="00D46ABD">
        <w:t>GGT was noted to be 1</w:t>
      </w:r>
      <w:r w:rsidR="00D87C40" w:rsidRPr="00D46ABD">
        <w:t>,</w:t>
      </w:r>
      <w:r w:rsidR="00900D64" w:rsidRPr="00D46ABD">
        <w:t xml:space="preserve">039 U/L (NR </w:t>
      </w:r>
      <w:r w:rsidR="00912E7E" w:rsidRPr="00D46ABD">
        <w:t xml:space="preserve">&lt; </w:t>
      </w:r>
      <w:r w:rsidR="00900D64" w:rsidRPr="00D46ABD">
        <w:t xml:space="preserve">55 </w:t>
      </w:r>
      <w:r w:rsidR="00D87C40" w:rsidRPr="00D46ABD">
        <w:t>U</w:t>
      </w:r>
      <w:r w:rsidR="00900D64" w:rsidRPr="00D46ABD">
        <w:t xml:space="preserve">/L). Disease progression with new brain </w:t>
      </w:r>
      <w:r>
        <w:t xml:space="preserve">and lung metastases </w:t>
      </w:r>
      <w:r w:rsidR="00D87C40" w:rsidRPr="00D46ABD">
        <w:t>was noted</w:t>
      </w:r>
      <w:r w:rsidR="00C108F1" w:rsidRPr="00D46ABD">
        <w:t>’</w:t>
      </w:r>
    </w:p>
    <w:p w:rsidR="00900D64" w:rsidRDefault="00900D64" w:rsidP="00D87C40">
      <w:pPr>
        <w:pStyle w:val="Numberbullet0"/>
      </w:pPr>
      <w:r w:rsidRPr="00D87C40">
        <w:rPr>
          <w:b/>
        </w:rPr>
        <w:t>Case 4</w:t>
      </w:r>
      <w:r w:rsidRPr="00D87C40">
        <w:t>- Inadequate details from investigator; possible study related AE resulting in death.</w:t>
      </w:r>
    </w:p>
    <w:p w:rsidR="00900D64" w:rsidRPr="00255ED1" w:rsidRDefault="00D46ABD" w:rsidP="00900D64">
      <w:r w:rsidRPr="00D46ABD">
        <w:t>CA184024--[information redacted]</w:t>
      </w:r>
      <w:r w:rsidR="00255ED1">
        <w:t xml:space="preserve"> </w:t>
      </w:r>
      <w:r w:rsidR="00900D64" w:rsidRPr="00D46ABD">
        <w:rPr>
          <w:i/>
        </w:rPr>
        <w:t>The subject developed renal failure and was hospitalised 13 days post study dose with no other causes identified for the development of renal failure and subsequent death. Was the renal failure potentially related to study treatment? How was the disease progression determined?</w:t>
      </w:r>
    </w:p>
    <w:p w:rsidR="00D46ABD" w:rsidRDefault="00C108F1" w:rsidP="00D87C40">
      <w:r w:rsidRPr="00D87C40">
        <w:t>‘</w:t>
      </w:r>
      <w:r w:rsidR="00900D64" w:rsidRPr="00D87C40">
        <w:t>Event:</w:t>
      </w:r>
    </w:p>
    <w:p w:rsidR="005B0BBF" w:rsidRDefault="005B0BBF" w:rsidP="005B0BBF">
      <w:pPr>
        <w:pStyle w:val="ListBullet"/>
      </w:pPr>
      <w:r>
        <w:t>r</w:t>
      </w:r>
      <w:r w:rsidR="00900D64" w:rsidRPr="00D87C40">
        <w:t>enal failure</w:t>
      </w:r>
      <w:r>
        <w:t xml:space="preserve"> (Grade 3, not related, Day 14)</w:t>
      </w:r>
    </w:p>
    <w:p w:rsidR="00900D64" w:rsidRPr="00D87C40" w:rsidRDefault="00D87C40" w:rsidP="005B0BBF">
      <w:pPr>
        <w:pStyle w:val="ListBullet"/>
      </w:pPr>
      <w:proofErr w:type="gramStart"/>
      <w:r>
        <w:t>r</w:t>
      </w:r>
      <w:r w:rsidR="00900D64" w:rsidRPr="00D87C40">
        <w:t>enal</w:t>
      </w:r>
      <w:proofErr w:type="gramEnd"/>
      <w:r w:rsidR="00900D64" w:rsidRPr="00D87C40">
        <w:t xml:space="preserve"> failure (Grade 5, not related, Day 18)</w:t>
      </w:r>
      <w:r w:rsidR="005B0BBF">
        <w:t>.</w:t>
      </w:r>
    </w:p>
    <w:p w:rsidR="00900D64" w:rsidRPr="00D87C40" w:rsidRDefault="00900D64" w:rsidP="00D87C40">
      <w:r w:rsidRPr="00D87C40">
        <w:t>On Day 14, 13 days post 1st dose of study thera</w:t>
      </w:r>
      <w:r w:rsidR="00D46ABD">
        <w:t xml:space="preserve">py, the subject developed renal </w:t>
      </w:r>
      <w:r w:rsidRPr="00D87C40">
        <w:t>failure (Grade 3) and was hospital</w:t>
      </w:r>
      <w:r w:rsidR="00C91631" w:rsidRPr="00D87C40">
        <w:t>is</w:t>
      </w:r>
      <w:r w:rsidR="00D46ABD">
        <w:t xml:space="preserve">ed. </w:t>
      </w:r>
      <w:r w:rsidRPr="00D87C40">
        <w:t>Laboratory tests performed on Day 15 showe</w:t>
      </w:r>
      <w:r w:rsidR="00D46ABD">
        <w:t xml:space="preserve">d </w:t>
      </w:r>
      <w:r w:rsidR="00D87C40">
        <w:t>urea 277.4 mg/dL (normal: 17 to</w:t>
      </w:r>
      <w:r w:rsidRPr="00D87C40">
        <w:t xml:space="preserve"> 43 mg/dL, ba</w:t>
      </w:r>
      <w:r w:rsidR="00D87C40">
        <w:t xml:space="preserve">seline: 7.5 mmol/L, normal: 2.1 to </w:t>
      </w:r>
      <w:r w:rsidRPr="00D87C40">
        <w:t>7.6 mmol/L), ur</w:t>
      </w:r>
      <w:r w:rsidR="00D46ABD">
        <w:t xml:space="preserve">ic acid </w:t>
      </w:r>
      <w:r w:rsidR="00D87C40">
        <w:t xml:space="preserve">14.7 mg/dL (normal: 3.2 to </w:t>
      </w:r>
      <w:r w:rsidRPr="00D87C40">
        <w:t>7.6 mg/dL, baseline: 5.3 mg/dL), cre</w:t>
      </w:r>
      <w:r w:rsidR="00D46ABD">
        <w:t xml:space="preserve">atinine 2.3 mg/dL (normal: </w:t>
      </w:r>
      <w:r w:rsidR="00D87C40">
        <w:t xml:space="preserve">0.72 to </w:t>
      </w:r>
      <w:r w:rsidRPr="00D87C40">
        <w:t>1.3 mg/dL, baseline: 1.19 mg/dL). He was treated with sodium c</w:t>
      </w:r>
      <w:r w:rsidR="00D46ABD">
        <w:t xml:space="preserve">hloride solution and 5% glucose </w:t>
      </w:r>
      <w:r w:rsidRPr="00D87C40">
        <w:t>solution, furosemide, allopurinol, bicarbonate, metoclopram</w:t>
      </w:r>
      <w:r w:rsidR="00D46ABD">
        <w:t xml:space="preserve">ide, morphine, and hydroxyzine. </w:t>
      </w:r>
      <w:r w:rsidRPr="00D87C40">
        <w:t>Laboratory tests on D</w:t>
      </w:r>
      <w:r w:rsidR="00D87C40">
        <w:t>ay 18</w:t>
      </w:r>
      <w:r w:rsidRPr="00D87C40">
        <w:t>, showed the following results: urea 392.2 mg/dL, uri</w:t>
      </w:r>
      <w:r w:rsidR="00D46ABD">
        <w:t xml:space="preserve">c acid </w:t>
      </w:r>
      <w:r w:rsidRPr="00D87C40">
        <w:t>13.1 mg/dL and creatinine 4.8 mg/dL. He died due to renal failure and disease pro</w:t>
      </w:r>
      <w:r w:rsidR="00D46ABD">
        <w:t xml:space="preserve">gression on </w:t>
      </w:r>
      <w:r w:rsidR="00D87C40">
        <w:t>Day 18</w:t>
      </w:r>
      <w:r w:rsidRPr="00D87C40">
        <w:t>. Auto</w:t>
      </w:r>
      <w:r w:rsidR="00D87C40">
        <w:t xml:space="preserve">psy details were not available. </w:t>
      </w:r>
      <w:r w:rsidRPr="00D87C40">
        <w:t xml:space="preserve">The investigator considered that the event of renal failure was not related to </w:t>
      </w:r>
      <w:r w:rsidR="00F22D76" w:rsidRPr="00D87C40">
        <w:t>ipilimumab</w:t>
      </w:r>
      <w:r w:rsidR="00D46ABD">
        <w:t xml:space="preserve"> and </w:t>
      </w:r>
      <w:r w:rsidR="00851B52" w:rsidRPr="00D87C40">
        <w:t>dacarbazine</w:t>
      </w:r>
      <w:r w:rsidRPr="00D87C40">
        <w:t xml:space="preserve"> study therapy.</w:t>
      </w:r>
      <w:r w:rsidR="00C108F1" w:rsidRPr="00D87C40">
        <w:t>’</w:t>
      </w:r>
    </w:p>
    <w:p w:rsidR="00900D64" w:rsidRPr="00D87C40" w:rsidRDefault="00900D64" w:rsidP="00D87C40">
      <w:pPr>
        <w:pStyle w:val="Numberbullet0"/>
      </w:pPr>
      <w:r w:rsidRPr="00D87C40">
        <w:rPr>
          <w:b/>
        </w:rPr>
        <w:t>Case 5</w:t>
      </w:r>
      <w:r w:rsidRPr="00D87C40">
        <w:t xml:space="preserve"> - Grade 4 event listed by investigator incorrectly. Was this missed as a Gr4 endocrine irAE?</w:t>
      </w:r>
    </w:p>
    <w:p w:rsidR="00900D64" w:rsidRPr="005B0BBF" w:rsidRDefault="00900D64" w:rsidP="00D87C40">
      <w:pPr>
        <w:rPr>
          <w:i/>
        </w:rPr>
      </w:pPr>
      <w:r w:rsidRPr="00D87C40">
        <w:lastRenderedPageBreak/>
        <w:t>CA184024-</w:t>
      </w:r>
      <w:r w:rsidR="00D87C40" w:rsidRPr="00D87C40">
        <w:t>-[information redacted]</w:t>
      </w:r>
      <w:r w:rsidR="005B0BBF">
        <w:t xml:space="preserve">: </w:t>
      </w:r>
      <w:r w:rsidRPr="005B0BBF">
        <w:rPr>
          <w:i/>
        </w:rPr>
        <w:t xml:space="preserve">no immune related endocrine AE listed although possible. Note is made that the investigator did not attribute causality. The Gr4 hypoglycaemic </w:t>
      </w:r>
      <w:r w:rsidR="00D87C40" w:rsidRPr="005B0BBF">
        <w:rPr>
          <w:i/>
        </w:rPr>
        <w:t>seizure</w:t>
      </w:r>
      <w:r w:rsidRPr="005B0BBF">
        <w:rPr>
          <w:i/>
        </w:rPr>
        <w:t xml:space="preserve"> occurred without history of diabetes or oral hypoglycaemic medications. The patient recovered with corticosteroids (and thyroxine replacement), and was subsequently confirmed to have subclinical hypothyroidism (low TSH but normal T3/T4). This hypoglycaemic event is highly suspicious for a study drug related autoimmune AE for which corticosteroid replacement was administered. No cortisol results were given by the investigator. What did the </w:t>
      </w:r>
      <w:r w:rsidR="005F5E22" w:rsidRPr="005B0BBF">
        <w:rPr>
          <w:i/>
        </w:rPr>
        <w:t>sponsor</w:t>
      </w:r>
      <w:r w:rsidRPr="005B0BBF">
        <w:rPr>
          <w:i/>
        </w:rPr>
        <w:t xml:space="preserve"> allocate as the cause of the Gr4 hypoglycemic seizure? Can the </w:t>
      </w:r>
      <w:r w:rsidR="005F5E22" w:rsidRPr="005B0BBF">
        <w:rPr>
          <w:i/>
        </w:rPr>
        <w:t>sponsor</w:t>
      </w:r>
      <w:r w:rsidRPr="005B0BBF">
        <w:rPr>
          <w:i/>
        </w:rPr>
        <w:t xml:space="preserve"> explain why the hypoglycemic event was not captured as an imAR? Was this because the investigator did not attribute the causality to the study drugs?</w:t>
      </w:r>
    </w:p>
    <w:p w:rsidR="00900D64" w:rsidRPr="00D87C40" w:rsidRDefault="00C108F1" w:rsidP="00D87C40">
      <w:r w:rsidRPr="00D87C40">
        <w:t>‘</w:t>
      </w:r>
      <w:r w:rsidR="00900D64" w:rsidRPr="00D87C40">
        <w:t>Event:</w:t>
      </w:r>
    </w:p>
    <w:p w:rsidR="00900D64" w:rsidRPr="00D87C40" w:rsidRDefault="00900D64" w:rsidP="00D87C40">
      <w:pPr>
        <w:pStyle w:val="ListBullet"/>
      </w:pPr>
      <w:r w:rsidRPr="00D87C40">
        <w:t>Cholelithiasis (Grade 2, not related, Day 64)</w:t>
      </w:r>
    </w:p>
    <w:p w:rsidR="00900D64" w:rsidRPr="00D87C40" w:rsidRDefault="00900D64" w:rsidP="00D87C40">
      <w:pPr>
        <w:pStyle w:val="ListBullet"/>
      </w:pPr>
      <w:r w:rsidRPr="00D87C40">
        <w:t>Hypoglycemic seizure (Grade 4, not likely related, Day 335)</w:t>
      </w:r>
    </w:p>
    <w:p w:rsidR="00900D64" w:rsidRPr="00D87C40" w:rsidRDefault="00900D64" w:rsidP="00D87C40">
      <w:pPr>
        <w:pStyle w:val="ListBullet"/>
      </w:pPr>
      <w:r w:rsidRPr="00D87C40">
        <w:t>Endocrine disorder (Grade 2, probably related, Day 353)</w:t>
      </w:r>
    </w:p>
    <w:p w:rsidR="00900D64" w:rsidRPr="00D87C40" w:rsidRDefault="00900D64" w:rsidP="00D87C40">
      <w:pPr>
        <w:pStyle w:val="ListBullet"/>
      </w:pPr>
      <w:r w:rsidRPr="00D87C40">
        <w:t>Endocrine disorder (Grade 1, probably related, Day 434)</w:t>
      </w:r>
    </w:p>
    <w:p w:rsidR="00900D64" w:rsidRPr="00D87C40" w:rsidRDefault="00900D64" w:rsidP="00D87C40">
      <w:pPr>
        <w:pStyle w:val="ListBullet"/>
      </w:pPr>
      <w:r w:rsidRPr="00D87C40">
        <w:t>Hypoglycemic event (Grade 4, not related, Day 789)</w:t>
      </w:r>
    </w:p>
    <w:p w:rsidR="00900D64" w:rsidRPr="00D87C40" w:rsidRDefault="00900D64" w:rsidP="00D87C40">
      <w:proofErr w:type="gramStart"/>
      <w:r w:rsidRPr="00D87C40">
        <w:t>imAR</w:t>
      </w:r>
      <w:proofErr w:type="gramEnd"/>
      <w:r w:rsidRPr="00D87C40">
        <w:t>:</w:t>
      </w:r>
    </w:p>
    <w:p w:rsidR="00900D64" w:rsidRPr="00D87C40" w:rsidRDefault="00900D64" w:rsidP="00D87C40">
      <w:pPr>
        <w:pStyle w:val="ListBullet"/>
      </w:pPr>
      <w:r w:rsidRPr="00D87C40">
        <w:t>Hepatitis (Earliest onset any Grade: Day 63, Worst Grade: 3)</w:t>
      </w:r>
    </w:p>
    <w:p w:rsidR="00900D64" w:rsidRPr="00D87C40" w:rsidRDefault="00900D64" w:rsidP="00D87C40">
      <w:pPr>
        <w:pStyle w:val="ListBullet"/>
      </w:pPr>
      <w:r w:rsidRPr="00D87C40">
        <w:t>Dermatitis (Grade 2, not related, Day 71)</w:t>
      </w:r>
    </w:p>
    <w:p w:rsidR="00900D64" w:rsidRPr="00D87C40" w:rsidRDefault="00D87C40" w:rsidP="00D87C40">
      <w:r>
        <w:t>On Day 335,</w:t>
      </w:r>
      <w:r w:rsidR="00900D64" w:rsidRPr="00D87C40">
        <w:t xml:space="preserve"> 82 days post 9th dose of study therapy, </w:t>
      </w:r>
      <w:r w:rsidR="005B0BBF">
        <w:t xml:space="preserve">the subject was admitted to the </w:t>
      </w:r>
      <w:r w:rsidR="00900D64" w:rsidRPr="00D87C40">
        <w:t xml:space="preserve">hospital with a </w:t>
      </w:r>
      <w:r w:rsidRPr="00D87C40">
        <w:t>hypoglycaemic</w:t>
      </w:r>
      <w:r w:rsidR="00900D64" w:rsidRPr="00D87C40">
        <w:t xml:space="preserve"> seizure (Grade 4). He was in a coma, and laboratory tests showed very</w:t>
      </w:r>
      <w:r w:rsidR="005B0BBF">
        <w:t xml:space="preserve"> </w:t>
      </w:r>
      <w:r w:rsidR="00900D64" w:rsidRPr="00D87C40">
        <w:t>low sodium and blood glucose levels (lab values not available). Intrav</w:t>
      </w:r>
      <w:r w:rsidR="005B0BBF">
        <w:t xml:space="preserve">enous fluids, levothyroxine and </w:t>
      </w:r>
      <w:r w:rsidR="00900D64" w:rsidRPr="00D87C40">
        <w:t>hydrocortisone were given as treatment for the event and study thera</w:t>
      </w:r>
      <w:r w:rsidR="005B0BBF">
        <w:t xml:space="preserve">py was interrupted. On </w:t>
      </w:r>
      <w:r>
        <w:t>Day 336</w:t>
      </w:r>
      <w:r w:rsidR="00900D64" w:rsidRPr="00D87C40">
        <w:t>, a magnetic resonance imaging of the brain showed evid</w:t>
      </w:r>
      <w:r w:rsidR="005B0BBF">
        <w:t xml:space="preserve">ence of prominent </w:t>
      </w:r>
      <w:r w:rsidR="00900D64" w:rsidRPr="00D87C40">
        <w:t>right maxillary sinusitis and right ethmoid sinusitis, no abnorma</w:t>
      </w:r>
      <w:r w:rsidR="00255ED1">
        <w:t xml:space="preserve">l post contrast enhancement, no </w:t>
      </w:r>
      <w:r w:rsidR="00900D64" w:rsidRPr="00D87C40">
        <w:t>suspicious space occupying lesions, no areas of demyelin</w:t>
      </w:r>
      <w:r w:rsidR="00255ED1">
        <w:t xml:space="preserve">ation and normal ventricles. On </w:t>
      </w:r>
      <w:r w:rsidR="00900D64" w:rsidRPr="00D87C40">
        <w:t xml:space="preserve">Day 337, </w:t>
      </w:r>
      <w:r w:rsidRPr="00D87C40">
        <w:t>hypoglycaemic</w:t>
      </w:r>
      <w:r w:rsidR="00900D64" w:rsidRPr="00D87C40">
        <w:t xml:space="preserve"> seizure resolved and he was discharged from the hospital. He had no relevant medical history of diabetes and was not on any diabetic medication. On Day 353, his rand</w:t>
      </w:r>
      <w:r w:rsidR="005B0BBF">
        <w:t xml:space="preserve">om glucose level was low </w:t>
      </w:r>
      <w:proofErr w:type="gramStart"/>
      <w:r w:rsidR="005B0BBF">
        <w:t xml:space="preserve">at 3.9 </w:t>
      </w:r>
      <w:r w:rsidR="00EE74EF" w:rsidRPr="00D87C40">
        <w:t>µ</w:t>
      </w:r>
      <w:r>
        <w:t>mol/L</w:t>
      </w:r>
      <w:proofErr w:type="gramEnd"/>
      <w:r>
        <w:t xml:space="preserve"> (normal: 4.1 to </w:t>
      </w:r>
      <w:r w:rsidR="00900D64" w:rsidRPr="00D87C40">
        <w:t xml:space="preserve">7.7 </w:t>
      </w:r>
      <w:r w:rsidR="00EE74EF" w:rsidRPr="00D87C40">
        <w:t>µ</w:t>
      </w:r>
      <w:r w:rsidR="00900D64" w:rsidRPr="00D87C40">
        <w:t xml:space="preserve">mol/L). On that same </w:t>
      </w:r>
      <w:r w:rsidR="00AB442E" w:rsidRPr="00D87C40">
        <w:t xml:space="preserve">day, </w:t>
      </w:r>
      <w:r w:rsidR="00900D64" w:rsidRPr="00D87C40">
        <w:t>100 days post 9th dose of the study therapy, the subject was diagnosed with endocrine disorder (Grade 2).</w:t>
      </w:r>
      <w:r w:rsidR="00C108F1" w:rsidRPr="00D87C40">
        <w:t>’</w:t>
      </w:r>
    </w:p>
    <w:p w:rsidR="00900D64" w:rsidRPr="00D87C40" w:rsidRDefault="00900D64" w:rsidP="00D87C40">
      <w:pPr>
        <w:pStyle w:val="Numberbullet0"/>
      </w:pPr>
      <w:r w:rsidRPr="00D87C40">
        <w:rPr>
          <w:b/>
        </w:rPr>
        <w:t>Case 6</w:t>
      </w:r>
      <w:r w:rsidRPr="00D87C40">
        <w:t xml:space="preserve"> - The summary narrative does not list a Gr4 irAE. Does this indicate it was accounted for?</w:t>
      </w:r>
    </w:p>
    <w:p w:rsidR="00900D64" w:rsidRPr="005B0BBF" w:rsidRDefault="00900D64" w:rsidP="00D87C40">
      <w:pPr>
        <w:rPr>
          <w:i/>
        </w:rPr>
      </w:pPr>
      <w:r w:rsidRPr="00D87C40">
        <w:t>CA184024</w:t>
      </w:r>
      <w:r w:rsidR="00D87C40" w:rsidRPr="00D87C40">
        <w:t>-[information redacted]</w:t>
      </w:r>
      <w:r w:rsidRPr="00D87C40">
        <w:t>: </w:t>
      </w:r>
      <w:r w:rsidRPr="005B0BBF">
        <w:rPr>
          <w:i/>
        </w:rPr>
        <w:t>Was the colitis listed as an imAR? It is not listed below as such but the narrative indicates that the reason for na</w:t>
      </w:r>
      <w:r w:rsidR="00255ED1">
        <w:rPr>
          <w:i/>
        </w:rPr>
        <w:t xml:space="preserve">rrative was for a serious irAE. </w:t>
      </w:r>
      <w:r w:rsidRPr="005B0BBF">
        <w:rPr>
          <w:i/>
        </w:rPr>
        <w:t>The listing only reads as:</w:t>
      </w:r>
    </w:p>
    <w:p w:rsidR="00900D64" w:rsidRPr="00D87C40" w:rsidRDefault="00C108F1" w:rsidP="00D87C40">
      <w:r w:rsidRPr="00D87C40">
        <w:t>‘</w:t>
      </w:r>
      <w:r w:rsidR="00900D64" w:rsidRPr="00D87C40">
        <w:t>Event:</w:t>
      </w:r>
    </w:p>
    <w:p w:rsidR="00900D64" w:rsidRPr="00D87C40" w:rsidRDefault="00900D64" w:rsidP="00D87C40">
      <w:pPr>
        <w:pStyle w:val="ListBullet"/>
      </w:pPr>
      <w:r w:rsidRPr="00D87C40">
        <w:t>Diarrhoea (Grade 1), probably related, Day 472)</w:t>
      </w:r>
    </w:p>
    <w:p w:rsidR="00900D64" w:rsidRPr="00D87C40" w:rsidRDefault="00900D64" w:rsidP="00D87C40">
      <w:pPr>
        <w:pStyle w:val="ListBullet"/>
      </w:pPr>
      <w:r w:rsidRPr="00D87C40">
        <w:t>Colitis (Grade 4, probably related, Day 482)</w:t>
      </w:r>
    </w:p>
    <w:p w:rsidR="00900D64" w:rsidRPr="00D87C40" w:rsidRDefault="00900D64" w:rsidP="00D87C40">
      <w:pPr>
        <w:pStyle w:val="ListBullet"/>
      </w:pPr>
      <w:r w:rsidRPr="00D87C40">
        <w:t>Diarrhoea (Grade 3, probably related, Day 482)</w:t>
      </w:r>
      <w:r w:rsidR="00C108F1" w:rsidRPr="00D87C40">
        <w:t>’</w:t>
      </w:r>
    </w:p>
    <w:p w:rsidR="00900D64" w:rsidRPr="005B0BBF" w:rsidRDefault="00900D64" w:rsidP="00D87C40">
      <w:pPr>
        <w:rPr>
          <w:i/>
        </w:rPr>
      </w:pPr>
      <w:r w:rsidRPr="005B0BBF">
        <w:rPr>
          <w:i/>
        </w:rPr>
        <w:t>(No imAR category listed.)</w:t>
      </w:r>
    </w:p>
    <w:p w:rsidR="00900D64" w:rsidRPr="00D87C40" w:rsidRDefault="00900D64" w:rsidP="00D87C40">
      <w:pPr>
        <w:pStyle w:val="Numberbullet0"/>
      </w:pPr>
      <w:r w:rsidRPr="00D87C40">
        <w:rPr>
          <w:b/>
        </w:rPr>
        <w:t>Case 7</w:t>
      </w:r>
      <w:r w:rsidRPr="00D87C40">
        <w:t xml:space="preserve"> - The investigator incorrectly annotates a Gr 4 AE/imAR. The sponsor annotates imAR appropriately. Are both events captured as listed? What was captured in the summary of imARs – both an </w:t>
      </w:r>
      <w:r w:rsidR="00C108F1" w:rsidRPr="00D87C40">
        <w:t>‘</w:t>
      </w:r>
      <w:r w:rsidRPr="00D87C40">
        <w:t>autoimmune disorder</w:t>
      </w:r>
      <w:r w:rsidR="00C108F1" w:rsidRPr="00D87C40">
        <w:t>’</w:t>
      </w:r>
      <w:r w:rsidRPr="00D87C40">
        <w:t xml:space="preserve"> and </w:t>
      </w:r>
      <w:r w:rsidR="00C108F1" w:rsidRPr="00D87C40">
        <w:t>‘</w:t>
      </w:r>
      <w:r w:rsidRPr="00D87C40">
        <w:t>hepatitis</w:t>
      </w:r>
      <w:r w:rsidR="00C108F1" w:rsidRPr="00D87C40">
        <w:t>’</w:t>
      </w:r>
      <w:r w:rsidRPr="00D87C40">
        <w:t>?</w:t>
      </w:r>
    </w:p>
    <w:p w:rsidR="00900D64" w:rsidRPr="00255ED1" w:rsidRDefault="00D87C40" w:rsidP="00D87C40">
      <w:pPr>
        <w:rPr>
          <w:i/>
        </w:rPr>
      </w:pPr>
      <w:r>
        <w:lastRenderedPageBreak/>
        <w:t>CA184024</w:t>
      </w:r>
      <w:r w:rsidRPr="00D87C40">
        <w:t>-[information redacted]</w:t>
      </w:r>
      <w:r w:rsidR="00255ED1">
        <w:t xml:space="preserve">: </w:t>
      </w:r>
      <w:r w:rsidR="00900D64" w:rsidRPr="00255ED1">
        <w:rPr>
          <w:i/>
        </w:rPr>
        <w:t xml:space="preserve">The investigator requested a SAE to be documented as an </w:t>
      </w:r>
      <w:r w:rsidR="00C108F1" w:rsidRPr="00255ED1">
        <w:rPr>
          <w:i/>
        </w:rPr>
        <w:t>‘</w:t>
      </w:r>
      <w:r w:rsidR="00900D64" w:rsidRPr="00255ED1">
        <w:rPr>
          <w:i/>
        </w:rPr>
        <w:t>autoimmune disorder</w:t>
      </w:r>
      <w:r w:rsidR="00C108F1" w:rsidRPr="00255ED1">
        <w:rPr>
          <w:i/>
        </w:rPr>
        <w:t>’</w:t>
      </w:r>
      <w:r w:rsidR="00900D64" w:rsidRPr="00255ED1">
        <w:rPr>
          <w:i/>
        </w:rPr>
        <w:t xml:space="preserve"> AE but is clearly </w:t>
      </w:r>
      <w:r w:rsidR="00C108F1" w:rsidRPr="00255ED1">
        <w:rPr>
          <w:i/>
        </w:rPr>
        <w:t>‘</w:t>
      </w:r>
      <w:r w:rsidR="00900D64" w:rsidRPr="00255ED1">
        <w:rPr>
          <w:i/>
        </w:rPr>
        <w:t>hepatitis</w:t>
      </w:r>
      <w:r w:rsidR="00C108F1" w:rsidRPr="00255ED1">
        <w:rPr>
          <w:i/>
        </w:rPr>
        <w:t>’</w:t>
      </w:r>
      <w:r w:rsidR="00255ED1" w:rsidRPr="00255ED1">
        <w:rPr>
          <w:i/>
        </w:rPr>
        <w:t xml:space="preserve">. </w:t>
      </w:r>
      <w:r w:rsidR="00900D64" w:rsidRPr="00255ED1">
        <w:rPr>
          <w:i/>
        </w:rPr>
        <w:t xml:space="preserve">There are no other endocrine events described to account for the </w:t>
      </w:r>
      <w:r w:rsidR="00C108F1" w:rsidRPr="00255ED1">
        <w:rPr>
          <w:i/>
        </w:rPr>
        <w:t>‘</w:t>
      </w:r>
      <w:r w:rsidR="00900D64" w:rsidRPr="00255ED1">
        <w:rPr>
          <w:i/>
        </w:rPr>
        <w:t>autoimmune disorder</w:t>
      </w:r>
      <w:r w:rsidR="00C108F1" w:rsidRPr="00255ED1">
        <w:rPr>
          <w:i/>
        </w:rPr>
        <w:t>’</w:t>
      </w:r>
      <w:r w:rsidR="00255ED1" w:rsidRPr="00255ED1">
        <w:rPr>
          <w:i/>
        </w:rPr>
        <w:t xml:space="preserve"> </w:t>
      </w:r>
      <w:r w:rsidR="00900D64" w:rsidRPr="00255ED1">
        <w:rPr>
          <w:i/>
        </w:rPr>
        <w:t xml:space="preserve">and the narrative states that hyperbilirubinemia and transaminitis are documented as the </w:t>
      </w:r>
      <w:r w:rsidR="00C108F1" w:rsidRPr="00255ED1">
        <w:rPr>
          <w:i/>
        </w:rPr>
        <w:t>‘</w:t>
      </w:r>
      <w:r w:rsidR="00900D64" w:rsidRPr="00255ED1">
        <w:rPr>
          <w:i/>
        </w:rPr>
        <w:t>endocrine</w:t>
      </w:r>
      <w:r w:rsidR="00C108F1" w:rsidRPr="00255ED1">
        <w:rPr>
          <w:i/>
        </w:rPr>
        <w:t>’</w:t>
      </w:r>
      <w:r w:rsidR="00900D64" w:rsidRPr="00255ED1">
        <w:rPr>
          <w:i/>
        </w:rPr>
        <w:t xml:space="preserve"> AE at the investigator’s request.</w:t>
      </w:r>
    </w:p>
    <w:p w:rsidR="00900D64" w:rsidRPr="00D87C40" w:rsidRDefault="00C108F1" w:rsidP="00D87C40">
      <w:r w:rsidRPr="00D87C40">
        <w:t>‘</w:t>
      </w:r>
      <w:r w:rsidR="00900D64" w:rsidRPr="00D87C40">
        <w:t>Event:</w:t>
      </w:r>
    </w:p>
    <w:p w:rsidR="00900D64" w:rsidRPr="00D87C40" w:rsidRDefault="00900D64" w:rsidP="00BB349D">
      <w:pPr>
        <w:pStyle w:val="ListBullet"/>
      </w:pPr>
      <w:r w:rsidRPr="00D87C40">
        <w:t>Hyperbilirubinemia (Grade 3, certainly related, Day 63)</w:t>
      </w:r>
    </w:p>
    <w:p w:rsidR="00900D64" w:rsidRPr="00D87C40" w:rsidRDefault="00900D64" w:rsidP="00BB349D">
      <w:pPr>
        <w:pStyle w:val="ListBullet"/>
      </w:pPr>
      <w:r w:rsidRPr="00D87C40">
        <w:t>Autoimmune Disorder (Grade 4, certainly related, Day 63)</w:t>
      </w:r>
    </w:p>
    <w:p w:rsidR="00900D64" w:rsidRPr="00D87C40" w:rsidRDefault="00900D64" w:rsidP="00BB349D">
      <w:pPr>
        <w:pStyle w:val="ListBullet"/>
      </w:pPr>
      <w:r w:rsidRPr="00D87C40">
        <w:t>Pain in extremity (Grade 4, Not related, Day 82)</w:t>
      </w:r>
    </w:p>
    <w:p w:rsidR="00900D64" w:rsidRPr="00D87C40" w:rsidRDefault="00900D64" w:rsidP="00BB349D">
      <w:pPr>
        <w:pStyle w:val="ListBullet"/>
      </w:pPr>
      <w:r w:rsidRPr="00D87C40">
        <w:t>Autoimmune Disorder (Recurrent) (Grade 3, certainly related, Day 118)</w:t>
      </w:r>
    </w:p>
    <w:p w:rsidR="00900D64" w:rsidRPr="00D87C40" w:rsidRDefault="00900D64" w:rsidP="00BB349D">
      <w:pPr>
        <w:pStyle w:val="ListBullet"/>
      </w:pPr>
      <w:r w:rsidRPr="00D87C40">
        <w:t>Alanine aminotransferase increased (Grade 4, certainly related, Day 126)</w:t>
      </w:r>
    </w:p>
    <w:p w:rsidR="00900D64" w:rsidRPr="00D87C40" w:rsidRDefault="00900D64" w:rsidP="00BB349D">
      <w:pPr>
        <w:pStyle w:val="ListBullet"/>
      </w:pPr>
      <w:r w:rsidRPr="00D87C40">
        <w:t>Alanine aminotransferase increased (Grade 2, certainly related, Day 133)</w:t>
      </w:r>
    </w:p>
    <w:p w:rsidR="00900D64" w:rsidRPr="00D87C40" w:rsidRDefault="00900D64" w:rsidP="00BB349D">
      <w:pPr>
        <w:pStyle w:val="ListBullet"/>
      </w:pPr>
      <w:r w:rsidRPr="00D87C40">
        <w:t>Alanine aminotransferase increased (Grade 1, certainly related, Day 140)</w:t>
      </w:r>
    </w:p>
    <w:p w:rsidR="00900D64" w:rsidRPr="00D87C40" w:rsidRDefault="00900D64" w:rsidP="00D87C40">
      <w:proofErr w:type="gramStart"/>
      <w:r w:rsidRPr="00D87C40">
        <w:t>imAR</w:t>
      </w:r>
      <w:proofErr w:type="gramEnd"/>
      <w:r w:rsidRPr="00D87C40">
        <w:t>:</w:t>
      </w:r>
    </w:p>
    <w:p w:rsidR="00900D64" w:rsidRPr="00D87C40" w:rsidRDefault="00900D64" w:rsidP="00BB349D">
      <w:pPr>
        <w:pStyle w:val="ListBullet"/>
      </w:pPr>
      <w:r w:rsidRPr="00D87C40">
        <w:t>Hepatitis (Earliest onset any Grade: Day 63, Worst Grade: 4)</w:t>
      </w:r>
    </w:p>
    <w:p w:rsidR="00900D64" w:rsidRPr="00D87C40" w:rsidRDefault="00900D64" w:rsidP="00D87C40">
      <w:pPr>
        <w:pStyle w:val="ListBullet"/>
      </w:pPr>
      <w:r w:rsidRPr="00D87C40">
        <w:t>Dermatitis (Grade 2, certainly related, Day 25)</w:t>
      </w:r>
      <w:r w:rsidR="00C108F1" w:rsidRPr="00D87C40">
        <w:t>’</w:t>
      </w:r>
    </w:p>
    <w:p w:rsidR="00900D64" w:rsidRPr="00D87C40" w:rsidRDefault="00900D64" w:rsidP="00BB349D">
      <w:pPr>
        <w:pStyle w:val="Numberbullet0"/>
      </w:pPr>
      <w:r w:rsidRPr="00255ED1">
        <w:rPr>
          <w:b/>
        </w:rPr>
        <w:t>Case 8</w:t>
      </w:r>
      <w:r w:rsidRPr="00D87C40">
        <w:t xml:space="preserve"> –Documentation of a potential GI perforation is unclear, as well as cause of GI haemorrhage that is captured on the same day as Gr4 enterocolitis.</w:t>
      </w:r>
    </w:p>
    <w:p w:rsidR="00900D64" w:rsidRPr="00255ED1" w:rsidRDefault="00900D64" w:rsidP="00D87C40">
      <w:pPr>
        <w:rPr>
          <w:i/>
        </w:rPr>
      </w:pPr>
      <w:r w:rsidRPr="00D87C40">
        <w:t>CA184024</w:t>
      </w:r>
      <w:r w:rsidR="00BB349D" w:rsidRPr="00BB349D">
        <w:t>-[information redacted]</w:t>
      </w:r>
      <w:r w:rsidR="00BB349D">
        <w:t xml:space="preserve"> </w:t>
      </w:r>
      <w:r w:rsidRPr="00255ED1">
        <w:rPr>
          <w:i/>
        </w:rPr>
        <w:t xml:space="preserve">was treated on the study arm. It is unclear from the narrative whether a perforated viscous was considered as a potential event as described within the narrative. No GI perforations were described for this study within the CSR. The patient is noted to have both grade 4 enterocolitis and the intestinal haemorrhage described on the same study day, although the investigator’s conclusion is noted. </w:t>
      </w:r>
      <w:r w:rsidR="00BB349D" w:rsidRPr="00255ED1">
        <w:rPr>
          <w:i/>
        </w:rPr>
        <w:t>Anaemia</w:t>
      </w:r>
      <w:r w:rsidRPr="00255ED1">
        <w:rPr>
          <w:i/>
        </w:rPr>
        <w:t xml:space="preserve"> is not captured. Did the patient have a perforation?</w:t>
      </w:r>
    </w:p>
    <w:p w:rsidR="00900D64" w:rsidRPr="00D87C40" w:rsidRDefault="00C108F1" w:rsidP="00D87C40">
      <w:r w:rsidRPr="00D87C40">
        <w:t>‘</w:t>
      </w:r>
      <w:r w:rsidR="00900D64" w:rsidRPr="00D87C40">
        <w:t>Event:</w:t>
      </w:r>
    </w:p>
    <w:p w:rsidR="00900D64" w:rsidRPr="00D87C40" w:rsidRDefault="00900D64" w:rsidP="00BB349D">
      <w:pPr>
        <w:pStyle w:val="ListBullet"/>
      </w:pPr>
      <w:r w:rsidRPr="00D87C40">
        <w:t>Abdominal pain (Grade 3, not likely related, Day 66)</w:t>
      </w:r>
    </w:p>
    <w:p w:rsidR="00900D64" w:rsidRPr="00D87C40" w:rsidRDefault="00900D64" w:rsidP="00BB349D">
      <w:pPr>
        <w:pStyle w:val="ListBullet"/>
      </w:pPr>
      <w:r w:rsidRPr="00D87C40">
        <w:t>Malaise (Grade 1, not likely related, Day 66)</w:t>
      </w:r>
    </w:p>
    <w:p w:rsidR="00900D64" w:rsidRPr="00D87C40" w:rsidRDefault="00900D64" w:rsidP="00BB349D">
      <w:pPr>
        <w:pStyle w:val="ListBullet"/>
      </w:pPr>
      <w:r w:rsidRPr="00D87C40">
        <w:t>Hepatitis (Grade 3, probably related, Day 66)</w:t>
      </w:r>
    </w:p>
    <w:p w:rsidR="00900D64" w:rsidRPr="00D87C40" w:rsidRDefault="00BB349D" w:rsidP="00BB349D">
      <w:pPr>
        <w:pStyle w:val="ListBullet"/>
      </w:pPr>
      <w:r>
        <w:t>I</w:t>
      </w:r>
      <w:r w:rsidR="00900D64" w:rsidRPr="00D87C40">
        <w:t>ntestinal haemorrhage (Grade 4, not likely related, Day 74)</w:t>
      </w:r>
    </w:p>
    <w:p w:rsidR="00900D64" w:rsidRPr="00D87C40" w:rsidRDefault="00900D64" w:rsidP="00D87C40">
      <w:proofErr w:type="gramStart"/>
      <w:r w:rsidRPr="00D87C40">
        <w:t>imAR</w:t>
      </w:r>
      <w:proofErr w:type="gramEnd"/>
      <w:r w:rsidRPr="00D87C40">
        <w:t>:</w:t>
      </w:r>
    </w:p>
    <w:p w:rsidR="00900D64" w:rsidRPr="00D87C40" w:rsidRDefault="00900D64" w:rsidP="00BB349D">
      <w:pPr>
        <w:pStyle w:val="ListBullet"/>
      </w:pPr>
      <w:r w:rsidRPr="00D87C40">
        <w:t>Hepatitis (Earliest onset any Grade: Day 46 , Worst Grade: 3)</w:t>
      </w:r>
    </w:p>
    <w:p w:rsidR="00900D64" w:rsidRPr="00D87C40" w:rsidRDefault="00900D64" w:rsidP="00BB349D">
      <w:pPr>
        <w:pStyle w:val="ListBullet"/>
      </w:pPr>
      <w:r w:rsidRPr="00D87C40">
        <w:t>Enterocolitis (Grade 4, not likely related, Day 74)</w:t>
      </w:r>
    </w:p>
    <w:p w:rsidR="00900D64" w:rsidRPr="00D87C40" w:rsidRDefault="00900D64" w:rsidP="00D87C40">
      <w:r w:rsidRPr="00D87C40">
        <w:t>He developed an autoimmune hepatitis that was controlled with corticosteroids. An ultrasound of the liver was performed and revealed no liver metastases. He was started on levocetirizi</w:t>
      </w:r>
      <w:r w:rsidR="00BB349D">
        <w:t xml:space="preserve">ne dihydrochloride from Day 60 </w:t>
      </w:r>
      <w:r w:rsidRPr="00D87C40">
        <w:t>to Day 74, methylprednisolone (dose not av</w:t>
      </w:r>
      <w:r w:rsidR="00BB349D">
        <w:t>ailable) on Day 68</w:t>
      </w:r>
      <w:r w:rsidRPr="00D87C40">
        <w:t>, which was switched over to prednisolone (dose not av</w:t>
      </w:r>
      <w:r w:rsidR="00BB349D">
        <w:t>ailable) on Day 73</w:t>
      </w:r>
      <w:r w:rsidRPr="00D87C40">
        <w:t>. Prednisolone was stopped on the same day. During the hospital admission, he developed acute abdominal symptoms which appeared to be based on bleeding in the peritoneal cavity, possibly as a result of a metastasis in combination with a perforation haemorrhage. The investigator stated that the abdominal bleeding could have been caused because of prolonged clotting times for which the subject was taking acenocoumarol.</w:t>
      </w:r>
    </w:p>
    <w:p w:rsidR="00900D64" w:rsidRPr="00D87C40" w:rsidRDefault="00900D64" w:rsidP="00D87C40">
      <w:r w:rsidRPr="00D87C40">
        <w:t>On Day 74, 28 days after the 3rd dose of study therapy, he was diagnosed with intestinal haemorrhage (Grade 4). The activated partial thromboplastin time</w:t>
      </w:r>
      <w:r w:rsidR="00BB349D">
        <w:t xml:space="preserve"> was 42 seconds (Normal </w:t>
      </w:r>
      <w:r w:rsidR="00BB349D">
        <w:lastRenderedPageBreak/>
        <w:t xml:space="preserve">Range 0 to </w:t>
      </w:r>
      <w:r w:rsidRPr="00D87C40">
        <w:t>40 seconds) and prothrombin time was 76 seconds (normal and baseline values are not available). His treatment included potassium chloride from Day 68</w:t>
      </w:r>
      <w:r w:rsidR="00BB349D">
        <w:t>, hydrocortisone from Day 75 to Day 78</w:t>
      </w:r>
      <w:r w:rsidRPr="00D87C40">
        <w:t xml:space="preserve">, and flucloxacillin </w:t>
      </w:r>
      <w:r w:rsidR="00BB349D">
        <w:t>sodium from Day 77 to Day 81</w:t>
      </w:r>
      <w:r w:rsidRPr="00D87C40">
        <w:t xml:space="preserve">. He also received prothrombin </w:t>
      </w:r>
      <w:r w:rsidR="00BB349D">
        <w:t>on Day 74</w:t>
      </w:r>
      <w:r w:rsidRPr="00D87C40">
        <w:t>, gentamici</w:t>
      </w:r>
      <w:r w:rsidR="00BB349D">
        <w:t>n sodium on Day 74</w:t>
      </w:r>
      <w:r w:rsidRPr="00D87C40">
        <w:t>, metro</w:t>
      </w:r>
      <w:r w:rsidR="00BB349D">
        <w:t>nidazole on Day 74</w:t>
      </w:r>
      <w:r w:rsidRPr="00D87C40">
        <w:t xml:space="preserve">, ceftriaxone </w:t>
      </w:r>
      <w:r w:rsidR="00BB349D">
        <w:t>sodium from Day 74 to Day 80</w:t>
      </w:r>
      <w:r w:rsidRPr="00D87C40">
        <w:t>, red blood</w:t>
      </w:r>
      <w:r w:rsidR="00BB349D">
        <w:t xml:space="preserve"> cells from Day 74</w:t>
      </w:r>
      <w:r w:rsidR="00E76D14">
        <w:t xml:space="preserve"> to Day 75</w:t>
      </w:r>
      <w:r w:rsidRPr="00D87C40">
        <w:t>, meperidine o</w:t>
      </w:r>
      <w:r w:rsidR="00E76D14">
        <w:t>n Day 74</w:t>
      </w:r>
      <w:r w:rsidRPr="00D87C40">
        <w:t>, plasma fres</w:t>
      </w:r>
      <w:r w:rsidR="00E76D14">
        <w:t>h frozen on Day 74</w:t>
      </w:r>
      <w:r w:rsidRPr="00D87C40">
        <w:t>, 10 mg prednis</w:t>
      </w:r>
      <w:r w:rsidR="00E76D14">
        <w:t>olone from Day 79 to Day 110</w:t>
      </w:r>
      <w:r w:rsidRPr="00D87C40">
        <w:t>,</w:t>
      </w:r>
      <w:r w:rsidR="00E76D14">
        <w:t xml:space="preserve"> </w:t>
      </w:r>
      <w:r w:rsidRPr="00D87C40">
        <w:t>and p</w:t>
      </w:r>
      <w:r w:rsidR="00E76D14">
        <w:t>hosphate on Day 81. On Day 75</w:t>
      </w:r>
      <w:r w:rsidRPr="00D87C40">
        <w:t xml:space="preserve">, explorative surgery took place find the extension and cause of the bleeding. During the explorative laparotomy, three liters of blood were removed and it appeared that the bleeding was successfully stopped. A biopsy of the haemorrhage showed no indication of metastasis. At the last computed tomography (CT) scan assessment; there was an indication of an increase in the metastases by 24%. </w:t>
      </w:r>
      <w:proofErr w:type="gramStart"/>
      <w:r w:rsidRPr="00D87C40">
        <w:t xml:space="preserve">The event of intestinal haemorrhage and pain abdomen </w:t>
      </w:r>
      <w:r w:rsidR="00E76D14">
        <w:t>resolved on Day 75</w:t>
      </w:r>
      <w:r w:rsidRPr="00D87C40">
        <w:t>.</w:t>
      </w:r>
      <w:proofErr w:type="gramEnd"/>
      <w:r w:rsidRPr="00D87C40">
        <w:t xml:space="preserve"> The study therapy was discontinued due the event of hepatitis. The event of malaise reso</w:t>
      </w:r>
      <w:r w:rsidR="00E76D14">
        <w:t>lved on Day 82. On Day 186</w:t>
      </w:r>
      <w:r w:rsidRPr="00D87C40">
        <w:t>, his lab values continued to be normal (values not available) and further treatment was not required. The event of hepatitis r</w:t>
      </w:r>
      <w:r w:rsidR="00E76D14">
        <w:t>esolved on Day 186</w:t>
      </w:r>
      <w:r w:rsidRPr="00D87C40">
        <w:t>.</w:t>
      </w:r>
    </w:p>
    <w:p w:rsidR="00900D64" w:rsidRPr="00D87C40" w:rsidRDefault="00900D64" w:rsidP="00D87C40">
      <w:r w:rsidRPr="00D87C40">
        <w:t xml:space="preserve">The investigator considered that the event of hepatitis was probably related and events of abdominal pain, malaise and intestinal haemorrhage were not likely related to the </w:t>
      </w:r>
      <w:r w:rsidR="00F22D76" w:rsidRPr="00D87C40">
        <w:t>ipilimumab</w:t>
      </w:r>
      <w:r w:rsidRPr="00D87C40">
        <w:t xml:space="preserve"> and </w:t>
      </w:r>
      <w:r w:rsidR="00851B52" w:rsidRPr="00D87C40">
        <w:t>d</w:t>
      </w:r>
      <w:r w:rsidRPr="00D87C40">
        <w:t>acarbazine study therapy.</w:t>
      </w:r>
      <w:r w:rsidR="00C108F1" w:rsidRPr="00D87C40">
        <w:t>’</w:t>
      </w:r>
    </w:p>
    <w:p w:rsidR="00900D64" w:rsidRDefault="00900D64" w:rsidP="00255ED1">
      <w:pPr>
        <w:pStyle w:val="Numberbullet0"/>
      </w:pPr>
      <w:r w:rsidRPr="00E76D14">
        <w:rPr>
          <w:b/>
        </w:rPr>
        <w:t>Case 9</w:t>
      </w:r>
      <w:r w:rsidRPr="00D87C40">
        <w:t xml:space="preserve"> – Gr3 proctocolitis requiring diversion colostomy suspicious for irAE with chronic inflammation on biopsy. Corticosteroids were not used although this AE was highly suspicious for an irAE.</w:t>
      </w:r>
    </w:p>
    <w:p w:rsidR="00255ED1" w:rsidRPr="00D87C40" w:rsidRDefault="00255ED1" w:rsidP="00D87C40">
      <w:r w:rsidRPr="00D87C40">
        <w:t>CA184024-</w:t>
      </w:r>
      <w:r w:rsidRPr="00E76D14">
        <w:t>[information redacted]</w:t>
      </w:r>
    </w:p>
    <w:p w:rsidR="00900D64" w:rsidRPr="00255ED1" w:rsidRDefault="00900D64" w:rsidP="00D87C40">
      <w:pPr>
        <w:rPr>
          <w:i/>
        </w:rPr>
      </w:pPr>
      <w:r w:rsidRPr="00255ED1">
        <w:rPr>
          <w:i/>
        </w:rPr>
        <w:t>In addition to above, diarrhoea an</w:t>
      </w:r>
      <w:r w:rsidR="00255ED1">
        <w:rPr>
          <w:i/>
        </w:rPr>
        <w:t>d weight loss was not captured.</w:t>
      </w:r>
    </w:p>
    <w:p w:rsidR="00900D64" w:rsidRPr="00D87C40" w:rsidRDefault="00255ED1" w:rsidP="00D87C40">
      <w:r w:rsidRPr="00D87C40">
        <w:t xml:space="preserve"> </w:t>
      </w:r>
      <w:r w:rsidR="00C108F1" w:rsidRPr="00D87C40">
        <w:t>‘</w:t>
      </w:r>
      <w:r w:rsidR="00900D64" w:rsidRPr="00D87C40">
        <w:t>Event:</w:t>
      </w:r>
    </w:p>
    <w:p w:rsidR="00900D64" w:rsidRPr="00D87C40" w:rsidRDefault="00900D64" w:rsidP="00E76D14">
      <w:pPr>
        <w:pStyle w:val="ListBullet"/>
      </w:pPr>
      <w:r w:rsidRPr="00D87C40">
        <w:t>Proctocolitis (Grade 3, Not likely related, Day 638)</w:t>
      </w:r>
    </w:p>
    <w:p w:rsidR="00900D64" w:rsidRPr="00D87C40" w:rsidRDefault="00900D64" w:rsidP="00E76D14">
      <w:pPr>
        <w:pStyle w:val="ListBullet"/>
      </w:pPr>
      <w:r w:rsidRPr="00D87C40">
        <w:t>Pulmonary Embolism (Grade 5, Not related, Day 667)</w:t>
      </w:r>
    </w:p>
    <w:p w:rsidR="00900D64" w:rsidRPr="00D87C40" w:rsidRDefault="00900D64" w:rsidP="00D87C40">
      <w:proofErr w:type="gramStart"/>
      <w:r w:rsidRPr="00D87C40">
        <w:t>imAR</w:t>
      </w:r>
      <w:proofErr w:type="gramEnd"/>
      <w:r w:rsidRPr="00D87C40">
        <w:t>:</w:t>
      </w:r>
    </w:p>
    <w:p w:rsidR="00900D64" w:rsidRPr="00D87C40" w:rsidRDefault="00900D64" w:rsidP="00D87C40">
      <w:pPr>
        <w:pStyle w:val="ListBullet"/>
      </w:pPr>
      <w:r w:rsidRPr="00D87C40">
        <w:t>Hepatitis (Earliest onset any Grade: Day 83, Worst Grade: 2)</w:t>
      </w:r>
    </w:p>
    <w:p w:rsidR="00900D64" w:rsidRPr="00D87C40" w:rsidRDefault="00E76D14" w:rsidP="00D87C40">
      <w:r>
        <w:t>On Day 562</w:t>
      </w:r>
      <w:r w:rsidR="00900D64" w:rsidRPr="00D87C40">
        <w:t>, the subject was diagnosed with diarrhoea (Gr</w:t>
      </w:r>
      <w:r>
        <w:t>ade 1). On Day 638</w:t>
      </w:r>
      <w:r w:rsidR="00900D64" w:rsidRPr="00D87C40">
        <w:t>, 56 days post 13th dose of study therapy, the subject experienced diarrhoea Grade 3 and developed severe rectal pain. He has had a weight loss of thirty to forty pounds (timeframe unknown). He also developed severe rectal fissures, worsening problems with hemorrhoids, and had severe rectal pain on an intermittent basis because of the unrelenting diarrhoea. The subject was hospital</w:t>
      </w:r>
      <w:r w:rsidR="00C91631" w:rsidRPr="00D87C40">
        <w:t>is</w:t>
      </w:r>
      <w:r w:rsidR="00900D64" w:rsidRPr="00D87C40">
        <w:t>ed on the same day and was diagnosed with proctocolitis (Grade 3). Treatments of metronidazole and loperamide wer</w:t>
      </w:r>
      <w:r>
        <w:t>e unsuccessful. On Day 639</w:t>
      </w:r>
      <w:r w:rsidR="00900D64" w:rsidRPr="00D87C40">
        <w:t>, the subject underwent a loop diverting sigmoid colostomy with biopsy of the anorectal tissue to palliate his symptoms. The (biopsy) revealed benign anal mucosa with chronic inflammation and focal parakeratosis, anal polyp and no evidence for malignancy. The subject was discontinued from the study due to the event proctocolitis.</w:t>
      </w:r>
      <w:r w:rsidR="00C108F1" w:rsidRPr="00D87C40">
        <w:t>’</w:t>
      </w:r>
    </w:p>
    <w:p w:rsidR="00712559" w:rsidRDefault="00900D64" w:rsidP="00255ED1">
      <w:pPr>
        <w:pStyle w:val="Numberbullet0"/>
      </w:pPr>
      <w:r w:rsidRPr="00E76D14">
        <w:rPr>
          <w:b/>
        </w:rPr>
        <w:t>Case 10</w:t>
      </w:r>
      <w:r w:rsidRPr="00D87C40">
        <w:t xml:space="preserve"> –It is unclear if enterocolitis was captured as an AE. It is unclear if the patient required an admission to the hospital for the biopsy that confirmed this diagnosis (Gr 3). Given the </w:t>
      </w:r>
      <w:r w:rsidR="005F5E22" w:rsidRPr="00D87C40">
        <w:t>sponsor</w:t>
      </w:r>
      <w:r w:rsidRPr="00D87C40">
        <w:t xml:space="preserve">’s definition, if hospitalisation was required for investigation and management of a drug related AE, </w:t>
      </w:r>
      <w:proofErr w:type="gramStart"/>
      <w:r w:rsidRPr="00D87C40">
        <w:t>then</w:t>
      </w:r>
      <w:proofErr w:type="gramEnd"/>
      <w:r w:rsidRPr="00D87C40">
        <w:t xml:space="preserve"> hospitalisation for the colonoscopy should be captured as an Gr 3 SAE.</w:t>
      </w:r>
    </w:p>
    <w:p w:rsidR="00900D64" w:rsidRPr="00255ED1" w:rsidRDefault="00900D64" w:rsidP="00D87C40">
      <w:pPr>
        <w:rPr>
          <w:i/>
        </w:rPr>
      </w:pPr>
      <w:r w:rsidRPr="00D87C40">
        <w:t>CA184024</w:t>
      </w:r>
      <w:r w:rsidR="00E76D14" w:rsidRPr="00E76D14">
        <w:t>-[information redacted]</w:t>
      </w:r>
      <w:r w:rsidR="00E76D14">
        <w:t xml:space="preserve"> </w:t>
      </w:r>
      <w:r w:rsidRPr="00255ED1">
        <w:rPr>
          <w:i/>
        </w:rPr>
        <w:t>appears to not have colitis captured. This patient had a biopsy proven colitis. It is un</w:t>
      </w:r>
      <w:r w:rsidR="00E76D14" w:rsidRPr="00255ED1">
        <w:rPr>
          <w:i/>
        </w:rPr>
        <w:t xml:space="preserve">clear if the event was only Gr1 to </w:t>
      </w:r>
      <w:r w:rsidRPr="00255ED1">
        <w:rPr>
          <w:i/>
        </w:rPr>
        <w:t>2 as presumably the patient had to be hospitalised for the biopsy. Note is made however that no treatment was required nor alteration to the study drug.</w:t>
      </w:r>
    </w:p>
    <w:p w:rsidR="00900D64" w:rsidRPr="00D87C40" w:rsidRDefault="00C108F1" w:rsidP="00D87C40">
      <w:r w:rsidRPr="00D87C40">
        <w:lastRenderedPageBreak/>
        <w:t>‘</w:t>
      </w:r>
      <w:r w:rsidR="00900D64" w:rsidRPr="00D87C40">
        <w:t>Event:</w:t>
      </w:r>
    </w:p>
    <w:p w:rsidR="00900D64" w:rsidRPr="00E76D14" w:rsidRDefault="00900D64" w:rsidP="00E76D14">
      <w:pPr>
        <w:pStyle w:val="ListBullet"/>
      </w:pPr>
      <w:r w:rsidRPr="00E76D14">
        <w:t>Supraventricular tachycardia (Grade 3, not related, Day 67)</w:t>
      </w:r>
    </w:p>
    <w:p w:rsidR="00900D64" w:rsidRPr="00E76D14" w:rsidRDefault="00900D64" w:rsidP="00E76D14">
      <w:pPr>
        <w:pStyle w:val="ListBullet"/>
      </w:pPr>
      <w:r w:rsidRPr="00E76D14">
        <w:t>Pyrexia (Grade 2, not related, Day 67)</w:t>
      </w:r>
    </w:p>
    <w:p w:rsidR="00900D64" w:rsidRPr="00E76D14" w:rsidRDefault="00900D64" w:rsidP="00E76D14">
      <w:pPr>
        <w:pStyle w:val="ListBullet"/>
      </w:pPr>
      <w:r w:rsidRPr="00E76D14">
        <w:t>Hypersensitivity (Grade 2, probably related, Day 130)</w:t>
      </w:r>
    </w:p>
    <w:p w:rsidR="00900D64" w:rsidRPr="00E76D14" w:rsidRDefault="00900D64" w:rsidP="00E76D14">
      <w:pPr>
        <w:pStyle w:val="ListBullet"/>
      </w:pPr>
      <w:r w:rsidRPr="00E76D14">
        <w:t>Hernia pain (Grade 3, not related, Day 182)</w:t>
      </w:r>
    </w:p>
    <w:p w:rsidR="00900D64" w:rsidRPr="00E76D14" w:rsidRDefault="00900D64" w:rsidP="00E76D14">
      <w:pPr>
        <w:pStyle w:val="ListBullet"/>
      </w:pPr>
      <w:r w:rsidRPr="00E76D14">
        <w:t>Anemia (Grade 1, not related, Day 193)</w:t>
      </w:r>
    </w:p>
    <w:p w:rsidR="00900D64" w:rsidRPr="00D87C40" w:rsidRDefault="00900D64" w:rsidP="00D87C40">
      <w:proofErr w:type="gramStart"/>
      <w:r w:rsidRPr="00D87C40">
        <w:t>imAR</w:t>
      </w:r>
      <w:proofErr w:type="gramEnd"/>
      <w:r w:rsidRPr="00D87C40">
        <w:t>:</w:t>
      </w:r>
    </w:p>
    <w:p w:rsidR="00E76D14" w:rsidRDefault="00900D64" w:rsidP="00D87C40">
      <w:pPr>
        <w:pStyle w:val="ListBullet"/>
      </w:pPr>
      <w:r w:rsidRPr="00D87C40">
        <w:t>Diarrhoea (Grade 2, probably related, Day 96)</w:t>
      </w:r>
    </w:p>
    <w:p w:rsidR="00900D64" w:rsidRPr="00D87C40" w:rsidRDefault="00900D64" w:rsidP="00D87C40">
      <w:r w:rsidRPr="00D87C40">
        <w:t xml:space="preserve">On </w:t>
      </w:r>
      <w:r w:rsidR="00AB442E" w:rsidRPr="00D87C40">
        <w:t>Day</w:t>
      </w:r>
      <w:r w:rsidR="00E76D14">
        <w:t xml:space="preserve"> 96</w:t>
      </w:r>
      <w:r w:rsidRPr="00D87C40">
        <w:t xml:space="preserve">, of the study the patient presented with Grade 2 enterocolitis (investigator reported term diarrhoea). No treatment was given and no action was taken on study drug as a result of the event. A biopsy was done on </w:t>
      </w:r>
      <w:r w:rsidR="00AB442E" w:rsidRPr="00D87C40">
        <w:t>Day</w:t>
      </w:r>
      <w:r w:rsidR="00E76D14">
        <w:t xml:space="preserve"> 100</w:t>
      </w:r>
      <w:r w:rsidRPr="00D87C40">
        <w:t xml:space="preserve"> revealed acute colitis. Grade 1 colitis was reported to have started on </w:t>
      </w:r>
      <w:r w:rsidR="00AB442E" w:rsidRPr="00D87C40">
        <w:t>Day</w:t>
      </w:r>
      <w:r w:rsidR="00E76D14">
        <w:t xml:space="preserve"> 100</w:t>
      </w:r>
      <w:r w:rsidRPr="00D87C40">
        <w:t xml:space="preserve">. No treatment was given for colitis and there was no action taken regarding study therapy. The investigator considered the events of diarrhoea and colitis as probably related to study therapy. Both events resolved on </w:t>
      </w:r>
      <w:r w:rsidR="00AB442E" w:rsidRPr="00D87C40">
        <w:t>Day</w:t>
      </w:r>
      <w:r w:rsidR="00E76D14">
        <w:t xml:space="preserve"> 105</w:t>
      </w:r>
      <w:r w:rsidRPr="00D87C40">
        <w:t>.</w:t>
      </w:r>
      <w:r w:rsidR="00C108F1" w:rsidRPr="00D87C40">
        <w:t>’</w:t>
      </w:r>
    </w:p>
    <w:p w:rsidR="00900D64" w:rsidRPr="00D87C40" w:rsidRDefault="00900D64" w:rsidP="00255ED1">
      <w:pPr>
        <w:pStyle w:val="Numberbullet0"/>
      </w:pPr>
      <w:r w:rsidRPr="00E76D14">
        <w:rPr>
          <w:b/>
        </w:rPr>
        <w:t>Case 11</w:t>
      </w:r>
      <w:r w:rsidRPr="00D87C40">
        <w:t>-Pancolitis is not listed as an AE or imAR.</w:t>
      </w:r>
    </w:p>
    <w:p w:rsidR="00900D64" w:rsidRPr="00D87C40" w:rsidRDefault="00900D64" w:rsidP="00D87C40">
      <w:r w:rsidRPr="00D87C40">
        <w:t>CA184024-</w:t>
      </w:r>
      <w:r w:rsidR="00E76D14" w:rsidRPr="00E76D14">
        <w:t>[information redacted]</w:t>
      </w:r>
      <w:r w:rsidR="00E76D14">
        <w:t xml:space="preserve"> </w:t>
      </w:r>
      <w:r w:rsidRPr="00255ED1">
        <w:rPr>
          <w:i/>
        </w:rPr>
        <w:t>this patient had pancolitis but this is not li</w:t>
      </w:r>
      <w:r w:rsidR="00E76D14" w:rsidRPr="00255ED1">
        <w:rPr>
          <w:i/>
        </w:rPr>
        <w:t>sted as an event</w:t>
      </w:r>
      <w:r w:rsidR="00E76D14">
        <w:t>.</w:t>
      </w:r>
    </w:p>
    <w:p w:rsidR="00900D64" w:rsidRPr="00D87C40" w:rsidRDefault="00C108F1" w:rsidP="00D87C40">
      <w:r w:rsidRPr="00D87C40">
        <w:t>‘</w:t>
      </w:r>
      <w:r w:rsidR="00900D64" w:rsidRPr="00D87C40">
        <w:t>Event:</w:t>
      </w:r>
    </w:p>
    <w:p w:rsidR="00900D64" w:rsidRPr="00D87C40" w:rsidRDefault="00900D64" w:rsidP="00E76D14">
      <w:pPr>
        <w:pStyle w:val="ListBullet"/>
      </w:pPr>
      <w:r w:rsidRPr="00D87C40">
        <w:t>Fracture (Grade 2, not related, Day 29)</w:t>
      </w:r>
    </w:p>
    <w:p w:rsidR="00900D64" w:rsidRPr="00D87C40" w:rsidRDefault="00900D64" w:rsidP="00E76D14">
      <w:pPr>
        <w:pStyle w:val="ListBullet"/>
      </w:pPr>
      <w:r w:rsidRPr="00D87C40">
        <w:t>Diarrhoea (Grade 3, certainly related, Day 75)</w:t>
      </w:r>
    </w:p>
    <w:p w:rsidR="00900D64" w:rsidRPr="00D87C40" w:rsidRDefault="00900D64" w:rsidP="00D87C40">
      <w:proofErr w:type="gramStart"/>
      <w:r w:rsidRPr="00D87C40">
        <w:t>imAR</w:t>
      </w:r>
      <w:proofErr w:type="gramEnd"/>
      <w:r w:rsidRPr="00D87C40">
        <w:t>:</w:t>
      </w:r>
    </w:p>
    <w:p w:rsidR="00900D64" w:rsidRPr="00D87C40" w:rsidRDefault="00900D64" w:rsidP="00D87C40">
      <w:pPr>
        <w:pStyle w:val="ListBullet"/>
      </w:pPr>
      <w:r w:rsidRPr="00D87C40">
        <w:t>Diarrhoea (Grade 3, certainly related, Day 75)</w:t>
      </w:r>
    </w:p>
    <w:p w:rsidR="00900D64" w:rsidRPr="00D87C40" w:rsidRDefault="00E76D14" w:rsidP="00D87C40">
      <w:r>
        <w:t>On Day 70</w:t>
      </w:r>
      <w:r w:rsidR="00900D64" w:rsidRPr="00D87C40">
        <w:t>, 5 days post 4th dose of study therapy, the subject ex</w:t>
      </w:r>
      <w:r>
        <w:t xml:space="preserve">perienced </w:t>
      </w:r>
      <w:r w:rsidR="00900D64" w:rsidRPr="00D87C40">
        <w:t>diarrhoea (Grade 2). Two day</w:t>
      </w:r>
      <w:r>
        <w:t>s later, on Day 72</w:t>
      </w:r>
      <w:r w:rsidR="00900D64" w:rsidRPr="00D87C40">
        <w:t>, he also experienced nausea and v</w:t>
      </w:r>
      <w:r>
        <w:t>omiting. On Day 75</w:t>
      </w:r>
      <w:r w:rsidR="00900D64" w:rsidRPr="00D87C40">
        <w:t>, 10 days post 4th dose of study therapy, he was hospital</w:t>
      </w:r>
      <w:r w:rsidR="00C91631" w:rsidRPr="00D87C40">
        <w:t>is</w:t>
      </w:r>
      <w:r w:rsidR="00900D64" w:rsidRPr="00D87C40">
        <w:t>ed for diarrhoea (Grade 3). He complained of 10 to 20 stools per day with a little amount of blood. His general condition was stable. He was started on intravenous fluids and steroids (prednisolone, dose u</w:t>
      </w:r>
      <w:r>
        <w:t>nknown). On Day 76</w:t>
      </w:r>
      <w:r w:rsidR="00900D64" w:rsidRPr="00D87C40">
        <w:t xml:space="preserve">, a colonoscopy was performed which revealed no active bleeding and no metastases. However, it showed pancolitis. He was started on </w:t>
      </w:r>
      <w:r>
        <w:t>codeine. On Day 79</w:t>
      </w:r>
      <w:r w:rsidR="00900D64" w:rsidRPr="00D87C40">
        <w:t>, the therapy with prednisolone was switched over to methylprednisolone (dose not available). He was discontinued from the study due to the event. The event of diarrhoea was considered resol</w:t>
      </w:r>
      <w:r>
        <w:t>ved with sequelae on Day 88</w:t>
      </w:r>
      <w:r w:rsidR="00900D64" w:rsidRPr="00D87C40">
        <w:t xml:space="preserve"> by the investigator. Grade 2 dia</w:t>
      </w:r>
      <w:r>
        <w:t>rrhoea occurred from Day 88 to Day 89</w:t>
      </w:r>
      <w:r w:rsidR="00900D64" w:rsidRPr="00D87C40">
        <w:t xml:space="preserve"> and G</w:t>
      </w:r>
      <w:r>
        <w:t>rade 1 occurred from Day 89</w:t>
      </w:r>
      <w:r w:rsidR="00900D64" w:rsidRPr="00D87C40">
        <w:t xml:space="preserve"> and remained ongoing.</w:t>
      </w:r>
    </w:p>
    <w:p w:rsidR="00900D64" w:rsidRPr="00D87C40" w:rsidRDefault="00900D64" w:rsidP="00D87C40">
      <w:r w:rsidRPr="00D87C40">
        <w:t xml:space="preserve">The investigator considered that the event of diarrhoea was certainly related to </w:t>
      </w:r>
      <w:r w:rsidR="00F22D76" w:rsidRPr="00D87C40">
        <w:t>ipilimumab</w:t>
      </w:r>
      <w:r w:rsidRPr="00D87C40">
        <w:t xml:space="preserve"> and </w:t>
      </w:r>
      <w:r w:rsidR="00851B52" w:rsidRPr="00D87C40">
        <w:t>dacarbazine</w:t>
      </w:r>
      <w:r w:rsidRPr="00D87C40">
        <w:t xml:space="preserve"> study therapy.</w:t>
      </w:r>
      <w:r w:rsidR="00C108F1" w:rsidRPr="00D87C40">
        <w:t>’</w:t>
      </w:r>
    </w:p>
    <w:p w:rsidR="00900D64" w:rsidRPr="00D87C40" w:rsidRDefault="00900D64" w:rsidP="00255ED1">
      <w:pPr>
        <w:pStyle w:val="Numberbullet0"/>
      </w:pPr>
      <w:r w:rsidRPr="00E76D14">
        <w:rPr>
          <w:b/>
        </w:rPr>
        <w:t>Case 12</w:t>
      </w:r>
      <w:r w:rsidR="00255ED1">
        <w:t xml:space="preserve">; </w:t>
      </w:r>
      <w:r w:rsidRPr="00D87C40">
        <w:t>It is unclear if the patient was hospitalised for an investigation (this would be defined as a Gr3 SAE).</w:t>
      </w:r>
    </w:p>
    <w:p w:rsidR="00900D64" w:rsidRPr="00D87C40" w:rsidRDefault="00900D64" w:rsidP="00D87C40">
      <w:r w:rsidRPr="00D87C40">
        <w:t>CA184024</w:t>
      </w:r>
      <w:r w:rsidR="00E76D14" w:rsidRPr="00E76D14">
        <w:t>-[information redacted]</w:t>
      </w:r>
      <w:r w:rsidR="00E76D14">
        <w:t xml:space="preserve"> </w:t>
      </w:r>
      <w:r w:rsidRPr="00255ED1">
        <w:rPr>
          <w:i/>
        </w:rPr>
        <w:t>It is unclear if this patient was admitted for the colonoscopy, thus the grading of colitis is uncertain.</w:t>
      </w:r>
    </w:p>
    <w:p w:rsidR="00900D64" w:rsidRPr="00D87C40" w:rsidRDefault="00C108F1" w:rsidP="00D87C40">
      <w:r w:rsidRPr="00D87C40">
        <w:t>‘</w:t>
      </w:r>
      <w:r w:rsidR="00900D64" w:rsidRPr="00D87C40">
        <w:t>Event:</w:t>
      </w:r>
    </w:p>
    <w:p w:rsidR="00900D64" w:rsidRPr="00D87C40" w:rsidRDefault="00900D64" w:rsidP="00B65E50">
      <w:pPr>
        <w:pStyle w:val="ListBullet"/>
      </w:pPr>
      <w:r w:rsidRPr="00D87C40">
        <w:t>Colitis (Grade 2, certain related, Day 33)</w:t>
      </w:r>
    </w:p>
    <w:p w:rsidR="00900D64" w:rsidRPr="00D87C40" w:rsidRDefault="00900D64" w:rsidP="00B65E50">
      <w:pPr>
        <w:pStyle w:val="ListBullet"/>
      </w:pPr>
      <w:r w:rsidRPr="00D87C40">
        <w:t>Colitis (Grade 1, certain related, Day 45)</w:t>
      </w:r>
    </w:p>
    <w:p w:rsidR="00900D64" w:rsidRPr="00D87C40" w:rsidRDefault="00900D64" w:rsidP="00B65E50">
      <w:pPr>
        <w:pStyle w:val="ListBullet"/>
      </w:pPr>
      <w:r w:rsidRPr="00D87C40">
        <w:t>Alanine aminotransferase increased (Grade 3, probably related, Day 62)</w:t>
      </w:r>
    </w:p>
    <w:p w:rsidR="00900D64" w:rsidRPr="00D87C40" w:rsidRDefault="00900D64" w:rsidP="00B65E50">
      <w:pPr>
        <w:pStyle w:val="ListBullet"/>
      </w:pPr>
      <w:r w:rsidRPr="00D87C40">
        <w:lastRenderedPageBreak/>
        <w:t>Aspartate aminotransferase increased (Grade 3, probably related, Day 62)</w:t>
      </w:r>
    </w:p>
    <w:p w:rsidR="00900D64" w:rsidRPr="00D87C40" w:rsidRDefault="00900D64" w:rsidP="00D87C40">
      <w:proofErr w:type="gramStart"/>
      <w:r w:rsidRPr="00D87C40">
        <w:t>imAR</w:t>
      </w:r>
      <w:proofErr w:type="gramEnd"/>
      <w:r w:rsidRPr="00D87C40">
        <w:t>:</w:t>
      </w:r>
    </w:p>
    <w:p w:rsidR="00900D64" w:rsidRPr="00D87C40" w:rsidRDefault="00900D64" w:rsidP="00B65E50">
      <w:pPr>
        <w:pStyle w:val="ListBullet"/>
      </w:pPr>
      <w:r w:rsidRPr="00D87C40">
        <w:t>Hepatitis (Earliest onset any Grade: Day 43 , Worst Grade: 3)</w:t>
      </w:r>
    </w:p>
    <w:p w:rsidR="00900D64" w:rsidRPr="00D87C40" w:rsidRDefault="00900D64" w:rsidP="00B65E50">
      <w:pPr>
        <w:pStyle w:val="ListBullet"/>
      </w:pPr>
      <w:r w:rsidRPr="00D87C40">
        <w:t>Colitis (Earliest onset any Grade: Day 33 , Worst Grade: 2)</w:t>
      </w:r>
    </w:p>
    <w:p w:rsidR="00900D64" w:rsidRPr="00D87C40" w:rsidRDefault="00B65E50" w:rsidP="00D87C40">
      <w:r>
        <w:t>On Day 33</w:t>
      </w:r>
      <w:r w:rsidR="00900D64" w:rsidRPr="00D87C40">
        <w:t>, 11 days post 2nd dose of study therapy, the subject experienced diffuse abdominal pain and was diagnosed with colitis (Grade 2). He also had one episode of diarrhoea with blood in h</w:t>
      </w:r>
      <w:r>
        <w:t>is stool on Day 36</w:t>
      </w:r>
      <w:r w:rsidR="00900D64" w:rsidRPr="00D87C40">
        <w:t xml:space="preserve"> and a second bou</w:t>
      </w:r>
      <w:r>
        <w:t>t occurred on Day 43</w:t>
      </w:r>
      <w:r w:rsidR="00900D64" w:rsidRPr="00D87C40">
        <w:t>. He was treated with oral 10 mg prednisolone twice</w:t>
      </w:r>
      <w:r>
        <w:t xml:space="preserve"> daily from Day 44 to Day 51</w:t>
      </w:r>
      <w:r w:rsidR="00900D64" w:rsidRPr="00D87C40">
        <w:t>. A colonoscopy p</w:t>
      </w:r>
      <w:r>
        <w:t>erformed on Day 45</w:t>
      </w:r>
      <w:r w:rsidR="00900D64" w:rsidRPr="00D87C40">
        <w:t xml:space="preserve"> showed colon polyps, catarrhal colitis and internal </w:t>
      </w:r>
      <w:r w:rsidRPr="00D87C40">
        <w:t>haemorrhoids</w:t>
      </w:r>
      <w:r w:rsidR="00900D64" w:rsidRPr="00D87C40">
        <w:t>. The study therapy was interrupte</w:t>
      </w:r>
      <w:r>
        <w:t xml:space="preserve">d due to the event. The </w:t>
      </w:r>
      <w:r w:rsidR="00900D64" w:rsidRPr="00D87C40">
        <w:t>Grade 2 colitis improved to Grade 1 i</w:t>
      </w:r>
      <w:r>
        <w:t>ntensity on Day 45</w:t>
      </w:r>
      <w:r w:rsidR="00900D64" w:rsidRPr="00D87C40">
        <w:t xml:space="preserve">. The event of colitis was considered </w:t>
      </w:r>
      <w:r>
        <w:t>resolved on Day 52</w:t>
      </w:r>
      <w:r w:rsidR="00900D64" w:rsidRPr="00D87C40">
        <w:t>.</w:t>
      </w:r>
    </w:p>
    <w:p w:rsidR="00900D64" w:rsidRPr="00D87C40" w:rsidRDefault="00900D64" w:rsidP="00D87C40">
      <w:r w:rsidRPr="00D87C40">
        <w:t xml:space="preserve">The investigator considered that the event of colitis was certainly related to the </w:t>
      </w:r>
      <w:r w:rsidR="00F22D76" w:rsidRPr="00D87C40">
        <w:t>ipilimumab</w:t>
      </w:r>
      <w:r w:rsidR="00B65E50">
        <w:t xml:space="preserve"> and </w:t>
      </w:r>
      <w:r w:rsidR="00851B52" w:rsidRPr="00D87C40">
        <w:t>dacarbazine</w:t>
      </w:r>
      <w:r w:rsidRPr="00D87C40">
        <w:t xml:space="preserve"> study therapy.</w:t>
      </w:r>
      <w:r w:rsidR="00C108F1" w:rsidRPr="00D87C40">
        <w:t>’</w:t>
      </w:r>
    </w:p>
    <w:p w:rsidR="00900D64" w:rsidRPr="00D87C40" w:rsidRDefault="00900D64" w:rsidP="00F86315">
      <w:pPr>
        <w:pStyle w:val="Numberbullet0"/>
      </w:pPr>
      <w:r w:rsidRPr="00B65E50">
        <w:rPr>
          <w:b/>
        </w:rPr>
        <w:t>Case 13</w:t>
      </w:r>
      <w:r w:rsidR="00F86315">
        <w:t xml:space="preserve">; </w:t>
      </w:r>
      <w:proofErr w:type="gramStart"/>
      <w:r w:rsidRPr="00D87C40">
        <w:t>The</w:t>
      </w:r>
      <w:proofErr w:type="gramEnd"/>
      <w:r w:rsidRPr="00D87C40">
        <w:t xml:space="preserve"> patient was hospitalised for diarrhoea for the first dosing period but the grading does not reflect this.</w:t>
      </w:r>
    </w:p>
    <w:p w:rsidR="00900D64" w:rsidRPr="00D87C40" w:rsidRDefault="00B65E50" w:rsidP="00D87C40">
      <w:r>
        <w:t>CA184024</w:t>
      </w:r>
      <w:r w:rsidRPr="00B65E50">
        <w:t>-[information redacted]</w:t>
      </w:r>
    </w:p>
    <w:p w:rsidR="00900D64" w:rsidRPr="00D87C40" w:rsidRDefault="00C108F1" w:rsidP="00D87C40">
      <w:r w:rsidRPr="00D87C40">
        <w:t>‘</w:t>
      </w:r>
      <w:r w:rsidR="00900D64" w:rsidRPr="00D87C40">
        <w:t>Event:</w:t>
      </w:r>
    </w:p>
    <w:p w:rsidR="00900D64" w:rsidRPr="00D87C40" w:rsidRDefault="00900D64" w:rsidP="00B65E50">
      <w:pPr>
        <w:pStyle w:val="ListBullet"/>
      </w:pPr>
      <w:r w:rsidRPr="00D87C40">
        <w:t>Diarrhoea (Grade 2, probably related, Day 2)</w:t>
      </w:r>
    </w:p>
    <w:p w:rsidR="00900D64" w:rsidRPr="00D87C40" w:rsidRDefault="00900D64" w:rsidP="00B65E50">
      <w:pPr>
        <w:pStyle w:val="ListBullet"/>
      </w:pPr>
      <w:r w:rsidRPr="00D87C40">
        <w:t>Diarrhoea (Grade 3, probably related, Day 24)</w:t>
      </w:r>
    </w:p>
    <w:p w:rsidR="00900D64" w:rsidRPr="00D87C40" w:rsidRDefault="00900D64" w:rsidP="00B65E50">
      <w:pPr>
        <w:pStyle w:val="ListBullet"/>
      </w:pPr>
      <w:r w:rsidRPr="00D87C40">
        <w:t>Vomiting (Grade 3, possibly related, Day 24)</w:t>
      </w:r>
    </w:p>
    <w:p w:rsidR="00900D64" w:rsidRPr="00D87C40" w:rsidRDefault="00900D64" w:rsidP="00B65E50">
      <w:pPr>
        <w:pStyle w:val="ListBullet"/>
      </w:pPr>
      <w:r w:rsidRPr="00D87C40">
        <w:t>Diarrhoea (Grade 3, certainly related, Day 38)</w:t>
      </w:r>
    </w:p>
    <w:p w:rsidR="00900D64" w:rsidRPr="00D87C40" w:rsidRDefault="00900D64" w:rsidP="00B65E50">
      <w:pPr>
        <w:pStyle w:val="ListBullet"/>
      </w:pPr>
      <w:r w:rsidRPr="00D87C40">
        <w:t>Oedema peripheral (Grade 3, not related, Day 38)</w:t>
      </w:r>
    </w:p>
    <w:p w:rsidR="00900D64" w:rsidRPr="00D87C40" w:rsidRDefault="00900D64" w:rsidP="00B65E50">
      <w:pPr>
        <w:pStyle w:val="ListBullet"/>
      </w:pPr>
      <w:r w:rsidRPr="00D87C40">
        <w:t>Malignant neoplasm (Grade 5, not related, Day 60)</w:t>
      </w:r>
    </w:p>
    <w:p w:rsidR="00900D64" w:rsidRPr="00D87C40" w:rsidRDefault="00900D64" w:rsidP="00D87C40">
      <w:proofErr w:type="gramStart"/>
      <w:r w:rsidRPr="00D87C40">
        <w:t>imAR</w:t>
      </w:r>
      <w:proofErr w:type="gramEnd"/>
      <w:r w:rsidRPr="00D87C40">
        <w:t>:</w:t>
      </w:r>
    </w:p>
    <w:p w:rsidR="00900D64" w:rsidRPr="00D87C40" w:rsidRDefault="00900D64" w:rsidP="00B65E50">
      <w:pPr>
        <w:pStyle w:val="ListBullet"/>
      </w:pPr>
      <w:r w:rsidRPr="00D87C40">
        <w:t>Enterocolitis (Earliest onset any Grade: Day 24 , Worst Grade: 3)</w:t>
      </w:r>
    </w:p>
    <w:p w:rsidR="00900D64" w:rsidRPr="00D87C40" w:rsidRDefault="00B65E50" w:rsidP="00D87C40">
      <w:r>
        <w:t>On Day 2</w:t>
      </w:r>
      <w:r w:rsidR="00900D64" w:rsidRPr="00D87C40">
        <w:t>, one day post 1st dose of study ther</w:t>
      </w:r>
      <w:r>
        <w:t xml:space="preserve">apy, the subject presented with </w:t>
      </w:r>
      <w:r w:rsidR="00900D64" w:rsidRPr="00D87C40">
        <w:t>diarrhoea (Grade 2) and was hospital</w:t>
      </w:r>
      <w:r w:rsidR="00C91631" w:rsidRPr="00D87C40">
        <w:t>is</w:t>
      </w:r>
      <w:r>
        <w:t>ed on Day 6</w:t>
      </w:r>
      <w:r w:rsidR="00900D64" w:rsidRPr="00D87C40">
        <w:t xml:space="preserve">. His stool culture was negative. A colonoscopy was not indicated and no corticosteroid therapy was instituted. Treatment included administration of IV fluids and unspecified antibiotic </w:t>
      </w:r>
      <w:r>
        <w:t>therapy from Day 2</w:t>
      </w:r>
      <w:r w:rsidR="00900D64" w:rsidRPr="00D87C40">
        <w:t xml:space="preserve"> onwards. No action was taken with the study therapy. The event of d</w:t>
      </w:r>
      <w:r>
        <w:t>iarrhoea resolved on Day 7</w:t>
      </w:r>
      <w:r w:rsidR="00900D64" w:rsidRPr="00D87C40">
        <w:t>.</w:t>
      </w:r>
    </w:p>
    <w:p w:rsidR="00900D64" w:rsidRPr="00D87C40" w:rsidRDefault="00900D64" w:rsidP="00D87C40">
      <w:r w:rsidRPr="00D87C40">
        <w:t xml:space="preserve">The investigator considered that the event of diarrhoea was probably related to </w:t>
      </w:r>
      <w:r w:rsidR="00F22D76" w:rsidRPr="00D87C40">
        <w:t>ipilimumab</w:t>
      </w:r>
      <w:r w:rsidR="00B65E50">
        <w:t xml:space="preserve"> and </w:t>
      </w:r>
      <w:r w:rsidR="00851B52" w:rsidRPr="00D87C40">
        <w:t>dacarbazine</w:t>
      </w:r>
      <w:r w:rsidRPr="00D87C40">
        <w:t xml:space="preserve"> study therapy.</w:t>
      </w:r>
      <w:r w:rsidR="00C108F1" w:rsidRPr="00D87C40">
        <w:t>’</w:t>
      </w:r>
    </w:p>
    <w:p w:rsidR="00900D64" w:rsidRPr="00D87C40" w:rsidRDefault="00900D64" w:rsidP="00B65E50">
      <w:pPr>
        <w:pStyle w:val="Numberbullet0"/>
      </w:pPr>
      <w:r w:rsidRPr="00B65E50">
        <w:rPr>
          <w:b/>
        </w:rPr>
        <w:t>Case 14</w:t>
      </w:r>
      <w:r w:rsidRPr="00D87C40">
        <w:t xml:space="preserve"> – Grade 3 diarrhoea related to study treatment is suspicious for contributing to patient’s death.</w:t>
      </w:r>
    </w:p>
    <w:p w:rsidR="00900D64" w:rsidRPr="00F86315" w:rsidRDefault="00900D64" w:rsidP="00D87C40">
      <w:pPr>
        <w:rPr>
          <w:i/>
        </w:rPr>
      </w:pPr>
      <w:r w:rsidRPr="00D87C40">
        <w:t>CA184024</w:t>
      </w:r>
      <w:r w:rsidR="00B65E50" w:rsidRPr="00B65E50">
        <w:t>-[information redacted]</w:t>
      </w:r>
      <w:r w:rsidRPr="00D87C40">
        <w:t xml:space="preserve">: </w:t>
      </w:r>
      <w:r w:rsidRPr="00F86315">
        <w:rPr>
          <w:i/>
        </w:rPr>
        <w:t xml:space="preserve">This patient was hospitalised within 10 days of a previous admission for recurrent Gr 3 diarrhoea due to colitis secondary to the study drug. He failed to be weaned off systemic corticosteroids, required mesalamine and infliximab. The Gr 3 diarrhoea did not resolve until the patient's death. The peripheral oedema and hypokalaemia that developed 8 days after re-admission was suggestive of the patient's </w:t>
      </w:r>
      <w:r w:rsidR="0017606C" w:rsidRPr="00F86315">
        <w:rPr>
          <w:i/>
        </w:rPr>
        <w:t>Dec</w:t>
      </w:r>
      <w:r w:rsidRPr="00F86315">
        <w:rPr>
          <w:i/>
        </w:rPr>
        <w:t xml:space="preserve">ompensation as a result of the diarrhoea. The patient died 18 days after the infliximab. Disease progression was noted in the liver on same day as re-hospitalisation but liver function tests were within the relatively normal range. Could this death not be considered second to the study drug or at least Gr4 colitis? The AE of </w:t>
      </w:r>
      <w:r w:rsidRPr="00F86315">
        <w:rPr>
          <w:i/>
        </w:rPr>
        <w:lastRenderedPageBreak/>
        <w:t xml:space="preserve">hypokalaemia has not been annotated. Can the </w:t>
      </w:r>
      <w:r w:rsidR="005F5E22" w:rsidRPr="00F86315">
        <w:rPr>
          <w:i/>
        </w:rPr>
        <w:t>sponsor</w:t>
      </w:r>
      <w:r w:rsidRPr="00F86315">
        <w:rPr>
          <w:i/>
        </w:rPr>
        <w:t xml:space="preserve"> please provide more information and explanation for these?</w:t>
      </w:r>
    </w:p>
    <w:p w:rsidR="00900D64" w:rsidRPr="00D87C40" w:rsidRDefault="00C108F1" w:rsidP="00D87C40">
      <w:r w:rsidRPr="00D87C40">
        <w:t>‘</w:t>
      </w:r>
      <w:r w:rsidR="00900D64" w:rsidRPr="00D87C40">
        <w:t>Event:</w:t>
      </w:r>
    </w:p>
    <w:p w:rsidR="00900D64" w:rsidRPr="00D87C40" w:rsidRDefault="00900D64" w:rsidP="00B65E50">
      <w:pPr>
        <w:pStyle w:val="ListBullet"/>
      </w:pPr>
      <w:r w:rsidRPr="00D87C40">
        <w:t>Diarrhoea (Grade 2, probably related, Day 2)</w:t>
      </w:r>
    </w:p>
    <w:p w:rsidR="00900D64" w:rsidRPr="00D87C40" w:rsidRDefault="00900D64" w:rsidP="00B65E50">
      <w:pPr>
        <w:pStyle w:val="ListBullet"/>
      </w:pPr>
      <w:r w:rsidRPr="00D87C40">
        <w:t>Diarrhoea (Grade 3, probably related, Day 24)</w:t>
      </w:r>
    </w:p>
    <w:p w:rsidR="00900D64" w:rsidRPr="00D87C40" w:rsidRDefault="00900D64" w:rsidP="00B65E50">
      <w:pPr>
        <w:pStyle w:val="ListBullet"/>
      </w:pPr>
      <w:r w:rsidRPr="00D87C40">
        <w:t>Vomiting (Grade 3, possibly related, Day 24)</w:t>
      </w:r>
    </w:p>
    <w:p w:rsidR="00900D64" w:rsidRPr="00D87C40" w:rsidRDefault="00900D64" w:rsidP="00B65E50">
      <w:pPr>
        <w:pStyle w:val="ListBullet"/>
      </w:pPr>
      <w:r w:rsidRPr="00D87C40">
        <w:t>Diarrhoea (Grade 3, certainly related, Day 38)</w:t>
      </w:r>
    </w:p>
    <w:p w:rsidR="00900D64" w:rsidRPr="00D87C40" w:rsidRDefault="00900D64" w:rsidP="00B65E50">
      <w:pPr>
        <w:pStyle w:val="ListBullet"/>
      </w:pPr>
      <w:r w:rsidRPr="00D87C40">
        <w:t>Oedema peripheral (Grade 3, not related, Day 38)</w:t>
      </w:r>
    </w:p>
    <w:p w:rsidR="00900D64" w:rsidRPr="00D87C40" w:rsidRDefault="00900D64" w:rsidP="00B65E50">
      <w:pPr>
        <w:pStyle w:val="ListBullet"/>
      </w:pPr>
      <w:r w:rsidRPr="00D87C40">
        <w:t>Malignant neoplasm (Grade 5, not related, Day 60)</w:t>
      </w:r>
    </w:p>
    <w:p w:rsidR="00900D64" w:rsidRPr="00D87C40" w:rsidRDefault="00900D64" w:rsidP="00D87C40">
      <w:proofErr w:type="gramStart"/>
      <w:r w:rsidRPr="00D87C40">
        <w:t>imAR</w:t>
      </w:r>
      <w:proofErr w:type="gramEnd"/>
      <w:r w:rsidRPr="00D87C40">
        <w:t>:</w:t>
      </w:r>
    </w:p>
    <w:p w:rsidR="00900D64" w:rsidRPr="00D87C40" w:rsidRDefault="00900D64" w:rsidP="00B65E50">
      <w:pPr>
        <w:pStyle w:val="ListBullet"/>
      </w:pPr>
      <w:r w:rsidRPr="00D87C40">
        <w:t>Enterocolitis (Earliest onset any Grade: Day 24 , Worst Grade: 3)</w:t>
      </w:r>
    </w:p>
    <w:p w:rsidR="00900D64" w:rsidRPr="00D87C40" w:rsidRDefault="00B65E50" w:rsidP="00D87C40">
      <w:r>
        <w:t>On Day 24</w:t>
      </w:r>
      <w:r w:rsidR="00900D64" w:rsidRPr="00D87C40">
        <w:t>, one day post 2nd dose of study therapy, he was again hospital</w:t>
      </w:r>
      <w:r w:rsidR="00C91631" w:rsidRPr="00D87C40">
        <w:t>is</w:t>
      </w:r>
      <w:r>
        <w:t xml:space="preserve">ed due to </w:t>
      </w:r>
      <w:r w:rsidR="00900D64" w:rsidRPr="00D87C40">
        <w:t xml:space="preserve">diarrhoea (Grade 3) and vomiting (Grade 3). On the same day, his body temperature was 37.5° C, pulse was 90/min and oxygen saturation was 92% in room air. He was slightly dehydrated. His white blood cells (WBC) were within normal limits. He received intravenous </w:t>
      </w:r>
      <w:r>
        <w:t>fluids from Day 24 to Day 28</w:t>
      </w:r>
      <w:r w:rsidR="00900D64" w:rsidRPr="00D87C40">
        <w:t>, ondans</w:t>
      </w:r>
      <w:r>
        <w:t>etron from Day 24 to Day 29</w:t>
      </w:r>
      <w:r w:rsidR="00900D64" w:rsidRPr="00D87C40">
        <w:t>, lope</w:t>
      </w:r>
      <w:r>
        <w:t>ramide from Day 24 to Day 31</w:t>
      </w:r>
      <w:r w:rsidR="00900D64" w:rsidRPr="00D87C40">
        <w:t>. A stool specimen c</w:t>
      </w:r>
      <w:r>
        <w:t>ollected on Day 25</w:t>
      </w:r>
      <w:r w:rsidR="00900D64" w:rsidRPr="00D87C40">
        <w:t xml:space="preserve"> showed no presence of Clostridium difficile toxins, Cryptosporidium, Oocysts, Salmonella, Shigella, Campylobacter or E.</w:t>
      </w:r>
      <w:r w:rsidR="00F86315">
        <w:t xml:space="preserve"> </w:t>
      </w:r>
      <w:r w:rsidR="00900D64" w:rsidRPr="00D87C40">
        <w:t>coli. No WBCs, RBCs, pathogenic ova, cysts or parasites were seen in the stool sample. A sigmoidoscopy was p</w:t>
      </w:r>
      <w:r>
        <w:t>erformed on Day 28</w:t>
      </w:r>
      <w:r w:rsidR="00900D64" w:rsidRPr="00D87C40">
        <w:t xml:space="preserve"> which indicated a diagnosis of indeterminate colitis. Treatment included intravenous (IV) 8 mg dexam</w:t>
      </w:r>
      <w:r>
        <w:t>ethasone on Day 28</w:t>
      </w:r>
      <w:r w:rsidR="00900D64" w:rsidRPr="00D87C40">
        <w:t xml:space="preserve"> and then oral dexamethasone for two weeks. He was discontinued from the study on Da</w:t>
      </w:r>
      <w:r>
        <w:t>y 24</w:t>
      </w:r>
      <w:r w:rsidR="00900D64" w:rsidRPr="00D87C40">
        <w:t xml:space="preserve"> due to diarrhoea. The event of vomiting</w:t>
      </w:r>
      <w:r w:rsidR="00010BA1">
        <w:t xml:space="preserve"> resolved on Day 28</w:t>
      </w:r>
      <w:r w:rsidR="00900D64" w:rsidRPr="00D87C40">
        <w:t xml:space="preserve"> and diarrhoea</w:t>
      </w:r>
      <w:r w:rsidR="00010BA1">
        <w:t xml:space="preserve"> resolved on Day 31</w:t>
      </w:r>
      <w:r w:rsidR="00900D64" w:rsidRPr="00D87C40">
        <w:t>, and he was discharged to home on the same day.</w:t>
      </w:r>
    </w:p>
    <w:p w:rsidR="00900D64" w:rsidRPr="00D87C40" w:rsidRDefault="00900D64" w:rsidP="00D87C40">
      <w:r w:rsidRPr="00D87C40">
        <w:t xml:space="preserve">The investigator considered that the event of diarrhoea was probably related and the event of vomiting was possibly related to </w:t>
      </w:r>
      <w:r w:rsidR="00F22D76" w:rsidRPr="00D87C40">
        <w:t>ipilimumab</w:t>
      </w:r>
      <w:r w:rsidRPr="00D87C40">
        <w:t xml:space="preserve"> and </w:t>
      </w:r>
      <w:r w:rsidR="00851B52" w:rsidRPr="00D87C40">
        <w:t>dacarbazine</w:t>
      </w:r>
      <w:r w:rsidRPr="00D87C40">
        <w:t xml:space="preserve"> study therap</w:t>
      </w:r>
      <w:r w:rsidR="00D87C40">
        <w:t>y.</w:t>
      </w:r>
    </w:p>
    <w:p w:rsidR="00900D64" w:rsidRPr="00D87C40" w:rsidRDefault="00010BA1" w:rsidP="00D87C40">
      <w:r>
        <w:t>On Day 38</w:t>
      </w:r>
      <w:r w:rsidR="00900D64" w:rsidRPr="00D87C40">
        <w:t>, 15 days post 2nd dose of study therapy, he was readmitted to the hospital with more symptoms of drug induced diarrhoea (Grade 3) and with bilateral lower extremity oedema (Grade 3). Blood test p</w:t>
      </w:r>
      <w:r>
        <w:t>erformed on Day 36</w:t>
      </w:r>
      <w:r w:rsidR="00900D64" w:rsidRPr="00D87C40">
        <w:t xml:space="preserve">, showed INR to be 1.3, haemoglobin to be 12.7 g/dL, alkaline phosphatase (ALP) 170 U/L, albumin 3.1 g/dL and urea was </w:t>
      </w:r>
      <w:proofErr w:type="gramStart"/>
      <w:r w:rsidR="00900D64" w:rsidRPr="00D87C40">
        <w:t xml:space="preserve">6.8 </w:t>
      </w:r>
      <w:r w:rsidR="00D87C40">
        <w:t>µ</w:t>
      </w:r>
      <w:r w:rsidR="00900D64" w:rsidRPr="00D87C40">
        <w:t>mol/L.</w:t>
      </w:r>
      <w:proofErr w:type="gramEnd"/>
      <w:r w:rsidR="00900D64" w:rsidRPr="00D87C40">
        <w:t xml:space="preserve"> A computed tomography (CT) sca</w:t>
      </w:r>
      <w:r>
        <w:t>n on Day 38</w:t>
      </w:r>
      <w:r w:rsidR="00900D64" w:rsidRPr="00D87C40">
        <w:t xml:space="preserve"> showed evidence of disease progression in the liver. Additional treatment for diarrhoea included 100 mg hydrocortis</w:t>
      </w:r>
      <w:r>
        <w:t>one IV from Day 38</w:t>
      </w:r>
      <w:r w:rsidR="00900D64" w:rsidRPr="00D87C40">
        <w:t>. He also received loperamide and mesalamine for the second occurrence of diarrhoea</w:t>
      </w:r>
      <w:r>
        <w:t xml:space="preserve"> from Day 39</w:t>
      </w:r>
      <w:r w:rsidR="00900D64" w:rsidRPr="00D87C40">
        <w:t xml:space="preserve"> onwards. Inf</w:t>
      </w:r>
      <w:r>
        <w:t xml:space="preserve">liximab was begun on </w:t>
      </w:r>
      <w:r w:rsidR="001C3DB9">
        <w:t>Day 42</w:t>
      </w:r>
      <w:r w:rsidR="00900D64" w:rsidRPr="00D87C40">
        <w:t xml:space="preserve"> thru </w:t>
      </w:r>
      <w:r w:rsidR="001C3DB9">
        <w:t>Day 49. On Day 45</w:t>
      </w:r>
      <w:r w:rsidR="00900D64" w:rsidRPr="00D87C40">
        <w:t xml:space="preserve"> lab values included potassium of 2.7 </w:t>
      </w:r>
      <w:r w:rsidR="00EE74EF" w:rsidRPr="00D87C40">
        <w:t>µ</w:t>
      </w:r>
      <w:r w:rsidR="00900D64" w:rsidRPr="00D87C40">
        <w:t xml:space="preserve">mol/L (baseline 4.2 </w:t>
      </w:r>
      <w:r w:rsidR="00EE74EF" w:rsidRPr="00D87C40">
        <w:t>µ</w:t>
      </w:r>
      <w:r w:rsidR="00900D64" w:rsidRPr="00D87C40">
        <w:t>mol/L), WBC count of 15.3×10</w:t>
      </w:r>
      <w:r w:rsidR="00900D64" w:rsidRPr="001C3DB9">
        <w:rPr>
          <w:vertAlign w:val="superscript"/>
        </w:rPr>
        <w:t>9</w:t>
      </w:r>
      <w:r w:rsidR="00900D64" w:rsidRPr="00D87C40">
        <w:t xml:space="preserve"> c/L (baseline on Day 1: 8.1x10</w:t>
      </w:r>
      <w:r w:rsidR="00900D64" w:rsidRPr="001C3DB9">
        <w:rPr>
          <w:vertAlign w:val="superscript"/>
        </w:rPr>
        <w:t>9</w:t>
      </w:r>
      <w:r w:rsidR="00900D64" w:rsidRPr="00D87C40">
        <w:t>c/L), and neutrophil count of 12.7×10</w:t>
      </w:r>
      <w:r w:rsidR="00900D64" w:rsidRPr="001C3DB9">
        <w:rPr>
          <w:vertAlign w:val="superscript"/>
        </w:rPr>
        <w:t>9</w:t>
      </w:r>
      <w:r w:rsidR="00900D64" w:rsidRPr="00D87C40">
        <w:t xml:space="preserve"> c/L (baseline on Day 1: 6.3x10</w:t>
      </w:r>
      <w:r w:rsidR="00900D64" w:rsidRPr="001C3DB9">
        <w:rPr>
          <w:vertAlign w:val="superscript"/>
        </w:rPr>
        <w:t>9</w:t>
      </w:r>
      <w:r w:rsidR="00900D64" w:rsidRPr="00D87C40">
        <w:t>c/L). On Day 46, the bilateral leg oedema which is related to the underlying progressive disease was treated with intravenous furosemide followed by oral doses and compression stockings. On Day</w:t>
      </w:r>
      <w:r w:rsidR="001C3DB9">
        <w:t xml:space="preserve"> 60</w:t>
      </w:r>
      <w:r w:rsidR="00900D64" w:rsidRPr="00D87C40">
        <w:t xml:space="preserve">, he died due to malignant neoplasm progression. The events of diarrhoea and bilateral leg oedema were continuing at the time of death. Autopsy details were not available. Transaminase and bilirubin levels remained within normal limits throughout. </w:t>
      </w:r>
      <w:proofErr w:type="gramStart"/>
      <w:r w:rsidR="00900D64" w:rsidRPr="00D87C40">
        <w:t>Alk.</w:t>
      </w:r>
      <w:proofErr w:type="gramEnd"/>
      <w:r w:rsidR="00900D64" w:rsidRPr="00D87C40">
        <w:t xml:space="preserve"> </w:t>
      </w:r>
      <w:proofErr w:type="gramStart"/>
      <w:r w:rsidR="00900D64" w:rsidRPr="00D87C40">
        <w:t>Phos.</w:t>
      </w:r>
      <w:proofErr w:type="gramEnd"/>
      <w:r w:rsidR="00900D64" w:rsidRPr="00D87C40">
        <w:t xml:space="preserve"> </w:t>
      </w:r>
      <w:proofErr w:type="gramStart"/>
      <w:r w:rsidR="00900D64" w:rsidRPr="00D87C40">
        <w:t>levels</w:t>
      </w:r>
      <w:proofErr w:type="gramEnd"/>
      <w:r w:rsidR="00900D64" w:rsidRPr="00D87C40">
        <w:t xml:space="preserve"> elevated to 369 on </w:t>
      </w:r>
      <w:r w:rsidR="001C3DB9">
        <w:t>Day 23</w:t>
      </w:r>
      <w:r w:rsidR="00900D64" w:rsidRPr="00D87C40">
        <w:t xml:space="preserve"> (</w:t>
      </w:r>
      <w:r w:rsidR="005853BB" w:rsidRPr="00D87C40">
        <w:t>3</w:t>
      </w:r>
      <w:r w:rsidR="001854AA">
        <w:t> </w:t>
      </w:r>
      <w:r w:rsidR="005853BB" w:rsidRPr="00D87C40">
        <w:t>x ULN</w:t>
      </w:r>
      <w:r w:rsidR="00900D64" w:rsidRPr="00D87C40">
        <w:t xml:space="preserve">), before </w:t>
      </w:r>
      <w:r w:rsidR="00D87C40">
        <w:t>dec</w:t>
      </w:r>
      <w:r w:rsidR="00900D64" w:rsidRPr="00D87C40">
        <w:t>reasing to n</w:t>
      </w:r>
      <w:r w:rsidR="00D87C40">
        <w:t>ormal.</w:t>
      </w:r>
    </w:p>
    <w:p w:rsidR="00900D64" w:rsidRPr="00D87C40" w:rsidRDefault="00900D64" w:rsidP="00D87C40">
      <w:r w:rsidRPr="00D87C40">
        <w:t xml:space="preserve">The investigator considered that the event of diarrhoea was certainly related and the events of oedema peripheral and malignant neoplasm were not related to the </w:t>
      </w:r>
      <w:r w:rsidR="00F22D76" w:rsidRPr="00D87C40">
        <w:t>ipilimumab</w:t>
      </w:r>
      <w:r w:rsidRPr="00D87C40">
        <w:t xml:space="preserve"> and </w:t>
      </w:r>
      <w:r w:rsidR="00851B52" w:rsidRPr="00D87C40">
        <w:t>dacarbazine</w:t>
      </w:r>
      <w:r w:rsidRPr="00D87C40">
        <w:t xml:space="preserve"> study therapy.</w:t>
      </w:r>
      <w:r w:rsidR="00C108F1" w:rsidRPr="00D87C40">
        <w:t>’</w:t>
      </w:r>
    </w:p>
    <w:p w:rsidR="00900D64" w:rsidRPr="00D87C40" w:rsidRDefault="00900D64" w:rsidP="00F86315">
      <w:pPr>
        <w:pStyle w:val="Numberbullet0"/>
      </w:pPr>
      <w:r w:rsidRPr="001C3DB9">
        <w:rPr>
          <w:b/>
        </w:rPr>
        <w:t>Case 15</w:t>
      </w:r>
      <w:r w:rsidRPr="00D87C40">
        <w:t xml:space="preserve"> – Cause for hospitalisation unclear in the context of an accidental overdose of DTIC. Some AEs are not listed.</w:t>
      </w:r>
    </w:p>
    <w:p w:rsidR="00900D64" w:rsidRPr="00F86315" w:rsidRDefault="00900D64" w:rsidP="00D87C40">
      <w:pPr>
        <w:rPr>
          <w:i/>
        </w:rPr>
      </w:pPr>
      <w:r w:rsidRPr="00D87C40">
        <w:lastRenderedPageBreak/>
        <w:t>CA184024-</w:t>
      </w:r>
      <w:r w:rsidR="001C3DB9" w:rsidRPr="001C3DB9">
        <w:t>[information redacted]</w:t>
      </w:r>
      <w:r w:rsidR="00F86315">
        <w:t xml:space="preserve"> </w:t>
      </w:r>
      <w:r w:rsidRPr="00F86315">
        <w:rPr>
          <w:i/>
        </w:rPr>
        <w:t>It is unclear if this patient hospitalised due to the vomiting, diarrhoea or the accidental overdose of DTIC. The events of vomiting and diarrhoea are not listed.</w:t>
      </w:r>
    </w:p>
    <w:p w:rsidR="00900D64" w:rsidRPr="00D87C40" w:rsidRDefault="00900D64" w:rsidP="00D87C40">
      <w:r w:rsidRPr="00D87C40">
        <w:t>Event:</w:t>
      </w:r>
    </w:p>
    <w:p w:rsidR="00900D64" w:rsidRPr="00D87C40" w:rsidRDefault="00900D64" w:rsidP="001C3DB9">
      <w:pPr>
        <w:pStyle w:val="ListBullet"/>
      </w:pPr>
      <w:r w:rsidRPr="00D87C40">
        <w:t>Lymphopenia (Grade 3, probably related, Day 506)</w:t>
      </w:r>
    </w:p>
    <w:p w:rsidR="00900D64" w:rsidRPr="00D87C40" w:rsidRDefault="00900D64" w:rsidP="001C3DB9">
      <w:pPr>
        <w:pStyle w:val="ListBullet"/>
      </w:pPr>
      <w:r w:rsidRPr="00D87C40">
        <w:t>Lymphopenia (Grade 4, probably related, Day 507)</w:t>
      </w:r>
    </w:p>
    <w:p w:rsidR="00900D64" w:rsidRPr="00D87C40" w:rsidRDefault="00900D64" w:rsidP="00D87C40">
      <w:proofErr w:type="gramStart"/>
      <w:r w:rsidRPr="00D87C40">
        <w:t>imAR</w:t>
      </w:r>
      <w:proofErr w:type="gramEnd"/>
      <w:r w:rsidRPr="00D87C40">
        <w:t>:</w:t>
      </w:r>
    </w:p>
    <w:p w:rsidR="00900D64" w:rsidRPr="00D87C40" w:rsidRDefault="00900D64" w:rsidP="001C3DB9">
      <w:pPr>
        <w:pStyle w:val="ListBullet"/>
      </w:pPr>
      <w:r w:rsidRPr="00D87C40">
        <w:t>Dermatitis (Gra</w:t>
      </w:r>
      <w:r w:rsidR="00D87C40">
        <w:t>de 2, possibly related, Day 97)</w:t>
      </w:r>
    </w:p>
    <w:p w:rsidR="00900D64" w:rsidRPr="00D87C40" w:rsidRDefault="00900D64" w:rsidP="00D87C40">
      <w:r w:rsidRPr="00D87C40">
        <w:t>On Day 505, 91 days post 11th dose of the study therapy, patient was dosed with 2</w:t>
      </w:r>
      <w:r w:rsidR="00D87C40">
        <w:t>,</w:t>
      </w:r>
      <w:r w:rsidRPr="00D87C40">
        <w:t>320</w:t>
      </w:r>
      <w:r w:rsidR="00851B52" w:rsidRPr="00D87C40">
        <w:t xml:space="preserve"> </w:t>
      </w:r>
      <w:r w:rsidRPr="00D87C40">
        <w:t xml:space="preserve">mg </w:t>
      </w:r>
      <w:r w:rsidR="00851B52" w:rsidRPr="00D87C40">
        <w:t>dacarbazine</w:t>
      </w:r>
      <w:r w:rsidRPr="00D87C40">
        <w:t xml:space="preserve"> instead of </w:t>
      </w:r>
      <w:r w:rsidR="00F22D76" w:rsidRPr="00D87C40">
        <w:t>ipilimumab</w:t>
      </w:r>
      <w:r w:rsidRPr="00D87C40">
        <w:t xml:space="preserve"> due to pharmacy error. The subject developed diarrhoea and vomiting (both Grade 1) as a result of accidental overdose and was hospital</w:t>
      </w:r>
      <w:r w:rsidR="00C91631" w:rsidRPr="00D87C40">
        <w:t>is</w:t>
      </w:r>
      <w:r w:rsidRPr="00D87C40">
        <w:t>ed.</w:t>
      </w:r>
      <w:r w:rsidR="00F86315">
        <w:t xml:space="preserve"> </w:t>
      </w:r>
      <w:r w:rsidRPr="00D87C40">
        <w:t>Metoclopramide was given for the event. The study therapy was interrupted due to the event. The events of diarrhoea and vomiting resolved on the same day. While hospital</w:t>
      </w:r>
      <w:r w:rsidR="00C91631" w:rsidRPr="00D87C40">
        <w:t>is</w:t>
      </w:r>
      <w:r w:rsidRPr="00D87C40">
        <w:t>ed on Day 506, she was noted to have lymphopenia (Grade 3) and pyrexia (Grade 1). Filgrastim was given for the event. On Day 507, the event of lymphopenia worsened from Grade 3 to Grade 4.</w:t>
      </w:r>
      <w:r w:rsidR="00C108F1" w:rsidRPr="00D87C40">
        <w:t>’</w:t>
      </w:r>
    </w:p>
    <w:p w:rsidR="00900D64" w:rsidRPr="00D87C40" w:rsidRDefault="00900D64" w:rsidP="00F86315">
      <w:pPr>
        <w:pStyle w:val="Numberbullet0"/>
      </w:pPr>
      <w:r w:rsidRPr="001C3DB9">
        <w:rPr>
          <w:b/>
        </w:rPr>
        <w:t>Case 16</w:t>
      </w:r>
      <w:r w:rsidRPr="00D87C40">
        <w:t xml:space="preserve"> – patient was hospitalised for diarrhoea but </w:t>
      </w:r>
      <w:r w:rsidR="00F86315">
        <w:t>the event is annotated as Gr 2.</w:t>
      </w:r>
    </w:p>
    <w:p w:rsidR="00900D64" w:rsidRPr="00D87C40" w:rsidRDefault="001C3DB9" w:rsidP="00D87C40">
      <w:r>
        <w:t>CA184024</w:t>
      </w:r>
      <w:r w:rsidRPr="001C3DB9">
        <w:t>-[information redacted]</w:t>
      </w:r>
    </w:p>
    <w:p w:rsidR="00900D64" w:rsidRPr="00D87C40" w:rsidRDefault="00C108F1" w:rsidP="00D87C40">
      <w:r w:rsidRPr="00D87C40">
        <w:t>‘</w:t>
      </w:r>
      <w:r w:rsidR="00900D64" w:rsidRPr="00D87C40">
        <w:t>Event:</w:t>
      </w:r>
    </w:p>
    <w:p w:rsidR="00900D64" w:rsidRPr="00D87C40" w:rsidRDefault="00900D64" w:rsidP="001C3DB9">
      <w:pPr>
        <w:pStyle w:val="ListBullet"/>
      </w:pPr>
      <w:r w:rsidRPr="00D87C40">
        <w:t>Tumor haemorrhage (Grade 3, not likely related, Day 4)</w:t>
      </w:r>
    </w:p>
    <w:p w:rsidR="00900D64" w:rsidRPr="00D87C40" w:rsidRDefault="00900D64" w:rsidP="001C3DB9">
      <w:pPr>
        <w:pStyle w:val="ListBullet"/>
      </w:pPr>
      <w:r w:rsidRPr="00D87C40">
        <w:t>Groin infection (Grade 3, not likely related, Day 5)</w:t>
      </w:r>
    </w:p>
    <w:p w:rsidR="00900D64" w:rsidRPr="00D87C40" w:rsidRDefault="00900D64" w:rsidP="001C3DB9">
      <w:pPr>
        <w:pStyle w:val="ListBullet"/>
      </w:pPr>
      <w:r w:rsidRPr="00D87C40">
        <w:t>Groin infection (Grade 3, not likely related, Day 17)</w:t>
      </w:r>
    </w:p>
    <w:p w:rsidR="00900D64" w:rsidRPr="00D87C40" w:rsidRDefault="00900D64" w:rsidP="001C3DB9">
      <w:pPr>
        <w:pStyle w:val="ListBullet"/>
      </w:pPr>
      <w:r w:rsidRPr="00D87C40">
        <w:t>Diarrhoea (Grade 2, probably related, Day 31)</w:t>
      </w:r>
    </w:p>
    <w:p w:rsidR="00900D64" w:rsidRPr="00D87C40" w:rsidRDefault="00900D64" w:rsidP="001C3DB9">
      <w:pPr>
        <w:pStyle w:val="ListBullet"/>
      </w:pPr>
      <w:r w:rsidRPr="00D87C40">
        <w:t>Neutropenia (Grade 4, possibly related, Day 74)</w:t>
      </w:r>
    </w:p>
    <w:p w:rsidR="00900D64" w:rsidRPr="00D87C40" w:rsidRDefault="00900D64" w:rsidP="001C3DB9">
      <w:pPr>
        <w:pStyle w:val="ListBullet"/>
      </w:pPr>
      <w:r w:rsidRPr="00D87C40">
        <w:t>Pleural effusion (Grade 3, not likely related, Day 87)</w:t>
      </w:r>
    </w:p>
    <w:p w:rsidR="00900D64" w:rsidRPr="00D87C40" w:rsidRDefault="00900D64" w:rsidP="001C3DB9">
      <w:pPr>
        <w:pStyle w:val="ListBullet"/>
      </w:pPr>
      <w:r w:rsidRPr="00D87C40">
        <w:t>Disease progression (Grade 5, not related, Day 115)</w:t>
      </w:r>
    </w:p>
    <w:p w:rsidR="00900D64" w:rsidRPr="00D87C40" w:rsidRDefault="00900D64" w:rsidP="00D87C40">
      <w:proofErr w:type="gramStart"/>
      <w:r w:rsidRPr="00D87C40">
        <w:t>imAR</w:t>
      </w:r>
      <w:proofErr w:type="gramEnd"/>
      <w:r w:rsidRPr="00D87C40">
        <w:t>:</w:t>
      </w:r>
    </w:p>
    <w:p w:rsidR="00900D64" w:rsidRPr="00D87C40" w:rsidRDefault="00900D64" w:rsidP="001C3DB9">
      <w:pPr>
        <w:pStyle w:val="ListBullet"/>
      </w:pPr>
      <w:r w:rsidRPr="00D87C40">
        <w:t>Enterocolitis (Grade 2, probably related, Day 26)</w:t>
      </w:r>
    </w:p>
    <w:p w:rsidR="009D28A9" w:rsidRPr="009D28A9" w:rsidRDefault="00D87C40" w:rsidP="009D28A9">
      <w:r>
        <w:t>On Day 26</w:t>
      </w:r>
      <w:r w:rsidR="00900D64" w:rsidRPr="00D87C40">
        <w:t>, 1 day post 2nd dose of study t</w:t>
      </w:r>
      <w:r>
        <w:t xml:space="preserve">herapy, the subject experienced </w:t>
      </w:r>
      <w:r w:rsidR="00900D64" w:rsidRPr="00D87C40">
        <w:t>diarrhoea (Grade 2), with 4 watery stools per day. On Day 31, the frequency increased to 6 bowel movements per day and she was hospital</w:t>
      </w:r>
      <w:r w:rsidR="00C91631" w:rsidRPr="00D87C40">
        <w:t>is</w:t>
      </w:r>
      <w:r w:rsidR="00900D64" w:rsidRPr="00D87C40">
        <w:t xml:space="preserve">ed. The event was treated with acetorphan from Day 29 to Day </w:t>
      </w:r>
      <w:proofErr w:type="gramStart"/>
      <w:r w:rsidR="00900D64" w:rsidRPr="00D87C40">
        <w:t>33</w:t>
      </w:r>
      <w:r>
        <w:t>,</w:t>
      </w:r>
      <w:proofErr w:type="gramEnd"/>
      <w:r>
        <w:t xml:space="preserve"> diosmectite from Day 32</w:t>
      </w:r>
      <w:r w:rsidR="00900D64" w:rsidRPr="00D87C40">
        <w:t xml:space="preserve"> to Day 37, and on Day 33, budesonide (dosage unavailable) was also introduced. No action was taken with regard to the study therapy. Diarrhoea resolved on Day 33 and she was discharged on the same day. The investigator considered that the event of diarrhoea was probably related to the </w:t>
      </w:r>
      <w:r w:rsidR="00F22D76" w:rsidRPr="00D87C40">
        <w:t>ipilimumab</w:t>
      </w:r>
      <w:r w:rsidR="00900D64" w:rsidRPr="00D87C40">
        <w:t xml:space="preserve"> and </w:t>
      </w:r>
      <w:r w:rsidR="00851B52" w:rsidRPr="00D87C40">
        <w:t>dacarbazine</w:t>
      </w:r>
      <w:r w:rsidR="00900D64" w:rsidRPr="00D87C40">
        <w:t xml:space="preserve"> study therapy.</w:t>
      </w:r>
      <w:r w:rsidR="00C108F1" w:rsidRPr="00D87C40">
        <w:t>’</w:t>
      </w:r>
    </w:p>
    <w:p w:rsidR="009D28A9" w:rsidRPr="009D28A9" w:rsidRDefault="009D28A9" w:rsidP="00F86315">
      <w:pPr>
        <w:pStyle w:val="Numberbullet0"/>
      </w:pPr>
      <w:r w:rsidRPr="009D28A9">
        <w:rPr>
          <w:b/>
        </w:rPr>
        <w:t>Case 17</w:t>
      </w:r>
      <w:r w:rsidRPr="009D28A9">
        <w:t xml:space="preserve"> – the patient was hospitalised for colitis and diarrhoea. Grading does not reflect this. Pancreatitis is not listed.</w:t>
      </w:r>
    </w:p>
    <w:p w:rsidR="009D28A9" w:rsidRPr="009D28A9" w:rsidRDefault="009D28A9" w:rsidP="009D28A9">
      <w:r w:rsidRPr="009D28A9">
        <w:t>CA184024 -</w:t>
      </w:r>
      <w:r w:rsidR="00C22CAE">
        <w:t xml:space="preserve"> </w:t>
      </w:r>
      <w:r w:rsidRPr="009D28A9">
        <w:t>[information redacted]</w:t>
      </w:r>
      <w:r>
        <w:t xml:space="preserve">. </w:t>
      </w:r>
      <w:r w:rsidRPr="00F86315">
        <w:rPr>
          <w:i/>
        </w:rPr>
        <w:t xml:space="preserve">Patient was hospitalised for colitis/diarrhoea. Neither of these events </w:t>
      </w:r>
      <w:proofErr w:type="gramStart"/>
      <w:r w:rsidRPr="00F86315">
        <w:rPr>
          <w:i/>
        </w:rPr>
        <w:t>are</w:t>
      </w:r>
      <w:proofErr w:type="gramEnd"/>
      <w:r w:rsidRPr="00F86315">
        <w:rPr>
          <w:i/>
        </w:rPr>
        <w:t xml:space="preserve"> graded as Gr 3 events. The elevated lipase (pancreatitis) was not listed.</w:t>
      </w:r>
    </w:p>
    <w:p w:rsidR="009D28A9" w:rsidRPr="009D28A9" w:rsidRDefault="00F86315" w:rsidP="009D28A9">
      <w:r>
        <w:t>“</w:t>
      </w:r>
      <w:r w:rsidR="009D28A9" w:rsidRPr="009D28A9">
        <w:t>Event:</w:t>
      </w:r>
    </w:p>
    <w:p w:rsidR="009D28A9" w:rsidRPr="009D28A9" w:rsidRDefault="009D28A9" w:rsidP="009D28A9">
      <w:pPr>
        <w:pStyle w:val="ListBullet"/>
      </w:pPr>
      <w:r w:rsidRPr="009D28A9">
        <w:t>Colitis (Grade 2, probably related, Day 64)</w:t>
      </w:r>
    </w:p>
    <w:p w:rsidR="009D28A9" w:rsidRPr="009D28A9" w:rsidRDefault="009D28A9" w:rsidP="009D28A9">
      <w:pPr>
        <w:pStyle w:val="ListBullet"/>
      </w:pPr>
      <w:r w:rsidRPr="009D28A9">
        <w:t>Alanine aminotransferase increased (Grade 3, probably related, Day 64)</w:t>
      </w:r>
    </w:p>
    <w:p w:rsidR="009D28A9" w:rsidRPr="009D28A9" w:rsidRDefault="009D28A9" w:rsidP="009D28A9">
      <w:pPr>
        <w:pStyle w:val="ListBullet"/>
      </w:pPr>
      <w:r w:rsidRPr="009D28A9">
        <w:t>Aspartate aminotransferase increased (Grade 2, probably related, Day 64)</w:t>
      </w:r>
    </w:p>
    <w:p w:rsidR="009D28A9" w:rsidRPr="009D28A9" w:rsidRDefault="009D28A9" w:rsidP="009D28A9">
      <w:proofErr w:type="gramStart"/>
      <w:r w:rsidRPr="009D28A9">
        <w:lastRenderedPageBreak/>
        <w:t>imAR</w:t>
      </w:r>
      <w:proofErr w:type="gramEnd"/>
      <w:r w:rsidRPr="009D28A9">
        <w:t>:</w:t>
      </w:r>
    </w:p>
    <w:p w:rsidR="009D28A9" w:rsidRPr="009D28A9" w:rsidRDefault="009D28A9" w:rsidP="009D28A9">
      <w:pPr>
        <w:pStyle w:val="ListBullet"/>
      </w:pPr>
      <w:r w:rsidRPr="009D28A9">
        <w:t>Hepatitis (Earliest onset any Grade: Day 64 , Worst Grade: 3)</w:t>
      </w:r>
    </w:p>
    <w:p w:rsidR="009D28A9" w:rsidRPr="009D28A9" w:rsidRDefault="009D28A9" w:rsidP="009D28A9">
      <w:pPr>
        <w:pStyle w:val="ListBullet"/>
      </w:pPr>
      <w:r w:rsidRPr="009D28A9">
        <w:t>Colitis (Grade 2, probably related, Day 64)</w:t>
      </w:r>
    </w:p>
    <w:p w:rsidR="009D28A9" w:rsidRPr="009D28A9" w:rsidRDefault="009D28A9" w:rsidP="009D28A9">
      <w:pPr>
        <w:pStyle w:val="ListBullet"/>
      </w:pPr>
      <w:r w:rsidRPr="009D28A9">
        <w:t>Diarrhoea (Grade 2, probably related, Day 29)</w:t>
      </w:r>
    </w:p>
    <w:p w:rsidR="009D28A9" w:rsidRPr="009D28A9" w:rsidRDefault="009D28A9" w:rsidP="009D28A9">
      <w:r w:rsidRPr="009D28A9">
        <w:t>On Day 64, 21 days post 3rd dose of study therapy, the subject was hospital</w:t>
      </w:r>
      <w:r w:rsidR="001A330A">
        <w:t>ise</w:t>
      </w:r>
      <w:r w:rsidRPr="009D28A9">
        <w:t>d due to colitis (Grade 2). On the day of hospitalization he reported with a history of five loose stools per day with abdominal pain onset Day 43. A computed tomography (CT) revealed increase in number and size of lower lobe pneumonitis pulmonary nodules, hepatic segment with lesion; splenic metastases. He had flexible sigmoidoscopy that documented colitis. Laboratory tests on the same day revealed alanine aminotransferase (ALT) increased (Grade 3) and aspartate aminotransferase (AST) increased (Grade 2). A baseline spiral CT, Day -</w:t>
      </w:r>
      <w:r>
        <w:t>14</w:t>
      </w:r>
      <w:r w:rsidRPr="009D28A9">
        <w:t xml:space="preserve">, </w:t>
      </w:r>
      <w:r>
        <w:t>revealed multiple liver lesions.</w:t>
      </w:r>
    </w:p>
    <w:p w:rsidR="009D28A9" w:rsidRPr="009D28A9" w:rsidRDefault="009D28A9" w:rsidP="009D28A9">
      <w:r w:rsidRPr="009D28A9">
        <w:t xml:space="preserve">He was started on methylprednisolone sodium succinate (dose not available). On </w:t>
      </w:r>
      <w:r>
        <w:t>Day 64</w:t>
      </w:r>
      <w:r w:rsidRPr="009D28A9">
        <w:t xml:space="preserve">, elevated lipase was reported at 64 U/L (Grade 1) and considered as an inflammatory event. He also had increase lactate dehydrogenase (LDH) at 317 U/L (baseline: 170 U/L; </w:t>
      </w:r>
      <w:r>
        <w:t xml:space="preserve">normal: </w:t>
      </w:r>
      <w:proofErr w:type="gramStart"/>
      <w:r>
        <w:t xml:space="preserve">135 to </w:t>
      </w:r>
      <w:r w:rsidRPr="009D28A9">
        <w:t>225 U/L</w:t>
      </w:r>
      <w:proofErr w:type="gramEnd"/>
      <w:r w:rsidRPr="009D28A9">
        <w:t xml:space="preserve">). The elevated lipase resolved on the same day. Laboratory value on </w:t>
      </w:r>
      <w:r>
        <w:t>Day 64</w:t>
      </w:r>
      <w:r w:rsidRPr="009D28A9">
        <w:t xml:space="preserve"> for total bilirubin was 1.1 mg/dL (b</w:t>
      </w:r>
      <w:r>
        <w:t xml:space="preserve">aseline: 0.3 mg/dL; normal: 6.2 to </w:t>
      </w:r>
      <w:r w:rsidRPr="009D28A9">
        <w:t xml:space="preserve">8.3 mg/dL). Smooth muscle antibody was negative. </w:t>
      </w:r>
      <w:proofErr w:type="gramStart"/>
      <w:r w:rsidRPr="009D28A9">
        <w:t>The next day, o</w:t>
      </w:r>
      <w:r>
        <w:t>n Day 65</w:t>
      </w:r>
      <w:r w:rsidRPr="009D28A9">
        <w:t>, laboratory value for total bilirubin was reduced to 0.8 mg/dL.</w:t>
      </w:r>
      <w:proofErr w:type="gramEnd"/>
      <w:r w:rsidRPr="009D28A9">
        <w:t xml:space="preserve"> Stool cultures and hepatitis profile were negative. On </w:t>
      </w:r>
      <w:r>
        <w:t>Day 66</w:t>
      </w:r>
      <w:r w:rsidRPr="009D28A9">
        <w:t>, colitis resolved and increased AST improved from Grade 2 to Grade 1. The event elevated ALT improved to</w:t>
      </w:r>
      <w:r>
        <w:t xml:space="preserve"> Grade 2 on Day 67</w:t>
      </w:r>
      <w:r w:rsidRPr="009D28A9">
        <w:t xml:space="preserve"> and he was discharged from the hospital on the same day. The methylprednisolone was replaced to 10 mg prednisone. On </w:t>
      </w:r>
      <w:r>
        <w:t>Day 71</w:t>
      </w:r>
      <w:r w:rsidRPr="009D28A9">
        <w:t>, the event ALT increased further improved to Grade 1. His LDH remained elevated at 202 U/L. The diarrhoea resolved on</w:t>
      </w:r>
      <w:r>
        <w:t xml:space="preserve"> Day 81</w:t>
      </w:r>
      <w:r w:rsidRPr="009D28A9">
        <w:t xml:space="preserve"> and ALT increased resolved on </w:t>
      </w:r>
      <w:r>
        <w:t>Day 85.</w:t>
      </w:r>
      <w:r w:rsidRPr="009D28A9">
        <w:t xml:space="preserve"> As a result of these events the dose 4 of study therapy was skipped.</w:t>
      </w:r>
    </w:p>
    <w:p w:rsidR="009D28A9" w:rsidRPr="009D28A9" w:rsidRDefault="009D28A9" w:rsidP="009D28A9">
      <w:r w:rsidRPr="009D28A9">
        <w:t xml:space="preserve">The investigator considered that the events of colitis, alanine aminotransferase increased and aspartate aminotransferase increased were probably related to the </w:t>
      </w:r>
      <w:r w:rsidR="00A60A6A">
        <w:t>ipilimumab</w:t>
      </w:r>
      <w:r w:rsidRPr="009D28A9">
        <w:t xml:space="preserve"> and Dacarbazine study therapy.”</w:t>
      </w:r>
    </w:p>
    <w:p w:rsidR="009D28A9" w:rsidRPr="009D28A9" w:rsidRDefault="009D28A9" w:rsidP="00F86315">
      <w:pPr>
        <w:pStyle w:val="Numberbullet0"/>
      </w:pPr>
      <w:r w:rsidRPr="009D28A9">
        <w:rPr>
          <w:b/>
        </w:rPr>
        <w:t>Case 18</w:t>
      </w:r>
      <w:r>
        <w:t>.</w:t>
      </w:r>
      <w:r w:rsidRPr="009D28A9">
        <w:t xml:space="preserve"> Patient had up to diarrhoea up to 18 times day but the event is not listed. The patient had Gr3 proctitis but the event is not listed as an imAR though listed as an event.</w:t>
      </w:r>
    </w:p>
    <w:p w:rsidR="009D28A9" w:rsidRPr="009D28A9" w:rsidRDefault="00F86315" w:rsidP="009D28A9">
      <w:r>
        <w:t xml:space="preserve">CA184024 </w:t>
      </w:r>
      <w:r w:rsidR="009D28A9" w:rsidRPr="009D28A9">
        <w:t>[information redacted]</w:t>
      </w:r>
    </w:p>
    <w:p w:rsidR="009D28A9" w:rsidRPr="009D28A9" w:rsidRDefault="009D28A9" w:rsidP="009D28A9">
      <w:r w:rsidRPr="009D28A9">
        <w:t>“Event:</w:t>
      </w:r>
    </w:p>
    <w:p w:rsidR="009D28A9" w:rsidRPr="009D28A9" w:rsidRDefault="009D28A9" w:rsidP="009D28A9">
      <w:pPr>
        <w:pStyle w:val="ListBullet"/>
      </w:pPr>
      <w:r w:rsidRPr="009D28A9">
        <w:t>Pancreatitis (Grade 2, certainly related, Day 35)</w:t>
      </w:r>
    </w:p>
    <w:p w:rsidR="009D28A9" w:rsidRPr="009D28A9" w:rsidRDefault="009D28A9" w:rsidP="009D28A9">
      <w:pPr>
        <w:pStyle w:val="ListBullet"/>
      </w:pPr>
      <w:r w:rsidRPr="009D28A9">
        <w:t>Hyponatremia (Grade 3, not related, Day 35)</w:t>
      </w:r>
    </w:p>
    <w:p w:rsidR="009D28A9" w:rsidRPr="009D28A9" w:rsidRDefault="009D28A9" w:rsidP="009D28A9">
      <w:pPr>
        <w:pStyle w:val="ListBullet"/>
      </w:pPr>
      <w:r w:rsidRPr="009D28A9">
        <w:t>Proctitis (Grade 3, certainly related, Day 36)</w:t>
      </w:r>
    </w:p>
    <w:p w:rsidR="009D28A9" w:rsidRPr="009D28A9" w:rsidRDefault="009D28A9" w:rsidP="009D28A9">
      <w:proofErr w:type="gramStart"/>
      <w:r w:rsidRPr="009D28A9">
        <w:t>imAR</w:t>
      </w:r>
      <w:proofErr w:type="gramEnd"/>
      <w:r w:rsidRPr="009D28A9">
        <w:t>:</w:t>
      </w:r>
    </w:p>
    <w:p w:rsidR="009D28A9" w:rsidRPr="009D28A9" w:rsidRDefault="009D28A9" w:rsidP="009D28A9">
      <w:pPr>
        <w:pStyle w:val="ListBullet"/>
      </w:pPr>
      <w:r w:rsidRPr="009D28A9">
        <w:t>Pancreatitis (Grade 2, certainly related, Day 35)</w:t>
      </w:r>
    </w:p>
    <w:p w:rsidR="009D28A9" w:rsidRPr="009D28A9" w:rsidRDefault="009D28A9" w:rsidP="009D28A9">
      <w:r w:rsidRPr="009D28A9">
        <w:t>On the same day, during hospitalization he reported diarrhoea up to 18 times a day and he was also noted to have hyponatremia (Grade 3). The cause of the hyponatremia was indicated that it might be a secondary event of di</w:t>
      </w:r>
      <w:r>
        <w:t>arrhoea. On Day 36</w:t>
      </w:r>
      <w:r w:rsidRPr="009D28A9">
        <w:t xml:space="preserve">, he was diagnosed with proctitis (Grade 3). He was treated with insertion of a naso-gastric probe, pargeverine, NSAID, analgesics, and hydration. He received glucose and saline solution, potassium chloride, sulfate magnesium and omeprazole for the event of pancreatitis. During hospitalization he also received methylprednisolone (dose not available) </w:t>
      </w:r>
      <w:r>
        <w:t>from Day 44 to Day 50</w:t>
      </w:r>
      <w:r w:rsidRPr="009D28A9">
        <w:t xml:space="preserve"> and Saccharomyces boulardii. On </w:t>
      </w:r>
      <w:r>
        <w:t>Day 61</w:t>
      </w:r>
      <w:r w:rsidRPr="009D28A9">
        <w:t xml:space="preserve"> he was discontinued from the study due to pancreatitis, hyponatremia and proctitis.</w:t>
      </w:r>
    </w:p>
    <w:p w:rsidR="009D28A9" w:rsidRPr="009D28A9" w:rsidRDefault="009D28A9" w:rsidP="009D28A9">
      <w:r>
        <w:lastRenderedPageBreak/>
        <w:t>On Day 37</w:t>
      </w:r>
      <w:r w:rsidRPr="009D28A9">
        <w:t>, the symptoms improved and he did not have any pain or hemodynamic changes. Other laboratory values on the same day were: aspartate aminotransferase (AST) 33 U/L</w:t>
      </w:r>
      <w:r>
        <w:t xml:space="preserve"> </w:t>
      </w:r>
      <w:r w:rsidRPr="009D28A9">
        <w:t>(normal</w:t>
      </w:r>
      <w:r>
        <w:t xml:space="preserve">: 17 to </w:t>
      </w:r>
      <w:r w:rsidRPr="009D28A9">
        <w:t>59 U/L), alanine aminotran</w:t>
      </w:r>
      <w:r>
        <w:t xml:space="preserve">sferase (ALT) 35 U/L (normal: 9 to </w:t>
      </w:r>
      <w:r w:rsidRPr="009D28A9">
        <w:t>52 U/L), gamma glutamyl</w:t>
      </w:r>
      <w:r>
        <w:t xml:space="preserve"> </w:t>
      </w:r>
      <w:r w:rsidRPr="009D28A9">
        <w:t xml:space="preserve">transferase (GGT) 108 U/L (normal value not available), alkaline phosphatase (ALP) 147 U/L (normal: </w:t>
      </w:r>
      <w:r>
        <w:t xml:space="preserve">38 to </w:t>
      </w:r>
      <w:r w:rsidRPr="009D28A9">
        <w:t>126 U/L), white blood cell (WBC) count was 10</w:t>
      </w:r>
      <w:r w:rsidR="00272530">
        <w:t xml:space="preserve"> </w:t>
      </w:r>
      <w:r w:rsidRPr="009D28A9">
        <w:t>x</w:t>
      </w:r>
      <w:r w:rsidR="00272530">
        <w:t xml:space="preserve"> </w:t>
      </w:r>
      <w:r w:rsidRPr="009D28A9">
        <w:t>10</w:t>
      </w:r>
      <w:r w:rsidRPr="009D28A9">
        <w:rPr>
          <w:vertAlign w:val="superscript"/>
        </w:rPr>
        <w:t>3</w:t>
      </w:r>
      <w:r w:rsidRPr="009D28A9">
        <w:t xml:space="preserve"> c/</w:t>
      </w:r>
      <w:r w:rsidR="00F37FC0">
        <w:t>µ</w:t>
      </w:r>
      <w:r w:rsidRPr="009D28A9">
        <w:t xml:space="preserve">L (normal: </w:t>
      </w:r>
      <w:r>
        <w:t xml:space="preserve">4.5 to </w:t>
      </w:r>
      <w:r w:rsidRPr="009D28A9">
        <w:t>11</w:t>
      </w:r>
      <w:r w:rsidR="00272530">
        <w:t xml:space="preserve"> </w:t>
      </w:r>
      <w:r w:rsidRPr="009D28A9">
        <w:t>x</w:t>
      </w:r>
      <w:r w:rsidR="00272530">
        <w:t xml:space="preserve"> </w:t>
      </w:r>
      <w:r w:rsidRPr="009D28A9">
        <w:t>10</w:t>
      </w:r>
      <w:r w:rsidRPr="009D28A9">
        <w:rPr>
          <w:vertAlign w:val="superscript"/>
        </w:rPr>
        <w:t>3</w:t>
      </w:r>
      <w:r w:rsidRPr="009D28A9">
        <w:t xml:space="preserve"> c/</w:t>
      </w:r>
      <w:r w:rsidR="00F37FC0">
        <w:t>µ</w:t>
      </w:r>
      <w:r w:rsidRPr="009D28A9">
        <w:t>L), and 70% se</w:t>
      </w:r>
      <w:r>
        <w:t xml:space="preserve">gmented neutrophils (normal: 44 to </w:t>
      </w:r>
      <w:r w:rsidRPr="009D28A9">
        <w:t>72%). Fecal leukocytes were positive on Day 41. The diarrhoea was 6 to 8 times per day on Day 44, and reduced to 2 times per day on Day 46. His cort</w:t>
      </w:r>
      <w:r w:rsidR="00272530">
        <w:t xml:space="preserve">isol level was normal on Day 46 (7.39 </w:t>
      </w:r>
      <w:r w:rsidR="00F37FC0">
        <w:t>µ</w:t>
      </w:r>
      <w:r w:rsidR="00272530">
        <w:t>g/dL; Normal range 6 to 28 </w:t>
      </w:r>
      <w:r w:rsidR="00F37FC0">
        <w:t>µ</w:t>
      </w:r>
      <w:r w:rsidRPr="009D28A9">
        <w:t>g/dL). He took prednisone 50 mg</w:t>
      </w:r>
      <w:r>
        <w:t xml:space="preserve"> daily from Day 49</w:t>
      </w:r>
      <w:r w:rsidRPr="009D28A9">
        <w:t>. A tapering dose of prednisone 25 mg was followed by 15 mg, then 10 mg and then 5 mg. The event of hyponatremia resolved</w:t>
      </w:r>
      <w:r>
        <w:t xml:space="preserve"> on Day 49</w:t>
      </w:r>
      <w:r w:rsidR="007668F4">
        <w:t>.</w:t>
      </w:r>
      <w:r w:rsidRPr="009D28A9">
        <w:t xml:space="preserve"> The events of proctitis and pancreatitis were considered as resolved </w:t>
      </w:r>
      <w:r w:rsidR="007668F4">
        <w:t>on Day 50</w:t>
      </w:r>
      <w:r w:rsidRPr="009D28A9">
        <w:t xml:space="preserve"> and he was discharged on the same day with a follow-up enzyme evaluations scheduled on the following week. The last dose of prednisone wa</w:t>
      </w:r>
      <w:r w:rsidR="007668F4">
        <w:t xml:space="preserve">s on Day 91 </w:t>
      </w:r>
      <w:r w:rsidRPr="009D28A9">
        <w:t>(exact date for prednisone tapering not available)</w:t>
      </w:r>
      <w:r w:rsidR="007668F4">
        <w:t>.</w:t>
      </w:r>
    </w:p>
    <w:p w:rsidR="009D28A9" w:rsidRPr="009D28A9" w:rsidRDefault="009D28A9" w:rsidP="009D28A9">
      <w:r w:rsidRPr="009D28A9">
        <w:t xml:space="preserve">The investigator considered that the event of hyponatremia was not related and pancreatitis and proctitis were certainly related to the </w:t>
      </w:r>
      <w:r w:rsidR="00A60A6A">
        <w:t>ipilimumab</w:t>
      </w:r>
      <w:r w:rsidRPr="009D28A9">
        <w:t xml:space="preserve"> and Dacarbazine study therapy.</w:t>
      </w:r>
      <w:r w:rsidR="00272530">
        <w:t>”</w:t>
      </w:r>
    </w:p>
    <w:p w:rsidR="009D28A9" w:rsidRPr="009D28A9" w:rsidRDefault="009D28A9" w:rsidP="00272530">
      <w:pPr>
        <w:pStyle w:val="Numberbullet0"/>
      </w:pPr>
      <w:r w:rsidRPr="007668F4">
        <w:rPr>
          <w:b/>
        </w:rPr>
        <w:t>Case 19</w:t>
      </w:r>
      <w:r w:rsidRPr="009D28A9">
        <w:t xml:space="preserve"> – the event of diarrhoea is not listed.</w:t>
      </w:r>
    </w:p>
    <w:p w:rsidR="009D28A9" w:rsidRPr="009D28A9" w:rsidRDefault="00272530" w:rsidP="009D28A9">
      <w:r>
        <w:t xml:space="preserve">CA184024 </w:t>
      </w:r>
      <w:r w:rsidR="007668F4" w:rsidRPr="007668F4">
        <w:t>[information redacted]</w:t>
      </w:r>
    </w:p>
    <w:p w:rsidR="009D28A9" w:rsidRPr="009D28A9" w:rsidRDefault="009D28A9" w:rsidP="009D28A9">
      <w:r w:rsidRPr="009D28A9">
        <w:t>“Event:</w:t>
      </w:r>
    </w:p>
    <w:p w:rsidR="009D28A9" w:rsidRPr="009D28A9" w:rsidRDefault="009D28A9" w:rsidP="007668F4">
      <w:pPr>
        <w:pStyle w:val="ListBullet"/>
      </w:pPr>
      <w:r w:rsidRPr="009D28A9">
        <w:t>Pyrexia (Grade 2, possibly related, Day 7)</w:t>
      </w:r>
    </w:p>
    <w:p w:rsidR="009D28A9" w:rsidRPr="009D28A9" w:rsidRDefault="009D28A9" w:rsidP="007668F4">
      <w:pPr>
        <w:pStyle w:val="ListBullet"/>
      </w:pPr>
      <w:r w:rsidRPr="009D28A9">
        <w:t>Exfoliative Rash (Grade 2, not related, Day 7)</w:t>
      </w:r>
    </w:p>
    <w:p w:rsidR="009D28A9" w:rsidRPr="009D28A9" w:rsidRDefault="009D28A9" w:rsidP="007668F4">
      <w:pPr>
        <w:pStyle w:val="ListBullet"/>
      </w:pPr>
      <w:r w:rsidRPr="009D28A9">
        <w:t>Tumour pain (Grade 2, not related, Day 33)</w:t>
      </w:r>
    </w:p>
    <w:p w:rsidR="009D28A9" w:rsidRPr="009D28A9" w:rsidRDefault="009D28A9" w:rsidP="007668F4">
      <w:pPr>
        <w:pStyle w:val="ListBullet"/>
      </w:pPr>
      <w:r w:rsidRPr="009D28A9">
        <w:t>Disease progression (Grade 5, not related, Day 57)</w:t>
      </w:r>
    </w:p>
    <w:p w:rsidR="009D28A9" w:rsidRPr="009D28A9" w:rsidRDefault="009D28A9" w:rsidP="009D28A9">
      <w:proofErr w:type="gramStart"/>
      <w:r w:rsidRPr="009D28A9">
        <w:t>imAR</w:t>
      </w:r>
      <w:proofErr w:type="gramEnd"/>
      <w:r w:rsidRPr="009D28A9">
        <w:t>:</w:t>
      </w:r>
    </w:p>
    <w:p w:rsidR="009D28A9" w:rsidRPr="009D28A9" w:rsidRDefault="009D28A9" w:rsidP="007668F4">
      <w:pPr>
        <w:pStyle w:val="ListBullet"/>
      </w:pPr>
      <w:r w:rsidRPr="009D28A9">
        <w:t>Endocrinopathy (Grade 2, probably related, Day 24)</w:t>
      </w:r>
    </w:p>
    <w:p w:rsidR="009D28A9" w:rsidRPr="009D28A9" w:rsidRDefault="009D28A9" w:rsidP="009D28A9">
      <w:r w:rsidRPr="009D28A9">
        <w:t>On Day 24 of the study the patient presented with Grade 2 diarrhoea. Treatment was given and no action was taken on study drug as a result of the event.”</w:t>
      </w:r>
    </w:p>
    <w:p w:rsidR="009D28A9" w:rsidRPr="009D28A9" w:rsidRDefault="009D28A9" w:rsidP="007668F4">
      <w:pPr>
        <w:pStyle w:val="Numberbullet0"/>
      </w:pPr>
      <w:r w:rsidRPr="007668F4">
        <w:rPr>
          <w:b/>
        </w:rPr>
        <w:t>Case 20</w:t>
      </w:r>
      <w:r w:rsidRPr="009D28A9">
        <w:t xml:space="preserve"> – Cause for hospitalisation unclear and grading of event/s leading to hospitalisation (possible study related Gr4 event).</w:t>
      </w:r>
    </w:p>
    <w:p w:rsidR="009D28A9" w:rsidRPr="009D28A9" w:rsidRDefault="009D28A9" w:rsidP="009D28A9">
      <w:r w:rsidRPr="009D28A9">
        <w:t>CA184024-</w:t>
      </w:r>
      <w:r w:rsidR="007668F4" w:rsidRPr="007668F4">
        <w:t>[information redacted]</w:t>
      </w:r>
      <w:r w:rsidR="00272530">
        <w:t xml:space="preserve"> </w:t>
      </w:r>
      <w:proofErr w:type="gramStart"/>
      <w:r w:rsidRPr="00272530">
        <w:rPr>
          <w:i/>
        </w:rPr>
        <w:t>Which</w:t>
      </w:r>
      <w:proofErr w:type="gramEnd"/>
      <w:r w:rsidRPr="00272530">
        <w:rPr>
          <w:i/>
        </w:rPr>
        <w:t xml:space="preserve"> event caused the patient's hospitalisation? Is the grading sufficient? For example, if it was secondary to the confusional state, this would be a grade 4 event.</w:t>
      </w:r>
    </w:p>
    <w:p w:rsidR="009D28A9" w:rsidRPr="009D28A9" w:rsidRDefault="00272530" w:rsidP="009D28A9">
      <w:r>
        <w:t>“</w:t>
      </w:r>
      <w:r w:rsidR="009D28A9" w:rsidRPr="009D28A9">
        <w:t>Event:</w:t>
      </w:r>
    </w:p>
    <w:p w:rsidR="009D28A9" w:rsidRPr="009D28A9" w:rsidRDefault="009D28A9" w:rsidP="007668F4">
      <w:pPr>
        <w:pStyle w:val="ListBullet"/>
      </w:pPr>
      <w:r w:rsidRPr="009D28A9">
        <w:t>Diarrhoea (Grade 1, probably related, Day 49)</w:t>
      </w:r>
    </w:p>
    <w:p w:rsidR="009D28A9" w:rsidRPr="009D28A9" w:rsidRDefault="009D28A9" w:rsidP="007668F4">
      <w:pPr>
        <w:pStyle w:val="ListBullet"/>
      </w:pPr>
      <w:r w:rsidRPr="009D28A9">
        <w:t>Nausea (Grade 2, probably related, Day 49)</w:t>
      </w:r>
    </w:p>
    <w:p w:rsidR="009D28A9" w:rsidRPr="009D28A9" w:rsidRDefault="009D28A9" w:rsidP="007668F4">
      <w:pPr>
        <w:pStyle w:val="ListBullet"/>
      </w:pPr>
      <w:r w:rsidRPr="009D28A9">
        <w:t>Fatigue (Grade 2, not likely related, Day 49)</w:t>
      </w:r>
    </w:p>
    <w:p w:rsidR="009D28A9" w:rsidRPr="009D28A9" w:rsidRDefault="009D28A9" w:rsidP="007668F4">
      <w:pPr>
        <w:pStyle w:val="ListBullet"/>
      </w:pPr>
      <w:r w:rsidRPr="009D28A9">
        <w:t>Pyrexia (Grade 2, possibly related, Day 49)</w:t>
      </w:r>
    </w:p>
    <w:p w:rsidR="009D28A9" w:rsidRPr="009D28A9" w:rsidRDefault="009D28A9" w:rsidP="007668F4">
      <w:pPr>
        <w:pStyle w:val="ListBullet"/>
      </w:pPr>
      <w:r w:rsidRPr="009D28A9">
        <w:t>Confusional State (Grade 2, probably related, Day 49)</w:t>
      </w:r>
    </w:p>
    <w:p w:rsidR="009D28A9" w:rsidRPr="009D28A9" w:rsidRDefault="009D28A9" w:rsidP="007668F4">
      <w:pPr>
        <w:pStyle w:val="ListBullet"/>
      </w:pPr>
      <w:r w:rsidRPr="009D28A9">
        <w:t>Back pain (Grade 3, not related, Day 139)</w:t>
      </w:r>
    </w:p>
    <w:p w:rsidR="009D28A9" w:rsidRPr="009D28A9" w:rsidRDefault="009D28A9" w:rsidP="007668F4">
      <w:pPr>
        <w:pStyle w:val="ListBullet"/>
      </w:pPr>
      <w:r w:rsidRPr="009D28A9">
        <w:t>Disease Progression (Grade 5, not related, Day 152)</w:t>
      </w:r>
    </w:p>
    <w:p w:rsidR="009D28A9" w:rsidRPr="009D28A9" w:rsidRDefault="009D28A9" w:rsidP="009D28A9">
      <w:proofErr w:type="gramStart"/>
      <w:r w:rsidRPr="009D28A9">
        <w:t>imAR</w:t>
      </w:r>
      <w:proofErr w:type="gramEnd"/>
      <w:r w:rsidRPr="009D28A9">
        <w:t>:</w:t>
      </w:r>
    </w:p>
    <w:p w:rsidR="009D28A9" w:rsidRPr="009D28A9" w:rsidRDefault="009D28A9" w:rsidP="007668F4">
      <w:pPr>
        <w:pStyle w:val="ListBullet"/>
      </w:pPr>
      <w:r w:rsidRPr="009D28A9">
        <w:t>Hepatitis (Earliest onset any Grade: Day 40, Worst Grade: 2)</w:t>
      </w:r>
    </w:p>
    <w:p w:rsidR="009D28A9" w:rsidRPr="009D28A9" w:rsidRDefault="009D28A9" w:rsidP="009D28A9">
      <w:r w:rsidRPr="009D28A9">
        <w:lastRenderedPageBreak/>
        <w:t>On Day 49, 8 days post 3rd dose of study therapy, the subject was hospital</w:t>
      </w:r>
      <w:r w:rsidR="001A330A">
        <w:t>ise</w:t>
      </w:r>
      <w:r w:rsidRPr="009D28A9">
        <w:t xml:space="preserve">d due to increasing fatigue (Grade 2), diarrhoea (Grade 1), nausea (Grade 2), and pyrexia (Grade 2). He also presented with a decline in cognitive function which was reported as confusional state (Grade 2). On </w:t>
      </w:r>
      <w:r w:rsidR="007668F4">
        <w:t>Day 49</w:t>
      </w:r>
      <w:r w:rsidRPr="009D28A9">
        <w:t>, he underwent brain magnetic resonance imaging (MRI) which was normal</w:t>
      </w:r>
      <w:r w:rsidR="00272530">
        <w:t>. Chest </w:t>
      </w:r>
      <w:r w:rsidRPr="009D28A9">
        <w:t>X-ray performed on the same day showed questionable decrease in the size of some of the masses in the right chest. He was treated with methylprednis</w:t>
      </w:r>
      <w:r w:rsidR="007668F4">
        <w:t>olone sodium succinate 125 mg/2 </w:t>
      </w:r>
      <w:r w:rsidRPr="009D28A9">
        <w:t>ml inj</w:t>
      </w:r>
      <w:r w:rsidR="007668F4">
        <w:t>ection from Day 50 until Day 51</w:t>
      </w:r>
      <w:r w:rsidRPr="009D28A9">
        <w:t xml:space="preserve">, ibuprofen, baclofen, omeprazole, dextrose, apap/hydcodone, lorazepam, </w:t>
      </w:r>
      <w:proofErr w:type="gramStart"/>
      <w:r w:rsidRPr="009D28A9">
        <w:t>potassium</w:t>
      </w:r>
      <w:proofErr w:type="gramEnd"/>
      <w:r w:rsidRPr="009D28A9">
        <w:t xml:space="preserve"> and cetylpyridinium/menthol lozenge for all the events. The 4th dose of study therapy was skipped due to the event of confusional state. The event of fatigue was considered by the investigator to be not related to study medication and resolved on Day 56. The events of diarrhoea, nausea, pyrexia, and confusional state resolved on </w:t>
      </w:r>
      <w:r w:rsidR="007668F4">
        <w:t>Day 56</w:t>
      </w:r>
      <w:r w:rsidRPr="009D28A9">
        <w:t xml:space="preserve"> and he was discharged home in stable condition. The investigator considered that the events of diarrhoea, nausea, and confusional state were probably related and pyrexia was possibly related to </w:t>
      </w:r>
      <w:r w:rsidR="00A60A6A">
        <w:t>ipilimumab</w:t>
      </w:r>
      <w:r w:rsidRPr="009D28A9">
        <w:t xml:space="preserve"> and Dacarbazine study therapy.”</w:t>
      </w:r>
    </w:p>
    <w:p w:rsidR="009D28A9" w:rsidRPr="009D28A9" w:rsidRDefault="009D28A9" w:rsidP="007668F4">
      <w:pPr>
        <w:pStyle w:val="Numberbullet0"/>
      </w:pPr>
      <w:r w:rsidRPr="007668F4">
        <w:rPr>
          <w:b/>
        </w:rPr>
        <w:t>Case 21</w:t>
      </w:r>
      <w:r w:rsidRPr="009D28A9">
        <w:t xml:space="preserve"> – Patient was hospitalised for diarrhoea but graded only as Gr2. Diarrhoea was study related and is suspicious for the cause of death. More information is requested.</w:t>
      </w:r>
    </w:p>
    <w:p w:rsidR="009D28A9" w:rsidRPr="00272530" w:rsidRDefault="009D28A9" w:rsidP="009D28A9">
      <w:pPr>
        <w:rPr>
          <w:i/>
        </w:rPr>
      </w:pPr>
      <w:r w:rsidRPr="009D28A9">
        <w:t>CA184024</w:t>
      </w:r>
      <w:r w:rsidR="007668F4" w:rsidRPr="007668F4">
        <w:t xml:space="preserve"> -[information redacted]</w:t>
      </w:r>
      <w:r w:rsidR="00272530">
        <w:t xml:space="preserve"> </w:t>
      </w:r>
      <w:r w:rsidRPr="00272530">
        <w:rPr>
          <w:i/>
        </w:rPr>
        <w:t>This patient was hospitalised for a two month history of diarrhoea, 5 days post 4th dose of study therapy. The grading for diarrhoea should be 3. The patient was readmitted to another hospital following discharge after one day’s treatment for diarrhoea, and died 10 days after the initial</w:t>
      </w:r>
      <w:r w:rsidR="007668F4" w:rsidRPr="00272530">
        <w:rPr>
          <w:i/>
        </w:rPr>
        <w:t xml:space="preserve"> presentation of this problem. </w:t>
      </w:r>
      <w:r w:rsidRPr="00272530">
        <w:rPr>
          <w:i/>
        </w:rPr>
        <w:t xml:space="preserve">Is more information available? Would this death be considered suspicious as being drug related given that diarrhoea was the precipitating event for hospitalisation? Weight loss is not captured as an AE. Can the </w:t>
      </w:r>
      <w:r w:rsidR="00BB7B81" w:rsidRPr="00272530">
        <w:rPr>
          <w:i/>
        </w:rPr>
        <w:t>sponsor</w:t>
      </w:r>
      <w:r w:rsidRPr="00272530">
        <w:rPr>
          <w:i/>
        </w:rPr>
        <w:t xml:space="preserve"> please explain these?</w:t>
      </w:r>
    </w:p>
    <w:p w:rsidR="009D28A9" w:rsidRPr="009D28A9" w:rsidRDefault="009D28A9" w:rsidP="009D28A9">
      <w:r w:rsidRPr="009D28A9">
        <w:t>“Event:</w:t>
      </w:r>
    </w:p>
    <w:p w:rsidR="009D28A9" w:rsidRPr="009D28A9" w:rsidRDefault="009D28A9" w:rsidP="007668F4">
      <w:pPr>
        <w:pStyle w:val="ListBullet"/>
      </w:pPr>
      <w:r w:rsidRPr="009D28A9">
        <w:t>Alanine aminotransferase increased (Grade 3, certainly related, Day 71)</w:t>
      </w:r>
    </w:p>
    <w:p w:rsidR="009D28A9" w:rsidRPr="009D28A9" w:rsidRDefault="009D28A9" w:rsidP="007668F4">
      <w:pPr>
        <w:pStyle w:val="ListBullet"/>
      </w:pPr>
      <w:r w:rsidRPr="009D28A9">
        <w:t>Presyncope (Grade 3, not likely related, Day 85)</w:t>
      </w:r>
    </w:p>
    <w:p w:rsidR="009D28A9" w:rsidRPr="009D28A9" w:rsidRDefault="009D28A9" w:rsidP="007668F4">
      <w:pPr>
        <w:pStyle w:val="ListBullet"/>
      </w:pPr>
      <w:r w:rsidRPr="009D28A9">
        <w:t>Dehydration (Grade 2, not likely related, Day 86)</w:t>
      </w:r>
    </w:p>
    <w:p w:rsidR="009D28A9" w:rsidRPr="009D28A9" w:rsidRDefault="009D28A9" w:rsidP="007668F4">
      <w:pPr>
        <w:pStyle w:val="ListBullet"/>
      </w:pPr>
      <w:r w:rsidRPr="009D28A9">
        <w:t>Diarrhoea (Grade 2, certainly related, Day 90)</w:t>
      </w:r>
    </w:p>
    <w:p w:rsidR="009D28A9" w:rsidRPr="009D28A9" w:rsidRDefault="009D28A9" w:rsidP="007668F4">
      <w:pPr>
        <w:pStyle w:val="ListBullet"/>
      </w:pPr>
      <w:r w:rsidRPr="009D28A9">
        <w:t>Respiratory Failure (Grade 5, not related, Day 101)</w:t>
      </w:r>
    </w:p>
    <w:p w:rsidR="009D28A9" w:rsidRPr="009D28A9" w:rsidRDefault="009D28A9" w:rsidP="009D28A9">
      <w:proofErr w:type="gramStart"/>
      <w:r w:rsidRPr="009D28A9">
        <w:t>imAR</w:t>
      </w:r>
      <w:proofErr w:type="gramEnd"/>
      <w:r w:rsidRPr="009D28A9">
        <w:t>:</w:t>
      </w:r>
    </w:p>
    <w:p w:rsidR="009D28A9" w:rsidRPr="009D28A9" w:rsidRDefault="009D28A9" w:rsidP="007668F4">
      <w:pPr>
        <w:pStyle w:val="ListBullet"/>
      </w:pPr>
      <w:r w:rsidRPr="009D28A9">
        <w:t>Hepatitis (Earliest onset any Grade: Day 43, Worst Grade: 3)</w:t>
      </w:r>
    </w:p>
    <w:p w:rsidR="009D28A9" w:rsidRPr="009D28A9" w:rsidRDefault="009D28A9" w:rsidP="007668F4">
      <w:pPr>
        <w:pStyle w:val="ListBullet"/>
      </w:pPr>
      <w:r w:rsidRPr="009D28A9">
        <w:t>Dermatitis (Earliest onset any Grade: Day 28, Worst Grade: 2)</w:t>
      </w:r>
    </w:p>
    <w:p w:rsidR="009D28A9" w:rsidRPr="009D28A9" w:rsidRDefault="009D28A9" w:rsidP="009D28A9">
      <w:pPr>
        <w:pStyle w:val="ListBullet"/>
      </w:pPr>
      <w:r w:rsidRPr="009D28A9">
        <w:t>Enterocolitis (Earliest onset any Grade: Day 65, Worst Grade: 2)</w:t>
      </w:r>
    </w:p>
    <w:p w:rsidR="009D28A9" w:rsidRPr="009D28A9" w:rsidRDefault="007668F4" w:rsidP="009D28A9">
      <w:r>
        <w:t>On Day 90</w:t>
      </w:r>
      <w:r w:rsidR="009D28A9" w:rsidRPr="009D28A9">
        <w:t>, 5 days post 4th dose of study therapy, the subject was hospital</w:t>
      </w:r>
      <w:r w:rsidR="001A330A">
        <w:t>ise</w:t>
      </w:r>
      <w:r w:rsidR="009D28A9" w:rsidRPr="009D28A9">
        <w:t>d for diarrhoea (Grade 2) which had begun at</w:t>
      </w:r>
      <w:r>
        <w:t xml:space="preserve"> Grade 1 on Day 65</w:t>
      </w:r>
      <w:r w:rsidR="009D28A9" w:rsidRPr="009D28A9">
        <w:t>. He reported to have had diarrhoea for the last two months. He also experienced nausea, anorexia, and severe nocturia since his study</w:t>
      </w:r>
      <w:r>
        <w:t xml:space="preserve"> therapy on Day 86</w:t>
      </w:r>
      <w:r w:rsidR="009D28A9" w:rsidRPr="009D28A9">
        <w:t>. He was found to be positive for malnourishment and weight loss. Laboratory findings were normal for cardiac markers, complete blood count, and the basic metabolic panel tests. In addition, his stool was analysed for Clostridium difficile and other ova and parasites, and no abnormalities were seen. The electrocardiogram (date not available) reading showed no acute pathologic changes and sinus arrhythmia. A posterior to anterior chest X-ray (date not available) was performed which identified no acute pulmonary disease, no arteriosclerotic disease of the abdominal aorta, and no radiographic evidence of bowel obstruction. He was treated with steroids and intravenous fluids and was discharged from the hospital on the same day. He was discontinued from the study due to diarrhoea and was readmitted to another hospital.</w:t>
      </w:r>
      <w:r>
        <w:t xml:space="preserve"> On Day 101</w:t>
      </w:r>
      <w:r w:rsidR="009D28A9" w:rsidRPr="009D28A9">
        <w:t>, he died and the death certificate reported that the subject died due to respiratory failure and metastatic malignant melanoma.</w:t>
      </w:r>
    </w:p>
    <w:p w:rsidR="001C3DB9" w:rsidRDefault="009D28A9" w:rsidP="00D87C40">
      <w:r w:rsidRPr="009D28A9">
        <w:lastRenderedPageBreak/>
        <w:t xml:space="preserve">The investigator considered that the events of ALT increased and diarrhoea </w:t>
      </w:r>
      <w:proofErr w:type="gramStart"/>
      <w:r w:rsidRPr="009D28A9">
        <w:t>were</w:t>
      </w:r>
      <w:proofErr w:type="gramEnd"/>
      <w:r w:rsidRPr="009D28A9">
        <w:t xml:space="preserve"> certainly related, whereas respiratory failure was not related to </w:t>
      </w:r>
      <w:r w:rsidR="00A60A6A">
        <w:t>ipilimumab</w:t>
      </w:r>
      <w:r w:rsidRPr="009D28A9">
        <w:t xml:space="preserve"> and Dacarbazine study therapy.”</w:t>
      </w:r>
    </w:p>
    <w:p w:rsidR="007668F4" w:rsidRPr="007668F4" w:rsidRDefault="005E62B1" w:rsidP="005920A0">
      <w:pPr>
        <w:pStyle w:val="Heading5"/>
      </w:pPr>
      <w:r>
        <w:t xml:space="preserve">Study </w:t>
      </w:r>
      <w:r w:rsidR="007668F4" w:rsidRPr="007668F4">
        <w:t>CA184042</w:t>
      </w:r>
    </w:p>
    <w:p w:rsidR="007668F4" w:rsidRPr="007668F4" w:rsidRDefault="007668F4" w:rsidP="005E62B1">
      <w:pPr>
        <w:pStyle w:val="Numberbullet0"/>
        <w:numPr>
          <w:ilvl w:val="0"/>
          <w:numId w:val="30"/>
        </w:numPr>
      </w:pPr>
      <w:r w:rsidRPr="005E62B1">
        <w:rPr>
          <w:b/>
        </w:rPr>
        <w:t>Case 1</w:t>
      </w:r>
      <w:r w:rsidRPr="007668F4">
        <w:t xml:space="preserve"> – No listing of Gr 3 colitis.</w:t>
      </w:r>
    </w:p>
    <w:p w:rsidR="007668F4" w:rsidRPr="007668F4" w:rsidRDefault="007668F4" w:rsidP="007668F4">
      <w:r w:rsidRPr="007668F4">
        <w:t>CA184042</w:t>
      </w:r>
      <w:r w:rsidR="005E62B1">
        <w:t xml:space="preserve"> </w:t>
      </w:r>
      <w:r w:rsidR="005920A0" w:rsidRPr="005920A0">
        <w:t>[information redacted]</w:t>
      </w:r>
    </w:p>
    <w:p w:rsidR="007668F4" w:rsidRPr="007668F4" w:rsidRDefault="007668F4" w:rsidP="007668F4">
      <w:r w:rsidRPr="007668F4">
        <w:t>“Event:</w:t>
      </w:r>
    </w:p>
    <w:p w:rsidR="007668F4" w:rsidRPr="007668F4" w:rsidRDefault="007668F4" w:rsidP="007668F4">
      <w:r w:rsidRPr="007668F4">
        <w:t>Diarrhoea (Grade 2, not likely related, Day 108)</w:t>
      </w:r>
    </w:p>
    <w:p w:rsidR="007668F4" w:rsidRPr="007668F4" w:rsidRDefault="007668F4" w:rsidP="007668F4">
      <w:r w:rsidRPr="007668F4">
        <w:t>Clinical Summary</w:t>
      </w:r>
      <w:r w:rsidR="005920A0">
        <w:t>:</w:t>
      </w:r>
    </w:p>
    <w:p w:rsidR="007668F4" w:rsidRPr="007668F4" w:rsidRDefault="005920A0" w:rsidP="007668F4">
      <w:r>
        <w:t>On</w:t>
      </w:r>
      <w:r w:rsidR="007668F4" w:rsidRPr="007668F4">
        <w:t xml:space="preserve"> (Day 1), the subject received the first course intravenous </w:t>
      </w:r>
      <w:r w:rsidR="00A60A6A">
        <w:t>ipilimumab</w:t>
      </w:r>
      <w:r>
        <w:t>. On Day 15</w:t>
      </w:r>
      <w:r w:rsidR="007668F4" w:rsidRPr="007668F4">
        <w:t xml:space="preserve">, the subject had developed Grade 2 colitis, which lasted one week and was effectively treated with budesonide 9 mg/day. On Day 35, 13 days after the subject’s second dose of treatment, the subject developed Grade 3 colitis, which was treated with a single dose of methylprednisolone sodium succinate 80 mg, prednisone 80 mg/day, infliximab, and prochlorperazine edisylate. The subject did not receive Week 7 or Week 10 doses of </w:t>
      </w:r>
      <w:r w:rsidR="00A60A6A">
        <w:t>ipilimumab</w:t>
      </w:r>
      <w:r w:rsidR="007668F4" w:rsidRPr="007668F4">
        <w:t>, and the subject completed a steroid taper with resolution of symptoms on Da</w:t>
      </w:r>
      <w:r>
        <w:t>y 64.</w:t>
      </w:r>
      <w:r w:rsidR="007668F4" w:rsidRPr="007668F4">
        <w:t>”</w:t>
      </w:r>
    </w:p>
    <w:p w:rsidR="007668F4" w:rsidRPr="007668F4" w:rsidRDefault="007668F4" w:rsidP="004658DA">
      <w:pPr>
        <w:pStyle w:val="Numberbullet0"/>
      </w:pPr>
      <w:r w:rsidRPr="005920A0">
        <w:rPr>
          <w:b/>
        </w:rPr>
        <w:t>Case 2</w:t>
      </w:r>
      <w:r w:rsidRPr="007668F4">
        <w:t xml:space="preserve"> No listing of Gr3</w:t>
      </w:r>
      <w:r w:rsidR="005920A0">
        <w:t xml:space="preserve"> diarrhoea (hospitalisation).</w:t>
      </w:r>
    </w:p>
    <w:p w:rsidR="007668F4" w:rsidRPr="007668F4" w:rsidRDefault="007668F4" w:rsidP="007668F4">
      <w:r w:rsidRPr="007668F4">
        <w:t>CA184042</w:t>
      </w:r>
      <w:r w:rsidR="004658DA">
        <w:t xml:space="preserve"> </w:t>
      </w:r>
      <w:r w:rsidR="005920A0" w:rsidRPr="005920A0">
        <w:t>[information redacted]</w:t>
      </w:r>
      <w:r w:rsidRPr="007668F4">
        <w:t xml:space="preserve">: </w:t>
      </w:r>
      <w:r w:rsidRPr="004658DA">
        <w:rPr>
          <w:i/>
        </w:rPr>
        <w:t>Grade 3 diarrhoea is not listed. The cause of dehydration and renal failure were second to the diarrhoea which was treatment related</w:t>
      </w:r>
      <w:r w:rsidR="004658DA">
        <w:t>.</w:t>
      </w:r>
    </w:p>
    <w:p w:rsidR="007668F4" w:rsidRPr="007668F4" w:rsidRDefault="007668F4" w:rsidP="007668F4">
      <w:r w:rsidRPr="007668F4">
        <w:t>“Events:</w:t>
      </w:r>
    </w:p>
    <w:p w:rsidR="007668F4" w:rsidRPr="007668F4" w:rsidRDefault="007668F4" w:rsidP="005920A0">
      <w:pPr>
        <w:pStyle w:val="ListBullet"/>
      </w:pPr>
      <w:r w:rsidRPr="007668F4">
        <w:t>Diarrhoea (Grade 2, probably related, Day 30)</w:t>
      </w:r>
    </w:p>
    <w:p w:rsidR="007668F4" w:rsidRPr="007668F4" w:rsidRDefault="007668F4" w:rsidP="005920A0">
      <w:pPr>
        <w:pStyle w:val="ListBullet"/>
      </w:pPr>
      <w:r w:rsidRPr="007668F4">
        <w:t>Dehydration (Grade 3, not likely related, Day 30)</w:t>
      </w:r>
    </w:p>
    <w:p w:rsidR="007668F4" w:rsidRPr="007668F4" w:rsidRDefault="007668F4" w:rsidP="005920A0">
      <w:pPr>
        <w:pStyle w:val="ListBullet"/>
      </w:pPr>
      <w:r w:rsidRPr="007668F4">
        <w:t>Dehydration (Grade 3, not likely related, Day 33)</w:t>
      </w:r>
    </w:p>
    <w:p w:rsidR="007668F4" w:rsidRPr="007668F4" w:rsidRDefault="007668F4" w:rsidP="005920A0">
      <w:pPr>
        <w:pStyle w:val="ListBullet"/>
      </w:pPr>
      <w:r w:rsidRPr="007668F4">
        <w:t>Renal failure (Grade 3, not related, Day 33)”</w:t>
      </w:r>
    </w:p>
    <w:p w:rsidR="007668F4" w:rsidRPr="007668F4" w:rsidRDefault="007668F4" w:rsidP="004658DA">
      <w:pPr>
        <w:pStyle w:val="Numberbullet0"/>
      </w:pPr>
      <w:r w:rsidRPr="005920A0">
        <w:rPr>
          <w:b/>
        </w:rPr>
        <w:t>Case 3</w:t>
      </w:r>
      <w:r w:rsidRPr="007668F4">
        <w:t xml:space="preserve"> Gr 2 diarrhoea not listed.</w:t>
      </w:r>
    </w:p>
    <w:p w:rsidR="007668F4" w:rsidRPr="007668F4" w:rsidRDefault="007668F4" w:rsidP="007668F4">
      <w:r w:rsidRPr="007668F4">
        <w:t>CA184042</w:t>
      </w:r>
      <w:r w:rsidR="004658DA">
        <w:t xml:space="preserve"> </w:t>
      </w:r>
      <w:r w:rsidR="005920A0" w:rsidRPr="005920A0">
        <w:t>[information redacted]</w:t>
      </w:r>
    </w:p>
    <w:p w:rsidR="007668F4" w:rsidRPr="007668F4" w:rsidRDefault="007668F4" w:rsidP="007668F4">
      <w:r w:rsidRPr="007668F4">
        <w:t>“Events:</w:t>
      </w:r>
    </w:p>
    <w:p w:rsidR="007668F4" w:rsidRPr="007668F4" w:rsidRDefault="007668F4" w:rsidP="004658DA">
      <w:pPr>
        <w:pStyle w:val="ListBullet"/>
      </w:pPr>
      <w:r w:rsidRPr="007668F4">
        <w:t>Axillary pain (Grade 2, not related, Day 27)</w:t>
      </w:r>
    </w:p>
    <w:p w:rsidR="007668F4" w:rsidRPr="007668F4" w:rsidRDefault="007668F4" w:rsidP="004658DA">
      <w:pPr>
        <w:pStyle w:val="ListBullet"/>
      </w:pPr>
      <w:r w:rsidRPr="007668F4">
        <w:t>Diarrhoea (Grade 1, probably related, Day 44)</w:t>
      </w:r>
    </w:p>
    <w:p w:rsidR="007668F4" w:rsidRPr="007668F4" w:rsidRDefault="007668F4" w:rsidP="007668F4">
      <w:r w:rsidRPr="007668F4">
        <w:t>Clinical Summary</w:t>
      </w:r>
      <w:r w:rsidR="005920A0">
        <w:t>:</w:t>
      </w:r>
    </w:p>
    <w:p w:rsidR="007668F4" w:rsidRPr="007668F4" w:rsidRDefault="005920A0" w:rsidP="007668F4">
      <w:r>
        <w:t>On Day 5</w:t>
      </w:r>
      <w:r w:rsidR="007668F4" w:rsidRPr="007668F4">
        <w:t>, the subject experienced Grade 2 diarrhoea. The subject was scheduled to receive the second dose of study me</w:t>
      </w:r>
      <w:r>
        <w:t>dication on Day 23</w:t>
      </w:r>
      <w:r w:rsidR="007668F4" w:rsidRPr="007668F4">
        <w:t>, which was interrupted in response to the event. Unspecified treatment was administered.”</w:t>
      </w:r>
    </w:p>
    <w:p w:rsidR="007668F4" w:rsidRPr="007668F4" w:rsidRDefault="007668F4" w:rsidP="00447A45">
      <w:pPr>
        <w:pStyle w:val="Numberbullet0"/>
      </w:pPr>
      <w:r w:rsidRPr="005920A0">
        <w:rPr>
          <w:b/>
        </w:rPr>
        <w:t>Case 4</w:t>
      </w:r>
      <w:r w:rsidR="004658DA">
        <w:t xml:space="preserve"> Summary tables are unclear.</w:t>
      </w:r>
    </w:p>
    <w:p w:rsidR="007668F4" w:rsidRPr="004658DA" w:rsidRDefault="007668F4" w:rsidP="007668F4">
      <w:pPr>
        <w:rPr>
          <w:i/>
        </w:rPr>
      </w:pPr>
      <w:r w:rsidRPr="004658DA">
        <w:rPr>
          <w:i/>
        </w:rPr>
        <w:t>The top line of a category, such as “investigations” seems to summate the total number of patients with that event, with the subcategories listed below (same patient can hav</w:t>
      </w:r>
      <w:r w:rsidR="004658DA">
        <w:rPr>
          <w:i/>
        </w:rPr>
        <w:t xml:space="preserve">e more than one AE)? </w:t>
      </w:r>
      <w:r w:rsidRPr="004658DA">
        <w:rPr>
          <w:i/>
        </w:rPr>
        <w:t>If so, what about “Gastrointestinal disorders”? Thus, it is unclear what information is being summarised and if the information is correct.</w:t>
      </w:r>
    </w:p>
    <w:p w:rsidR="007668F4" w:rsidRDefault="00B95A18" w:rsidP="00447A45">
      <w:pPr>
        <w:pStyle w:val="Tabletitle"/>
      </w:pPr>
      <w:r>
        <w:lastRenderedPageBreak/>
        <w:t>Table 3</w:t>
      </w:r>
      <w:r w:rsidR="004572B9">
        <w:t>5</w:t>
      </w:r>
      <w:r>
        <w:t>:</w:t>
      </w:r>
      <w:r w:rsidR="00447A45">
        <w:t xml:space="preserve"> Adverse events leading to discontinuation of ipilimumab – treate</w:t>
      </w:r>
      <w:r>
        <w:t>d subject’s</w:t>
      </w:r>
    </w:p>
    <w:p w:rsidR="00447A45" w:rsidRDefault="00447A45" w:rsidP="00447A45">
      <w:r>
        <w:rPr>
          <w:noProof/>
          <w:lang w:eastAsia="en-AU"/>
        </w:rPr>
        <w:drawing>
          <wp:inline distT="0" distB="0" distL="0" distR="0" wp14:anchorId="7D17D03C" wp14:editId="159C8A41">
            <wp:extent cx="5808269" cy="3013971"/>
            <wp:effectExtent l="0" t="0" r="0" b="0"/>
            <wp:docPr id="21" name="Picture 21" descr="Table 35: Adverse events leading to discontinuation of ipilimumab –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09001" cy="3014351"/>
                    </a:xfrm>
                    <a:prstGeom prst="rect">
                      <a:avLst/>
                    </a:prstGeom>
                  </pic:spPr>
                </pic:pic>
              </a:graphicData>
            </a:graphic>
          </wp:inline>
        </w:drawing>
      </w:r>
    </w:p>
    <w:p w:rsidR="00447A45" w:rsidRPr="00447A45" w:rsidRDefault="00447A45" w:rsidP="00447A45">
      <w:pPr>
        <w:pStyle w:val="Numberbullet0"/>
      </w:pPr>
      <w:r w:rsidRPr="00447A45">
        <w:rPr>
          <w:b/>
        </w:rPr>
        <w:t>Case 5</w:t>
      </w:r>
      <w:r w:rsidRPr="00447A45">
        <w:t xml:space="preserve"> –Grade 5 events appear are not well represented on some summary tables.</w:t>
      </w:r>
    </w:p>
    <w:p w:rsidR="00447A45" w:rsidRDefault="00447A45" w:rsidP="00447A45">
      <w:pPr>
        <w:rPr>
          <w:i/>
        </w:rPr>
      </w:pPr>
      <w:r w:rsidRPr="004658DA">
        <w:rPr>
          <w:i/>
        </w:rPr>
        <w:t>The following table (</w:t>
      </w:r>
      <w:r w:rsidR="000C5666">
        <w:rPr>
          <w:i/>
        </w:rPr>
        <w:t>Table 37</w:t>
      </w:r>
      <w:r w:rsidRPr="004658DA">
        <w:rPr>
          <w:i/>
        </w:rPr>
        <w:t xml:space="preserve">) lists all the overall adverse events observed within the study. Note should be made that the table below separately lists Gr3/4 events but not Gr5 events (see section on Deaths and other SAEs). The grade 5 events are incorporated into AEs of any grade. It may be some of the grade 5 events were not listed </w:t>
      </w:r>
      <w:r w:rsidR="004658DA">
        <w:rPr>
          <w:i/>
        </w:rPr>
        <w:t>here as they were not captured.</w:t>
      </w:r>
    </w:p>
    <w:p w:rsidR="004658DA" w:rsidRPr="004658DA" w:rsidRDefault="004658DA" w:rsidP="004658DA">
      <w:pPr>
        <w:pStyle w:val="Tabletitle"/>
      </w:pPr>
      <w:r w:rsidRPr="004658DA">
        <w:lastRenderedPageBreak/>
        <w:t xml:space="preserve">Table </w:t>
      </w:r>
      <w:r w:rsidR="004572B9">
        <w:t>36</w:t>
      </w:r>
      <w:r w:rsidR="00B95A18">
        <w:t>:</w:t>
      </w:r>
      <w:r w:rsidRPr="004658DA">
        <w:t xml:space="preserve"> </w:t>
      </w:r>
      <w:r w:rsidR="00B95A18">
        <w:t>O</w:t>
      </w:r>
      <w:r w:rsidRPr="004658DA">
        <w:t>verall adverse events listed in Study CA184042</w:t>
      </w:r>
    </w:p>
    <w:p w:rsidR="00447A45" w:rsidRDefault="00447A45" w:rsidP="00447A45">
      <w:r>
        <w:rPr>
          <w:noProof/>
          <w:lang w:eastAsia="en-AU"/>
        </w:rPr>
        <w:drawing>
          <wp:inline distT="0" distB="0" distL="0" distR="0" wp14:anchorId="3170AE37" wp14:editId="4AD83C36">
            <wp:extent cx="4848225" cy="6496050"/>
            <wp:effectExtent l="0" t="0" r="0" b="0"/>
            <wp:docPr id="29" name="Picture 29" descr="Table 36: Overall adverse events listed in Study CA18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48225" cy="6496050"/>
                    </a:xfrm>
                    <a:prstGeom prst="rect">
                      <a:avLst/>
                    </a:prstGeom>
                  </pic:spPr>
                </pic:pic>
              </a:graphicData>
            </a:graphic>
          </wp:inline>
        </w:drawing>
      </w:r>
    </w:p>
    <w:p w:rsidR="00447A45" w:rsidRPr="00447A45" w:rsidRDefault="004658DA" w:rsidP="00447A45">
      <w:pPr>
        <w:pStyle w:val="Heading5"/>
      </w:pPr>
      <w:r>
        <w:t xml:space="preserve">Study </w:t>
      </w:r>
      <w:r w:rsidR="00447A45" w:rsidRPr="00447A45">
        <w:t>CA184078</w:t>
      </w:r>
    </w:p>
    <w:p w:rsidR="00447A45" w:rsidRDefault="00447A45" w:rsidP="004658DA">
      <w:pPr>
        <w:pStyle w:val="Numberbullet0"/>
        <w:numPr>
          <w:ilvl w:val="0"/>
          <w:numId w:val="32"/>
        </w:numPr>
      </w:pPr>
      <w:r w:rsidRPr="004658DA">
        <w:rPr>
          <w:b/>
        </w:rPr>
        <w:t>Case 1</w:t>
      </w:r>
      <w:r w:rsidRPr="00447A45">
        <w:t xml:space="preserve"> – Gr 4 optic neuritis is not included in any of the summary tables or within the</w:t>
      </w:r>
      <w:r>
        <w:t xml:space="preserve"> narrative of SAEs in the CSR.</w:t>
      </w:r>
    </w:p>
    <w:p w:rsidR="004658DA" w:rsidRPr="004658DA" w:rsidRDefault="004658DA" w:rsidP="004658DA">
      <w:r w:rsidRPr="004658DA">
        <w:t xml:space="preserve">Patient Identifier: CA184078 </w:t>
      </w:r>
      <w:proofErr w:type="gramStart"/>
      <w:r w:rsidRPr="004658DA">
        <w:t>-[</w:t>
      </w:r>
      <w:proofErr w:type="gramEnd"/>
      <w:r w:rsidRPr="004658DA">
        <w:t>information redacted]</w:t>
      </w:r>
    </w:p>
    <w:p w:rsidR="00447A45" w:rsidRPr="004658DA" w:rsidRDefault="00447A45" w:rsidP="00447A45">
      <w:pPr>
        <w:rPr>
          <w:i/>
        </w:rPr>
      </w:pPr>
      <w:r w:rsidRPr="004658DA">
        <w:rPr>
          <w:i/>
        </w:rPr>
        <w:t xml:space="preserve">The optic neuritis was considered by the investigator as related to study therapy and therapy was discontinued as a result of the AE. As examples of where summary tables have not presented this AE, Table 8.2 (on-study treatment related serious adverse events – any CTC grade), and Table 8.4 (On-study adverse events leading to discontinuation – any CTC grade) do not list this event. This event is not listed in the PI/CMI or risk management plan. Can the </w:t>
      </w:r>
      <w:r w:rsidR="00BB7B81" w:rsidRPr="004658DA">
        <w:rPr>
          <w:i/>
        </w:rPr>
        <w:t>sponsor</w:t>
      </w:r>
      <w:r w:rsidRPr="004658DA">
        <w:rPr>
          <w:i/>
        </w:rPr>
        <w:t xml:space="preserve"> explain these issues?</w:t>
      </w:r>
    </w:p>
    <w:p w:rsidR="00447A45" w:rsidRPr="00447A45" w:rsidRDefault="004658DA" w:rsidP="00A212DA">
      <w:pPr>
        <w:keepNext/>
      </w:pPr>
      <w:r>
        <w:lastRenderedPageBreak/>
        <w:t>“</w:t>
      </w:r>
      <w:r w:rsidR="00447A45" w:rsidRPr="00447A45">
        <w:t>Event:</w:t>
      </w:r>
    </w:p>
    <w:p w:rsidR="00447A45" w:rsidRPr="00447A45" w:rsidRDefault="00447A45" w:rsidP="00447A45">
      <w:pPr>
        <w:pStyle w:val="ListBullet"/>
      </w:pPr>
      <w:r w:rsidRPr="00447A45">
        <w:t>Hypopituitarism (Grade 3, Related, Day 43)</w:t>
      </w:r>
    </w:p>
    <w:p w:rsidR="00447A45" w:rsidRPr="00447A45" w:rsidRDefault="00447A45" w:rsidP="00447A45">
      <w:pPr>
        <w:pStyle w:val="ListBullet"/>
      </w:pPr>
      <w:r w:rsidRPr="00447A45">
        <w:t>Optic neuritis (Grade 4, Related, Day 162)</w:t>
      </w:r>
    </w:p>
    <w:p w:rsidR="00447A45" w:rsidRPr="00447A45" w:rsidRDefault="00447A45" w:rsidP="004658DA">
      <w:pPr>
        <w:pStyle w:val="Numberbullet0"/>
      </w:pPr>
      <w:r w:rsidRPr="00447A45">
        <w:rPr>
          <w:b/>
        </w:rPr>
        <w:t>Case 2</w:t>
      </w:r>
      <w:r w:rsidRPr="00447A45">
        <w:t xml:space="preserve"> – numerous AEs appear not to be captured (bold text in narrative below).</w:t>
      </w:r>
    </w:p>
    <w:p w:rsidR="00447A45" w:rsidRPr="00447A45" w:rsidRDefault="004658DA" w:rsidP="00447A45">
      <w:r>
        <w:t xml:space="preserve">Patient Identifier: CA184078 </w:t>
      </w:r>
      <w:r w:rsidR="00447A45" w:rsidRPr="00447A45">
        <w:t>[information redacted]</w:t>
      </w:r>
    </w:p>
    <w:p w:rsidR="00447A45" w:rsidRPr="00447A45" w:rsidRDefault="004658DA" w:rsidP="00447A45">
      <w:r>
        <w:t>“</w:t>
      </w:r>
      <w:r w:rsidR="00447A45" w:rsidRPr="00447A45">
        <w:t>Event:</w:t>
      </w:r>
    </w:p>
    <w:p w:rsidR="00447A45" w:rsidRPr="00447A45" w:rsidRDefault="00C22CAE" w:rsidP="00447A45">
      <w:pPr>
        <w:pStyle w:val="ListBullet"/>
      </w:pPr>
      <w:r w:rsidRPr="00447A45">
        <w:t>Dyspnoea</w:t>
      </w:r>
      <w:r w:rsidR="00447A45" w:rsidRPr="00447A45">
        <w:t xml:space="preserve"> (Grade 3, Not related, Day 57)</w:t>
      </w:r>
    </w:p>
    <w:p w:rsidR="00447A45" w:rsidRPr="00447A45" w:rsidRDefault="00447A45" w:rsidP="00447A45">
      <w:pPr>
        <w:pStyle w:val="ListBullet"/>
      </w:pPr>
      <w:r w:rsidRPr="00447A45">
        <w:t>Pleural effusion (Grade 3, Not related, Day 57)</w:t>
      </w:r>
    </w:p>
    <w:p w:rsidR="00447A45" w:rsidRPr="00447A45" w:rsidRDefault="00447A45" w:rsidP="00447A45">
      <w:pPr>
        <w:pStyle w:val="ListBullet"/>
      </w:pPr>
      <w:r w:rsidRPr="00447A45">
        <w:t>Pleural effusion (Grade 3, Not related, Day 71)</w:t>
      </w:r>
    </w:p>
    <w:p w:rsidR="00447A45" w:rsidRPr="00447A45" w:rsidRDefault="00447A45" w:rsidP="00447A45">
      <w:pPr>
        <w:pStyle w:val="ListBullet"/>
      </w:pPr>
      <w:r w:rsidRPr="00447A45">
        <w:t>Dehydration (Grade 3, Related, Day 135)</w:t>
      </w:r>
    </w:p>
    <w:p w:rsidR="00447A45" w:rsidRPr="00447A45" w:rsidRDefault="00447A45" w:rsidP="00447A45">
      <w:pPr>
        <w:pStyle w:val="ListBullet"/>
      </w:pPr>
      <w:r w:rsidRPr="00447A45">
        <w:t>Febrile neutropenia (Grade 3, Related, Day 162)</w:t>
      </w:r>
    </w:p>
    <w:p w:rsidR="00447A45" w:rsidRPr="00447A45" w:rsidRDefault="00447A45" w:rsidP="00447A45">
      <w:r w:rsidRPr="00447A45">
        <w:t>Clinical Summary:</w:t>
      </w:r>
    </w:p>
    <w:p w:rsidR="00447A45" w:rsidRPr="00447A45" w:rsidRDefault="00447A45" w:rsidP="00447A45">
      <w:r w:rsidRPr="00447A45">
        <w:t>On Day 135, 71 days post 4th dose of study therapy (</w:t>
      </w:r>
      <w:r w:rsidR="00A60A6A">
        <w:t>ipilimumab</w:t>
      </w:r>
      <w:r w:rsidRPr="00447A45">
        <w:t>) and 8 days post 7th dose carboplatin/paclitaxel therapy, the subject presented to of nausea, vomiting, diarrhoea, fatigue and a fever of 100.2°F. He was hospital</w:t>
      </w:r>
      <w:r w:rsidR="001A330A">
        <w:t>ise</w:t>
      </w:r>
      <w:r w:rsidRPr="00447A45">
        <w:t>d and was diagnosed with dehydration (Grade 3) and hypomagnesaemia. The subject did not experience abdominal pain, but felt weak and had not eaten or drunk anything</w:t>
      </w:r>
      <w:r w:rsidR="004658DA">
        <w:t xml:space="preserve"> in the last 24 hours. A chest X</w:t>
      </w:r>
      <w:r w:rsidRPr="00447A45">
        <w:t>-ray performed on an unknown date showed no pneumonia. The subject was treated with magnesium sulphate, sodium chloride and vancomycin. No action was taken with regard to the study therapy. The event of dehydration resolved on Day 137.</w:t>
      </w:r>
      <w:r w:rsidR="000255EF">
        <w:t xml:space="preserve"> </w:t>
      </w:r>
      <w:r w:rsidRPr="00447A45">
        <w:t>The investigator considered that the event of dehydration to be related to the study therapy.</w:t>
      </w:r>
    </w:p>
    <w:p w:rsidR="00447A45" w:rsidRPr="00447A45" w:rsidRDefault="00447A45" w:rsidP="00447A45">
      <w:r w:rsidRPr="00447A45">
        <w:t xml:space="preserve">On Day 162, 118 days post 3rd dose of </w:t>
      </w:r>
      <w:r w:rsidR="00A60A6A">
        <w:t>ipilimumab</w:t>
      </w:r>
      <w:r w:rsidRPr="00447A45">
        <w:t xml:space="preserve"> and 55 days post 6th dose of carboplatin/paclitaxel the subject presented to the hospital with complaints of congestion, dry cough and some chills associated with fever of 100.6</w:t>
      </w:r>
      <w:r w:rsidR="000255EF">
        <w:t>°</w:t>
      </w:r>
      <w:r w:rsidRPr="00447A45">
        <w:t>F. On the same day, the subject’s had an absolute neutrophil count (ANC) of 0.23x10</w:t>
      </w:r>
      <w:r w:rsidRPr="000255EF">
        <w:rPr>
          <w:vertAlign w:val="superscript"/>
        </w:rPr>
        <w:t>3</w:t>
      </w:r>
      <w:r w:rsidRPr="00447A45">
        <w:t xml:space="preserve"> (Baseline: 3.85x10</w:t>
      </w:r>
      <w:r w:rsidRPr="000255EF">
        <w:rPr>
          <w:vertAlign w:val="superscript"/>
        </w:rPr>
        <w:t>3</w:t>
      </w:r>
      <w:r w:rsidRPr="00447A45">
        <w:t>) and platelets of 60x10</w:t>
      </w:r>
      <w:r w:rsidRPr="000255EF">
        <w:rPr>
          <w:vertAlign w:val="superscript"/>
        </w:rPr>
        <w:t>9</w:t>
      </w:r>
      <w:r w:rsidRPr="00447A45">
        <w:t xml:space="preserve"> (Baseline: 165x10</w:t>
      </w:r>
      <w:r w:rsidRPr="000255EF">
        <w:rPr>
          <w:vertAlign w:val="superscript"/>
        </w:rPr>
        <w:t>9</w:t>
      </w:r>
      <w:r w:rsidRPr="00447A45">
        <w:t>). On the</w:t>
      </w:r>
      <w:r w:rsidR="000255EF">
        <w:t xml:space="preserve"> same day, Day 162</w:t>
      </w:r>
      <w:r w:rsidRPr="00447A45">
        <w:t xml:space="preserve">, the subject was diagnosed with febrile neutropenia (Grade 3). He was given IV piperacillin + tazobactam, normal saline 1L and acetaminophen. No action was taken with regards to study therapy. The event of febrile neutropenia resolved on </w:t>
      </w:r>
      <w:r w:rsidR="000255EF">
        <w:t>Day 165</w:t>
      </w:r>
      <w:r w:rsidRPr="00447A45">
        <w:t>.</w:t>
      </w:r>
    </w:p>
    <w:p w:rsidR="00447A45" w:rsidRPr="00447A45" w:rsidRDefault="00447A45" w:rsidP="00447A45">
      <w:r w:rsidRPr="00447A45">
        <w:t>The investigator considered that the event of febrile neutropenia to be related to the study therapy.”</w:t>
      </w:r>
    </w:p>
    <w:p w:rsidR="00447A45" w:rsidRPr="00447A45" w:rsidRDefault="00447A45" w:rsidP="004658DA">
      <w:pPr>
        <w:pStyle w:val="Numberbullet0"/>
      </w:pPr>
      <w:r w:rsidRPr="000255EF">
        <w:rPr>
          <w:b/>
        </w:rPr>
        <w:t>Case 3</w:t>
      </w:r>
      <w:r w:rsidRPr="00447A45">
        <w:t xml:space="preserve"> – Nausea not graded or captured.</w:t>
      </w:r>
    </w:p>
    <w:p w:rsidR="00447A45" w:rsidRPr="00447A45" w:rsidRDefault="00447A45" w:rsidP="00447A45">
      <w:r w:rsidRPr="00447A45">
        <w:t>Patient Identifier: CA184078</w:t>
      </w:r>
      <w:r w:rsidR="004658DA">
        <w:t xml:space="preserve"> </w:t>
      </w:r>
      <w:r w:rsidR="000255EF" w:rsidRPr="000255EF">
        <w:t>[information redacted]</w:t>
      </w:r>
    </w:p>
    <w:p w:rsidR="00447A45" w:rsidRPr="00447A45" w:rsidRDefault="004658DA" w:rsidP="00447A45">
      <w:r>
        <w:t>“</w:t>
      </w:r>
      <w:r w:rsidR="00447A45" w:rsidRPr="00447A45">
        <w:t>Event:</w:t>
      </w:r>
    </w:p>
    <w:p w:rsidR="00447A45" w:rsidRPr="00447A45" w:rsidRDefault="00447A45" w:rsidP="000255EF">
      <w:pPr>
        <w:pStyle w:val="ListBullet"/>
      </w:pPr>
      <w:r w:rsidRPr="00447A45">
        <w:t>Mental status changes (Grade 3, related, Day 409)</w:t>
      </w:r>
    </w:p>
    <w:p w:rsidR="00447A45" w:rsidRPr="00447A45" w:rsidRDefault="00447A45" w:rsidP="000255EF">
      <w:pPr>
        <w:pStyle w:val="ListBullet"/>
      </w:pPr>
      <w:r w:rsidRPr="00447A45">
        <w:t>Pyrexia (Grade 3, related, Day 409)</w:t>
      </w:r>
    </w:p>
    <w:p w:rsidR="00447A45" w:rsidRPr="00447A45" w:rsidRDefault="00447A45" w:rsidP="000255EF">
      <w:pPr>
        <w:pStyle w:val="ListBullet"/>
      </w:pPr>
      <w:r w:rsidRPr="00447A45">
        <w:t>Hypotension (Grade 3, not related, Day 409)</w:t>
      </w:r>
    </w:p>
    <w:p w:rsidR="00447A45" w:rsidRPr="00447A45" w:rsidRDefault="00447A45" w:rsidP="000255EF">
      <w:pPr>
        <w:pStyle w:val="ListBullet"/>
      </w:pPr>
      <w:r w:rsidRPr="00447A45">
        <w:t>Hypokalaemia (Grade 3, not related, Day 409)</w:t>
      </w:r>
    </w:p>
    <w:p w:rsidR="00447A45" w:rsidRPr="00447A45" w:rsidRDefault="00447A45" w:rsidP="00447A45">
      <w:r w:rsidRPr="00447A45">
        <w:t>Clinical Summary:</w:t>
      </w:r>
    </w:p>
    <w:p w:rsidR="00447A45" w:rsidRPr="00447A45" w:rsidRDefault="004658DA" w:rsidP="00447A45">
      <w:r>
        <w:t xml:space="preserve">On Day 409 </w:t>
      </w:r>
      <w:r w:rsidR="00447A45" w:rsidRPr="00447A45">
        <w:t>of the study, 79 days post 7th dose of study therapy (</w:t>
      </w:r>
      <w:r w:rsidR="00A60A6A">
        <w:t>ipilimumab</w:t>
      </w:r>
      <w:r w:rsidR="00447A45" w:rsidRPr="00447A45">
        <w:t>) and338 days post 4th dose of study therapy (Dacarbazine), the subject was hospital</w:t>
      </w:r>
      <w:r w:rsidR="001A330A">
        <w:t>ise</w:t>
      </w:r>
      <w:r w:rsidR="00447A45" w:rsidRPr="00447A45">
        <w:t>d with pyrexia (104</w:t>
      </w:r>
      <w:r w:rsidR="000255EF">
        <w:t>°</w:t>
      </w:r>
      <w:r w:rsidR="00447A45" w:rsidRPr="00447A45">
        <w:t xml:space="preserve">F) </w:t>
      </w:r>
      <w:r w:rsidR="00447A45" w:rsidRPr="00447A45">
        <w:lastRenderedPageBreak/>
        <w:t xml:space="preserve">(Grade 3) associated with nausea, hypotension (Grade 3), </w:t>
      </w:r>
      <w:r w:rsidR="00C22CAE" w:rsidRPr="00447A45">
        <w:t>hypokalaemia</w:t>
      </w:r>
      <w:r w:rsidR="00447A45" w:rsidRPr="00447A45">
        <w:t xml:space="preserve"> (Grade 3) and mental status changes (Grade 3).”</w:t>
      </w:r>
    </w:p>
    <w:p w:rsidR="00447A45" w:rsidRPr="00447A45" w:rsidRDefault="00447A45" w:rsidP="004658DA">
      <w:pPr>
        <w:pStyle w:val="Numberbullet0"/>
      </w:pPr>
      <w:r w:rsidRPr="000255EF">
        <w:rPr>
          <w:b/>
        </w:rPr>
        <w:t>Case 4</w:t>
      </w:r>
      <w:r w:rsidR="004658DA">
        <w:t xml:space="preserve"> </w:t>
      </w:r>
      <w:r w:rsidR="00C22CAE">
        <w:t>Anaemia</w:t>
      </w:r>
      <w:r w:rsidR="000255EF">
        <w:t xml:space="preserve"> not captured.</w:t>
      </w:r>
    </w:p>
    <w:p w:rsidR="00447A45" w:rsidRPr="00447A45" w:rsidRDefault="00447A45" w:rsidP="00447A45">
      <w:r w:rsidRPr="00447A45">
        <w:t>Patient Identifier: CA184078</w:t>
      </w:r>
      <w:r w:rsidR="004658DA">
        <w:t xml:space="preserve"> </w:t>
      </w:r>
      <w:r w:rsidR="000255EF" w:rsidRPr="000255EF">
        <w:t>[information redacted]</w:t>
      </w:r>
    </w:p>
    <w:p w:rsidR="00447A45" w:rsidRPr="00447A45" w:rsidRDefault="004658DA" w:rsidP="00447A45">
      <w:r>
        <w:t>“</w:t>
      </w:r>
      <w:r w:rsidR="00447A45" w:rsidRPr="00447A45">
        <w:t>Event:</w:t>
      </w:r>
    </w:p>
    <w:p w:rsidR="00447A45" w:rsidRPr="00447A45" w:rsidRDefault="00447A45" w:rsidP="000255EF">
      <w:pPr>
        <w:pStyle w:val="ListBullet"/>
      </w:pPr>
      <w:r w:rsidRPr="00447A45">
        <w:t>AST increased (Grade 3, Related, Day 28)</w:t>
      </w:r>
    </w:p>
    <w:p w:rsidR="00447A45" w:rsidRPr="00447A45" w:rsidRDefault="00447A45" w:rsidP="000255EF">
      <w:pPr>
        <w:pStyle w:val="ListBullet"/>
      </w:pPr>
      <w:r w:rsidRPr="00447A45">
        <w:t>ALT increased (Grade 3, Related, Day 28)</w:t>
      </w:r>
    </w:p>
    <w:p w:rsidR="00447A45" w:rsidRPr="00447A45" w:rsidRDefault="00447A45" w:rsidP="000255EF">
      <w:pPr>
        <w:pStyle w:val="ListBullet"/>
      </w:pPr>
      <w:r w:rsidRPr="00447A45">
        <w:t>Abdominal pain (Grade 2, Unrelated, Day 64)</w:t>
      </w:r>
    </w:p>
    <w:p w:rsidR="00447A45" w:rsidRPr="00447A45" w:rsidRDefault="00447A45" w:rsidP="000255EF">
      <w:pPr>
        <w:pStyle w:val="ListBullet"/>
      </w:pPr>
      <w:r w:rsidRPr="00447A45">
        <w:t>ALT increased (Grade 2, Not related, Day 64)</w:t>
      </w:r>
    </w:p>
    <w:p w:rsidR="00447A45" w:rsidRPr="00447A45" w:rsidRDefault="00447A45" w:rsidP="000255EF">
      <w:pPr>
        <w:pStyle w:val="ListBullet"/>
      </w:pPr>
      <w:r w:rsidRPr="00447A45">
        <w:t>AST increased (Grade 1, Not related, Day 64)</w:t>
      </w:r>
    </w:p>
    <w:p w:rsidR="00447A45" w:rsidRPr="00447A45" w:rsidRDefault="00447A45" w:rsidP="000255EF">
      <w:pPr>
        <w:pStyle w:val="ListBullet"/>
      </w:pPr>
      <w:r w:rsidRPr="00447A45">
        <w:t>Bacteremia (Grade 3, Not related, Day 94)</w:t>
      </w:r>
    </w:p>
    <w:p w:rsidR="00447A45" w:rsidRPr="00447A45" w:rsidRDefault="00447A45" w:rsidP="000255EF">
      <w:pPr>
        <w:pStyle w:val="ListBullet"/>
      </w:pPr>
      <w:r w:rsidRPr="00447A45">
        <w:t>Seroma (Grade 2, Not related, Day 94)</w:t>
      </w:r>
    </w:p>
    <w:p w:rsidR="00447A45" w:rsidRPr="00447A45" w:rsidRDefault="00447A45" w:rsidP="00447A45">
      <w:pPr>
        <w:pStyle w:val="ListBullet"/>
      </w:pPr>
      <w:r w:rsidRPr="00447A45">
        <w:t>Malignant Neoplasm Progression (Grade 5, Not related, Day 144)</w:t>
      </w:r>
    </w:p>
    <w:p w:rsidR="00447A45" w:rsidRPr="00447A45" w:rsidRDefault="00447A45" w:rsidP="00447A45">
      <w:r w:rsidRPr="00447A45">
        <w:t>Clinical Summary:</w:t>
      </w:r>
    </w:p>
    <w:p w:rsidR="00447A45" w:rsidRDefault="000255EF" w:rsidP="00447A45">
      <w:r>
        <w:t>On Day 64</w:t>
      </w:r>
      <w:r w:rsidR="00447A45" w:rsidRPr="00447A45">
        <w:t>, 43 days post 2nd dose of study, the events of Grade 2 elevated ALT,</w:t>
      </w:r>
      <w:r>
        <w:t xml:space="preserve"> </w:t>
      </w:r>
      <w:r w:rsidR="00447A45" w:rsidRPr="00447A45">
        <w:t>Grade 1 elevated AST and Grade 2 abdominal pain were reported. Methylprednisolone were initiated. On the same day, a computed tomography (CT) scan of the abdomen and pelvis revealed calcifications in the pelvis likely bone islands, however, metastatic disease was not excluded. She was found to have an increase in the size of the pancreatic mass and required several transfusions”</w:t>
      </w:r>
    </w:p>
    <w:p w:rsidR="000255EF" w:rsidRPr="000255EF" w:rsidRDefault="000255EF" w:rsidP="000255EF">
      <w:pPr>
        <w:pStyle w:val="Heading3"/>
      </w:pPr>
      <w:bookmarkStart w:id="254" w:name="_Ref272333567"/>
      <w:bookmarkStart w:id="255" w:name="_Toc272414665"/>
      <w:bookmarkStart w:id="256" w:name="_Toc290846303"/>
      <w:bookmarkStart w:id="257" w:name="_Toc390676234"/>
      <w:bookmarkStart w:id="258" w:name="_Toc475616230"/>
      <w:r w:rsidRPr="000255EF">
        <w:t>Treatment-related adverse events (adverse drug reactions)</w:t>
      </w:r>
      <w:bookmarkEnd w:id="254"/>
      <w:bookmarkEnd w:id="255"/>
      <w:bookmarkEnd w:id="256"/>
      <w:bookmarkEnd w:id="257"/>
      <w:bookmarkEnd w:id="258"/>
    </w:p>
    <w:p w:rsidR="000255EF" w:rsidRPr="000255EF" w:rsidRDefault="000255EF" w:rsidP="000255EF">
      <w:r w:rsidRPr="000255EF">
        <w:t xml:space="preserve">A complete evaluation was not possible with the data provided by the </w:t>
      </w:r>
      <w:r w:rsidR="00BB7B81">
        <w:t>sponsor</w:t>
      </w:r>
      <w:r w:rsidRPr="000255EF">
        <w:t xml:space="preserve">. Please see questions to the </w:t>
      </w:r>
      <w:r w:rsidR="00BB7B81">
        <w:t>sponsor</w:t>
      </w:r>
      <w:r w:rsidRPr="000255EF">
        <w:t xml:space="preserve"> regarding the safety data.</w:t>
      </w:r>
    </w:p>
    <w:p w:rsidR="000255EF" w:rsidRPr="000255EF" w:rsidRDefault="000255EF" w:rsidP="000255EF">
      <w:pPr>
        <w:pStyle w:val="Heading3"/>
      </w:pPr>
      <w:bookmarkStart w:id="259" w:name="_Toc241374320"/>
      <w:bookmarkStart w:id="260" w:name="_Ref272333507"/>
      <w:bookmarkStart w:id="261" w:name="_Toc272414666"/>
      <w:bookmarkStart w:id="262" w:name="_Toc290846304"/>
      <w:bookmarkStart w:id="263" w:name="_Ref387044729"/>
      <w:bookmarkStart w:id="264" w:name="_Toc390676235"/>
      <w:bookmarkStart w:id="265" w:name="_Toc475616231"/>
      <w:r w:rsidRPr="000255EF">
        <w:t>Deaths and other serious adverse event</w:t>
      </w:r>
      <w:bookmarkEnd w:id="259"/>
      <w:bookmarkEnd w:id="260"/>
      <w:bookmarkEnd w:id="261"/>
      <w:bookmarkEnd w:id="262"/>
      <w:bookmarkEnd w:id="263"/>
      <w:bookmarkEnd w:id="264"/>
      <w:bookmarkEnd w:id="265"/>
    </w:p>
    <w:p w:rsidR="000255EF" w:rsidRPr="000255EF" w:rsidRDefault="000255EF" w:rsidP="000255EF">
      <w:pPr>
        <w:pStyle w:val="Heading4"/>
      </w:pPr>
      <w:r w:rsidRPr="000255EF">
        <w:t>CA184024</w:t>
      </w:r>
    </w:p>
    <w:p w:rsidR="000255EF" w:rsidRDefault="000255EF" w:rsidP="000255EF">
      <w:pPr>
        <w:pStyle w:val="Heading5"/>
      </w:pPr>
      <w:r>
        <w:t>Deaths</w:t>
      </w:r>
    </w:p>
    <w:p w:rsidR="000255EF" w:rsidRPr="000255EF" w:rsidRDefault="000255EF" w:rsidP="000255EF">
      <w:r w:rsidRPr="000255EF">
        <w:t xml:space="preserve">A total of 193 (78.1%) subjects in the </w:t>
      </w:r>
      <w:r w:rsidR="004526FA">
        <w:t>i</w:t>
      </w:r>
      <w:r w:rsidRPr="000255EF">
        <w:t xml:space="preserve">pilimumab plus DTIC group and 217 (86.5%) subjects in the DTIC monotherapy group died. The majority of deaths were caused by disease progression, as noted on the death page of the CRF. The sponsor </w:t>
      </w:r>
      <w:r>
        <w:t xml:space="preserve">reports that there were no drug </w:t>
      </w:r>
      <w:r w:rsidRPr="000255EF">
        <w:t xml:space="preserve">related AEs with an outcome of death in the </w:t>
      </w:r>
      <w:r w:rsidR="00A60A6A">
        <w:t>ipilimumab</w:t>
      </w:r>
      <w:r w:rsidRPr="000255EF">
        <w:t xml:space="preserve"> plus DTIC group, and 1 (0.4</w:t>
      </w:r>
      <w:r w:rsidR="004658DA">
        <w:t xml:space="preserve">%) in the DTIC group (CA184024 </w:t>
      </w:r>
      <w:r w:rsidRPr="000255EF">
        <w:t xml:space="preserve">[information redacted], GI haemorrhage, cause of death is </w:t>
      </w:r>
      <w:r>
        <w:t>listed as study drug toxicity).</w:t>
      </w:r>
    </w:p>
    <w:p w:rsidR="000255EF" w:rsidRPr="000255EF" w:rsidRDefault="000255EF" w:rsidP="000255EF">
      <w:r w:rsidRPr="000255EF">
        <w:t>A number of the deaths ar</w:t>
      </w:r>
      <w:r w:rsidR="004526FA">
        <w:t>e described here (paraphrased).</w:t>
      </w:r>
    </w:p>
    <w:p w:rsidR="000255EF" w:rsidRPr="000255EF" w:rsidRDefault="000255EF" w:rsidP="004526FA">
      <w:pPr>
        <w:pStyle w:val="Heading6"/>
      </w:pPr>
      <w:r w:rsidRPr="000255EF">
        <w:t>Ipilimumab</w:t>
      </w:r>
      <w:r w:rsidR="00C22CAE">
        <w:t xml:space="preserve"> </w:t>
      </w:r>
      <w:r w:rsidRPr="000255EF">
        <w:t>+</w:t>
      </w:r>
      <w:r w:rsidR="00C22CAE">
        <w:t xml:space="preserve"> </w:t>
      </w:r>
      <w:r w:rsidRPr="000255EF">
        <w:t>DTIC arm</w:t>
      </w:r>
    </w:p>
    <w:p w:rsidR="000255EF" w:rsidRPr="000255EF" w:rsidRDefault="000255EF" w:rsidP="000255EF">
      <w:r w:rsidRPr="000255EF">
        <w:t>CA184024</w:t>
      </w:r>
      <w:r w:rsidR="00481235">
        <w:t xml:space="preserve"> </w:t>
      </w:r>
      <w:r w:rsidR="004526FA" w:rsidRPr="004526FA">
        <w:t>[information redacted]</w:t>
      </w:r>
      <w:r w:rsidRPr="000255EF">
        <w:t xml:space="preserve">received 2 doses of </w:t>
      </w:r>
      <w:r w:rsidR="004526FA">
        <w:t>i</w:t>
      </w:r>
      <w:r w:rsidRPr="000255EF">
        <w:t>pilimumab and was documented as having two Grade 5 events; one possibly relate</w:t>
      </w:r>
      <w:r w:rsidR="00481235">
        <w:t>d to the study treatment being s</w:t>
      </w:r>
      <w:r w:rsidRPr="000255EF">
        <w:t>ystemic inflammatory response syndrome (SIRs) which is an AE of interest given the study drug, and the other Grade 5 event being pneumonia which was deemed</w:t>
      </w:r>
      <w:r w:rsidR="004526FA">
        <w:t xml:space="preserve"> unrelated by the investigator.</w:t>
      </w:r>
    </w:p>
    <w:p w:rsidR="000255EF" w:rsidRPr="000255EF" w:rsidRDefault="000255EF" w:rsidP="000255EF">
      <w:r w:rsidRPr="000255EF">
        <w:t>Review of the SAE narrative demonstrated that the patient developed Gr 2 colitis on Day 35 of the drug, and within two days had reached Gr 3</w:t>
      </w:r>
      <w:r w:rsidR="00902ECC">
        <w:t xml:space="preserve"> toxicity. He was commenced on d</w:t>
      </w:r>
      <w:r w:rsidRPr="000255EF">
        <w:t>examethasone 16</w:t>
      </w:r>
      <w:r w:rsidR="00902ECC">
        <w:t xml:space="preserve"> </w:t>
      </w:r>
      <w:r w:rsidRPr="000255EF">
        <w:t xml:space="preserve">mg daily from Day 43 and was continued on systemic corticosteroids until the time of death. </w:t>
      </w:r>
      <w:r w:rsidRPr="000255EF">
        <w:lastRenderedPageBreak/>
        <w:t xml:space="preserve">Whilst he was taken off study due to colitis, the patient’s colitis was not reported as resolved to Gr1 until the date of his death. The patient developed pneumonia on Day 71 (still on corticosteroids and still with unresolved colitis) and was commenced on intravenous antibiotics, but was only admitted to hospital on Day 75 due to respiratory distress and deterioration. At this time he was diagnosed with SIRs. Cultures did not demonstrate an infective aetiology. The patient died on Day 77 (55 days post 2nd study drug dose) with septic shock, pneumonia, and metastatic melanoma indicated on the death certificate with systemic inflammatory response syndrome and dermatitis continuing at the time of death. This death was classified by the investigator as </w:t>
      </w:r>
      <w:r w:rsidR="00902ECC">
        <w:t>‘</w:t>
      </w:r>
      <w:r w:rsidR="00902ECC" w:rsidRPr="00481235">
        <w:t>other-pneumonia’</w:t>
      </w:r>
      <w:r w:rsidRPr="000255EF">
        <w:t>.</w:t>
      </w:r>
    </w:p>
    <w:p w:rsidR="000255EF" w:rsidRPr="000255EF" w:rsidRDefault="00481235" w:rsidP="00481235">
      <w:pPr>
        <w:pStyle w:val="Comment"/>
        <w:ind w:left="1134" w:hanging="1134"/>
      </w:pPr>
      <w:r>
        <w:rPr>
          <w:b/>
        </w:rPr>
        <w:t>C</w:t>
      </w:r>
      <w:r w:rsidRPr="00902ECC">
        <w:rPr>
          <w:b/>
        </w:rPr>
        <w:t>omment</w:t>
      </w:r>
      <w:r w:rsidRPr="00481235">
        <w:rPr>
          <w:b/>
        </w:rPr>
        <w:t>:</w:t>
      </w:r>
      <w:r>
        <w:t xml:space="preserve"> </w:t>
      </w:r>
      <w:r w:rsidR="000255EF" w:rsidRPr="000255EF">
        <w:t>This case may be possibly a death related to the study drug given the ongoing presence of irAEs (colitis, rash, SIRs) that required ongoing systemic corticosteroids until the time of death, the development of the reported pneumonia whilst other irAEs (including SIRs) were still requiring treatment, the absence of an infective aetiology being proven, the diagnosis of SIRs being given as the reason for hospitalisation, the potential for pneumonia to be similar in presentation to SIRs, and ultimately the event of SIRs was graded as 5. Pneumonia w</w:t>
      </w:r>
      <w:r w:rsidR="00902ECC">
        <w:t>as also listed with as Grade 5.</w:t>
      </w:r>
    </w:p>
    <w:p w:rsidR="000255EF" w:rsidRPr="000255EF" w:rsidRDefault="000255EF" w:rsidP="00481235">
      <w:pPr>
        <w:pStyle w:val="Comment"/>
        <w:ind w:left="1134" w:firstLine="0"/>
      </w:pPr>
      <w:r w:rsidRPr="000255EF">
        <w:t>As the event of SIRs was gra</w:t>
      </w:r>
      <w:r w:rsidR="00902ECC">
        <w:t>ded as a Gr 5 event, could the s</w:t>
      </w:r>
      <w:r w:rsidRPr="000255EF">
        <w:t>ponsor please explain why this event was not regarded as a treatment related death and presented in summary tables as such? Were deaths only presented according to how the investigator captured and annotated them? In addition, it would be helpful to know how the uniform collation of Gr 5 events (or SAEs) and allocation of causality were performed in the situation where there was disagreement betwee</w:t>
      </w:r>
      <w:r w:rsidR="00902ECC">
        <w:t xml:space="preserve">n the investigator and </w:t>
      </w:r>
      <w:r w:rsidR="00BB7B81">
        <w:t>sponsor</w:t>
      </w:r>
      <w:r w:rsidR="00902ECC">
        <w:t>.</w:t>
      </w:r>
    </w:p>
    <w:p w:rsidR="000255EF" w:rsidRPr="000255EF" w:rsidRDefault="000255EF" w:rsidP="000255EF">
      <w:r w:rsidRPr="000255EF">
        <w:t>Three cerebrovascular causes of death were listed, all more than 70 days post last study dose; two deaths f</w:t>
      </w:r>
      <w:r w:rsidR="00481235">
        <w:t xml:space="preserve">rom brain haemorrhage (CA184024 </w:t>
      </w:r>
      <w:r w:rsidR="00902ECC" w:rsidRPr="00902ECC">
        <w:t>[information redacted]</w:t>
      </w:r>
      <w:r w:rsidR="00902ECC">
        <w:t xml:space="preserve"> </w:t>
      </w:r>
      <w:r w:rsidR="00481235">
        <w:t xml:space="preserve">and CA184024 </w:t>
      </w:r>
      <w:r w:rsidR="00902ECC" w:rsidRPr="00902ECC">
        <w:t>[information redacted]</w:t>
      </w:r>
      <w:r w:rsidRPr="000255EF">
        <w:t xml:space="preserve">, with the latter patient’s death being listed as </w:t>
      </w:r>
      <w:r w:rsidR="00902ECC">
        <w:t>‘</w:t>
      </w:r>
      <w:r w:rsidRPr="000255EF">
        <w:t>apoplexy</w:t>
      </w:r>
      <w:r w:rsidR="00902ECC">
        <w:t>’</w:t>
      </w:r>
      <w:r w:rsidRPr="000255EF">
        <w:t xml:space="preserve">) and one ischemic </w:t>
      </w:r>
      <w:r w:rsidR="00481235">
        <w:t xml:space="preserve">cerebrovascular event (CA184024 </w:t>
      </w:r>
      <w:r w:rsidR="00902ECC" w:rsidRPr="00902ECC">
        <w:t>[information redacted]</w:t>
      </w:r>
      <w:r w:rsidRPr="000255EF">
        <w:t>). One death due to pulmonary embolism was listed.</w:t>
      </w:r>
    </w:p>
    <w:p w:rsidR="00902ECC" w:rsidRDefault="00902ECC" w:rsidP="00902ECC">
      <w:pPr>
        <w:pStyle w:val="Heading6"/>
      </w:pPr>
      <w:r>
        <w:t>DTIC alone arm</w:t>
      </w:r>
    </w:p>
    <w:p w:rsidR="000255EF" w:rsidRPr="000255EF" w:rsidRDefault="000255EF" w:rsidP="000255EF">
      <w:r w:rsidRPr="000255EF">
        <w:t>There was one ischaemic cerebrovascular event, 3 myocardial infarctions, one pulmonary embolus, and two cardiopulmonary arrests reported as unrelated to the study drugs.</w:t>
      </w:r>
    </w:p>
    <w:p w:rsidR="00902ECC" w:rsidRDefault="00902ECC" w:rsidP="00481235">
      <w:pPr>
        <w:pStyle w:val="Heading5"/>
      </w:pPr>
      <w:r>
        <w:t>Serious AEs</w:t>
      </w:r>
    </w:p>
    <w:p w:rsidR="000255EF" w:rsidRPr="000255EF" w:rsidRDefault="000255EF" w:rsidP="000255EF">
      <w:r w:rsidRPr="000255EF">
        <w:t>An evaluation of the safe</w:t>
      </w:r>
      <w:r w:rsidR="00902ECC">
        <w:t>ty of i</w:t>
      </w:r>
      <w:r w:rsidRPr="000255EF">
        <w:t>pilimumab was not possible with t</w:t>
      </w:r>
      <w:r w:rsidR="00902ECC">
        <w:t>he information provided by the s</w:t>
      </w:r>
      <w:r w:rsidRPr="000255EF">
        <w:t>ponsor, with questions previously outlined regarding the accuracy of the data sources utilised for the safety analyses. However, this study does not provide relevant evidence of safety</w:t>
      </w:r>
      <w:r w:rsidR="00902ECC">
        <w:t xml:space="preserve"> for the proposed usage.</w:t>
      </w:r>
    </w:p>
    <w:p w:rsidR="000255EF" w:rsidRPr="000255EF" w:rsidRDefault="000255EF" w:rsidP="00902ECC">
      <w:pPr>
        <w:pStyle w:val="Heading4"/>
      </w:pPr>
      <w:r w:rsidRPr="000255EF">
        <w:t>Other studies</w:t>
      </w:r>
    </w:p>
    <w:p w:rsidR="000255EF" w:rsidRPr="000255EF" w:rsidRDefault="000255EF" w:rsidP="00902ECC">
      <w:pPr>
        <w:pStyle w:val="Heading5"/>
      </w:pPr>
      <w:r w:rsidRPr="000255EF">
        <w:t>CA184042</w:t>
      </w:r>
    </w:p>
    <w:p w:rsidR="00627C9A" w:rsidRDefault="000255EF" w:rsidP="000255EF">
      <w:r w:rsidRPr="000255EF">
        <w:t xml:space="preserve">The </w:t>
      </w:r>
      <w:r w:rsidR="00BB7B81">
        <w:t>sponsor</w:t>
      </w:r>
      <w:r w:rsidRPr="000255EF">
        <w:t xml:space="preserve"> writes</w:t>
      </w:r>
      <w:r w:rsidR="00627C9A">
        <w:t>:</w:t>
      </w:r>
    </w:p>
    <w:p w:rsidR="000255EF" w:rsidRPr="00627C9A" w:rsidRDefault="00902ECC" w:rsidP="00627C9A">
      <w:pPr>
        <w:ind w:left="720"/>
      </w:pPr>
      <w:r w:rsidRPr="00627C9A">
        <w:t>‘</w:t>
      </w:r>
      <w:r w:rsidR="000255EF" w:rsidRPr="00627C9A">
        <w:t>A total of 55 subjects di</w:t>
      </w:r>
      <w:r w:rsidR="00627C9A" w:rsidRPr="00627C9A">
        <w:t xml:space="preserve">ed; 36 out of 51 corticosteroid </w:t>
      </w:r>
      <w:r w:rsidR="000255EF" w:rsidRPr="00627C9A">
        <w:t>free subjects (70.6%) and 19 out of 21 corticosteroid-dependent subjects (90.5%). The majority died as a result of disease progression. One subject died due to drug toxicity (sepsis); one due to unknown cause (both in Arm A). As previously reported in the interim report, although the cause of death for</w:t>
      </w:r>
      <w:r w:rsidRPr="00627C9A">
        <w:t xml:space="preserve"> </w:t>
      </w:r>
      <w:r w:rsidR="000255EF" w:rsidRPr="00627C9A">
        <w:t>Subject CA184042-</w:t>
      </w:r>
      <w:r w:rsidRPr="00627C9A">
        <w:t xml:space="preserve">[information redacted] </w:t>
      </w:r>
      <w:r w:rsidR="000255EF" w:rsidRPr="00627C9A">
        <w:t>was reported as PD by the investigator and is thus listed as PD in the clinical database, the internal BMS safety database shows the death as due to septic shock probably related to study drug</w:t>
      </w:r>
      <w:r w:rsidRPr="00627C9A">
        <w:t>’.</w:t>
      </w:r>
    </w:p>
    <w:p w:rsidR="000255EF" w:rsidRPr="000255EF" w:rsidRDefault="000255EF" w:rsidP="000255EF">
      <w:r w:rsidRPr="000255EF">
        <w:lastRenderedPageBreak/>
        <w:t>Review of the narratives suggests that the patient whos</w:t>
      </w:r>
      <w:r w:rsidR="00902ECC">
        <w:t>e death is annotated as due to ‘</w:t>
      </w:r>
      <w:r w:rsidRPr="00627C9A">
        <w:t>septic shock</w:t>
      </w:r>
      <w:r w:rsidR="00902ECC">
        <w:t>’</w:t>
      </w:r>
      <w:r w:rsidRPr="000255EF">
        <w:t>, died from possible/likely drug related colitis, gastrointestinal perforation</w:t>
      </w:r>
      <w:r w:rsidR="00627C9A">
        <w:t xml:space="preserve"> </w:t>
      </w:r>
      <w:r w:rsidRPr="000255EF">
        <w:t>/ischemia</w:t>
      </w:r>
      <w:r w:rsidR="00627C9A">
        <w:t xml:space="preserve"> </w:t>
      </w:r>
      <w:r w:rsidRPr="000255EF">
        <w:t>/gangrenous colon, likely precipitating the septic shock and subsequent patient death. These events were considered by the investigator p</w:t>
      </w:r>
      <w:r w:rsidR="00792F00">
        <w:t>robably related to study drug.</w:t>
      </w:r>
    </w:p>
    <w:p w:rsidR="000255EF" w:rsidRPr="00627C9A" w:rsidRDefault="000255EF" w:rsidP="000255EF">
      <w:pPr>
        <w:rPr>
          <w:i/>
        </w:rPr>
      </w:pPr>
      <w:r w:rsidRPr="00627C9A">
        <w:rPr>
          <w:i/>
        </w:rPr>
        <w:t>Note is made that there is no Grade 5 A</w:t>
      </w:r>
      <w:r w:rsidR="00792F00" w:rsidRPr="00627C9A">
        <w:rPr>
          <w:i/>
        </w:rPr>
        <w:t>E listed for any of the events;</w:t>
      </w:r>
      <w:r w:rsidRPr="00627C9A">
        <w:rPr>
          <w:i/>
        </w:rPr>
        <w:t xml:space="preserve"> were deaths captured separately? Can the </w:t>
      </w:r>
      <w:r w:rsidR="00BB7B81" w:rsidRPr="00627C9A">
        <w:rPr>
          <w:i/>
        </w:rPr>
        <w:t>sponsor</w:t>
      </w:r>
      <w:r w:rsidRPr="00627C9A">
        <w:rPr>
          <w:i/>
        </w:rPr>
        <w:t xml:space="preserve"> please explain this?</w:t>
      </w:r>
    </w:p>
    <w:p w:rsidR="000255EF" w:rsidRPr="00627C9A" w:rsidRDefault="000255EF" w:rsidP="000255EF">
      <w:pPr>
        <w:rPr>
          <w:i/>
        </w:rPr>
      </w:pPr>
      <w:r w:rsidRPr="00627C9A">
        <w:rPr>
          <w:i/>
        </w:rPr>
        <w:t xml:space="preserve">Is this death not more appropriately annotated as a result of possible/likely drug related colitis, gastrointestinal perforation/ischemia/gangrenous colon, likely </w:t>
      </w:r>
      <w:r w:rsidR="00792F00" w:rsidRPr="00627C9A">
        <w:rPr>
          <w:i/>
        </w:rPr>
        <w:t>precipitating the septic shock?</w:t>
      </w:r>
    </w:p>
    <w:p w:rsidR="00792F00" w:rsidRPr="00627C9A" w:rsidRDefault="000255EF" w:rsidP="000255EF">
      <w:pPr>
        <w:rPr>
          <w:i/>
        </w:rPr>
      </w:pPr>
      <w:r w:rsidRPr="00627C9A">
        <w:rPr>
          <w:i/>
        </w:rPr>
        <w:t xml:space="preserve">The colitis, diarrhoea, and gastrointestinal perforation are not listed as AEs though are described within the SAE narrative. Can the </w:t>
      </w:r>
      <w:r w:rsidR="00BB7B81" w:rsidRPr="00627C9A">
        <w:rPr>
          <w:i/>
        </w:rPr>
        <w:t>sponsor</w:t>
      </w:r>
      <w:r w:rsidRPr="00627C9A">
        <w:rPr>
          <w:i/>
        </w:rPr>
        <w:t xml:space="preserve"> please </w:t>
      </w:r>
      <w:r w:rsidR="00792F00" w:rsidRPr="00627C9A">
        <w:rPr>
          <w:i/>
        </w:rPr>
        <w:t>explain why these were omitted?</w:t>
      </w:r>
    </w:p>
    <w:p w:rsidR="000255EF" w:rsidRPr="000255EF" w:rsidRDefault="000255EF" w:rsidP="000255EF">
      <w:r w:rsidRPr="000255EF">
        <w:t>T</w:t>
      </w:r>
      <w:r w:rsidR="00627C9A">
        <w:t>he narrative is included below:</w:t>
      </w:r>
    </w:p>
    <w:p w:rsidR="000255EF" w:rsidRPr="00627C9A" w:rsidRDefault="00627C9A" w:rsidP="00627C9A">
      <w:r w:rsidRPr="00627C9A">
        <w:t xml:space="preserve">Patient Identifier: CA184042 </w:t>
      </w:r>
      <w:r w:rsidR="00792F00" w:rsidRPr="00627C9A">
        <w:t>[information redacted]</w:t>
      </w:r>
    </w:p>
    <w:p w:rsidR="000255EF" w:rsidRPr="00627C9A" w:rsidRDefault="00627C9A" w:rsidP="00627C9A">
      <w:r>
        <w:t>“</w:t>
      </w:r>
      <w:r w:rsidR="000255EF" w:rsidRPr="00627C9A">
        <w:t>Events:</w:t>
      </w:r>
    </w:p>
    <w:p w:rsidR="000255EF" w:rsidRPr="00627C9A" w:rsidRDefault="000255EF" w:rsidP="00627C9A">
      <w:pPr>
        <w:pStyle w:val="ListBullet"/>
      </w:pPr>
      <w:r w:rsidRPr="00627C9A">
        <w:t>Atrial fibrillation (Grade 3, possibly related, Day 43)</w:t>
      </w:r>
    </w:p>
    <w:p w:rsidR="000255EF" w:rsidRPr="00627C9A" w:rsidRDefault="000255EF" w:rsidP="00627C9A">
      <w:pPr>
        <w:pStyle w:val="ListBullet"/>
      </w:pPr>
      <w:r w:rsidRPr="00627C9A">
        <w:t>Intestinal ischemia (Grade 4, probably related, Day 43)</w:t>
      </w:r>
    </w:p>
    <w:p w:rsidR="000255EF" w:rsidRPr="00627C9A" w:rsidRDefault="000255EF" w:rsidP="00627C9A">
      <w:pPr>
        <w:pStyle w:val="ListBullet"/>
      </w:pPr>
      <w:r w:rsidRPr="00627C9A">
        <w:t>Colon gangrene (Grade 4, probably related, Day 43)</w:t>
      </w:r>
    </w:p>
    <w:p w:rsidR="000255EF" w:rsidRPr="00627C9A" w:rsidRDefault="000255EF" w:rsidP="00627C9A">
      <w:pPr>
        <w:pStyle w:val="ListBullet"/>
      </w:pPr>
      <w:r w:rsidRPr="00627C9A">
        <w:t>Septic shock (Grade 4, probably related, Day 43)</w:t>
      </w:r>
    </w:p>
    <w:p w:rsidR="000255EF" w:rsidRPr="00627C9A" w:rsidRDefault="000255EF" w:rsidP="00627C9A">
      <w:pPr>
        <w:pStyle w:val="ListBullet"/>
      </w:pPr>
      <w:r w:rsidRPr="00627C9A">
        <w:t>Renal failure acute (Grade 4, not related, Day 43)</w:t>
      </w:r>
    </w:p>
    <w:p w:rsidR="000255EF" w:rsidRPr="00627C9A" w:rsidRDefault="000255EF" w:rsidP="00627C9A">
      <w:r w:rsidRPr="00627C9A">
        <w:t>Clinical Summary:</w:t>
      </w:r>
    </w:p>
    <w:p w:rsidR="000255EF" w:rsidRPr="00627C9A" w:rsidRDefault="000255EF" w:rsidP="00627C9A">
      <w:r w:rsidRPr="00627C9A">
        <w:t xml:space="preserve">On Day 43, 20 days after the last dose of </w:t>
      </w:r>
      <w:r w:rsidR="00A60A6A">
        <w:t>ipilimumab</w:t>
      </w:r>
      <w:r w:rsidRPr="00627C9A">
        <w:t xml:space="preserve">, the subject presented acutely to the emergency room (ER) in fulminant septic shock (Grade 4) and renal failure acute (recorded as verbatim term acute renal failure) (Grade 4). Study drug was discontinued in response to septic shock. No action with study drug for acute renal failure. The subject received treatment for these events. For about 2 weeks prior to this hospitalization, the subject had been having severe non-bloody diarrhoea (a maximum of 4 episodes of diarrhoea per day) associated with crampy abdominal pain, but experienced </w:t>
      </w:r>
      <w:r w:rsidR="00792F00" w:rsidRPr="00627C9A">
        <w:t xml:space="preserve">no significant gastrointestinal </w:t>
      </w:r>
      <w:r w:rsidRPr="00627C9A">
        <w:t>type symptoms before that. On presentation to the ER, the subject was in septic shock and atrial fibrillation (Grade 3), which was successfully cardioverted. A computed tomography (CT) scan of the abdomen and pelvis suggested a perforated viscus with free air in the peritoneum. The subject became more acidotic in the morning and tachypneic. Lactic acid was 7.3 (units, baseline, and reference ranges not specified). A decision was made to take the subject to the operating room for exploratory laparotomy, where severe ischemic and gangrenous colon (Grade 4) and ischemia and gangrenous colon, the procedure was deferred, and the subject was transferred back to the intensive care unit and was intubated. Th</w:t>
      </w:r>
      <w:r w:rsidR="00792F00" w:rsidRPr="00627C9A">
        <w:t xml:space="preserve">e subject had evidence of multi </w:t>
      </w:r>
      <w:r w:rsidRPr="00627C9A">
        <w:t>organ system failure from septic shock, including hemodynamic instability requiring vasopressor support, acute renal insufficiency, pulmonary distress, and severe acidosis. The subject's prognosis was discussed with the subject’s immediate family and, as a result, the subject was withdrawn from the study, provided with comfort care, and</w:t>
      </w:r>
      <w:r w:rsidR="00792F00" w:rsidRPr="00627C9A">
        <w:t xml:space="preserve"> taken off pressors. On Day 44</w:t>
      </w:r>
      <w:r w:rsidRPr="00627C9A">
        <w:t>, the subject died due to septic shock, extensive ischemic colitis, colon gangrene, and multi-organ system failure. At the time of death, ischemic and gangrenous colon and renal failure acute had not resolved. The investigator considered the fatal septic shock and ischemic/gangrenous colon probably related to study drug, atrial fibrillation possibly related to study drug, and renal failure ac</w:t>
      </w:r>
      <w:r w:rsidR="00792F00" w:rsidRPr="00627C9A">
        <w:t>ute not related to study drug.’</w:t>
      </w:r>
    </w:p>
    <w:p w:rsidR="000255EF" w:rsidRPr="006B3543" w:rsidRDefault="000255EF" w:rsidP="00627C9A">
      <w:pPr>
        <w:rPr>
          <w:i/>
        </w:rPr>
      </w:pPr>
      <w:r w:rsidRPr="006B3543">
        <w:rPr>
          <w:i/>
        </w:rPr>
        <w:t xml:space="preserve">For the second death described in the text of the CSR as </w:t>
      </w:r>
      <w:r w:rsidR="00792F00" w:rsidRPr="006B3543">
        <w:rPr>
          <w:i/>
        </w:rPr>
        <w:t>‘</w:t>
      </w:r>
      <w:r w:rsidRPr="006B3543">
        <w:rPr>
          <w:i/>
        </w:rPr>
        <w:t>cause unknown</w:t>
      </w:r>
      <w:r w:rsidR="00792F00" w:rsidRPr="006B3543">
        <w:rPr>
          <w:i/>
        </w:rPr>
        <w:t>’</w:t>
      </w:r>
      <w:r w:rsidRPr="006B3543">
        <w:rPr>
          <w:i/>
        </w:rPr>
        <w:t xml:space="preserve">, there is a possibility of a drug related AE, given the concurrent presence of G3 diarrhoea at the time of death. However, the narrative is not clear. It describes the diarrhoea as a single episode that was considered </w:t>
      </w:r>
      <w:r w:rsidR="00792F00" w:rsidRPr="006B3543">
        <w:rPr>
          <w:i/>
        </w:rPr>
        <w:t>‘</w:t>
      </w:r>
      <w:r w:rsidRPr="006B3543">
        <w:rPr>
          <w:i/>
        </w:rPr>
        <w:t>resolved</w:t>
      </w:r>
      <w:r w:rsidR="00792F00" w:rsidRPr="006B3543">
        <w:rPr>
          <w:i/>
        </w:rPr>
        <w:t>’</w:t>
      </w:r>
      <w:r w:rsidRPr="006B3543">
        <w:rPr>
          <w:i/>
        </w:rPr>
        <w:t xml:space="preserve"> </w:t>
      </w:r>
      <w:r w:rsidRPr="006B3543">
        <w:rPr>
          <w:i/>
        </w:rPr>
        <w:lastRenderedPageBreak/>
        <w:t xml:space="preserve">perhaps due to the patient’s death. Furthermore, </w:t>
      </w:r>
      <w:r w:rsidR="00792F00" w:rsidRPr="006B3543">
        <w:rPr>
          <w:i/>
        </w:rPr>
        <w:t>‘l</w:t>
      </w:r>
      <w:r w:rsidRPr="006B3543">
        <w:rPr>
          <w:i/>
        </w:rPr>
        <w:t xml:space="preserve">oss of </w:t>
      </w:r>
      <w:r w:rsidR="006B3543" w:rsidRPr="006B3543">
        <w:rPr>
          <w:i/>
        </w:rPr>
        <w:t>consciousness’s</w:t>
      </w:r>
      <w:r w:rsidRPr="006B3543">
        <w:rPr>
          <w:i/>
        </w:rPr>
        <w:t xml:space="preserve"> used to describe the cause of death, is unconventional and dif</w:t>
      </w:r>
      <w:r w:rsidR="00792F00" w:rsidRPr="006B3543">
        <w:rPr>
          <w:i/>
        </w:rPr>
        <w:t>ficult to interpret clinically.</w:t>
      </w:r>
    </w:p>
    <w:p w:rsidR="000255EF" w:rsidRPr="006B3543" w:rsidRDefault="000255EF" w:rsidP="000255EF">
      <w:pPr>
        <w:rPr>
          <w:i/>
        </w:rPr>
      </w:pPr>
      <w:r w:rsidRPr="006B3543">
        <w:rPr>
          <w:i/>
        </w:rPr>
        <w:t xml:space="preserve">What clinical event was thought to have caused the patient’s death? The events are additionally unclear given that the first event was considered </w:t>
      </w:r>
      <w:r w:rsidR="00792F00" w:rsidRPr="006B3543">
        <w:rPr>
          <w:i/>
        </w:rPr>
        <w:t>‘</w:t>
      </w:r>
      <w:r w:rsidRPr="006B3543">
        <w:rPr>
          <w:i/>
        </w:rPr>
        <w:t>unresolved</w:t>
      </w:r>
      <w:r w:rsidR="00792F00" w:rsidRPr="006B3543">
        <w:rPr>
          <w:i/>
        </w:rPr>
        <w:t>’</w:t>
      </w:r>
      <w:r w:rsidRPr="006B3543">
        <w:rPr>
          <w:i/>
        </w:rPr>
        <w:t xml:space="preserve"> at the time of the second event (?) ten days later, where the patient was found unconscious in a </w:t>
      </w:r>
      <w:r w:rsidR="00792F00" w:rsidRPr="006B3543">
        <w:rPr>
          <w:i/>
        </w:rPr>
        <w:t xml:space="preserve">pool of diarrhoea on the floor. </w:t>
      </w:r>
      <w:r w:rsidRPr="006B3543">
        <w:rPr>
          <w:i/>
        </w:rPr>
        <w:t>Was the patient known to be un</w:t>
      </w:r>
      <w:r w:rsidR="00792F00" w:rsidRPr="006B3543">
        <w:rPr>
          <w:i/>
        </w:rPr>
        <w:t xml:space="preserve">conscious at home for ten days? </w:t>
      </w:r>
      <w:r w:rsidRPr="006B3543">
        <w:rPr>
          <w:i/>
        </w:rPr>
        <w:t xml:space="preserve">No grade 5 </w:t>
      </w:r>
      <w:r w:rsidR="00792F00" w:rsidRPr="006B3543">
        <w:rPr>
          <w:i/>
        </w:rPr>
        <w:t xml:space="preserve">events are listed. Why is this? </w:t>
      </w:r>
      <w:r w:rsidRPr="006B3543">
        <w:rPr>
          <w:i/>
        </w:rPr>
        <w:t xml:space="preserve">Could the </w:t>
      </w:r>
      <w:r w:rsidR="00BB7B81" w:rsidRPr="006B3543">
        <w:rPr>
          <w:i/>
        </w:rPr>
        <w:t>sponsor</w:t>
      </w:r>
      <w:r w:rsidRPr="006B3543">
        <w:rPr>
          <w:i/>
        </w:rPr>
        <w:t xml:space="preserve"> please provide more commentary on the issues? T</w:t>
      </w:r>
      <w:r w:rsidR="00792F00" w:rsidRPr="006B3543">
        <w:rPr>
          <w:i/>
        </w:rPr>
        <w:t>he narrative is included below.</w:t>
      </w:r>
    </w:p>
    <w:p w:rsidR="000255EF" w:rsidRPr="006B3543" w:rsidRDefault="000255EF" w:rsidP="000255EF">
      <w:r w:rsidRPr="006B3543">
        <w:t>Patient Identifier: CA184042</w:t>
      </w:r>
      <w:r w:rsidR="006B3543">
        <w:t xml:space="preserve"> </w:t>
      </w:r>
      <w:r w:rsidR="00792F00" w:rsidRPr="006B3543">
        <w:t>[information redacted]</w:t>
      </w:r>
    </w:p>
    <w:p w:rsidR="000255EF" w:rsidRPr="006B3543" w:rsidRDefault="006B3543" w:rsidP="000255EF">
      <w:r>
        <w:t>“</w:t>
      </w:r>
      <w:r w:rsidR="000255EF" w:rsidRPr="006B3543">
        <w:t>Events:</w:t>
      </w:r>
    </w:p>
    <w:p w:rsidR="000255EF" w:rsidRPr="006B3543" w:rsidRDefault="000255EF" w:rsidP="006B3543">
      <w:pPr>
        <w:pStyle w:val="ListBullet"/>
      </w:pPr>
      <w:r w:rsidRPr="006B3543">
        <w:t>Loss of consciousness (Grade 3, not likely related, Day 104)</w:t>
      </w:r>
    </w:p>
    <w:p w:rsidR="000255EF" w:rsidRPr="006B3543" w:rsidRDefault="000255EF" w:rsidP="006B3543">
      <w:pPr>
        <w:pStyle w:val="ListBullet"/>
      </w:pPr>
      <w:r w:rsidRPr="006B3543">
        <w:t>Diarrhoea (Grade 3, possibly related, Day 114)</w:t>
      </w:r>
    </w:p>
    <w:p w:rsidR="000255EF" w:rsidRPr="006B3543" w:rsidRDefault="000255EF" w:rsidP="000255EF">
      <w:r w:rsidRPr="006B3543">
        <w:t>Clinical Summary:</w:t>
      </w:r>
    </w:p>
    <w:p w:rsidR="00390052" w:rsidRPr="00390052" w:rsidRDefault="000255EF" w:rsidP="000255EF">
      <w:r w:rsidRPr="00390052">
        <w:t xml:space="preserve">On </w:t>
      </w:r>
      <w:r w:rsidR="00792F00" w:rsidRPr="00390052">
        <w:t>Day 104</w:t>
      </w:r>
      <w:r w:rsidRPr="00390052">
        <w:t xml:space="preserve"> of the study, the investigator reported a serious adverse event of loss of consciousness. The investigator judged the intensity to be Grade 3 and the relationship to study drug to be not likely related. The subject did not receive treatment for this event. The event of loss of consciousness did not resolve. No action was taken relating to study drug. On Day 114, the subject was found unconscious on the floor in a pool of diarrhoea. The investigator judged the intensity of these events to be Grade 3 and the relationship to study drug to be possibly related. The event of diarrhoea was a single episode and was resolved on Day 114. The subject did not receive treatment for this</w:t>
      </w:r>
      <w:r w:rsidR="00792F00" w:rsidRPr="00390052">
        <w:t xml:space="preserve"> event. On Day 114</w:t>
      </w:r>
      <w:r w:rsidRPr="00390052">
        <w:t>, the subject die</w:t>
      </w:r>
      <w:r w:rsidR="00792F00" w:rsidRPr="00390052">
        <w:t xml:space="preserve">d due to loss of consciousness. </w:t>
      </w:r>
      <w:r w:rsidRPr="00390052">
        <w:t>The event of black stool was re</w:t>
      </w:r>
      <w:r w:rsidR="00792F00" w:rsidRPr="00390052">
        <w:t>moved and updated to diarrhoea.</w:t>
      </w:r>
    </w:p>
    <w:p w:rsidR="000255EF" w:rsidRPr="00390052" w:rsidRDefault="000255EF" w:rsidP="000255EF">
      <w:r w:rsidRPr="00390052">
        <w:t>The previous information was included in the NDA. The following new information was obtained at the time of the data cut-off for the 120 day safe</w:t>
      </w:r>
      <w:r w:rsidR="00792F00" w:rsidRPr="00390052">
        <w:t xml:space="preserve">ty update </w:t>
      </w:r>
      <w:r w:rsidR="00390052">
        <w:t>report.”</w:t>
      </w:r>
    </w:p>
    <w:p w:rsidR="00792F00" w:rsidRPr="00390052" w:rsidRDefault="000255EF" w:rsidP="00390052">
      <w:pPr>
        <w:pStyle w:val="Heading5"/>
      </w:pPr>
      <w:r w:rsidRPr="00390052">
        <w:rPr>
          <w:rStyle w:val="Heading6Char"/>
          <w:bCs/>
          <w:i/>
        </w:rPr>
        <w:t>Serious</w:t>
      </w:r>
      <w:r w:rsidRPr="00390052">
        <w:rPr>
          <w:rStyle w:val="Heading6Char"/>
        </w:rPr>
        <w:t xml:space="preserve"> AEs</w:t>
      </w:r>
    </w:p>
    <w:p w:rsidR="000255EF" w:rsidRPr="000255EF" w:rsidRDefault="007375B4" w:rsidP="000255EF">
      <w:r>
        <w:t>An evaluation of the safety of i</w:t>
      </w:r>
      <w:r w:rsidR="000255EF" w:rsidRPr="000255EF">
        <w:t>pilimumab was not possible as has been previously outlined, there are uncertainties about the accuracy of the data sources utilised for the safety analyses. However, this study does not provide direct relevant evidence of</w:t>
      </w:r>
      <w:r>
        <w:t xml:space="preserve"> safety for the proposed usage.</w:t>
      </w:r>
    </w:p>
    <w:p w:rsidR="000255EF" w:rsidRPr="000255EF" w:rsidRDefault="00390052" w:rsidP="007375B4">
      <w:pPr>
        <w:pStyle w:val="Heading5"/>
      </w:pPr>
      <w:r>
        <w:t xml:space="preserve">Study </w:t>
      </w:r>
      <w:r w:rsidR="007375B4">
        <w:t>CA184078</w:t>
      </w:r>
    </w:p>
    <w:p w:rsidR="00390052" w:rsidRDefault="00AF75D7" w:rsidP="000255EF">
      <w:r>
        <w:t>The sponsor writes</w:t>
      </w:r>
      <w:r w:rsidR="00390052">
        <w:t>:</w:t>
      </w:r>
    </w:p>
    <w:p w:rsidR="000255EF" w:rsidRPr="000255EF" w:rsidRDefault="00AF75D7" w:rsidP="00390052">
      <w:pPr>
        <w:ind w:left="720"/>
      </w:pPr>
      <w:r>
        <w:t>“</w:t>
      </w:r>
      <w:r w:rsidRPr="00390052">
        <w:t>Twenty four</w:t>
      </w:r>
      <w:r w:rsidR="000255EF" w:rsidRPr="00390052">
        <w:t xml:space="preserve"> treated subjects have died as of the Week 48 database lock: </w:t>
      </w:r>
      <w:r w:rsidRPr="00390052">
        <w:t xml:space="preserve">Twelve </w:t>
      </w:r>
      <w:r w:rsidR="000255EF" w:rsidRPr="00390052">
        <w:t>subjects (60%) in Arm A, 5 subjects (26%) in Arm B, and 7 subjects (35%) in Arm C. Twenty (20) subjects died due to disease progression, and 1 subject each died due to c</w:t>
      </w:r>
      <w:r w:rsidR="00390052">
        <w:t xml:space="preserve">ardiac arrest (Subject CA184078 </w:t>
      </w:r>
      <w:r w:rsidRPr="00390052">
        <w:t>[information redacted]</w:t>
      </w:r>
      <w:r w:rsidR="000255EF" w:rsidRPr="00390052">
        <w:t xml:space="preserve">, Arm A), </w:t>
      </w:r>
      <w:r w:rsidR="00390052">
        <w:t xml:space="preserve">liver failure (Subject CA184078 </w:t>
      </w:r>
      <w:r w:rsidRPr="00390052">
        <w:t>[information redacted]</w:t>
      </w:r>
      <w:r w:rsidR="000255EF" w:rsidRPr="00390052">
        <w:t xml:space="preserve">, Arm C), </w:t>
      </w:r>
      <w:r w:rsidR="00390052">
        <w:t xml:space="preserve">renal failure (Subject CA184078 </w:t>
      </w:r>
      <w:r w:rsidRPr="00390052">
        <w:t>[information redacted]</w:t>
      </w:r>
      <w:r w:rsidR="000255EF" w:rsidRPr="00390052">
        <w:t>, Arm B), and respir</w:t>
      </w:r>
      <w:r w:rsidR="00390052">
        <w:t xml:space="preserve">atory failure (Subject CA184078 </w:t>
      </w:r>
      <w:r w:rsidRPr="00390052">
        <w:t>[information redacted], Arm A).</w:t>
      </w:r>
      <w:r w:rsidR="000255EF" w:rsidRPr="00390052">
        <w:t xml:space="preserve"> No subjects died within 70 days post-treatment due to reasons other than PD.”</w:t>
      </w:r>
    </w:p>
    <w:p w:rsidR="000255EF" w:rsidRPr="000255EF" w:rsidRDefault="000255EF" w:rsidP="000255EF">
      <w:r w:rsidRPr="000255EF">
        <w:t>Review of each of these deaths demonstrates the following;</w:t>
      </w:r>
    </w:p>
    <w:p w:rsidR="000255EF" w:rsidRPr="00390052" w:rsidRDefault="000255EF" w:rsidP="000255EF">
      <w:pPr>
        <w:pStyle w:val="Numberbullet0"/>
        <w:numPr>
          <w:ilvl w:val="0"/>
          <w:numId w:val="26"/>
        </w:numPr>
        <w:rPr>
          <w:i/>
        </w:rPr>
      </w:pPr>
      <w:r w:rsidRPr="00390052">
        <w:rPr>
          <w:i/>
        </w:rPr>
        <w:t xml:space="preserve">The first death described is listed as due to disease progression in the provided narrative and not due to cardiac arrest as stated above. However, in Appendix 6.9 </w:t>
      </w:r>
      <w:r w:rsidR="008C7D7D" w:rsidRPr="00390052">
        <w:rPr>
          <w:i/>
        </w:rPr>
        <w:t>‘</w:t>
      </w:r>
      <w:r w:rsidRPr="00390052">
        <w:rPr>
          <w:i/>
        </w:rPr>
        <w:t>Listing of Deaths</w:t>
      </w:r>
      <w:r w:rsidR="008C7D7D" w:rsidRPr="00390052">
        <w:rPr>
          <w:i/>
        </w:rPr>
        <w:t>’</w:t>
      </w:r>
      <w:r w:rsidRPr="00390052">
        <w:rPr>
          <w:i/>
        </w:rPr>
        <w:t xml:space="preserve"> the subject is annotated as having a cardiac arrest two days post last study dose. There are also discrepancies between this Appendix and the narrative noted with some dates. Could the </w:t>
      </w:r>
      <w:r w:rsidR="00BB7B81" w:rsidRPr="00390052">
        <w:rPr>
          <w:i/>
        </w:rPr>
        <w:t>sponsor</w:t>
      </w:r>
      <w:r w:rsidRPr="00390052">
        <w:rPr>
          <w:i/>
        </w:rPr>
        <w:t xml:space="preserve"> please provide an explanation for these discre</w:t>
      </w:r>
      <w:r w:rsidR="00390052">
        <w:rPr>
          <w:i/>
        </w:rPr>
        <w:t>pancies and clarify the events?</w:t>
      </w:r>
    </w:p>
    <w:p w:rsidR="000255EF" w:rsidRPr="000255EF" w:rsidRDefault="00390052" w:rsidP="000255EF">
      <w:r>
        <w:t xml:space="preserve">Patient Identifier: CA184078 </w:t>
      </w:r>
      <w:r w:rsidR="008C7D7D" w:rsidRPr="008C7D7D">
        <w:t>[information redacted]</w:t>
      </w:r>
    </w:p>
    <w:p w:rsidR="000255EF" w:rsidRPr="000255EF" w:rsidRDefault="00390052" w:rsidP="000255EF">
      <w:r>
        <w:lastRenderedPageBreak/>
        <w:t>“</w:t>
      </w:r>
      <w:r w:rsidR="000255EF" w:rsidRPr="000255EF">
        <w:t>Event:</w:t>
      </w:r>
    </w:p>
    <w:p w:rsidR="000255EF" w:rsidRPr="000255EF" w:rsidRDefault="000255EF" w:rsidP="008C7D7D">
      <w:pPr>
        <w:pStyle w:val="ListBullet"/>
      </w:pPr>
      <w:r w:rsidRPr="000255EF">
        <w:t>Hypersensitivity (Grade 3, Related, Day 22)</w:t>
      </w:r>
    </w:p>
    <w:p w:rsidR="000255EF" w:rsidRPr="000255EF" w:rsidRDefault="000255EF" w:rsidP="008C7D7D">
      <w:pPr>
        <w:pStyle w:val="ListBullet"/>
      </w:pPr>
      <w:r w:rsidRPr="000255EF">
        <w:t>Hypersensitivity (Grade 3, Related, Day 50)</w:t>
      </w:r>
    </w:p>
    <w:p w:rsidR="000255EF" w:rsidRPr="000255EF" w:rsidRDefault="000255EF" w:rsidP="008C7D7D">
      <w:pPr>
        <w:pStyle w:val="ListBullet"/>
      </w:pPr>
      <w:r w:rsidRPr="000255EF">
        <w:t>Atrial fibrillation (Grade 3, Not related, Day 59)</w:t>
      </w:r>
    </w:p>
    <w:p w:rsidR="008C7D7D" w:rsidRDefault="000255EF" w:rsidP="008C7D7D">
      <w:pPr>
        <w:pStyle w:val="ListBullet"/>
      </w:pPr>
      <w:r w:rsidRPr="000255EF">
        <w:t xml:space="preserve">Disease progression </w:t>
      </w:r>
      <w:r w:rsidR="008C7D7D">
        <w:t>(Grade 5, Not related, Day 114)</w:t>
      </w:r>
    </w:p>
    <w:p w:rsidR="000255EF" w:rsidRPr="000255EF" w:rsidRDefault="000255EF" w:rsidP="000255EF">
      <w:r w:rsidRPr="000255EF">
        <w:t>On Day 114</w:t>
      </w:r>
      <w:r w:rsidR="008C7D7D">
        <w:t>, 50 days post 4th dose of i</w:t>
      </w:r>
      <w:r w:rsidRPr="000255EF">
        <w:t>pilimumab and 22 days post 5th dose of carboplatin and paclitaxel, the subject was noted with disease progression. The subject did not feel well and was unresponsive when the emergency medical technician (EMT) arrived. The subject was taken to a local hospital and was pronounced dead (Day 114) due to disease progression. The subject received t</w:t>
      </w:r>
      <w:r w:rsidR="008C7D7D">
        <w:t>he last dose of study therapy (ipilimumab) on Day 64</w:t>
      </w:r>
      <w:r w:rsidRPr="000255EF">
        <w:t>, and the last doses of carboplatin and paclitaxel on 92.”</w:t>
      </w:r>
    </w:p>
    <w:p w:rsidR="000255EF" w:rsidRPr="000255EF" w:rsidRDefault="000255EF" w:rsidP="000255EF">
      <w:r w:rsidRPr="000255EF">
        <w:t xml:space="preserve">Appendix 6.9 </w:t>
      </w:r>
      <w:proofErr w:type="gramStart"/>
      <w:r w:rsidR="00390052" w:rsidRPr="000255EF">
        <w:t>lists ;</w:t>
      </w:r>
      <w:proofErr w:type="gramEnd"/>
      <w:r w:rsidR="005479FC">
        <w:t xml:space="preserve"> </w:t>
      </w:r>
      <w:r w:rsidR="00390052">
        <w:t>for the same patient</w:t>
      </w:r>
    </w:p>
    <w:p w:rsidR="000255EF" w:rsidRPr="000255EF" w:rsidRDefault="00390052" w:rsidP="000255EF">
      <w:r>
        <w:t xml:space="preserve">“Subject: CA184078 </w:t>
      </w:r>
      <w:r w:rsidR="008C7D7D" w:rsidRPr="008C7D7D">
        <w:t>[information redacted]</w:t>
      </w:r>
    </w:p>
    <w:p w:rsidR="000255EF" w:rsidRPr="000255EF" w:rsidRDefault="000255EF" w:rsidP="000255EF">
      <w:r w:rsidRPr="000255EF">
        <w:t>First date dosing: 14APR200</w:t>
      </w:r>
      <w:r w:rsidR="00390052">
        <w:t>9</w:t>
      </w:r>
    </w:p>
    <w:p w:rsidR="000255EF" w:rsidRPr="000255EF" w:rsidRDefault="000255EF" w:rsidP="000255EF">
      <w:r w:rsidRPr="000255EF">
        <w:t>Last date dosing: 04AUG2009</w:t>
      </w:r>
    </w:p>
    <w:p w:rsidR="000255EF" w:rsidRPr="000255EF" w:rsidRDefault="00390052" w:rsidP="000255EF">
      <w:r>
        <w:t>Death date: 05-AUG-2009</w:t>
      </w:r>
    </w:p>
    <w:p w:rsidR="000255EF" w:rsidRPr="000255EF" w:rsidRDefault="000255EF" w:rsidP="000255EF">
      <w:r w:rsidRPr="000255EF">
        <w:t>Number of days since last dose: 2</w:t>
      </w:r>
    </w:p>
    <w:p w:rsidR="000255EF" w:rsidRPr="000255EF" w:rsidRDefault="000255EF" w:rsidP="000255EF">
      <w:r w:rsidRPr="000255EF">
        <w:t xml:space="preserve">Primary cause </w:t>
      </w:r>
      <w:r w:rsidR="008C7D7D">
        <w:t>of death: Other</w:t>
      </w:r>
    </w:p>
    <w:p w:rsidR="000255EF" w:rsidRPr="000255EF" w:rsidRDefault="000255EF" w:rsidP="000255EF">
      <w:r w:rsidRPr="000255EF">
        <w:t>Specify:</w:t>
      </w:r>
      <w:r w:rsidR="008C7D7D">
        <w:t xml:space="preserve"> ‘Cardiac Arrest’</w:t>
      </w:r>
    </w:p>
    <w:p w:rsidR="000255EF" w:rsidRPr="00390052" w:rsidRDefault="00390052" w:rsidP="000255EF">
      <w:pPr>
        <w:pStyle w:val="Numberbullet0"/>
        <w:rPr>
          <w:i/>
        </w:rPr>
      </w:pPr>
      <w:r w:rsidRPr="00390052">
        <w:rPr>
          <w:i/>
        </w:rPr>
        <w:t xml:space="preserve">Subject CA184078 </w:t>
      </w:r>
      <w:r w:rsidR="008C7D7D" w:rsidRPr="00390052">
        <w:rPr>
          <w:i/>
        </w:rPr>
        <w:t>[information redacted]</w:t>
      </w:r>
      <w:r w:rsidR="000255EF" w:rsidRPr="00390052">
        <w:rPr>
          <w:i/>
        </w:rPr>
        <w:t xml:space="preserve">, had one day on study treatment and did not continue due to </w:t>
      </w:r>
      <w:r w:rsidR="008C7D7D" w:rsidRPr="00390052">
        <w:rPr>
          <w:i/>
        </w:rPr>
        <w:t>‘</w:t>
      </w:r>
      <w:r w:rsidR="000255EF" w:rsidRPr="00390052">
        <w:rPr>
          <w:i/>
        </w:rPr>
        <w:t>disease progression</w:t>
      </w:r>
      <w:r w:rsidR="008C7D7D" w:rsidRPr="00390052">
        <w:rPr>
          <w:i/>
        </w:rPr>
        <w:t>’</w:t>
      </w:r>
      <w:r w:rsidR="000255EF" w:rsidRPr="00390052">
        <w:rPr>
          <w:i/>
        </w:rPr>
        <w:t xml:space="preserve"> (after one day of treatment). The patient is listed to have died approximately 10 months after the study dose due to </w:t>
      </w:r>
      <w:r w:rsidR="008C7D7D" w:rsidRPr="00390052">
        <w:rPr>
          <w:i/>
        </w:rPr>
        <w:t>‘</w:t>
      </w:r>
      <w:r w:rsidR="000255EF" w:rsidRPr="00390052">
        <w:rPr>
          <w:i/>
        </w:rPr>
        <w:t>liver failure</w:t>
      </w:r>
      <w:r w:rsidR="008C7D7D" w:rsidRPr="00390052">
        <w:rPr>
          <w:i/>
        </w:rPr>
        <w:t>’</w:t>
      </w:r>
      <w:r w:rsidR="000255EF" w:rsidRPr="00390052">
        <w:rPr>
          <w:i/>
        </w:rPr>
        <w:t xml:space="preserve">. An explanation of why this patient was taken off study after one day was not provided. A description of events was not found in the </w:t>
      </w:r>
      <w:r w:rsidR="008C7D7D" w:rsidRPr="00390052">
        <w:rPr>
          <w:i/>
        </w:rPr>
        <w:t>‘</w:t>
      </w:r>
      <w:r w:rsidR="000255EF" w:rsidRPr="00390052">
        <w:rPr>
          <w:i/>
        </w:rPr>
        <w:t>cum-serious-line-listing</w:t>
      </w:r>
      <w:r w:rsidR="008C7D7D" w:rsidRPr="00390052">
        <w:rPr>
          <w:i/>
        </w:rPr>
        <w:t>’</w:t>
      </w:r>
      <w:r w:rsidR="000255EF" w:rsidRPr="00390052">
        <w:rPr>
          <w:i/>
        </w:rPr>
        <w:t xml:space="preserve"> report. Could more information please</w:t>
      </w:r>
      <w:r w:rsidR="008C7D7D" w:rsidRPr="00390052">
        <w:rPr>
          <w:i/>
        </w:rPr>
        <w:t xml:space="preserve"> be provided to clarify this?</w:t>
      </w:r>
    </w:p>
    <w:p w:rsidR="000255EF" w:rsidRPr="000255EF" w:rsidRDefault="000255EF" w:rsidP="00390052">
      <w:pPr>
        <w:pStyle w:val="Comment"/>
        <w:ind w:left="1134" w:hanging="1134"/>
      </w:pPr>
      <w:r w:rsidRPr="008C7D7D">
        <w:rPr>
          <w:b/>
        </w:rPr>
        <w:t>Comment:</w:t>
      </w:r>
      <w:r w:rsidR="008C7D7D">
        <w:t xml:space="preserve"> </w:t>
      </w:r>
      <w:r w:rsidRPr="008C7D7D">
        <w:t xml:space="preserve">This case is not found in the </w:t>
      </w:r>
      <w:r w:rsidR="008C7D7D">
        <w:t>‘</w:t>
      </w:r>
      <w:r w:rsidRPr="008C7D7D">
        <w:t>cum-serious-line-listing</w:t>
      </w:r>
      <w:r w:rsidR="008C7D7D">
        <w:t>’</w:t>
      </w:r>
      <w:r w:rsidRPr="008C7D7D">
        <w:t xml:space="preserve"> when the search terms were used as follows; </w:t>
      </w:r>
      <w:r w:rsidR="008C7D7D" w:rsidRPr="008C7D7D">
        <w:t>[information redacted</w:t>
      </w:r>
      <w:r w:rsidR="00390052">
        <w:t>; three different annotations all associated with this one patient</w:t>
      </w:r>
      <w:r w:rsidR="008C7D7D" w:rsidRPr="008C7D7D">
        <w:t>]</w:t>
      </w:r>
      <w:r w:rsidRPr="008C7D7D">
        <w:t xml:space="preserve">. The value of cumulative line listings is limited when the patient identifiers are annotated differently to that in the study and split over two lines. For example, the patient identifier would be written as </w:t>
      </w:r>
      <w:r w:rsidR="008C7D7D" w:rsidRPr="008C7D7D">
        <w:t>[information redacted]</w:t>
      </w:r>
      <w:r w:rsidRPr="008C7D7D">
        <w:t xml:space="preserve"> </w:t>
      </w:r>
      <w:proofErr w:type="gramStart"/>
      <w:r w:rsidRPr="008C7D7D">
        <w:t>This</w:t>
      </w:r>
      <w:proofErr w:type="gramEnd"/>
      <w:r w:rsidRPr="008C7D7D">
        <w:t xml:space="preserve"> presentation of the data by the </w:t>
      </w:r>
      <w:r w:rsidR="00BB7B81">
        <w:t>sponsor</w:t>
      </w:r>
      <w:r w:rsidRPr="008C7D7D">
        <w:t xml:space="preserve"> in thi</w:t>
      </w:r>
      <w:r w:rsidR="008C7D7D">
        <w:t xml:space="preserve">s manner limited adequate cross </w:t>
      </w:r>
      <w:r w:rsidRPr="008C7D7D">
        <w:t>comparison of the safety d</w:t>
      </w:r>
      <w:r w:rsidR="008C7D7D">
        <w:t>ata from this report and CSRs.</w:t>
      </w:r>
    </w:p>
    <w:p w:rsidR="000255EF" w:rsidRPr="008C7D7D" w:rsidRDefault="001A0B9E" w:rsidP="008C7D7D">
      <w:pPr>
        <w:pStyle w:val="Numberbullet0"/>
      </w:pPr>
      <w:r>
        <w:t xml:space="preserve">Patient Identifier: CA184078 </w:t>
      </w:r>
      <w:r w:rsidR="008C7D7D" w:rsidRPr="008C7D7D">
        <w:t>[information redacted]</w:t>
      </w:r>
    </w:p>
    <w:p w:rsidR="000255EF" w:rsidRPr="001A0B9E" w:rsidRDefault="000255EF" w:rsidP="008C7D7D">
      <w:pPr>
        <w:rPr>
          <w:i/>
        </w:rPr>
      </w:pPr>
      <w:r w:rsidRPr="001A0B9E">
        <w:rPr>
          <w:i/>
        </w:rPr>
        <w:t xml:space="preserve">This patient death is suspicious for being possibly related to the study drug. The subject developed grade 3 diarrhoea that recurred with weaning of corticosteroids, leading to hospitalisation with ongoing Grade 2 diarrhoea with Grade 3 dehydration to </w:t>
      </w:r>
      <w:r w:rsidR="00441A86" w:rsidRPr="001A0B9E">
        <w:rPr>
          <w:i/>
        </w:rPr>
        <w:t>‘</w:t>
      </w:r>
      <w:r w:rsidRPr="001A0B9E">
        <w:rPr>
          <w:i/>
        </w:rPr>
        <w:t>rule out an ileus and perforation and to receive hydration</w:t>
      </w:r>
      <w:r w:rsidR="00441A86" w:rsidRPr="001A0B9E">
        <w:rPr>
          <w:i/>
        </w:rPr>
        <w:t>’</w:t>
      </w:r>
      <w:r w:rsidRPr="001A0B9E">
        <w:rPr>
          <w:i/>
        </w:rPr>
        <w:t xml:space="preserve">. The patient was eventually discharged to hospice care with anuric renal disease and </w:t>
      </w:r>
      <w:r w:rsidR="00441A86" w:rsidRPr="001A0B9E">
        <w:rPr>
          <w:i/>
        </w:rPr>
        <w:t>‘</w:t>
      </w:r>
      <w:r w:rsidRPr="001A0B9E">
        <w:rPr>
          <w:i/>
        </w:rPr>
        <w:t>metastatic melanoma</w:t>
      </w:r>
      <w:r w:rsidR="00441A86" w:rsidRPr="001A0B9E">
        <w:rPr>
          <w:i/>
        </w:rPr>
        <w:t>’</w:t>
      </w:r>
      <w:r w:rsidRPr="001A0B9E">
        <w:rPr>
          <w:i/>
        </w:rPr>
        <w:t xml:space="preserve"> but received haemodialysis for Gr4 renal failure 17 days following her discharge to hospice care. She died 7 days after receiving haemodialysis. Diarrhoea and dehydration were ongoing until the time of death. Whilst disease progression was a likely contributor, ongoing diarrhoea attributed to study therapy appears to have precipitated the renal failure which appears to have cont</w:t>
      </w:r>
      <w:r w:rsidR="00441A86" w:rsidRPr="001A0B9E">
        <w:rPr>
          <w:i/>
        </w:rPr>
        <w:t>ributed to the patient’s death.</w:t>
      </w:r>
    </w:p>
    <w:p w:rsidR="000255EF" w:rsidRPr="001A0B9E" w:rsidRDefault="000255EF" w:rsidP="000255EF">
      <w:pPr>
        <w:rPr>
          <w:i/>
        </w:rPr>
      </w:pPr>
      <w:r w:rsidRPr="001A0B9E">
        <w:rPr>
          <w:i/>
        </w:rPr>
        <w:t xml:space="preserve">What was the rationale for the patient receiving haemodialysis whilst in hospice care? Was it because the renal failure was thought to be reversible due to its relationship with the study drug? </w:t>
      </w:r>
      <w:r w:rsidRPr="001A0B9E">
        <w:rPr>
          <w:i/>
        </w:rPr>
        <w:lastRenderedPageBreak/>
        <w:t>Was haemodialysis given due to the Physician’s opinion that the patient would not be terminal if th</w:t>
      </w:r>
      <w:r w:rsidR="00441A86" w:rsidRPr="001A0B9E">
        <w:rPr>
          <w:i/>
        </w:rPr>
        <w:t>e renal failure was reversible?</w:t>
      </w:r>
    </w:p>
    <w:p w:rsidR="000255EF" w:rsidRPr="000255EF" w:rsidRDefault="000255EF" w:rsidP="000255EF">
      <w:r w:rsidRPr="000255EF">
        <w:t>Patient Identifier: CA184078</w:t>
      </w:r>
      <w:r w:rsidR="001A0B9E">
        <w:t xml:space="preserve"> </w:t>
      </w:r>
      <w:r w:rsidR="00441A86" w:rsidRPr="00441A86">
        <w:t>[information redacted]</w:t>
      </w:r>
      <w:r w:rsidR="005479FC">
        <w:t xml:space="preserve"> </w:t>
      </w:r>
      <w:r w:rsidR="00441A86">
        <w:t>(the same patient as described immediately above)</w:t>
      </w:r>
    </w:p>
    <w:p w:rsidR="000255EF" w:rsidRPr="000255EF" w:rsidRDefault="000255EF" w:rsidP="000255EF">
      <w:r w:rsidRPr="000255EF">
        <w:t>Event:</w:t>
      </w:r>
    </w:p>
    <w:p w:rsidR="000255EF" w:rsidRPr="000255EF" w:rsidRDefault="000255EF" w:rsidP="00441A86">
      <w:pPr>
        <w:pStyle w:val="ListBullet"/>
      </w:pPr>
      <w:r w:rsidRPr="000255EF">
        <w:t>Erythema nodosum (Grade 2, Related, Day 27)</w:t>
      </w:r>
    </w:p>
    <w:p w:rsidR="000255EF" w:rsidRPr="000255EF" w:rsidRDefault="000255EF" w:rsidP="00441A86">
      <w:pPr>
        <w:pStyle w:val="ListBullet"/>
      </w:pPr>
      <w:r w:rsidRPr="000255EF">
        <w:t>Erythema nodosum (Grade 1, Related, Day 43)</w:t>
      </w:r>
    </w:p>
    <w:p w:rsidR="000255EF" w:rsidRPr="000255EF" w:rsidRDefault="000255EF" w:rsidP="00441A86">
      <w:pPr>
        <w:pStyle w:val="ListBullet"/>
      </w:pPr>
      <w:r w:rsidRPr="000255EF">
        <w:t>Diarrhoea (Grade 3, Related, Day 87)</w:t>
      </w:r>
    </w:p>
    <w:p w:rsidR="000255EF" w:rsidRPr="000255EF" w:rsidRDefault="000255EF" w:rsidP="00441A86">
      <w:pPr>
        <w:pStyle w:val="ListBullet"/>
      </w:pPr>
      <w:r w:rsidRPr="000255EF">
        <w:t>Abdominal pain (Grade 3, Unrelated, Day 124)</w:t>
      </w:r>
    </w:p>
    <w:p w:rsidR="000255EF" w:rsidRPr="000255EF" w:rsidRDefault="000255EF" w:rsidP="00441A86">
      <w:pPr>
        <w:pStyle w:val="ListBullet"/>
      </w:pPr>
      <w:r w:rsidRPr="000255EF">
        <w:t>Dehydration (Grade 3, Unrelated, Day 124)</w:t>
      </w:r>
    </w:p>
    <w:p w:rsidR="000255EF" w:rsidRPr="000255EF" w:rsidRDefault="000255EF" w:rsidP="00441A86">
      <w:pPr>
        <w:pStyle w:val="ListBullet"/>
      </w:pPr>
      <w:r w:rsidRPr="000255EF">
        <w:t>Malignant neoplasm progression (Grade 5, Not related, Day 124)</w:t>
      </w:r>
    </w:p>
    <w:p w:rsidR="00441A86" w:rsidRDefault="000255EF" w:rsidP="000255EF">
      <w:pPr>
        <w:pStyle w:val="ListBullet"/>
      </w:pPr>
      <w:r w:rsidRPr="000255EF">
        <w:t xml:space="preserve">Renal failure </w:t>
      </w:r>
      <w:r w:rsidR="00441A86">
        <w:t>(Grade 4, Not related, Day 159)</w:t>
      </w:r>
    </w:p>
    <w:p w:rsidR="000255EF" w:rsidRPr="000255EF" w:rsidRDefault="00441A86" w:rsidP="000255EF">
      <w:r>
        <w:t>On Day 76, 10 days after the 4th dose of i</w:t>
      </w:r>
      <w:r w:rsidR="000255EF" w:rsidRPr="000255EF">
        <w:t>pilimumab and Dacarbazine, the subject</w:t>
      </w:r>
      <w:r>
        <w:t xml:space="preserve"> </w:t>
      </w:r>
      <w:r w:rsidR="000255EF" w:rsidRPr="000255EF">
        <w:t>developed diarrhoea (Grade 1) which worsened to Grade 3. The subject was treated with loperamide, prednisone, atropine</w:t>
      </w:r>
      <w:r w:rsidR="00C22CAE">
        <w:t xml:space="preserve"> </w:t>
      </w:r>
      <w:r w:rsidR="000255EF" w:rsidRPr="000255EF">
        <w:t>+</w:t>
      </w:r>
      <w:r w:rsidR="00C22CAE">
        <w:t xml:space="preserve"> </w:t>
      </w:r>
      <w:r w:rsidR="000255EF" w:rsidRPr="000255EF">
        <w:t xml:space="preserve">diphenoxylate </w:t>
      </w:r>
      <w:r>
        <w:t>and levofloxacin and on Day 90</w:t>
      </w:r>
      <w:r w:rsidR="000255EF" w:rsidRPr="000255EF">
        <w:t>, the event of diarrhoea improved to Grade 1, but on Day 106, the event of diarrhoea again worsened to Grade 2 and the subject continued with the tr</w:t>
      </w:r>
      <w:r>
        <w:t>eatment medication. On Day 108</w:t>
      </w:r>
      <w:r w:rsidR="000255EF" w:rsidRPr="000255EF">
        <w:t xml:space="preserve"> the subject also began complaining of Grade 2 abdominal pain which </w:t>
      </w:r>
      <w:r>
        <w:t xml:space="preserve">worsened to Grade 3 on Day 113 </w:t>
      </w:r>
      <w:r w:rsidR="000255EF" w:rsidRPr="000255EF">
        <w:t>but responded to toradol and improved to Grade 1 by</w:t>
      </w:r>
      <w:r>
        <w:t xml:space="preserve"> the following day. On Day 124</w:t>
      </w:r>
      <w:r w:rsidR="000255EF" w:rsidRPr="000255EF">
        <w:t>, the subject developed dehydration (Grade 3), abdominal (Grade 3) and malignant neoplasm progression (Grade 4). She was hospital</w:t>
      </w:r>
      <w:r w:rsidR="001A330A">
        <w:t>ise</w:t>
      </w:r>
      <w:r w:rsidR="000255EF" w:rsidRPr="000255EF">
        <w:t xml:space="preserve">d to rule out ileus and perforation and to receive hydration. No action was taken with </w:t>
      </w:r>
      <w:r>
        <w:t>regard to the study medication.</w:t>
      </w:r>
    </w:p>
    <w:p w:rsidR="000255EF" w:rsidRPr="000255EF" w:rsidRDefault="00441A86" w:rsidP="000255EF">
      <w:r>
        <w:t>On Day 131</w:t>
      </w:r>
      <w:r w:rsidR="000255EF" w:rsidRPr="000255EF">
        <w:t>, a computed tomography (CT) scan of the chest, abdomen and pelvis showed bilateral pleural effusions, multiple bilateral lung metastases, extensive liver disease and peritoneal carcinomatosis. On Day 132, the subject’s laboratory test values showed white blood cell (WBC) of 27.7x10</w:t>
      </w:r>
      <w:r w:rsidR="000255EF" w:rsidRPr="00441A86">
        <w:rPr>
          <w:vertAlign w:val="superscript"/>
        </w:rPr>
        <w:t>3</w:t>
      </w:r>
      <w:r>
        <w:t xml:space="preserve"> </w:t>
      </w:r>
      <w:r w:rsidR="000255EF" w:rsidRPr="000255EF">
        <w:t>c/mL, blood urea nitrogen (BUN) of 73 mg/dL, creatinine of 1.87 mg/dL, total bilirubin of 13.2 mg/dL (11 X ULN), aspartate aminotransferase (AST) of 144 U/L (3.7 X ULN) alanine aminotransferase (ALT) of 140 U/L (2.5 x ULN). The subject’s situation was discussed with family members and the decision was made to take her home on hospice care. On the same day; the subject was discharged home on hospice care with progressive renal failure, anuric renal disease and metastatic melanoma to multiple</w:t>
      </w:r>
      <w:r>
        <w:t xml:space="preserve"> sites. On Day 159</w:t>
      </w:r>
      <w:r w:rsidR="000255EF" w:rsidRPr="000255EF">
        <w:t xml:space="preserve">, a serious adverse event of Grade 4 renal failure was reported. The subject received </w:t>
      </w:r>
      <w:r w:rsidRPr="000255EF">
        <w:t>haemodialysis</w:t>
      </w:r>
      <w:r>
        <w:t>. On Day 166</w:t>
      </w:r>
      <w:r w:rsidR="000255EF" w:rsidRPr="000255EF">
        <w:t>, 100 days post 4th dose of study therapy, the subject died due to malignant neoplasm progression. Death was reported as the outcome for dehydration and abdominal pain. The events of diarrhoea, abdominal pain and dehydration wer</w:t>
      </w:r>
      <w:r>
        <w:t>e ongoing at the time of death.</w:t>
      </w:r>
    </w:p>
    <w:p w:rsidR="00712559" w:rsidRDefault="000255EF" w:rsidP="000255EF">
      <w:r w:rsidRPr="000255EF">
        <w:t>The investigator considered that the event of erythema nodosum, diarrhoea was related to the study therapy and the events of dehydration and abdominal pain, renal failure and malignant neoplasm progression were no</w:t>
      </w:r>
      <w:r w:rsidR="00441A86">
        <w:t>t related to the study therapy.</w:t>
      </w:r>
    </w:p>
    <w:p w:rsidR="000255EF" w:rsidRPr="000255EF" w:rsidRDefault="000255EF" w:rsidP="000255EF">
      <w:r w:rsidRPr="000255EF">
        <w:t>Subject CA184078</w:t>
      </w:r>
      <w:r w:rsidR="001A0B9E">
        <w:t xml:space="preserve"> </w:t>
      </w:r>
      <w:r w:rsidR="00441A86" w:rsidRPr="00441A86">
        <w:t>[information redacted]</w:t>
      </w:r>
      <w:r w:rsidRPr="000255EF">
        <w:t>, Arm A - was followed up until the 70 day period and thus c</w:t>
      </w:r>
      <w:r w:rsidR="00441A86">
        <w:t>ompleted the follow up period</w:t>
      </w:r>
      <w:r w:rsidR="001A0B9E">
        <w:t>.</w:t>
      </w:r>
    </w:p>
    <w:p w:rsidR="00BB7B81" w:rsidRDefault="00BB7B81" w:rsidP="00BB7B81">
      <w:pPr>
        <w:pStyle w:val="Heading6"/>
      </w:pPr>
      <w:r>
        <w:t>Serious AEs</w:t>
      </w:r>
    </w:p>
    <w:p w:rsidR="000255EF" w:rsidRPr="00BB7B81" w:rsidRDefault="00441A86" w:rsidP="00BB7B81">
      <w:r w:rsidRPr="00BB7B81">
        <w:t>An evaluation of the safety of i</w:t>
      </w:r>
      <w:r w:rsidR="000255EF" w:rsidRPr="00BB7B81">
        <w:t>pilimumab was not possible and as has been previously outlined, there are uncertainties about the accuracy of the data sources utilised for the safety analyses. However, this study does not provide direct relevant evidence of safety for the proposed usage.</w:t>
      </w:r>
    </w:p>
    <w:p w:rsidR="000255EF" w:rsidRPr="000255EF" w:rsidRDefault="000255EF" w:rsidP="00BB7B81">
      <w:pPr>
        <w:pStyle w:val="Heading5"/>
      </w:pPr>
      <w:r w:rsidRPr="000255EF">
        <w:lastRenderedPageBreak/>
        <w:t>MDX010-16</w:t>
      </w:r>
    </w:p>
    <w:p w:rsidR="000255EF" w:rsidRPr="000255EF" w:rsidRDefault="000255EF" w:rsidP="000255EF">
      <w:r w:rsidRPr="000255EF">
        <w:t>No deaths were reported. (This study was for the use of the</w:t>
      </w:r>
      <w:r w:rsidR="00BB7B81">
        <w:t xml:space="preserve"> drug in the adjuvant setting).</w:t>
      </w:r>
    </w:p>
    <w:p w:rsidR="00BB7B81" w:rsidRDefault="000255EF" w:rsidP="00BB7B81">
      <w:pPr>
        <w:pStyle w:val="Heading6"/>
      </w:pPr>
      <w:r w:rsidRPr="000255EF">
        <w:t>Se</w:t>
      </w:r>
      <w:r w:rsidR="00BB7B81">
        <w:t>rious AEs</w:t>
      </w:r>
    </w:p>
    <w:p w:rsidR="000255EF" w:rsidRPr="000255EF" w:rsidRDefault="000255EF" w:rsidP="000255EF">
      <w:r w:rsidRPr="000255EF">
        <w:t xml:space="preserve">Narratives for SAEs within this CSR were not located, and assessment of safety for this study was not possible with the provided information. Furthermore, using the search term </w:t>
      </w:r>
      <w:r w:rsidR="00BB7B81">
        <w:t>‘</w:t>
      </w:r>
      <w:r w:rsidRPr="000255EF">
        <w:t>MDX</w:t>
      </w:r>
      <w:r w:rsidR="00BB7B81">
        <w:t>’</w:t>
      </w:r>
      <w:r w:rsidRPr="000255EF">
        <w:t xml:space="preserve"> information within the </w:t>
      </w:r>
      <w:r w:rsidR="00BB7B81">
        <w:t>‘</w:t>
      </w:r>
      <w:r w:rsidRPr="000255EF">
        <w:t>cum-serious-line-listing</w:t>
      </w:r>
      <w:r w:rsidR="00BB7B81">
        <w:t>’</w:t>
      </w:r>
      <w:r w:rsidRPr="000255EF">
        <w:t xml:space="preserve"> document was</w:t>
      </w:r>
      <w:r w:rsidR="00BB7B81">
        <w:t xml:space="preserve"> also not identified.</w:t>
      </w:r>
    </w:p>
    <w:p w:rsidR="000255EF" w:rsidRPr="000255EF" w:rsidRDefault="000255EF" w:rsidP="00BB7B81">
      <w:pPr>
        <w:pStyle w:val="Heading4"/>
      </w:pPr>
      <w:bookmarkStart w:id="266" w:name="_Toc241374325"/>
      <w:bookmarkStart w:id="267" w:name="_Ref272333477"/>
      <w:bookmarkStart w:id="268" w:name="_Toc272414667"/>
      <w:bookmarkStart w:id="269" w:name="_Toc290846305"/>
      <w:bookmarkStart w:id="270" w:name="_Toc390676236"/>
      <w:r w:rsidRPr="000255EF">
        <w:t>Discontinuation due to adverse events</w:t>
      </w:r>
      <w:bookmarkEnd w:id="266"/>
      <w:bookmarkEnd w:id="267"/>
      <w:bookmarkEnd w:id="268"/>
      <w:bookmarkEnd w:id="269"/>
      <w:bookmarkEnd w:id="270"/>
    </w:p>
    <w:p w:rsidR="000255EF" w:rsidRPr="000255EF" w:rsidRDefault="00BB7B81" w:rsidP="000255EF">
      <w:r>
        <w:t>An evaluation of the safety of i</w:t>
      </w:r>
      <w:r w:rsidR="000255EF" w:rsidRPr="000255EF">
        <w:t xml:space="preserve">pilimumab was not possible with the information provided by the </w:t>
      </w:r>
      <w:r>
        <w:t>sponsor</w:t>
      </w:r>
      <w:r w:rsidR="000255EF" w:rsidRPr="000255EF">
        <w:t>, with queries previously outlined regarding the accuracy of the data sources utilised for the safety analyses. However, submitted studies do not provide relevant evidence of</w:t>
      </w:r>
      <w:r>
        <w:t xml:space="preserve"> safety for the proposed usage.</w:t>
      </w:r>
    </w:p>
    <w:p w:rsidR="000255EF" w:rsidRPr="000255EF" w:rsidRDefault="000255EF" w:rsidP="00BB7B81">
      <w:pPr>
        <w:pStyle w:val="Heading3"/>
      </w:pPr>
      <w:bookmarkStart w:id="271" w:name="_Toc390676237"/>
      <w:bookmarkStart w:id="272" w:name="_Toc241374321"/>
      <w:bookmarkStart w:id="273" w:name="_Ref271044780"/>
      <w:bookmarkStart w:id="274" w:name="_Ref271196640"/>
      <w:bookmarkStart w:id="275" w:name="_Ref272333085"/>
      <w:bookmarkStart w:id="276" w:name="_Toc272414668"/>
      <w:bookmarkStart w:id="277" w:name="_Toc290846306"/>
      <w:bookmarkStart w:id="278" w:name="_Toc475616232"/>
      <w:r w:rsidRPr="000255EF">
        <w:t>Immune related adverse events</w:t>
      </w:r>
      <w:bookmarkEnd w:id="271"/>
      <w:bookmarkEnd w:id="278"/>
    </w:p>
    <w:p w:rsidR="000255EF" w:rsidRPr="000255EF" w:rsidRDefault="00BB7B81" w:rsidP="000255EF">
      <w:r>
        <w:t>An evaluation of the safety of i</w:t>
      </w:r>
      <w:r w:rsidR="000255EF" w:rsidRPr="000255EF">
        <w:t xml:space="preserve">pilimumab was not possible with the information provided by the </w:t>
      </w:r>
      <w:r>
        <w:t>sponsor</w:t>
      </w:r>
      <w:r w:rsidR="000255EF" w:rsidRPr="000255EF">
        <w:t>, with queries previously outlined regarding the accuracy of the data sources utilised for the safety analyses. However, submitted studies do not provide relevant evidence of</w:t>
      </w:r>
      <w:r>
        <w:t xml:space="preserve"> safety for the proposed usage.</w:t>
      </w:r>
    </w:p>
    <w:p w:rsidR="000255EF" w:rsidRPr="000255EF" w:rsidRDefault="000255EF" w:rsidP="00BB7B81">
      <w:pPr>
        <w:pStyle w:val="Heading3"/>
      </w:pPr>
      <w:bookmarkStart w:id="279" w:name="_Toc390676238"/>
      <w:bookmarkStart w:id="280" w:name="_Toc475616233"/>
      <w:r w:rsidRPr="000255EF">
        <w:t>Laboratory tests</w:t>
      </w:r>
      <w:bookmarkEnd w:id="272"/>
      <w:bookmarkEnd w:id="273"/>
      <w:bookmarkEnd w:id="274"/>
      <w:bookmarkEnd w:id="275"/>
      <w:bookmarkEnd w:id="276"/>
      <w:bookmarkEnd w:id="277"/>
      <w:bookmarkEnd w:id="279"/>
      <w:bookmarkEnd w:id="280"/>
    </w:p>
    <w:p w:rsidR="000255EF" w:rsidRPr="000255EF" w:rsidRDefault="00BB7B81" w:rsidP="000255EF">
      <w:r>
        <w:t>An evaluation of the safety of i</w:t>
      </w:r>
      <w:r w:rsidR="000255EF" w:rsidRPr="000255EF">
        <w:t xml:space="preserve">pilimumab was not possible with the information provided by the </w:t>
      </w:r>
      <w:r>
        <w:t>sponsor</w:t>
      </w:r>
      <w:r w:rsidR="000255EF" w:rsidRPr="000255EF">
        <w:t xml:space="preserve">, with queries previously outlined regarding the accuracy of the data sources utilised for the safety analyses. However, submitted studies do not provide relevant evidence of safety for the </w:t>
      </w:r>
      <w:r>
        <w:t>proposed usage.</w:t>
      </w:r>
    </w:p>
    <w:p w:rsidR="000255EF" w:rsidRPr="000255EF" w:rsidRDefault="000255EF" w:rsidP="00BB7B81">
      <w:pPr>
        <w:pStyle w:val="Heading3"/>
      </w:pPr>
      <w:bookmarkStart w:id="281" w:name="_Toc241374326"/>
      <w:bookmarkStart w:id="282" w:name="_Ref272333048"/>
      <w:bookmarkStart w:id="283" w:name="_Toc272414679"/>
      <w:bookmarkStart w:id="284" w:name="_Toc290846317"/>
      <w:bookmarkStart w:id="285" w:name="_Toc390676239"/>
      <w:bookmarkStart w:id="286" w:name="_Toc475616234"/>
      <w:r w:rsidRPr="000255EF">
        <w:t>Post-marketing experience</w:t>
      </w:r>
      <w:bookmarkEnd w:id="281"/>
      <w:bookmarkEnd w:id="282"/>
      <w:bookmarkEnd w:id="283"/>
      <w:bookmarkEnd w:id="284"/>
      <w:bookmarkEnd w:id="285"/>
      <w:bookmarkEnd w:id="286"/>
    </w:p>
    <w:p w:rsidR="000255EF" w:rsidRPr="000255EF" w:rsidRDefault="001A0B9E" w:rsidP="009022DD">
      <w:pPr>
        <w:pStyle w:val="Heading4"/>
      </w:pPr>
      <w:r>
        <w:t xml:space="preserve">Study </w:t>
      </w:r>
      <w:r w:rsidR="000255EF" w:rsidRPr="000255EF">
        <w:t>CA184338</w:t>
      </w:r>
    </w:p>
    <w:p w:rsidR="000255EF" w:rsidRPr="000255EF" w:rsidRDefault="000255EF" w:rsidP="000255EF">
      <w:r w:rsidRPr="000255EF">
        <w:t>It is important to note that for this observational study, subjects with unknown or partial death dates were n</w:t>
      </w:r>
      <w:r w:rsidR="009022DD">
        <w:t>ot included in safety analyses.</w:t>
      </w:r>
    </w:p>
    <w:p w:rsidR="000255EF" w:rsidRPr="000255EF" w:rsidRDefault="000255EF" w:rsidP="000255EF">
      <w:r w:rsidRPr="000255EF">
        <w:t>Of 21 deaths reported during the Induction phase, all were reported as disease related except one case that was reported as secondary to cardiac issues. An additional 37 deaths were reported between completion of induction dosing and the most recent follow-up for survival. The majority of the deaths were disease related, with the exception of 3 accidental deaths, heart/renal failure (n</w:t>
      </w:r>
      <w:r w:rsidR="001A0B9E">
        <w:t xml:space="preserve"> </w:t>
      </w:r>
      <w:r w:rsidRPr="000255EF">
        <w:t>=</w:t>
      </w:r>
      <w:r w:rsidR="001A0B9E">
        <w:t xml:space="preserve"> </w:t>
      </w:r>
      <w:r w:rsidRPr="000255EF">
        <w:t>1), and congestive heart failu</w:t>
      </w:r>
      <w:r w:rsidR="009022DD">
        <w:t>re/myocardial infarction (n=1).</w:t>
      </w:r>
    </w:p>
    <w:p w:rsidR="009022DD" w:rsidRDefault="001A0B9E" w:rsidP="009022DD">
      <w:pPr>
        <w:pStyle w:val="Heading5"/>
      </w:pPr>
      <w:r>
        <w:t>Serious AEs</w:t>
      </w:r>
    </w:p>
    <w:p w:rsidR="000255EF" w:rsidRPr="000255EF" w:rsidRDefault="009022DD" w:rsidP="000255EF">
      <w:r>
        <w:t>An evaluation of the safety of i</w:t>
      </w:r>
      <w:r w:rsidR="000255EF" w:rsidRPr="000255EF">
        <w:t xml:space="preserve">pilimumab was not possible with the information provided by the </w:t>
      </w:r>
      <w:r w:rsidR="00BB7B81">
        <w:t>sponsor</w:t>
      </w:r>
      <w:r w:rsidR="000255EF" w:rsidRPr="000255EF">
        <w:t xml:space="preserve">, with queries previously outlined regarding the accuracy of the data sources utilised for the safety analyses. Narratives of SAEs were not found within the CSR or in the </w:t>
      </w:r>
      <w:r w:rsidR="00BB7B81">
        <w:t>‘</w:t>
      </w:r>
      <w:r w:rsidR="000255EF" w:rsidRPr="000255EF">
        <w:t>cum-serious-line-listing</w:t>
      </w:r>
      <w:r w:rsidR="00BB7B81">
        <w:t>’</w:t>
      </w:r>
      <w:r w:rsidR="001A0B9E">
        <w:t xml:space="preserve"> report.</w:t>
      </w:r>
    </w:p>
    <w:p w:rsidR="000255EF" w:rsidRPr="000255EF" w:rsidRDefault="001A0B9E" w:rsidP="009022DD">
      <w:pPr>
        <w:pStyle w:val="Heading4"/>
      </w:pPr>
      <w:r>
        <w:t xml:space="preserve">Study </w:t>
      </w:r>
      <w:r w:rsidR="000255EF" w:rsidRPr="000255EF">
        <w:t>CA184045</w:t>
      </w:r>
    </w:p>
    <w:p w:rsidR="000255EF" w:rsidRPr="000255EF" w:rsidRDefault="00387325" w:rsidP="000255EF">
      <w:r>
        <w:t xml:space="preserve">Some 257 out of </w:t>
      </w:r>
      <w:r w:rsidR="000255EF" w:rsidRPr="000255EF">
        <w:t xml:space="preserve">830 subjects (31%) died within 70 days of the last dose date for the entire study duration. The majority of these subjects (180, 22%) had no death cause specified since they were recorded only on the SAE CRF page (where cause is not captured) but not on the death CRF page (where cause is captured), which </w:t>
      </w:r>
      <w:r>
        <w:t xml:space="preserve">was introduced by Amendment 3. </w:t>
      </w:r>
      <w:r w:rsidR="000255EF" w:rsidRPr="000255EF">
        <w:t xml:space="preserve">Of the rest, the leading cause of death was disease progression (68 subjects, 8%), per the death CRF page. </w:t>
      </w:r>
      <w:r>
        <w:lastRenderedPageBreak/>
        <w:t xml:space="preserve">Some </w:t>
      </w:r>
      <w:r w:rsidR="000255EF" w:rsidRPr="000255EF">
        <w:t>239 of these deaths occurred within 70 days of the l</w:t>
      </w:r>
      <w:r w:rsidR="001A0B9E">
        <w:t>ast dose date of the Induction p</w:t>
      </w:r>
      <w:r w:rsidR="000255EF" w:rsidRPr="000255EF">
        <w:t>hase (18 deaths during).</w:t>
      </w:r>
    </w:p>
    <w:p w:rsidR="000255EF" w:rsidRPr="000255EF" w:rsidRDefault="001A0B9E" w:rsidP="000255EF">
      <w:r>
        <w:t xml:space="preserve">Two subjects had drug </w:t>
      </w:r>
      <w:r w:rsidR="000255EF" w:rsidRPr="000255EF">
        <w:t>related SAEs with outcome of death: one had multi-organ failure</w:t>
      </w:r>
      <w:r>
        <w:t xml:space="preserve"> </w:t>
      </w:r>
      <w:r w:rsidR="000255EF" w:rsidRPr="000255EF">
        <w:t>(Subject CA184045</w:t>
      </w:r>
      <w:r>
        <w:t xml:space="preserve"> </w:t>
      </w:r>
      <w:r w:rsidR="00387325" w:rsidRPr="00387325">
        <w:t>[information redacted]</w:t>
      </w:r>
      <w:r w:rsidR="000255EF" w:rsidRPr="000255EF">
        <w:t xml:space="preserve">), and one had acute respiratory distress syndrome (ARDS; </w:t>
      </w:r>
      <w:r>
        <w:t xml:space="preserve">Subject CA184045 </w:t>
      </w:r>
      <w:r w:rsidR="00387325" w:rsidRPr="00387325">
        <w:t>[information redacted]</w:t>
      </w:r>
      <w:r w:rsidR="000255EF" w:rsidRPr="000255EF">
        <w:t>). Both deaths occurred within 70 days of the l</w:t>
      </w:r>
      <w:r>
        <w:t>ast dose date of the Induction p</w:t>
      </w:r>
      <w:r w:rsidR="000255EF" w:rsidRPr="000255EF">
        <w:t xml:space="preserve">hase. The subject with ARDS had extensive lung disease and evidence of melanoma infiltration in the alveolar space. In the source documents, terminal decline was likely due to progression of metastatic melanoma with functional compromise of the left lung coupled with diffuse alveolar damage. Neither of these deaths was </w:t>
      </w:r>
      <w:r w:rsidR="00387325">
        <w:t>captured on the death CRF page.</w:t>
      </w:r>
    </w:p>
    <w:p w:rsidR="001A0B9E" w:rsidRDefault="000255EF" w:rsidP="000255EF">
      <w:r w:rsidRPr="000255EF">
        <w:t>The sponsor writes in the discussion</w:t>
      </w:r>
      <w:r w:rsidR="001A0B9E">
        <w:t>:</w:t>
      </w:r>
    </w:p>
    <w:p w:rsidR="000255EF" w:rsidRPr="001A0B9E" w:rsidRDefault="001A0B9E" w:rsidP="001A0B9E">
      <w:pPr>
        <w:ind w:left="720"/>
      </w:pPr>
      <w:r w:rsidRPr="001A0B9E">
        <w:t>“</w:t>
      </w:r>
      <w:r w:rsidR="00387325" w:rsidRPr="001A0B9E">
        <w:t>Only 2</w:t>
      </w:r>
      <w:r w:rsidR="00C22CAE">
        <w:t>,</w:t>
      </w:r>
      <w:r w:rsidR="00387325" w:rsidRPr="001A0B9E">
        <w:t xml:space="preserve"> drug </w:t>
      </w:r>
      <w:r w:rsidR="000255EF" w:rsidRPr="001A0B9E">
        <w:t>related SAEs with outcomes of deat</w:t>
      </w:r>
      <w:r>
        <w:t>h were noted (Subjects CA184045</w:t>
      </w:r>
      <w:r w:rsidR="00387325" w:rsidRPr="001A0B9E">
        <w:t xml:space="preserve"> [information redacted] </w:t>
      </w:r>
      <w:r w:rsidR="000255EF" w:rsidRPr="001A0B9E">
        <w:t>and CA184045</w:t>
      </w:r>
      <w:r w:rsidR="00387325" w:rsidRPr="001A0B9E">
        <w:t xml:space="preserve"> [information redacted]</w:t>
      </w:r>
      <w:r w:rsidR="000255EF" w:rsidRPr="001A0B9E">
        <w:t>). (In the 2010 Summary of Clinical Safety Summary, 4 drug-related SAEs with outcomes of death were reported for CA184045. However, for 2 of these subjects [CA184045</w:t>
      </w:r>
      <w:r w:rsidR="00387325" w:rsidRPr="001A0B9E">
        <w:t xml:space="preserve"> [information redacted] </w:t>
      </w:r>
      <w:r w:rsidR="000255EF" w:rsidRPr="001A0B9E">
        <w:t>(sepsis) and CA184045</w:t>
      </w:r>
      <w:r w:rsidR="00387325" w:rsidRPr="001A0B9E">
        <w:t xml:space="preserve"> [information redacted] </w:t>
      </w:r>
      <w:r w:rsidR="000255EF" w:rsidRPr="001A0B9E">
        <w:t>(infection)], the cause of death was subsequently changed to not related.)</w:t>
      </w:r>
      <w:r>
        <w:t>”</w:t>
      </w:r>
    </w:p>
    <w:p w:rsidR="000255EF" w:rsidRPr="000255EF" w:rsidRDefault="000255EF" w:rsidP="000255EF">
      <w:r w:rsidRPr="000255EF">
        <w:t xml:space="preserve">Narratives of these SAEs were not found within the CSR or in the </w:t>
      </w:r>
      <w:r w:rsidR="00BB7B81">
        <w:t>‘</w:t>
      </w:r>
      <w:r w:rsidRPr="000255EF">
        <w:t>cum-serious-line-listing</w:t>
      </w:r>
      <w:r w:rsidR="00BB7B81">
        <w:t>’</w:t>
      </w:r>
      <w:r w:rsidR="00387325">
        <w:t xml:space="preserve"> report.</w:t>
      </w:r>
    </w:p>
    <w:p w:rsidR="00387325" w:rsidRDefault="00387325" w:rsidP="00387325">
      <w:pPr>
        <w:pStyle w:val="Heading5"/>
      </w:pPr>
      <w:r>
        <w:t>Serious AEs</w:t>
      </w:r>
    </w:p>
    <w:p w:rsidR="000255EF" w:rsidRPr="000255EF" w:rsidRDefault="00387325" w:rsidP="000255EF">
      <w:r>
        <w:t>An evaluation of the safety of i</w:t>
      </w:r>
      <w:r w:rsidR="000255EF" w:rsidRPr="000255EF">
        <w:t xml:space="preserve">pilimumab was not possible with the information provided by the </w:t>
      </w:r>
      <w:r w:rsidR="00BB7B81">
        <w:t>sponsor</w:t>
      </w:r>
      <w:r w:rsidR="000255EF" w:rsidRPr="000255EF">
        <w:t xml:space="preserve">, with queries previously outlined regarding the accuracy of the data sources utilised for the safety analyses. Narratives of SAEs were not found within the CSR or in the </w:t>
      </w:r>
      <w:r w:rsidR="00BB7B81">
        <w:t>‘</w:t>
      </w:r>
      <w:r w:rsidR="000255EF" w:rsidRPr="000255EF">
        <w:t>cum-serious-line-listing</w:t>
      </w:r>
      <w:r w:rsidR="00BB7B81">
        <w:t>’</w:t>
      </w:r>
      <w:r w:rsidR="00A60A6A">
        <w:t xml:space="preserve"> report.</w:t>
      </w:r>
    </w:p>
    <w:p w:rsidR="000255EF" w:rsidRPr="000255EF" w:rsidRDefault="000255EF" w:rsidP="00387325">
      <w:pPr>
        <w:pStyle w:val="Heading3"/>
      </w:pPr>
      <w:bookmarkStart w:id="287" w:name="_Ref272333005"/>
      <w:bookmarkStart w:id="288" w:name="_Toc272414680"/>
      <w:bookmarkStart w:id="289" w:name="_Toc290846318"/>
      <w:bookmarkStart w:id="290" w:name="_Toc390676240"/>
      <w:bookmarkStart w:id="291" w:name="_Toc475616235"/>
      <w:r w:rsidRPr="000255EF">
        <w:t>Safety issues with the potential for major regulatory imp</w:t>
      </w:r>
      <w:bookmarkEnd w:id="287"/>
      <w:bookmarkEnd w:id="288"/>
      <w:r w:rsidRPr="000255EF">
        <w:t>act</w:t>
      </w:r>
      <w:bookmarkEnd w:id="289"/>
      <w:bookmarkEnd w:id="290"/>
      <w:bookmarkEnd w:id="291"/>
    </w:p>
    <w:p w:rsidR="000255EF" w:rsidRPr="000255EF" w:rsidRDefault="000255EF" w:rsidP="000255EF">
      <w:r w:rsidRPr="000255EF">
        <w:t>An eva</w:t>
      </w:r>
      <w:r w:rsidR="00387325">
        <w:t>luation of the safety of i</w:t>
      </w:r>
      <w:r w:rsidRPr="000255EF">
        <w:t xml:space="preserve">pilimumab was not possible with the information provided by the </w:t>
      </w:r>
      <w:r w:rsidR="00BB7B81">
        <w:t>sponsor</w:t>
      </w:r>
      <w:r w:rsidR="00387325">
        <w:t>.</w:t>
      </w:r>
    </w:p>
    <w:p w:rsidR="000255EF" w:rsidRPr="000255EF" w:rsidRDefault="000255EF" w:rsidP="00387325">
      <w:pPr>
        <w:pStyle w:val="Heading3"/>
      </w:pPr>
      <w:bookmarkStart w:id="292" w:name="_Toc390676241"/>
      <w:bookmarkStart w:id="293" w:name="_Toc475616236"/>
      <w:r w:rsidRPr="000255EF">
        <w:t xml:space="preserve">Relevant new data not submitted by the </w:t>
      </w:r>
      <w:r w:rsidR="00BB7B81">
        <w:t>sponsor</w:t>
      </w:r>
      <w:bookmarkEnd w:id="292"/>
      <w:bookmarkEnd w:id="293"/>
    </w:p>
    <w:p w:rsidR="000255EF" w:rsidRPr="000255EF" w:rsidRDefault="000255EF" w:rsidP="00387325">
      <w:pPr>
        <w:pStyle w:val="Heading4"/>
      </w:pPr>
      <w:bookmarkStart w:id="294" w:name="_Toc390676242"/>
      <w:r w:rsidRPr="000255EF">
        <w:t>EORTC 18071/CA184029</w:t>
      </w:r>
      <w:bookmarkEnd w:id="294"/>
    </w:p>
    <w:p w:rsidR="000255EF" w:rsidRPr="000255EF" w:rsidRDefault="000255EF" w:rsidP="000255EF">
      <w:r w:rsidRPr="000255EF">
        <w:t>At the recent annual American Society of Clinical Oncology meeting, 2014, Eggermont AM et al. presented initial safety data from a Phase III EORTC 18071 (CA184029) study which invest</w:t>
      </w:r>
      <w:r w:rsidR="00387325">
        <w:t>igated the benefit of adjuvant i</w:t>
      </w:r>
      <w:r w:rsidRPr="000255EF">
        <w:t xml:space="preserve">pilimumab 10mg/kg monotherapy with a maintenance phase versus placebo in previously untreated patients following complete </w:t>
      </w:r>
      <w:r w:rsidR="00387325">
        <w:t>resection of Stage III melanoma.</w:t>
      </w:r>
    </w:p>
    <w:p w:rsidR="000255EF" w:rsidRPr="000255EF" w:rsidRDefault="00387325" w:rsidP="000255EF">
      <w:r>
        <w:t xml:space="preserve">Of a total of 951 patients, 475 out of </w:t>
      </w:r>
      <w:r w:rsidR="000255EF" w:rsidRPr="000255EF">
        <w:t>951 were randomis</w:t>
      </w:r>
      <w:r>
        <w:t>ed to the study arm to receive i</w:t>
      </w:r>
      <w:r w:rsidR="000255EF" w:rsidRPr="000255EF">
        <w:t>pilimumab 10mg/kg monotherapy, three weekly for a total of four doses, with th</w:t>
      </w:r>
      <w:r w:rsidR="00A60A6A">
        <w:t>e maintenance phase of 10mg/kg i</w:t>
      </w:r>
      <w:r w:rsidR="000255EF" w:rsidRPr="000255EF">
        <w:t>pilimumab monotherapy administered every 12 we</w:t>
      </w:r>
      <w:r w:rsidR="007A6B56">
        <w:t>eks for a total of three years.</w:t>
      </w:r>
    </w:p>
    <w:p w:rsidR="000255EF" w:rsidRPr="000255EF" w:rsidRDefault="000255EF" w:rsidP="000255EF">
      <w:r w:rsidRPr="000255EF">
        <w:t>Baseline patient and tumour characteristics were b</w:t>
      </w:r>
      <w:r w:rsidR="007A6B56">
        <w:t>alanced between treatment arms.</w:t>
      </w:r>
    </w:p>
    <w:p w:rsidR="000255EF" w:rsidRPr="000255EF" w:rsidRDefault="000255EF" w:rsidP="007A6B56">
      <w:pPr>
        <w:pStyle w:val="Heading5"/>
      </w:pPr>
      <w:r w:rsidRPr="000255EF">
        <w:t>Total adverse events</w:t>
      </w:r>
    </w:p>
    <w:p w:rsidR="000255EF" w:rsidRPr="000255EF" w:rsidRDefault="000255EF" w:rsidP="000255EF">
      <w:r w:rsidRPr="000255EF">
        <w:t>Specifically regarding the safety data in this healthy, previously</w:t>
      </w:r>
      <w:r w:rsidR="007A6B56">
        <w:t xml:space="preserve"> untreated population, 49% (230 out of </w:t>
      </w:r>
      <w:r w:rsidRPr="000255EF">
        <w:t xml:space="preserve">471) patients experienced any AE </w:t>
      </w:r>
      <w:r w:rsidR="007A6B56">
        <w:t xml:space="preserve">compared to 2% (8 out of </w:t>
      </w:r>
      <w:r w:rsidRPr="000255EF">
        <w:t>474) who received plac</w:t>
      </w:r>
      <w:r w:rsidR="007A6B56">
        <w:t>ebo.</w:t>
      </w:r>
    </w:p>
    <w:p w:rsidR="000255EF" w:rsidRPr="000255EF" w:rsidRDefault="000255EF" w:rsidP="00A60A6A">
      <w:pPr>
        <w:pStyle w:val="Heading5"/>
      </w:pPr>
      <w:r w:rsidRPr="000255EF">
        <w:lastRenderedPageBreak/>
        <w:t>Patient deaths</w:t>
      </w:r>
    </w:p>
    <w:p w:rsidR="000255EF" w:rsidRPr="000255EF" w:rsidRDefault="000255EF" w:rsidP="000255EF">
      <w:r w:rsidRPr="000255EF">
        <w:t>There were five patient (1.1%) dr</w:t>
      </w:r>
      <w:r w:rsidR="00A60A6A">
        <w:t>ug related study deaths in the i</w:t>
      </w:r>
      <w:r w:rsidRPr="000255EF">
        <w:t>pilimumab arm. Three patients died related to colitis, of which two patients had gastrointestinal perforations. One patient died from myocarditis and one die</w:t>
      </w:r>
      <w:r w:rsidR="00A60A6A">
        <w:t>d from Guillain-Barre syndrome.</w:t>
      </w:r>
    </w:p>
    <w:p w:rsidR="000255EF" w:rsidRPr="000255EF" w:rsidRDefault="000255EF" w:rsidP="000255EF">
      <w:r w:rsidRPr="000255EF">
        <w:t>The number of deaths in this study is larger than that reported in CA184024, although the limitations of uncontrolled cro</w:t>
      </w:r>
      <w:r w:rsidR="007A6B56">
        <w:t>ss study comparisons are noted.</w:t>
      </w:r>
    </w:p>
    <w:p w:rsidR="000255EF" w:rsidRPr="000255EF" w:rsidRDefault="000255EF" w:rsidP="00A60A6A">
      <w:pPr>
        <w:pStyle w:val="Heading5"/>
      </w:pPr>
      <w:r w:rsidRPr="000255EF">
        <w:t>Immune related adverse events</w:t>
      </w:r>
    </w:p>
    <w:p w:rsidR="000255EF" w:rsidRPr="000255EF" w:rsidRDefault="000255EF" w:rsidP="000255EF">
      <w:r w:rsidRPr="000255EF">
        <w:t xml:space="preserve">There were a significant number of immune related adverse events in the study arm. In general, the reported numbers of immune related AEs were in general greater than reported by the </w:t>
      </w:r>
      <w:r w:rsidR="00BB7B81">
        <w:t>sponsor</w:t>
      </w:r>
      <w:r w:rsidRPr="000255EF">
        <w:t xml:space="preserve"> in CA184024 (10</w:t>
      </w:r>
      <w:r w:rsidR="007A6B56">
        <w:t xml:space="preserve"> </w:t>
      </w:r>
      <w:r w:rsidRPr="000255EF">
        <w:t xml:space="preserve">mg/kg </w:t>
      </w:r>
      <w:r w:rsidR="00A60A6A">
        <w:t>ipilimumab</w:t>
      </w:r>
      <w:r w:rsidRPr="000255EF">
        <w:t xml:space="preserve"> monotherapy with concomitant DTIC). The limitations of uncontrolled cross stu</w:t>
      </w:r>
      <w:r w:rsidR="007A6B56">
        <w:t>dy comparisons are again noted.</w:t>
      </w:r>
    </w:p>
    <w:p w:rsidR="000255EF" w:rsidRPr="000255EF" w:rsidRDefault="000255EF" w:rsidP="000255EF">
      <w:r w:rsidRPr="000255EF">
        <w:t>Of patients on the study arm, the m</w:t>
      </w:r>
      <w:r w:rsidR="007A6B56">
        <w:t xml:space="preserve">ajority of patients (90.4%, 425 out of </w:t>
      </w:r>
      <w:r w:rsidRPr="000255EF">
        <w:t>471) experienced any gra</w:t>
      </w:r>
      <w:r w:rsidR="007A6B56">
        <w:t xml:space="preserve">de of irAEs. Of these, 42% (198 out of </w:t>
      </w:r>
      <w:r w:rsidRPr="000255EF">
        <w:t>471) were Grade 3/4 e</w:t>
      </w:r>
      <w:r w:rsidR="007A6B56">
        <w:t xml:space="preserve">vents. Significantly 63.3% (298 out of </w:t>
      </w:r>
      <w:r w:rsidRPr="000255EF">
        <w:t>471</w:t>
      </w:r>
      <w:proofErr w:type="gramStart"/>
      <w:r w:rsidRPr="000255EF">
        <w:t>)of</w:t>
      </w:r>
      <w:proofErr w:type="gramEnd"/>
      <w:r w:rsidRPr="000255EF">
        <w:t xml:space="preserve"> patients experienced any grade of immune related dermatologic adverse event. Any grade of gastrointestinal immune related AEs occurred in 46.3% (218) patients, with 16% (75/</w:t>
      </w:r>
      <w:r w:rsidR="007A6B56">
        <w:t xml:space="preserve">out of </w:t>
      </w:r>
      <w:r w:rsidRPr="000255EF">
        <w:t>471) being a Gr 3/4 event. There were six drug related GI perforations on the study arm and 3 unrelated GI perforations on the placebo arm. Of particular note, a high pro</w:t>
      </w:r>
      <w:r w:rsidR="007A6B56">
        <w:t xml:space="preserve">portion of patients (37.6%, 177 out of </w:t>
      </w:r>
      <w:r w:rsidRPr="000255EF">
        <w:t>471) experienced any grade of immune related e</w:t>
      </w:r>
      <w:r w:rsidR="007A6B56">
        <w:t xml:space="preserve">ndocrine events, with 18.3% (86 out of </w:t>
      </w:r>
      <w:r w:rsidRPr="000255EF">
        <w:t>471) of patients experiencing any grade of hypophysitis. Immune related hepatic AEs were noted</w:t>
      </w:r>
      <w:r w:rsidR="007A6B56">
        <w:t xml:space="preserve"> in 25.1% (118 out of </w:t>
      </w:r>
      <w:r w:rsidRPr="000255EF">
        <w:t>471) of patients for any grade, immune rel</w:t>
      </w:r>
      <w:r w:rsidR="007A6B56">
        <w:t xml:space="preserve">ated neurologic AEs in 4.5% (21 out of </w:t>
      </w:r>
      <w:r w:rsidRPr="000255EF">
        <w:t>471) patients</w:t>
      </w:r>
      <w:r w:rsidR="007A6B56">
        <w:t xml:space="preserve"> for any grade, and 23.6% (111</w:t>
      </w:r>
      <w:r w:rsidR="00190CC2" w:rsidRPr="00190CC2">
        <w:t xml:space="preserve"> out of </w:t>
      </w:r>
      <w:r w:rsidR="007A6B56">
        <w:t>4</w:t>
      </w:r>
      <w:r w:rsidRPr="000255EF">
        <w:t xml:space="preserve">71) of patients experienced </w:t>
      </w:r>
      <w:r w:rsidR="00BB7B81">
        <w:t>‘</w:t>
      </w:r>
      <w:r w:rsidRPr="000255EF">
        <w:t>other</w:t>
      </w:r>
      <w:r w:rsidR="00BB7B81">
        <w:t>’</w:t>
      </w:r>
      <w:r w:rsidRPr="000255EF">
        <w:t xml:space="preserve"> (any grade, unspecified) immune related AEs. These results are summarised </w:t>
      </w:r>
      <w:r w:rsidRPr="00B95A18">
        <w:t xml:space="preserve">in Table </w:t>
      </w:r>
      <w:r w:rsidR="004572B9">
        <w:t>37</w:t>
      </w:r>
      <w:r w:rsidRPr="00B95A18">
        <w:t xml:space="preserve"> below. As</w:t>
      </w:r>
      <w:r w:rsidRPr="000255EF">
        <w:t xml:space="preserve"> a reference</w:t>
      </w:r>
      <w:r w:rsidRPr="00B95A18">
        <w:t xml:space="preserve">, Table </w:t>
      </w:r>
      <w:r w:rsidR="004572B9">
        <w:t>38</w:t>
      </w:r>
      <w:r w:rsidRPr="000255EF">
        <w:t xml:space="preserve"> from the CSR of CA184024 summarising the irAEs from this study as presented by the </w:t>
      </w:r>
      <w:r w:rsidR="00BB7B81">
        <w:t>sponsor</w:t>
      </w:r>
      <w:r w:rsidRPr="000255EF">
        <w:t xml:space="preserve"> is</w:t>
      </w:r>
      <w:r w:rsidR="00A60A6A">
        <w:t xml:space="preserve"> provided below.</w:t>
      </w:r>
    </w:p>
    <w:p w:rsidR="000255EF" w:rsidRDefault="000255EF" w:rsidP="00447A45">
      <w:r w:rsidRPr="000255EF">
        <w:t>Of particular note, on the study arm although the majo</w:t>
      </w:r>
      <w:r w:rsidR="00190CC2">
        <w:t xml:space="preserve">rity of Gr 2 to </w:t>
      </w:r>
      <w:r w:rsidRPr="000255EF">
        <w:t>4 irAEs were reported to resolve, resolution of endocrine irAEs was not observed for 44% (</w:t>
      </w:r>
      <w:r w:rsidR="00190CC2">
        <w:t xml:space="preserve">59 out of 134) of patients with a Gr 2 to </w:t>
      </w:r>
      <w:r w:rsidRPr="000255EF">
        <w:t xml:space="preserve">4 endocrine irAE. The median number </w:t>
      </w:r>
      <w:r w:rsidR="00190CC2">
        <w:t xml:space="preserve">of weeks for resolution of Gr 2 to 4 irAE was 31.0 weeks (13.9 to </w:t>
      </w:r>
      <w:r w:rsidRPr="000255EF">
        <w:t>186.0) for endocrine ir</w:t>
      </w:r>
      <w:r w:rsidR="00190CC2">
        <w:t xml:space="preserve">AEs. For the other G2 to </w:t>
      </w:r>
      <w:r w:rsidRPr="000255EF">
        <w:t>4 irAE subcategories, resolution of skin irAEs was not observed for 11% (14</w:t>
      </w:r>
      <w:r w:rsidR="00190CC2" w:rsidRPr="00190CC2">
        <w:t xml:space="preserve"> out of </w:t>
      </w:r>
      <w:r w:rsidRPr="000255EF">
        <w:t>129) of patients, resolution of gastrointestinal irAEs was not observed for 6% (9</w:t>
      </w:r>
      <w:r w:rsidR="00190CC2" w:rsidRPr="00190CC2">
        <w:t xml:space="preserve"> out of </w:t>
      </w:r>
      <w:r w:rsidRPr="000255EF">
        <w:t>144) of patients, and resolution of hepatic irAEs was not observed for 5% (4</w:t>
      </w:r>
      <w:r w:rsidR="00190CC2" w:rsidRPr="00190CC2">
        <w:t xml:space="preserve"> out of </w:t>
      </w:r>
      <w:r w:rsidR="00190CC2">
        <w:t>77) of patients.</w:t>
      </w:r>
    </w:p>
    <w:p w:rsidR="00190CC2" w:rsidRPr="00190CC2" w:rsidRDefault="00190CC2" w:rsidP="00074504">
      <w:pPr>
        <w:pStyle w:val="Tabletitle"/>
      </w:pPr>
      <w:bookmarkStart w:id="295" w:name="_Toc390676312"/>
      <w:r w:rsidRPr="00B95A18">
        <w:t xml:space="preserve">Table </w:t>
      </w:r>
      <w:r w:rsidR="004572B9">
        <w:t>37</w:t>
      </w:r>
      <w:r w:rsidR="00B95A18" w:rsidRPr="00B95A18">
        <w:t>:</w:t>
      </w:r>
      <w:r w:rsidR="00A60A6A" w:rsidRPr="00B95A18">
        <w:t xml:space="preserve"> Summary</w:t>
      </w:r>
      <w:r w:rsidR="00A60A6A">
        <w:t xml:space="preserve"> of Immune </w:t>
      </w:r>
      <w:r w:rsidRPr="00190CC2">
        <w:t>related adverse events on EORTC 18071 (adjuvant use of 10</w:t>
      </w:r>
      <w:r w:rsidR="00074504">
        <w:t xml:space="preserve"> </w:t>
      </w:r>
      <w:r w:rsidRPr="00190CC2">
        <w:t xml:space="preserve">mg/kg </w:t>
      </w:r>
      <w:r w:rsidR="00A60A6A">
        <w:t>ipilimumab</w:t>
      </w:r>
      <w:r w:rsidRPr="00190CC2">
        <w:t xml:space="preserve"> monotherapy in previously untreated patients with a maintenance phase)</w:t>
      </w:r>
      <w:bookmarkEnd w:id="295"/>
    </w:p>
    <w:p w:rsidR="00190CC2" w:rsidRDefault="00190CC2" w:rsidP="00190CC2">
      <w:bookmarkStart w:id="296" w:name="_Toc241374328"/>
      <w:bookmarkStart w:id="297" w:name="_Toc272414691"/>
      <w:bookmarkStart w:id="298" w:name="_Toc290846329"/>
      <w:bookmarkStart w:id="299" w:name="_Toc390676244"/>
      <w:r>
        <w:rPr>
          <w:noProof/>
          <w:lang w:eastAsia="en-AU"/>
        </w:rPr>
        <w:drawing>
          <wp:inline distT="0" distB="0" distL="0" distR="0" wp14:anchorId="701DA12D" wp14:editId="3BBD3DA6">
            <wp:extent cx="5448522" cy="2465223"/>
            <wp:effectExtent l="0" t="0" r="0" b="0"/>
            <wp:docPr id="22" name="Picture 22" descr="Table 37: Summary of Immune related adverse events on EORTC 18071 (adjuvant use of 10 mg/kg ipilimumab monotherapy in previously untreated patients with a maintenanc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56269" cy="2468728"/>
                    </a:xfrm>
                    <a:prstGeom prst="rect">
                      <a:avLst/>
                    </a:prstGeom>
                  </pic:spPr>
                </pic:pic>
              </a:graphicData>
            </a:graphic>
          </wp:inline>
        </w:drawing>
      </w:r>
    </w:p>
    <w:p w:rsidR="00190CC2" w:rsidRPr="00377A04" w:rsidRDefault="00190CC2" w:rsidP="00190CC2">
      <w:pPr>
        <w:pStyle w:val="TableDescription"/>
      </w:pPr>
      <w:r w:rsidRPr="00377A04">
        <w:lastRenderedPageBreak/>
        <w:t xml:space="preserve">*Gastrointestinal perforations: </w:t>
      </w:r>
      <w:r w:rsidR="00A60A6A">
        <w:t>ipilimumab</w:t>
      </w:r>
      <w:r w:rsidRPr="00377A04">
        <w:t>, 6 related (1.3%); placebo, 3 unrelated (0.6%). LFT = liver function test.</w:t>
      </w:r>
      <w:r w:rsidR="00A60A6A">
        <w:t xml:space="preserve"> (</w:t>
      </w:r>
      <w:r w:rsidR="00A60A6A" w:rsidRPr="00074504">
        <w:t>This data is copied directly from Slide 12 of the oral presentation for the referenced abstract.</w:t>
      </w:r>
      <w:r w:rsidR="00A60A6A">
        <w:t>)</w:t>
      </w:r>
    </w:p>
    <w:p w:rsidR="00190CC2" w:rsidRPr="00377A04" w:rsidRDefault="00190CC2" w:rsidP="00190CC2">
      <w:pPr>
        <w:pStyle w:val="Tabletitle"/>
      </w:pPr>
      <w:bookmarkStart w:id="300" w:name="_Toc390676313"/>
      <w:r>
        <w:t xml:space="preserve">Table </w:t>
      </w:r>
      <w:r w:rsidR="004572B9">
        <w:t>38</w:t>
      </w:r>
      <w:r w:rsidR="00B95A18">
        <w:t>:</w:t>
      </w:r>
      <w:r>
        <w:t xml:space="preserve"> Summary of irAEs fro</w:t>
      </w:r>
      <w:r w:rsidR="00A60A6A">
        <w:t>m CA184024 as presented by the s</w:t>
      </w:r>
      <w:r>
        <w:t>ponsor</w:t>
      </w:r>
      <w:bookmarkEnd w:id="300"/>
    </w:p>
    <w:p w:rsidR="00190CC2" w:rsidRDefault="00190CC2" w:rsidP="00190CC2">
      <w:r>
        <w:rPr>
          <w:noProof/>
          <w:lang w:eastAsia="en-AU"/>
        </w:rPr>
        <w:drawing>
          <wp:inline distT="0" distB="0" distL="0" distR="0" wp14:anchorId="65F2DE59" wp14:editId="3148DC64">
            <wp:extent cx="4849978" cy="3825058"/>
            <wp:effectExtent l="0" t="0" r="0" b="0"/>
            <wp:docPr id="30" name="Picture 30" descr="Table 38: Summary of irAEs from CA184024 as present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49448" cy="3824640"/>
                    </a:xfrm>
                    <a:prstGeom prst="rect">
                      <a:avLst/>
                    </a:prstGeom>
                  </pic:spPr>
                </pic:pic>
              </a:graphicData>
            </a:graphic>
          </wp:inline>
        </w:drawing>
      </w:r>
    </w:p>
    <w:p w:rsidR="00190CC2" w:rsidRPr="00190CC2" w:rsidRDefault="00190CC2" w:rsidP="00190CC2">
      <w:r w:rsidRPr="00190CC2">
        <w:t>This recently reported study raises significant clinical co</w:t>
      </w:r>
      <w:r>
        <w:t>ncerns regarding the safety of i</w:t>
      </w:r>
      <w:r w:rsidRPr="00190CC2">
        <w:t>pilimumab monotherapy 10</w:t>
      </w:r>
      <w:r w:rsidR="006248AC">
        <w:t xml:space="preserve"> </w:t>
      </w:r>
      <w:r w:rsidRPr="00190CC2">
        <w:t>mg/kg in a previously untreated and healthy population. Whilst the limitations of uncontrolled cross study comparisons are noted and the presentation of information as an oral abstract of the referenced study, in general the toxicity observed within this adjuvant study of healthy patients was numerically higher than that presented in CA184024. Significantly, there were five deaths within this healthy population</w:t>
      </w:r>
      <w:r>
        <w:t xml:space="preserve"> and six </w:t>
      </w:r>
      <w:proofErr w:type="gramStart"/>
      <w:r>
        <w:t>treatment</w:t>
      </w:r>
      <w:proofErr w:type="gramEnd"/>
      <w:r>
        <w:t xml:space="preserve"> </w:t>
      </w:r>
      <w:r w:rsidRPr="00190CC2">
        <w:t>related GI perforations. In addition, the number of irAEs observed was numerically higher than reported in CA184024.</w:t>
      </w:r>
    </w:p>
    <w:p w:rsidR="00190CC2" w:rsidRPr="00190CC2" w:rsidRDefault="00190CC2" w:rsidP="00190CC2">
      <w:r w:rsidRPr="00190CC2">
        <w:t xml:space="preserve">Thus, this study on the benefit for the adjuvant use of </w:t>
      </w:r>
      <w:r w:rsidR="00A60A6A">
        <w:t>ipilimumab</w:t>
      </w:r>
      <w:r w:rsidRPr="00190CC2">
        <w:t xml:space="preserve"> 10</w:t>
      </w:r>
      <w:r w:rsidR="006248AC">
        <w:t xml:space="preserve"> </w:t>
      </w:r>
      <w:r w:rsidRPr="00190CC2">
        <w:t>mg/kg monotherapy in the previously untreated healthy population raises significant clinical concerns regarding the safety of the drug for the proposed usage.</w:t>
      </w:r>
    </w:p>
    <w:p w:rsidR="00190CC2" w:rsidRPr="00190CC2" w:rsidRDefault="00190CC2" w:rsidP="00190CC2">
      <w:pPr>
        <w:pStyle w:val="Heading4"/>
      </w:pPr>
      <w:bookmarkStart w:id="301" w:name="_Toc390676243"/>
      <w:r w:rsidRPr="00190CC2">
        <w:t>CA184169</w:t>
      </w:r>
      <w:bookmarkEnd w:id="301"/>
    </w:p>
    <w:p w:rsidR="00190CC2" w:rsidRPr="00190CC2" w:rsidRDefault="00190CC2" w:rsidP="00190CC2">
      <w:r w:rsidRPr="00190CC2">
        <w:t>CA184169 i</w:t>
      </w:r>
      <w:r w:rsidR="006248AC">
        <w:t xml:space="preserve">s an ongoing </w:t>
      </w:r>
      <w:proofErr w:type="gramStart"/>
      <w:r w:rsidR="006248AC">
        <w:t>randomised,</w:t>
      </w:r>
      <w:proofErr w:type="gramEnd"/>
      <w:r w:rsidR="006248AC">
        <w:t xml:space="preserve"> double </w:t>
      </w:r>
      <w:r w:rsidR="00074504">
        <w:t>blinded, Phase III study of i</w:t>
      </w:r>
      <w:r w:rsidRPr="00190CC2">
        <w:t>pilimumab administered at 3</w:t>
      </w:r>
      <w:r w:rsidR="006248AC">
        <w:t xml:space="preserve"> </w:t>
      </w:r>
      <w:r w:rsidRPr="00190CC2">
        <w:t>mg/kg versus 10</w:t>
      </w:r>
      <w:r w:rsidR="006248AC">
        <w:t xml:space="preserve"> </w:t>
      </w:r>
      <w:r w:rsidRPr="00190CC2">
        <w:t xml:space="preserve">mg/kg in Subjects with Previously Treated or Untreated Unresectable or Metastatic Melanoma. The protocol for this study is found in the </w:t>
      </w:r>
      <w:r w:rsidR="00D2707F">
        <w:t>‘</w:t>
      </w:r>
      <w:r w:rsidRPr="00190CC2">
        <w:t>literature references</w:t>
      </w:r>
      <w:r w:rsidR="00D2707F">
        <w:t>’</w:t>
      </w:r>
      <w:r w:rsidR="00074504">
        <w:t xml:space="preserve"> provided by the s</w:t>
      </w:r>
      <w:r w:rsidRPr="00190CC2">
        <w:t>ponsor.</w:t>
      </w:r>
      <w:r w:rsidR="00074504">
        <w:t xml:space="preserve"> </w:t>
      </w:r>
      <w:r w:rsidRPr="00190CC2">
        <w:t>Note is made of the research hypothesis for this study</w:t>
      </w:r>
      <w:r w:rsidR="00074504">
        <w:t>, that ‘</w:t>
      </w:r>
      <w:r w:rsidRPr="00074504">
        <w:rPr>
          <w:i/>
        </w:rPr>
        <w:t>The dose of 10 mg/kg ipilimumab will have superior efficacy for the primary endpoint of overall survival compared to the 3 mg/kg dose.</w:t>
      </w:r>
      <w:r w:rsidR="00074504">
        <w:t>’</w:t>
      </w:r>
    </w:p>
    <w:p w:rsidR="00190CC2" w:rsidRPr="00190CC2" w:rsidRDefault="00074504" w:rsidP="00315121">
      <w:pPr>
        <w:pStyle w:val="Comment"/>
        <w:ind w:left="1134" w:hanging="1134"/>
      </w:pPr>
      <w:r w:rsidRPr="00074504">
        <w:rPr>
          <w:b/>
        </w:rPr>
        <w:t>Comment:</w:t>
      </w:r>
      <w:r>
        <w:t xml:space="preserve"> </w:t>
      </w:r>
      <w:r w:rsidR="00190CC2" w:rsidRPr="00190CC2">
        <w:t>Given the uncertainty of the differences in efficacy and safety issues between the 3</w:t>
      </w:r>
      <w:r>
        <w:t> </w:t>
      </w:r>
      <w:r w:rsidR="00190CC2" w:rsidRPr="00190CC2">
        <w:t>mg/kg and 10</w:t>
      </w:r>
      <w:r>
        <w:t xml:space="preserve"> </w:t>
      </w:r>
      <w:r w:rsidR="00190CC2" w:rsidRPr="00190CC2">
        <w:t>mg/kg dosing schedule in previously untreated and previously treated patients, the Sponsor is requested to provide an interim summ</w:t>
      </w:r>
      <w:r>
        <w:t>ary of safety data for CA184169</w:t>
      </w:r>
      <w:r w:rsidR="00190CC2" w:rsidRPr="00190CC2">
        <w:t>.</w:t>
      </w:r>
    </w:p>
    <w:p w:rsidR="00190CC2" w:rsidRPr="00190CC2" w:rsidRDefault="00190CC2" w:rsidP="00190CC2">
      <w:r w:rsidRPr="00190CC2">
        <w:lastRenderedPageBreak/>
        <w:t>The synopsis</w:t>
      </w:r>
      <w:r w:rsidR="00074504">
        <w:t xml:space="preserve"> of the study presented by the s</w:t>
      </w:r>
      <w:r w:rsidRPr="00190CC2">
        <w:t>ponsor is copied below. It is unclear when patient enrolment commenced. The d</w:t>
      </w:r>
      <w:r w:rsidR="00315121">
        <w:t xml:space="preserve">ate of the first protocol is 26 </w:t>
      </w:r>
      <w:r w:rsidRPr="00190CC2">
        <w:t>Sep</w:t>
      </w:r>
      <w:r w:rsidR="00315121">
        <w:t>tember</w:t>
      </w:r>
      <w:r w:rsidRPr="00190CC2">
        <w:t>2011.</w:t>
      </w:r>
    </w:p>
    <w:p w:rsidR="00190CC2" w:rsidRPr="00190CC2" w:rsidRDefault="00074504" w:rsidP="00190CC2">
      <w:r>
        <w:t>‘</w:t>
      </w:r>
      <w:r w:rsidR="00190CC2" w:rsidRPr="00190CC2">
        <w:t xml:space="preserve">Investigational Product(s), Dose and Mode of Administration, Duration of Treatment with Investigational Product(s): </w:t>
      </w:r>
      <w:r w:rsidR="00A60A6A">
        <w:t>ipilimumab</w:t>
      </w:r>
      <w:r w:rsidR="00190CC2" w:rsidRPr="00190CC2">
        <w:t xml:space="preserve"> 3 mg/kg or 10 mg/kg IV: Administered over 90 minutes every 3 weeks for up to four induction doses. Re-induction is allowed for subjects without intolerable toxicity and who respond or have stable disease for 3 months or more after induction, and subsequently progress.</w:t>
      </w:r>
    </w:p>
    <w:p w:rsidR="00190CC2" w:rsidRPr="006368C0" w:rsidRDefault="00190CC2" w:rsidP="006368C0">
      <w:pPr>
        <w:rPr>
          <w:i/>
        </w:rPr>
      </w:pPr>
      <w:r w:rsidRPr="006368C0">
        <w:rPr>
          <w:i/>
        </w:rPr>
        <w:t xml:space="preserve">Study Phase </w:t>
      </w:r>
      <w:r w:rsidR="006368C0" w:rsidRPr="006368C0">
        <w:rPr>
          <w:i/>
        </w:rPr>
        <w:t>III</w:t>
      </w:r>
    </w:p>
    <w:p w:rsidR="00074504" w:rsidRDefault="00190CC2" w:rsidP="006368C0">
      <w:pPr>
        <w:pStyle w:val="Heading5"/>
      </w:pPr>
      <w:r w:rsidRPr="00190CC2">
        <w:t xml:space="preserve">Research </w:t>
      </w:r>
      <w:r w:rsidR="006368C0" w:rsidRPr="00190CC2">
        <w:t>hy</w:t>
      </w:r>
      <w:r w:rsidRPr="00190CC2">
        <w:t>pothesis</w:t>
      </w:r>
    </w:p>
    <w:p w:rsidR="00190CC2" w:rsidRPr="006368C0" w:rsidRDefault="00190CC2" w:rsidP="006368C0">
      <w:r w:rsidRPr="006368C0">
        <w:t>The dose of 10 mg/kg ipilimumab will have superior efficacy for the primary endpoint of overall survival compared to the 3 mg/kg dose.</w:t>
      </w:r>
    </w:p>
    <w:p w:rsidR="00074504" w:rsidRDefault="00190CC2" w:rsidP="006368C0">
      <w:pPr>
        <w:pStyle w:val="Heading5"/>
      </w:pPr>
      <w:r w:rsidRPr="00190CC2">
        <w:t xml:space="preserve">Primary </w:t>
      </w:r>
      <w:r w:rsidR="006368C0" w:rsidRPr="00190CC2">
        <w:t>o</w:t>
      </w:r>
      <w:r w:rsidRPr="00190CC2">
        <w:t>bjective</w:t>
      </w:r>
    </w:p>
    <w:p w:rsidR="00190CC2" w:rsidRPr="00190CC2" w:rsidRDefault="00190CC2" w:rsidP="00190CC2">
      <w:r w:rsidRPr="00190CC2">
        <w:t xml:space="preserve">To compare the overall survival of ipilimumab monotherapy at doses of 3 mg/kg versus </w:t>
      </w:r>
      <w:r w:rsidR="00074504">
        <w:t>10 </w:t>
      </w:r>
      <w:r w:rsidRPr="00190CC2">
        <w:t>mg/kg in subjects with previously treated or untreated unresectable Stage III or Stage IV melanoma</w:t>
      </w:r>
      <w:r w:rsidR="00074504">
        <w:t>.</w:t>
      </w:r>
    </w:p>
    <w:p w:rsidR="00074504" w:rsidRDefault="00190CC2" w:rsidP="006368C0">
      <w:pPr>
        <w:pStyle w:val="Heading5"/>
      </w:pPr>
      <w:r w:rsidRPr="00190CC2">
        <w:t xml:space="preserve">Study </w:t>
      </w:r>
      <w:r w:rsidR="006368C0" w:rsidRPr="00190CC2">
        <w:t>d</w:t>
      </w:r>
      <w:r w:rsidRPr="00190CC2">
        <w:t>esign</w:t>
      </w:r>
    </w:p>
    <w:p w:rsidR="00190CC2" w:rsidRPr="00190CC2" w:rsidRDefault="00190CC2" w:rsidP="00190CC2">
      <w:r w:rsidRPr="00190CC2">
        <w:t xml:space="preserve">This is a </w:t>
      </w:r>
      <w:r w:rsidR="007215FD">
        <w:t>random</w:t>
      </w:r>
      <w:r w:rsidR="001A330A">
        <w:t>ise</w:t>
      </w:r>
      <w:r w:rsidR="007215FD">
        <w:t xml:space="preserve">d, </w:t>
      </w:r>
      <w:r w:rsidR="003E53D0">
        <w:t>multicentre</w:t>
      </w:r>
      <w:r w:rsidR="007215FD">
        <w:t>, double blind Phase III</w:t>
      </w:r>
      <w:r w:rsidR="003E53D0">
        <w:t xml:space="preserve"> study. Subjects aged</w:t>
      </w:r>
      <w:r w:rsidRPr="00190CC2">
        <w:rPr>
          <w:rFonts w:hint="eastAsia"/>
        </w:rPr>
        <w:t xml:space="preserve"> </w:t>
      </w:r>
      <w:r w:rsidR="003E53D0">
        <w:t xml:space="preserve">&gt; </w:t>
      </w:r>
      <w:r w:rsidRPr="00190CC2">
        <w:t>18 years of age with untreated or previously treated unresectable Stage III or Stage IV (metastatic) melanoma who have not received a B-Raf inhibitor or prior immune checkpoint modulatory therapy (see eligibility criteria) will be randomly assigned to be treated with i</w:t>
      </w:r>
      <w:r w:rsidR="003E53D0">
        <w:t>pilimumab at a dose of either 3 </w:t>
      </w:r>
      <w:r w:rsidRPr="00190CC2">
        <w:t xml:space="preserve">mg/kg or 10 mg/kg by intravenous infusion every 3 weeks x 4 doses. After initial response (or stable disease for at least 3 months) followed by subsequent progression and in the absence of intolerable toxicity, subjects are eligible to receive re-induction therapy using the same dose and schedule as used for induction. Re-induction may be provided at the discretion of the investigator using the same criteria. When the analysis for the primary endpoint of overall survival has been conducted, all subjects, including subjects in the Re-induction phase, will no longer be treated on this study and will revert to commercial supplies of </w:t>
      </w:r>
      <w:r w:rsidR="00A60A6A">
        <w:t>ipilimumab</w:t>
      </w:r>
      <w:r w:rsidRPr="00190CC2">
        <w:t xml:space="preserve"> where available as per local labels. Subjects will continue to be followed for long term survival. The study will be double-blinded and subjects will be random</w:t>
      </w:r>
      <w:r w:rsidR="001A330A">
        <w:t>ise</w:t>
      </w:r>
      <w:r w:rsidRPr="00190CC2">
        <w:t>d in a 1:1 ratio between the two treatment arms.</w:t>
      </w:r>
    </w:p>
    <w:p w:rsidR="00190CC2" w:rsidRPr="00190CC2" w:rsidRDefault="00190CC2" w:rsidP="00190CC2">
      <w:r w:rsidRPr="00190CC2">
        <w:t>Randomization will be stratified by:</w:t>
      </w:r>
    </w:p>
    <w:p w:rsidR="00190CC2" w:rsidRPr="00190CC2" w:rsidRDefault="00190CC2" w:rsidP="003E53D0">
      <w:pPr>
        <w:pStyle w:val="Numberbullet0"/>
        <w:numPr>
          <w:ilvl w:val="0"/>
          <w:numId w:val="28"/>
        </w:numPr>
      </w:pPr>
      <w:r w:rsidRPr="00190CC2">
        <w:t>M sub</w:t>
      </w:r>
      <w:r w:rsidR="00C22CAE">
        <w:t>-</w:t>
      </w:r>
      <w:r w:rsidRPr="00190CC2">
        <w:t>stage: M0+M1a+M1b versus M1c without brain metastases versus M1c with brain metastases</w:t>
      </w:r>
    </w:p>
    <w:p w:rsidR="00190CC2" w:rsidRPr="00190CC2" w:rsidRDefault="00190CC2" w:rsidP="003E53D0">
      <w:pPr>
        <w:pStyle w:val="Numberbullet0"/>
        <w:numPr>
          <w:ilvl w:val="0"/>
          <w:numId w:val="28"/>
        </w:numPr>
      </w:pPr>
      <w:r w:rsidRPr="00190CC2">
        <w:t>Prior treatment for metastatic melanoma: yes versus no</w:t>
      </w:r>
    </w:p>
    <w:p w:rsidR="00190CC2" w:rsidRPr="00190CC2" w:rsidRDefault="00190CC2" w:rsidP="003E53D0">
      <w:pPr>
        <w:pStyle w:val="Numberbullet0"/>
        <w:numPr>
          <w:ilvl w:val="0"/>
          <w:numId w:val="28"/>
        </w:numPr>
      </w:pPr>
      <w:r w:rsidRPr="00190CC2">
        <w:t>ECOG Performance Status: 0 versus 1</w:t>
      </w:r>
    </w:p>
    <w:p w:rsidR="003E53D0" w:rsidRDefault="00285EFE" w:rsidP="00285EFE">
      <w:pPr>
        <w:pStyle w:val="Heading5"/>
      </w:pPr>
      <w:r>
        <w:t>Study p</w:t>
      </w:r>
      <w:r w:rsidR="00190CC2" w:rsidRPr="00190CC2">
        <w:t>opulation</w:t>
      </w:r>
    </w:p>
    <w:p w:rsidR="00190CC2" w:rsidRPr="00190CC2" w:rsidRDefault="00190CC2" w:rsidP="00190CC2">
      <w:r w:rsidRPr="00190CC2">
        <w:t>Men and women, &gt;</w:t>
      </w:r>
      <w:r w:rsidR="003E53D0">
        <w:t xml:space="preserve"> </w:t>
      </w:r>
      <w:r w:rsidRPr="00190CC2">
        <w:t>18 years of age, with previously treated or untreated unresectable Stage III</w:t>
      </w:r>
      <w:r w:rsidR="003E53D0">
        <w:t xml:space="preserve"> </w:t>
      </w:r>
      <w:r w:rsidRPr="00190CC2">
        <w:t>or IV histologically or cytologically confirmed melanoma, ECOG Performance Status 0 or 1, and who have not received a B-Raf inhibitor or prior CTLA-4 or PD-1antagonists, or PD-L1 or CD137 agonists are eligible. Subjects with brain metastases who are free of neurologic symptoms related to metastatic brain lesions and who do not require or receive systemic corticosteroid therapy in the 10 days prior to beginning ipilimumab therapy are eligible. Subjects with a history of or current active autoimmune diseases (see eligibility criteria) or current uncontrolled infectious disease will be excluded. Subjects must provide a baseline blood sample for biomarker testing.</w:t>
      </w:r>
    </w:p>
    <w:p w:rsidR="003E53D0" w:rsidRDefault="00190CC2" w:rsidP="00285EFE">
      <w:pPr>
        <w:pStyle w:val="Heading5"/>
      </w:pPr>
      <w:r w:rsidRPr="00190CC2">
        <w:lastRenderedPageBreak/>
        <w:t xml:space="preserve">Study </w:t>
      </w:r>
      <w:r w:rsidR="00285EFE" w:rsidRPr="00190CC2">
        <w:t>assessments and primary endpoint</w:t>
      </w:r>
    </w:p>
    <w:p w:rsidR="00190CC2" w:rsidRPr="00190CC2" w:rsidRDefault="00285EFE" w:rsidP="00190CC2">
      <w:r>
        <w:t>Safety a</w:t>
      </w:r>
      <w:r w:rsidR="00190CC2" w:rsidRPr="00190CC2">
        <w:t>ssessments: All subjects who receive at least one dose of study treatment (ipilimumab) will be evaluated for safety parameters.</w:t>
      </w:r>
    </w:p>
    <w:p w:rsidR="00190CC2" w:rsidRPr="00190CC2" w:rsidRDefault="00285EFE" w:rsidP="00190CC2">
      <w:r>
        <w:t>Primary e</w:t>
      </w:r>
      <w:r w:rsidR="00190CC2" w:rsidRPr="00190CC2">
        <w:t>ndpoint: All random</w:t>
      </w:r>
      <w:r w:rsidR="001A330A">
        <w:t>ise</w:t>
      </w:r>
      <w:r w:rsidR="00190CC2" w:rsidRPr="00190CC2">
        <w:t>d subjects will be evaluated for efficacy analyses. Overall survival (OS) will be defined as the time from the date of randomization until the date of death. For those subjects who have not died, OS will be censored on the last date the subject was known to be alive.</w:t>
      </w:r>
    </w:p>
    <w:p w:rsidR="003E53D0" w:rsidRDefault="00190CC2" w:rsidP="00285EFE">
      <w:pPr>
        <w:pStyle w:val="Heading5"/>
      </w:pPr>
      <w:r w:rsidRPr="00190CC2">
        <w:t xml:space="preserve">Statistical </w:t>
      </w:r>
      <w:r w:rsidR="00285EFE">
        <w:t>m</w:t>
      </w:r>
      <w:r w:rsidRPr="00190CC2">
        <w:t>ethods</w:t>
      </w:r>
    </w:p>
    <w:p w:rsidR="00190CC2" w:rsidRPr="00190CC2" w:rsidRDefault="00190CC2" w:rsidP="00190CC2">
      <w:r w:rsidRPr="00190CC2">
        <w:t xml:space="preserve">Sample </w:t>
      </w:r>
      <w:r w:rsidR="00285EFE" w:rsidRPr="00190CC2">
        <w:t>size d</w:t>
      </w:r>
      <w:r w:rsidRPr="00190CC2">
        <w:t xml:space="preserve">etermination: The assumptions used in the determination of sample size for the primary endpoint of survival are as follows: 540 deaths are required to detect an overall hazard ratio of 0.744 between the two </w:t>
      </w:r>
      <w:r w:rsidR="003E53D0">
        <w:t>random</w:t>
      </w:r>
      <w:r w:rsidR="001A330A">
        <w:t>ise</w:t>
      </w:r>
      <w:r w:rsidR="003E53D0">
        <w:t xml:space="preserve">d arms using a two sided, log rank test with an experiment </w:t>
      </w:r>
      <w:r w:rsidRPr="00190CC2">
        <w:t>wise type I error rate of 0.05 with at least 90% power. The sample size is base</w:t>
      </w:r>
      <w:r w:rsidR="003E53D0">
        <w:t xml:space="preserve">d upon a simulation using piece </w:t>
      </w:r>
      <w:r w:rsidRPr="00190CC2">
        <w:t xml:space="preserve">wise hazard ratio survival estimates of 1.0 for less than or equal to 8 months and 0.56 for greater than 8 months for the 10 mg/kg versus 3 mg/kg treatment comparison. From this simulation the median survival time for the 10 mg/kg and 3 mg/kg groups are 15.2 and 12 months, </w:t>
      </w:r>
      <w:r w:rsidR="003E53D0">
        <w:t xml:space="preserve">respectively. The estimated 2 </w:t>
      </w:r>
      <w:r w:rsidRPr="00190CC2">
        <w:t>year survival rates obtained from this simulation are 38% and 25% for the 10 mg/kg and 3 mg/kg random</w:t>
      </w:r>
      <w:r w:rsidR="001A330A">
        <w:t>ise</w:t>
      </w:r>
      <w:r w:rsidRPr="00190CC2">
        <w:t>d groups, respectively. Based upon this simulation, the overall hazard ratio to be minimally statistically significant is 0.84. Assuming that the accrual for 700 subjects random</w:t>
      </w:r>
      <w:r w:rsidR="001A330A">
        <w:t>ise</w:t>
      </w:r>
      <w:r w:rsidRPr="00190CC2">
        <w:t>d (350 per treatment arm) will take at least 22 months, the study is expected to attain 540 deaths approximately 44 months after the first subject is random</w:t>
      </w:r>
      <w:r w:rsidR="001A330A">
        <w:t>ise</w:t>
      </w:r>
      <w:r w:rsidRPr="00190CC2">
        <w:t>d. However, the actual time of the study completion will be event driven.</w:t>
      </w:r>
    </w:p>
    <w:p w:rsidR="00190CC2" w:rsidRPr="00190CC2" w:rsidRDefault="00190CC2" w:rsidP="00190CC2">
      <w:r w:rsidRPr="00190CC2">
        <w:t xml:space="preserve">The study conduct will be overseen by a </w:t>
      </w:r>
      <w:r w:rsidR="00285EFE" w:rsidRPr="00190CC2">
        <w:t xml:space="preserve">data monitoring committee </w:t>
      </w:r>
      <w:r w:rsidRPr="00190CC2">
        <w:t xml:space="preserve">(DMC). </w:t>
      </w:r>
      <w:r w:rsidR="003E53D0">
        <w:t xml:space="preserve">The incidence of high grade immune </w:t>
      </w:r>
      <w:r w:rsidRPr="00190CC2">
        <w:t>mediated adverse reactions (imAR) at the 3 mg/kg dose as observed in the pivotal study MDX010-20 is 15%. Assuming that 95% of random</w:t>
      </w:r>
      <w:r w:rsidR="001A330A">
        <w:t>ise</w:t>
      </w:r>
      <w:r w:rsidRPr="00190CC2">
        <w:t>d subjects are treated, a sample size of at least 330 treated subje</w:t>
      </w:r>
      <w:r w:rsidR="003E53D0">
        <w:t xml:space="preserve">cts per arm would provide a two </w:t>
      </w:r>
      <w:r w:rsidRPr="00190CC2">
        <w:t>sided exact 95% confidence interval (CI) of 11.5% to 19.5%, indicating a precision of at least +/-</w:t>
      </w:r>
      <w:r w:rsidRPr="00190CC2">
        <w:rPr>
          <w:rFonts w:hint="eastAsia"/>
        </w:rPr>
        <w:t xml:space="preserve"> </w:t>
      </w:r>
      <w:r w:rsidRPr="00190CC2">
        <w:t xml:space="preserve">4% to describe variations in this safety parameter. The maximum width of a </w:t>
      </w:r>
      <w:r w:rsidR="003E53D0">
        <w:t xml:space="preserve">two </w:t>
      </w:r>
      <w:r w:rsidRPr="00190CC2">
        <w:t>sided exact 95% CI is +/-</w:t>
      </w:r>
      <w:r w:rsidRPr="00190CC2">
        <w:rPr>
          <w:rFonts w:hint="eastAsia"/>
        </w:rPr>
        <w:t xml:space="preserve"> </w:t>
      </w:r>
      <w:r w:rsidRPr="00190CC2">
        <w:t>5.5%.</w:t>
      </w:r>
    </w:p>
    <w:p w:rsidR="003E53D0" w:rsidRDefault="00190CC2" w:rsidP="00285EFE">
      <w:pPr>
        <w:pStyle w:val="Heading5"/>
      </w:pPr>
      <w:r w:rsidRPr="00190CC2">
        <w:t xml:space="preserve">Populations for </w:t>
      </w:r>
      <w:r w:rsidR="002F3779">
        <w:t>a</w:t>
      </w:r>
      <w:r w:rsidRPr="00190CC2">
        <w:t>nalyses</w:t>
      </w:r>
    </w:p>
    <w:p w:rsidR="00190CC2" w:rsidRPr="00190CC2" w:rsidRDefault="00285EFE" w:rsidP="00190CC2">
      <w:r>
        <w:t>Intent-to-Treat Population: i</w:t>
      </w:r>
      <w:r w:rsidR="00190CC2" w:rsidRPr="00190CC2">
        <w:t>ncludes all subjects in the study who are random</w:t>
      </w:r>
      <w:r w:rsidR="001A330A">
        <w:t>ise</w:t>
      </w:r>
      <w:r w:rsidR="00190CC2" w:rsidRPr="00190CC2">
        <w:t>d to either treatment group. This is the primary population for the efficacy analyses.</w:t>
      </w:r>
    </w:p>
    <w:p w:rsidR="00190CC2" w:rsidRPr="00190CC2" w:rsidRDefault="00285EFE" w:rsidP="00190CC2">
      <w:r>
        <w:t>Safety Population: i</w:t>
      </w:r>
      <w:r w:rsidR="00190CC2" w:rsidRPr="00190CC2">
        <w:t>ncludes all subjects in the study who receive at least one dose of ipilimumab. This is the primary population for safety analyses.</w:t>
      </w:r>
    </w:p>
    <w:p w:rsidR="003E53D0" w:rsidRDefault="00190CC2" w:rsidP="00414157">
      <w:pPr>
        <w:pStyle w:val="Heading5"/>
      </w:pPr>
      <w:r w:rsidRPr="00190CC2">
        <w:t xml:space="preserve">Statistical </w:t>
      </w:r>
      <w:r w:rsidR="00285EFE" w:rsidRPr="00190CC2">
        <w:t>approach/assumptions</w:t>
      </w:r>
    </w:p>
    <w:p w:rsidR="003E53D0" w:rsidRDefault="00285FA1" w:rsidP="00190CC2">
      <w:r>
        <w:t xml:space="preserve">A log </w:t>
      </w:r>
      <w:r w:rsidR="00414157">
        <w:t>rank test, stratified by:</w:t>
      </w:r>
    </w:p>
    <w:p w:rsidR="003E53D0" w:rsidRDefault="00190CC2" w:rsidP="00285FA1">
      <w:pPr>
        <w:pStyle w:val="Numberbullet2"/>
      </w:pPr>
      <w:r w:rsidRPr="00190CC2">
        <w:t>M0+ M1a+M1b versus M1c without brain metastases ve</w:t>
      </w:r>
      <w:r w:rsidR="00285EFE">
        <w:t>rsus M1c with brain metastases</w:t>
      </w:r>
    </w:p>
    <w:p w:rsidR="003E53D0" w:rsidRDefault="00190CC2" w:rsidP="00285FA1">
      <w:pPr>
        <w:pStyle w:val="Numberbullet2"/>
      </w:pPr>
      <w:r w:rsidRPr="00190CC2">
        <w:t>prior treatment versus no prior tr</w:t>
      </w:r>
      <w:r w:rsidR="00285EFE">
        <w:t>eatment for metastatic melanoma</w:t>
      </w:r>
    </w:p>
    <w:p w:rsidR="003E53D0" w:rsidRDefault="00190CC2" w:rsidP="00285FA1">
      <w:pPr>
        <w:pStyle w:val="Numberbullet2"/>
      </w:pPr>
      <w:r w:rsidRPr="00190CC2">
        <w:t xml:space="preserve">ECOG PS 0 versus ECOG PS </w:t>
      </w:r>
      <w:proofErr w:type="gramStart"/>
      <w:r w:rsidRPr="00190CC2">
        <w:t>1,</w:t>
      </w:r>
      <w:proofErr w:type="gramEnd"/>
      <w:r w:rsidRPr="00190CC2">
        <w:t xml:space="preserve"> will be used to compare OS between ran</w:t>
      </w:r>
      <w:r w:rsidR="00285EFE">
        <w:t>dom</w:t>
      </w:r>
      <w:r w:rsidR="001A330A">
        <w:t>ise</w:t>
      </w:r>
      <w:r w:rsidR="00285EFE">
        <w:t>d arms at final analysis.</w:t>
      </w:r>
    </w:p>
    <w:p w:rsidR="00190CC2" w:rsidRPr="00190CC2" w:rsidRDefault="00190CC2" w:rsidP="00190CC2">
      <w:r w:rsidRPr="00190CC2">
        <w:t>The hazard ratio and its corresponding 95% confidence interval will be calculated using a stratified Cox proportional hazard model. Kaplan-Meier curves will be presented along with the median and two</w:t>
      </w:r>
      <w:r w:rsidR="00C22CAE">
        <w:t>-</w:t>
      </w:r>
      <w:r w:rsidRPr="00190CC2">
        <w:t>sided Brookmeyer-Crowley 95% confidence interval for median OS</w:t>
      </w:r>
      <w:r w:rsidR="00285EFE">
        <w:t xml:space="preserve"> for each random</w:t>
      </w:r>
      <w:r w:rsidR="001A330A">
        <w:t>ise</w:t>
      </w:r>
      <w:r w:rsidR="00285EFE">
        <w:t xml:space="preserve">d arm. The 1 year and 2 </w:t>
      </w:r>
      <w:r w:rsidRPr="00190CC2">
        <w:t>year survival rates will be based on Kaplan-Meier estimates along with their corresponding log-log 95% confidence intervals.</w:t>
      </w:r>
    </w:p>
    <w:p w:rsidR="00715342" w:rsidRDefault="00190CC2" w:rsidP="00190CC2">
      <w:r w:rsidRPr="00190CC2">
        <w:lastRenderedPageBreak/>
        <w:t xml:space="preserve">Secondary efficacy endpoints include PFS, Best overall response rate (BORR) and </w:t>
      </w:r>
      <w:r w:rsidR="00285EFE" w:rsidRPr="00190CC2">
        <w:t>disease control r</w:t>
      </w:r>
      <w:r w:rsidR="00285EFE">
        <w:t xml:space="preserve">ate (DCR) using mWHO and </w:t>
      </w:r>
      <w:r w:rsidR="00285FA1">
        <w:t>irRC</w:t>
      </w:r>
      <w:r w:rsidRPr="00190CC2">
        <w:t>. Similar analyses as performed for OS will be pe</w:t>
      </w:r>
      <w:r w:rsidR="00285FA1">
        <w:t xml:space="preserve">rformed for PFS (stratified log </w:t>
      </w:r>
      <w:r w:rsidRPr="00190CC2">
        <w:t>rank statistic, hazard ratio and its 95% CI, and Kaplan-Meier curves with median and 95% CI). Comparisons between treatment arms for BORR and DCR will be performed using Cochran Mantel Haenszel test statistics. A hierarchical testing procedure will be applied to efficacy endpoints outlined above so that an overall experimental type 1 error r</w:t>
      </w:r>
      <w:r w:rsidR="00715342">
        <w:t>ate of 0.05 will be maintained.</w:t>
      </w:r>
    </w:p>
    <w:p w:rsidR="00285EFE" w:rsidRDefault="00190CC2" w:rsidP="00715342">
      <w:pPr>
        <w:pStyle w:val="Numberbullet0"/>
        <w:numPr>
          <w:ilvl w:val="0"/>
          <w:numId w:val="33"/>
        </w:numPr>
      </w:pPr>
      <w:r w:rsidRPr="00190CC2">
        <w:t xml:space="preserve">If OS is statistically significant in </w:t>
      </w:r>
      <w:r w:rsidR="006431DD" w:rsidRPr="00190CC2">
        <w:t>favour</w:t>
      </w:r>
      <w:r w:rsidRPr="00190CC2">
        <w:t xml:space="preserve"> of 10 mg/kg then the comparison between </w:t>
      </w:r>
      <w:proofErr w:type="gramStart"/>
      <w:r w:rsidRPr="00190CC2">
        <w:t>treatment</w:t>
      </w:r>
      <w:proofErr w:type="gramEnd"/>
      <w:r w:rsidRPr="00190CC2">
        <w:t xml:space="preserve"> arms for PFS (by mWHO criteria) </w:t>
      </w:r>
      <w:r w:rsidR="006431DD">
        <w:t xml:space="preserve">will be conducted at a 0.05 two </w:t>
      </w:r>
      <w:r w:rsidRPr="00190CC2">
        <w:t>sided significa</w:t>
      </w:r>
      <w:r w:rsidR="00715342">
        <w:t>nce level.</w:t>
      </w:r>
    </w:p>
    <w:p w:rsidR="00285EFE" w:rsidRDefault="00190CC2" w:rsidP="00715342">
      <w:pPr>
        <w:pStyle w:val="Numberbullet0"/>
        <w:numPr>
          <w:ilvl w:val="0"/>
          <w:numId w:val="33"/>
        </w:numPr>
      </w:pPr>
      <w:r w:rsidRPr="00190CC2">
        <w:t xml:space="preserve">If PFS is statistically significant in </w:t>
      </w:r>
      <w:r w:rsidR="006431DD" w:rsidRPr="00190CC2">
        <w:t>favour</w:t>
      </w:r>
      <w:r w:rsidRPr="00190CC2">
        <w:t xml:space="preserve"> of 10 mg/kg then the comparison between </w:t>
      </w:r>
      <w:proofErr w:type="gramStart"/>
      <w:r w:rsidRPr="00190CC2">
        <w:t>treatment</w:t>
      </w:r>
      <w:proofErr w:type="gramEnd"/>
      <w:r w:rsidRPr="00190CC2">
        <w:t xml:space="preserve"> arms for BORR (by mWHO criteria) will be conducted at 0.0</w:t>
      </w:r>
      <w:r w:rsidR="00715342">
        <w:t>5 two sided significance level.</w:t>
      </w:r>
    </w:p>
    <w:p w:rsidR="00190CC2" w:rsidRDefault="00190CC2" w:rsidP="00190CC2">
      <w:pPr>
        <w:pStyle w:val="Numberbullet0"/>
        <w:numPr>
          <w:ilvl w:val="0"/>
          <w:numId w:val="33"/>
        </w:numPr>
      </w:pPr>
      <w:r w:rsidRPr="00190CC2">
        <w:t xml:space="preserve">If BORR is statistically significant in </w:t>
      </w:r>
      <w:r w:rsidR="006431DD" w:rsidRPr="00190CC2">
        <w:t>favour</w:t>
      </w:r>
      <w:r w:rsidRPr="00190CC2">
        <w:t xml:space="preserve"> of 10 mg/kg then the comparison between </w:t>
      </w:r>
      <w:proofErr w:type="gramStart"/>
      <w:r w:rsidRPr="00190CC2">
        <w:t>treatment</w:t>
      </w:r>
      <w:proofErr w:type="gramEnd"/>
      <w:r w:rsidRPr="00190CC2">
        <w:t xml:space="preserve"> arms for DCR (by mWHO criteria) </w:t>
      </w:r>
      <w:r w:rsidR="006431DD">
        <w:t xml:space="preserve">will be conducted at a 0.05 two </w:t>
      </w:r>
      <w:r w:rsidRPr="00190CC2">
        <w:t>sided significance level.”</w:t>
      </w:r>
    </w:p>
    <w:p w:rsidR="0016610F" w:rsidRDefault="0016610F" w:rsidP="00902DC2">
      <w:pPr>
        <w:pStyle w:val="Heading3"/>
      </w:pPr>
      <w:bookmarkStart w:id="302" w:name="_Toc475616237"/>
      <w:r>
        <w:t>Evaluator’s overall conclusions on clinical safety</w:t>
      </w:r>
      <w:bookmarkEnd w:id="296"/>
      <w:bookmarkEnd w:id="297"/>
      <w:bookmarkEnd w:id="298"/>
      <w:bookmarkEnd w:id="299"/>
      <w:bookmarkEnd w:id="302"/>
    </w:p>
    <w:p w:rsidR="0016610F" w:rsidRPr="0016610F" w:rsidRDefault="0016610F" w:rsidP="0016610F">
      <w:r w:rsidRPr="0016610F">
        <w:t xml:space="preserve">There were no pivotal trials submitted </w:t>
      </w:r>
      <w:r w:rsidR="00902DC2">
        <w:t>relevant to the proposed usage.</w:t>
      </w:r>
    </w:p>
    <w:p w:rsidR="0016610F" w:rsidRPr="0016610F" w:rsidRDefault="0016610F" w:rsidP="0016610F">
      <w:r w:rsidRPr="0016610F">
        <w:t>From data po</w:t>
      </w:r>
      <w:r w:rsidR="00715342">
        <w:t>oled from previously evaluated P</w:t>
      </w:r>
      <w:r w:rsidRPr="0016610F">
        <w:t xml:space="preserve">hase II studies, maximally 35 patients investigated may provide relevant safety data. However, from the </w:t>
      </w:r>
      <w:r w:rsidR="00BB7B81">
        <w:t>sponsor</w:t>
      </w:r>
      <w:r w:rsidRPr="0016610F">
        <w:t xml:space="preserve">’s presentation of data, safety information relevant to the population indicated in the proposed usage was not clear. The </w:t>
      </w:r>
      <w:r w:rsidR="00BB7B81">
        <w:t>sponsor</w:t>
      </w:r>
      <w:r w:rsidRPr="0016610F">
        <w:t xml:space="preserve"> </w:t>
      </w:r>
      <w:r w:rsidR="00715342">
        <w:t>was requested to address this.</w:t>
      </w:r>
    </w:p>
    <w:p w:rsidR="0016610F" w:rsidRPr="0016610F" w:rsidRDefault="0016610F" w:rsidP="0016610F">
      <w:r w:rsidRPr="0016610F">
        <w:t>Of the trials that are provided in the dossier, these provided limited relevant evidence for the proposed usage due to differences variously in the dose, regimen, or use in combination with chemotherapy, line of treatment as mentioned already. There are numerous issues regarding the sourc</w:t>
      </w:r>
      <w:r w:rsidR="00715342">
        <w:t>e data and subsequent analyses.</w:t>
      </w:r>
    </w:p>
    <w:p w:rsidR="0016610F" w:rsidRPr="00715342" w:rsidRDefault="0016610F" w:rsidP="00715342">
      <w:r w:rsidRPr="00715342">
        <w:t xml:space="preserve">Overall, there are uncertainties regarding the safety data </w:t>
      </w:r>
      <w:r w:rsidR="006431DD">
        <w:t>for all these studies regarding:</w:t>
      </w:r>
    </w:p>
    <w:p w:rsidR="0016610F" w:rsidRPr="0016610F" w:rsidRDefault="0016610F" w:rsidP="0016610F">
      <w:pPr>
        <w:pStyle w:val="Numberbullet0"/>
        <w:numPr>
          <w:ilvl w:val="0"/>
          <w:numId w:val="21"/>
        </w:numPr>
      </w:pPr>
      <w:r w:rsidRPr="0016610F">
        <w:t>The appropriate documentation of AEs</w:t>
      </w:r>
    </w:p>
    <w:p w:rsidR="0016610F" w:rsidRPr="0016610F" w:rsidRDefault="0016610F" w:rsidP="0016610F">
      <w:pPr>
        <w:pStyle w:val="Numberbullet0"/>
        <w:numPr>
          <w:ilvl w:val="0"/>
          <w:numId w:val="21"/>
        </w:numPr>
      </w:pPr>
      <w:r w:rsidRPr="0016610F">
        <w:t>The grading of AEs</w:t>
      </w:r>
    </w:p>
    <w:p w:rsidR="0016610F" w:rsidRPr="0016610F" w:rsidRDefault="0016610F" w:rsidP="0016610F">
      <w:pPr>
        <w:pStyle w:val="Numberbullet0"/>
        <w:numPr>
          <w:ilvl w:val="0"/>
          <w:numId w:val="21"/>
        </w:numPr>
      </w:pPr>
      <w:r w:rsidRPr="0016610F">
        <w:t>The allocation of causality for AEs</w:t>
      </w:r>
    </w:p>
    <w:p w:rsidR="0016610F" w:rsidRPr="0016610F" w:rsidRDefault="0016610F" w:rsidP="0016610F">
      <w:pPr>
        <w:pStyle w:val="Numberbullet0"/>
        <w:numPr>
          <w:ilvl w:val="0"/>
          <w:numId w:val="21"/>
        </w:numPr>
      </w:pPr>
      <w:r w:rsidRPr="0016610F">
        <w:t>The summarised data is limited due to the two previous points and the text does not comprehensively summarise clinically meaningful information</w:t>
      </w:r>
    </w:p>
    <w:p w:rsidR="00377E48" w:rsidRDefault="0016610F" w:rsidP="0016610F">
      <w:pPr>
        <w:pStyle w:val="Numberbullet0"/>
        <w:numPr>
          <w:ilvl w:val="0"/>
          <w:numId w:val="21"/>
        </w:numPr>
      </w:pPr>
      <w:r w:rsidRPr="0016610F">
        <w:t>The presentation of data appears to minimise the frequency of clinically meaningful safety data, through the use of MedDRA preferred terms which are highly specific (in comparison to considering higher level terms, collapsing terms or summarising the data in a clinically meaningful way)</w:t>
      </w:r>
    </w:p>
    <w:p w:rsidR="00715342" w:rsidRPr="00715342" w:rsidRDefault="00715342" w:rsidP="00715342">
      <w:pPr>
        <w:pStyle w:val="Numberbullet0"/>
      </w:pPr>
      <w:r w:rsidRPr="00715342">
        <w:t>Specific pertinent examples of deficiencies include the apparent incorrect documentation of Grade 5 events (representation on tables, reporting, and allocation of causality), GI perforations, GI toxicity in general, hepatotoxicity, and a case of G4 optic neuritis (CA184078).</w:t>
      </w:r>
    </w:p>
    <w:p w:rsidR="0016610F" w:rsidRPr="0016610F" w:rsidRDefault="0016610F" w:rsidP="0016610F">
      <w:r w:rsidRPr="0016610F">
        <w:t>As a result, evaluation of the safety of the drug within these trials was not possible.</w:t>
      </w:r>
    </w:p>
    <w:p w:rsidR="0016610F" w:rsidRPr="0016610F" w:rsidRDefault="0016610F" w:rsidP="0016610F">
      <w:r w:rsidRPr="0016610F">
        <w:t xml:space="preserve">Of pertinence, an EORTC </w:t>
      </w:r>
      <w:r w:rsidR="00715342">
        <w:t>Phase III</w:t>
      </w:r>
      <w:r w:rsidRPr="0016610F">
        <w:t xml:space="preserve"> trial recently presented at the annual American Society of Clinical Oncology investigating the benefit of adjuvant </w:t>
      </w:r>
      <w:r w:rsidR="00A60A6A">
        <w:t>ipilimumab</w:t>
      </w:r>
      <w:r w:rsidRPr="0016610F">
        <w:t xml:space="preserve"> 10</w:t>
      </w:r>
      <w:r>
        <w:t xml:space="preserve"> </w:t>
      </w:r>
      <w:r w:rsidRPr="0016610F">
        <w:t xml:space="preserve">mg/kg monotherapy in healthy patients with resected Stage III melanoma raises significant clinical concerns regarding the safety of the proposed usage. Of this healthy population investigated, within the study arm, </w:t>
      </w:r>
      <w:r w:rsidRPr="0016610F">
        <w:lastRenderedPageBreak/>
        <w:t>five study-related deaths</w:t>
      </w:r>
      <w:r>
        <w:t xml:space="preserve"> were observed, six study </w:t>
      </w:r>
      <w:r w:rsidRPr="0016610F">
        <w:t>related GI perforations were observed and the rate of imARs were generally numerically higher than those presented in the reports submitted with</w:t>
      </w:r>
      <w:r>
        <w:t>in the dossier.</w:t>
      </w:r>
    </w:p>
    <w:p w:rsidR="0016610F" w:rsidRPr="0016610F" w:rsidRDefault="0016610F" w:rsidP="0016610F">
      <w:r w:rsidRPr="0016610F">
        <w:t xml:space="preserve">In conclusion, due to the lack of randomised evidence relevant to the proposed usage and the uncertainties regarding the safety data of the submitted </w:t>
      </w:r>
      <w:r w:rsidR="00BB7B81">
        <w:t>‘</w:t>
      </w:r>
      <w:r w:rsidRPr="0016610F">
        <w:t>bridging</w:t>
      </w:r>
      <w:r w:rsidR="00BB7B81">
        <w:t>’</w:t>
      </w:r>
      <w:r w:rsidRPr="0016610F">
        <w:t xml:space="preserve"> studies, the </w:t>
      </w:r>
      <w:r w:rsidR="00BB7B81">
        <w:t>sponsor</w:t>
      </w:r>
      <w:r w:rsidRPr="0016610F">
        <w:t xml:space="preserve"> has not adequately demonstrated the safety of the drug for the application. A recent report raises significant clinical safety concerns for use of the drug in a healthy population.</w:t>
      </w:r>
    </w:p>
    <w:p w:rsidR="00C22678" w:rsidRDefault="00C22678" w:rsidP="00C22678">
      <w:pPr>
        <w:pStyle w:val="Heading2"/>
      </w:pPr>
      <w:bookmarkStart w:id="303" w:name="_Toc475616238"/>
      <w:r w:rsidRPr="00436B2E">
        <w:t>First round benefit-risk assessment</w:t>
      </w:r>
      <w:bookmarkEnd w:id="303"/>
    </w:p>
    <w:p w:rsidR="00436B2E" w:rsidRPr="00436B2E" w:rsidRDefault="00436B2E" w:rsidP="00436B2E">
      <w:pPr>
        <w:pStyle w:val="Heading3"/>
      </w:pPr>
      <w:bookmarkStart w:id="304" w:name="_Toc236802592"/>
      <w:bookmarkStart w:id="305" w:name="_Toc241374331"/>
      <w:bookmarkStart w:id="306" w:name="_Ref272160836"/>
      <w:bookmarkStart w:id="307" w:name="_Toc272414693"/>
      <w:bookmarkStart w:id="308" w:name="_Toc290846331"/>
      <w:bookmarkStart w:id="309" w:name="_Toc390676246"/>
      <w:bookmarkStart w:id="310" w:name="_Toc475616239"/>
      <w:r>
        <w:t>First round assessment of benefits</w:t>
      </w:r>
      <w:bookmarkEnd w:id="304"/>
      <w:bookmarkEnd w:id="305"/>
      <w:bookmarkEnd w:id="306"/>
      <w:bookmarkEnd w:id="307"/>
      <w:bookmarkEnd w:id="308"/>
      <w:bookmarkEnd w:id="309"/>
      <w:bookmarkEnd w:id="310"/>
    </w:p>
    <w:p w:rsidR="00436B2E" w:rsidRPr="00436B2E" w:rsidRDefault="00436B2E" w:rsidP="00436B2E">
      <w:r w:rsidRPr="00436B2E">
        <w:t xml:space="preserve">The benefits of </w:t>
      </w:r>
      <w:r w:rsidR="00A60A6A">
        <w:t>ipilimumab</w:t>
      </w:r>
      <w:r w:rsidRPr="00436B2E">
        <w:t xml:space="preserve"> 3mg/kg monotherapy in untreated patients with advanced melanoma include:</w:t>
      </w:r>
    </w:p>
    <w:p w:rsidR="00436B2E" w:rsidRPr="00436B2E" w:rsidRDefault="00436B2E" w:rsidP="00436B2E">
      <w:pPr>
        <w:pStyle w:val="ListBullet"/>
      </w:pPr>
      <w:r w:rsidRPr="00436B2E">
        <w:t>The evidence for efficacy for overall survival benefit at this dose in previously treated patients, as demonstrated in the previously evaluated study, MDX010-20. Some patients derive a durable long term survival benefit. However, with reference to the statistical principles of clinical trials guidelines, consideration should be made regarding the external validity of this study for the current application which seeks use in previously untreated patients and use as monotherapy without consideration of co-administration of gp100 or a maintenance phase.</w:t>
      </w:r>
    </w:p>
    <w:p w:rsidR="00436B2E" w:rsidRPr="00436B2E" w:rsidRDefault="00436B2E" w:rsidP="00436B2E">
      <w:pPr>
        <w:pStyle w:val="ListBullet"/>
      </w:pPr>
      <w:r w:rsidRPr="00436B2E">
        <w:t>The unmet need remains for effective treatment options with durable efficacy for this patient group.</w:t>
      </w:r>
    </w:p>
    <w:p w:rsidR="00436B2E" w:rsidRDefault="00436B2E" w:rsidP="00436B2E">
      <w:pPr>
        <w:pStyle w:val="Heading3"/>
      </w:pPr>
      <w:bookmarkStart w:id="311" w:name="_Toc236802596"/>
      <w:bookmarkStart w:id="312" w:name="_Toc241374334"/>
      <w:bookmarkStart w:id="313" w:name="_Ref272160964"/>
      <w:bookmarkStart w:id="314" w:name="_Toc272414694"/>
      <w:bookmarkStart w:id="315" w:name="_Toc290846332"/>
      <w:bookmarkStart w:id="316" w:name="_Toc390676247"/>
      <w:bookmarkStart w:id="317" w:name="_Toc475616240"/>
      <w:r>
        <w:t>First round assessment of risks</w:t>
      </w:r>
      <w:bookmarkEnd w:id="311"/>
      <w:bookmarkEnd w:id="312"/>
      <w:bookmarkEnd w:id="313"/>
      <w:bookmarkEnd w:id="314"/>
      <w:bookmarkEnd w:id="315"/>
      <w:bookmarkEnd w:id="316"/>
      <w:bookmarkEnd w:id="317"/>
    </w:p>
    <w:p w:rsidR="00436B2E" w:rsidRDefault="00436B2E" w:rsidP="00436B2E">
      <w:r>
        <w:t>The risks of the proposed usage could not be effectively evaluated due to:</w:t>
      </w:r>
    </w:p>
    <w:p w:rsidR="00436B2E" w:rsidRPr="00436B2E" w:rsidRDefault="00436B2E" w:rsidP="00C3447A">
      <w:pPr>
        <w:pStyle w:val="ListBullet"/>
        <w:numPr>
          <w:ilvl w:val="0"/>
          <w:numId w:val="0"/>
        </w:numPr>
        <w:ind w:left="360" w:hanging="360"/>
      </w:pPr>
      <w:r w:rsidRPr="00436B2E">
        <w:t>The limited evidence provided addressing the proposed usage in the relevant population</w:t>
      </w:r>
    </w:p>
    <w:p w:rsidR="00436B2E" w:rsidRPr="00436B2E" w:rsidRDefault="00436B2E" w:rsidP="00C3447A">
      <w:pPr>
        <w:pStyle w:val="ListBullet"/>
      </w:pPr>
      <w:r w:rsidRPr="00436B2E">
        <w:t>There is an absence of randomised data relevant to the population of interest for the current application</w:t>
      </w:r>
    </w:p>
    <w:p w:rsidR="00436B2E" w:rsidRPr="00436B2E" w:rsidRDefault="00436B2E" w:rsidP="00C3447A">
      <w:pPr>
        <w:pStyle w:val="ListBullet"/>
      </w:pPr>
      <w:r w:rsidRPr="00436B2E">
        <w:t>The number of patients included within this submission that are relevant to the current application varies between n</w:t>
      </w:r>
      <w:r>
        <w:t xml:space="preserve"> </w:t>
      </w:r>
      <w:r w:rsidRPr="00436B2E">
        <w:t>=</w:t>
      </w:r>
      <w:r>
        <w:t xml:space="preserve"> </w:t>
      </w:r>
      <w:r w:rsidRPr="00436B2E">
        <w:t>15 to n</w:t>
      </w:r>
      <w:r>
        <w:t xml:space="preserve"> </w:t>
      </w:r>
      <w:r w:rsidRPr="00436B2E">
        <w:t>=</w:t>
      </w:r>
      <w:r>
        <w:t xml:space="preserve"> 35.</w:t>
      </w:r>
    </w:p>
    <w:p w:rsidR="00436B2E" w:rsidRDefault="00BD57D4" w:rsidP="00BD57D4">
      <w:r>
        <w:t>The s</w:t>
      </w:r>
      <w:r w:rsidR="00436B2E" w:rsidRPr="00436B2E">
        <w:t xml:space="preserve">ponsor </w:t>
      </w:r>
      <w:r w:rsidR="00C3447A">
        <w:t>is</w:t>
      </w:r>
      <w:r w:rsidR="00436B2E" w:rsidRPr="00436B2E">
        <w:t xml:space="preserve"> requested to provide safety data for the previously untreated patients who were treated at the pro</w:t>
      </w:r>
      <w:r>
        <w:t>posed dose for evaluation (see questions for s</w:t>
      </w:r>
      <w:r w:rsidR="00436B2E" w:rsidRPr="00436B2E">
        <w:t>ponsor). Please note that the safety analysis for Study CA184024, while not directly relevant in establishing safety for the proposed usage as monotherapy at 3</w:t>
      </w:r>
      <w:r>
        <w:t xml:space="preserve"> </w:t>
      </w:r>
      <w:r w:rsidR="00436B2E" w:rsidRPr="00436B2E">
        <w:t>mg/kg dose, could not be completed with the data</w:t>
      </w:r>
      <w:r>
        <w:t xml:space="preserve"> presented by the s</w:t>
      </w:r>
      <w:r w:rsidR="00436B2E" w:rsidRPr="00436B2E">
        <w:t xml:space="preserve">ponsor. </w:t>
      </w:r>
      <w:r>
        <w:t>The s</w:t>
      </w:r>
      <w:r w:rsidR="00436B2E" w:rsidRPr="00436B2E">
        <w:t xml:space="preserve">ponsor </w:t>
      </w:r>
      <w:r w:rsidR="00C3447A">
        <w:t>i</w:t>
      </w:r>
      <w:r w:rsidR="00015668">
        <w:t>s</w:t>
      </w:r>
      <w:r w:rsidR="00436B2E" w:rsidRPr="00436B2E">
        <w:t xml:space="preserve"> requested to ad</w:t>
      </w:r>
      <w:r>
        <w:t>dress the issues raised in the questions to the s</w:t>
      </w:r>
      <w:r w:rsidR="00015668">
        <w:t>ponsor</w:t>
      </w:r>
      <w:r w:rsidR="00436B2E" w:rsidRPr="00436B2E">
        <w:t xml:space="preserve">). Please also note the significant safety issues highlighted in Section </w:t>
      </w:r>
      <w:r w:rsidR="00015668">
        <w:t>8.11 (relevant new data not submitted by sponsor).</w:t>
      </w:r>
    </w:p>
    <w:p w:rsidR="00BD57D4" w:rsidRDefault="00BD57D4" w:rsidP="00BD57D4">
      <w:pPr>
        <w:pStyle w:val="Heading3"/>
      </w:pPr>
      <w:bookmarkStart w:id="318" w:name="_Toc236802597"/>
      <w:bookmarkStart w:id="319" w:name="_Toc241374335"/>
      <w:bookmarkStart w:id="320" w:name="_Toc272414695"/>
      <w:bookmarkStart w:id="321" w:name="_Toc290846333"/>
      <w:bookmarkStart w:id="322" w:name="_Toc390676248"/>
      <w:bookmarkStart w:id="323" w:name="_Toc475616241"/>
      <w:r>
        <w:t>First round assessment of benefit-risk balance</w:t>
      </w:r>
      <w:bookmarkEnd w:id="318"/>
      <w:bookmarkEnd w:id="319"/>
      <w:bookmarkEnd w:id="320"/>
      <w:bookmarkEnd w:id="321"/>
      <w:bookmarkEnd w:id="322"/>
      <w:bookmarkEnd w:id="323"/>
    </w:p>
    <w:p w:rsidR="00BD57D4" w:rsidRDefault="00BD57D4" w:rsidP="00BD57D4">
      <w:r>
        <w:t>A benefit-risk balance is not currently able to be completed due to the aforementioned issues in the above.</w:t>
      </w:r>
    </w:p>
    <w:p w:rsidR="00C22678" w:rsidRDefault="00C22678" w:rsidP="00C22678">
      <w:pPr>
        <w:pStyle w:val="Heading2"/>
      </w:pPr>
      <w:bookmarkStart w:id="324" w:name="_Toc475616242"/>
      <w:r>
        <w:lastRenderedPageBreak/>
        <w:t>First round recommendation regarding authorisation</w:t>
      </w:r>
      <w:bookmarkEnd w:id="324"/>
    </w:p>
    <w:p w:rsidR="00BD57D4" w:rsidRPr="00BD57D4" w:rsidRDefault="00BD57D4" w:rsidP="00BD57D4">
      <w:r w:rsidRPr="00BD57D4">
        <w:t>No pivotal efficacy or safety data are suppled in support for the proposed indic</w:t>
      </w:r>
      <w:r w:rsidR="00C3447A">
        <w:t>ation. Of primary significance:</w:t>
      </w:r>
    </w:p>
    <w:p w:rsidR="00BD57D4" w:rsidRPr="00BD57D4" w:rsidRDefault="00BD57D4" w:rsidP="00BD57D4">
      <w:pPr>
        <w:pStyle w:val="ListBullet"/>
      </w:pPr>
      <w:r w:rsidRPr="00BD57D4">
        <w:t>Safety data provided for studies submitted with this application did not adequately demonstrate safety</w:t>
      </w:r>
    </w:p>
    <w:p w:rsidR="00BD57D4" w:rsidRPr="00BD57D4" w:rsidRDefault="00BD57D4" w:rsidP="00BD57D4">
      <w:pPr>
        <w:pStyle w:val="ListBullet"/>
      </w:pPr>
      <w:r w:rsidRPr="00BD57D4">
        <w:t xml:space="preserve">New data raises concern regarding the safety of the </w:t>
      </w:r>
      <w:r>
        <w:t>proposed usage</w:t>
      </w:r>
      <w:r w:rsidR="00015668">
        <w:t>.</w:t>
      </w:r>
    </w:p>
    <w:p w:rsidR="00BD57D4" w:rsidRPr="00BD57D4" w:rsidRDefault="00BD57D4" w:rsidP="00BD57D4">
      <w:r w:rsidRPr="00BD57D4">
        <w:t>Secondarily, the data provided relevant to the population of interest for the current application insufficiently addresses the statistical principles for clinical trials guidelin</w:t>
      </w:r>
      <w:r w:rsidR="00C3447A">
        <w:t>es due to the following reasons:</w:t>
      </w:r>
    </w:p>
    <w:p w:rsidR="00BD57D4" w:rsidRPr="00BD57D4" w:rsidRDefault="00BD57D4" w:rsidP="00BD57D4">
      <w:pPr>
        <w:pStyle w:val="ListBullet"/>
      </w:pPr>
      <w:r w:rsidRPr="00BD57D4">
        <w:t xml:space="preserve">Post hoc pooled efficacy data from heterogeneous studies maximally incorporated maximally 35 </w:t>
      </w:r>
      <w:r>
        <w:t>patients investigated in Phase II</w:t>
      </w:r>
      <w:r w:rsidRPr="00BD57D4">
        <w:t xml:space="preserve"> studies that are relevant to the current application. Subgroup analyses were not planned and have not been prospectively validated. </w:t>
      </w:r>
      <w:r>
        <w:t>(insufficient ‘study’</w:t>
      </w:r>
      <w:r w:rsidRPr="00BD57D4">
        <w:t xml:space="preserve"> size to address the proposed usage and limited external validity)</w:t>
      </w:r>
    </w:p>
    <w:p w:rsidR="00BD57D4" w:rsidRPr="00BD57D4" w:rsidRDefault="00BD57D4" w:rsidP="00BD57D4">
      <w:pPr>
        <w:pStyle w:val="ListBullet"/>
      </w:pPr>
      <w:r w:rsidRPr="00BD57D4">
        <w:t>Pooled pharmacological data from heterogeneous studies incorporated only 14 previously u</w:t>
      </w:r>
      <w:r>
        <w:t>ntreated patients administered i</w:t>
      </w:r>
      <w:r w:rsidRPr="00BD57D4">
        <w:t>pilimumab 3mg/kg monotherapy rele</w:t>
      </w:r>
      <w:r>
        <w:t>vant to the current application</w:t>
      </w:r>
    </w:p>
    <w:p w:rsidR="00BD57D4" w:rsidRPr="00BD57D4" w:rsidRDefault="00BD57D4" w:rsidP="00BD57D4">
      <w:pPr>
        <w:pStyle w:val="ListBullet"/>
      </w:pPr>
      <w:r w:rsidRPr="00BD57D4">
        <w:t>The external validity of data from trials utilising a different posology to the current application is limited</w:t>
      </w:r>
    </w:p>
    <w:p w:rsidR="00BD57D4" w:rsidRPr="00BD57D4" w:rsidRDefault="00BD57D4" w:rsidP="00BD57D4">
      <w:pPr>
        <w:pStyle w:val="ListBullet"/>
      </w:pPr>
      <w:r w:rsidRPr="00BD57D4">
        <w:t>The external validity of data from trials utilising combination therapy is limited in the context of the current application</w:t>
      </w:r>
      <w:r>
        <w:t xml:space="preserve"> for monotherapy</w:t>
      </w:r>
    </w:p>
    <w:p w:rsidR="00BD57D4" w:rsidRPr="00BD57D4" w:rsidRDefault="00BD57D4" w:rsidP="00BD57D4">
      <w:pPr>
        <w:pStyle w:val="ListBullet"/>
      </w:pPr>
      <w:r w:rsidRPr="00BD57D4">
        <w:t>The external validity of data from trials utilising a maintenance phase is limited in the context of the current application for monotherapy</w:t>
      </w:r>
    </w:p>
    <w:p w:rsidR="00BD57D4" w:rsidRPr="00BD57D4" w:rsidRDefault="00BD57D4" w:rsidP="00BD57D4">
      <w:pPr>
        <w:pStyle w:val="ListBullet"/>
      </w:pPr>
      <w:r w:rsidRPr="00BD57D4">
        <w:t>The external validity of data from trials investigating patient populations that differ to the current application is limited</w:t>
      </w:r>
    </w:p>
    <w:p w:rsidR="00BD57D4" w:rsidRPr="00BD57D4" w:rsidRDefault="00BD57D4" w:rsidP="00BD57D4">
      <w:pPr>
        <w:pStyle w:val="ListBullet"/>
      </w:pPr>
      <w:r w:rsidRPr="00BD57D4">
        <w:t>There was no randomised data presented relevant to the population of interest or the treatment schedule of interest</w:t>
      </w:r>
      <w:r w:rsidR="00C3447A">
        <w:t>.</w:t>
      </w:r>
    </w:p>
    <w:p w:rsidR="00BD57D4" w:rsidRDefault="00BD57D4" w:rsidP="00BD57D4">
      <w:r w:rsidRPr="00BD57D4">
        <w:t xml:space="preserve">As a result, the safety and the efficacy of the proposed usage have not been </w:t>
      </w:r>
      <w:r>
        <w:t>adequately demonstrated by the s</w:t>
      </w:r>
      <w:r w:rsidRPr="00BD57D4">
        <w:t xml:space="preserve">ponsor. </w:t>
      </w:r>
      <w:r>
        <w:t>The clinical evaluator’s</w:t>
      </w:r>
      <w:r w:rsidRPr="00BD57D4">
        <w:t xml:space="preserve"> recommendation is that the application is not au</w:t>
      </w:r>
      <w:r>
        <w:t>thorised.</w:t>
      </w:r>
    </w:p>
    <w:p w:rsidR="00BD57D4" w:rsidRPr="00BD57D4" w:rsidRDefault="00BD57D4" w:rsidP="00BD57D4">
      <w:r>
        <w:t xml:space="preserve">The clinical evaluator also raised issues with regard to the PI and CMI but </w:t>
      </w:r>
      <w:r w:rsidR="002060DA">
        <w:t>these are</w:t>
      </w:r>
      <w:r>
        <w:t xml:space="preserve"> beyond the scope of the AusPAR.</w:t>
      </w:r>
    </w:p>
    <w:p w:rsidR="00C22678" w:rsidRDefault="00C22678" w:rsidP="00C22678">
      <w:pPr>
        <w:pStyle w:val="Heading2"/>
      </w:pPr>
      <w:bookmarkStart w:id="325" w:name="_Toc475616243"/>
      <w:r>
        <w:t>Clinical questions</w:t>
      </w:r>
      <w:bookmarkEnd w:id="325"/>
    </w:p>
    <w:p w:rsidR="00C22678" w:rsidRDefault="00C618F7" w:rsidP="00C618F7">
      <w:pPr>
        <w:pStyle w:val="Heading3"/>
      </w:pPr>
      <w:bookmarkStart w:id="326" w:name="_Toc475616244"/>
      <w:r>
        <w:t>Pharmacokinetics</w:t>
      </w:r>
      <w:bookmarkEnd w:id="326"/>
    </w:p>
    <w:p w:rsidR="002060DA" w:rsidRPr="002060DA" w:rsidRDefault="002060DA" w:rsidP="002060DA">
      <w:r w:rsidRPr="002060DA">
        <w:t xml:space="preserve">With </w:t>
      </w:r>
      <w:r w:rsidR="00F13C63">
        <w:t>reference to the PopPK analysis</w:t>
      </w:r>
    </w:p>
    <w:p w:rsidR="002060DA" w:rsidRPr="002060DA" w:rsidRDefault="002060DA" w:rsidP="00FE2511">
      <w:pPr>
        <w:pStyle w:val="Numberbullet0"/>
        <w:numPr>
          <w:ilvl w:val="0"/>
          <w:numId w:val="19"/>
        </w:numPr>
      </w:pPr>
      <w:r w:rsidRPr="002060DA">
        <w:t xml:space="preserve">Could the </w:t>
      </w:r>
      <w:r w:rsidR="00BB7B81">
        <w:t>sponsor</w:t>
      </w:r>
      <w:r w:rsidRPr="002060DA">
        <w:t xml:space="preserve"> please explain their rationale for only examining ER-OS response with the dataset from CA184024, when the previous report included oth</w:t>
      </w:r>
      <w:r w:rsidR="00015668">
        <w:t>er studies?</w:t>
      </w:r>
    </w:p>
    <w:p w:rsidR="002060DA" w:rsidRPr="002060DA" w:rsidRDefault="002060DA" w:rsidP="00FE2511">
      <w:pPr>
        <w:pStyle w:val="Numberbullet0"/>
        <w:numPr>
          <w:ilvl w:val="0"/>
          <w:numId w:val="19"/>
        </w:numPr>
      </w:pPr>
      <w:r w:rsidRPr="002060DA">
        <w:t>Table 3.3.1.5B annotating samples included in the dataset, not</w:t>
      </w:r>
      <w:r w:rsidR="00605937">
        <w:t>e</w:t>
      </w:r>
      <w:r w:rsidRPr="002060DA">
        <w:t xml:space="preserve"> is made that approximately one third of samples (1</w:t>
      </w:r>
      <w:r w:rsidR="00605937">
        <w:t>,</w:t>
      </w:r>
      <w:r w:rsidRPr="002060DA">
        <w:t>188</w:t>
      </w:r>
      <w:r w:rsidR="005853BB">
        <w:t xml:space="preserve"> out of </w:t>
      </w:r>
      <w:r w:rsidRPr="002060DA">
        <w:t>4</w:t>
      </w:r>
      <w:r w:rsidR="00605937">
        <w:t>,</w:t>
      </w:r>
      <w:r w:rsidRPr="002060DA">
        <w:t>388) were excluded if below the limit of quantification, if quantifiable concentrations were detected pre-dose (not described further) or due to the mismatching of samples (not described further)</w:t>
      </w:r>
      <w:r w:rsidR="001F3382">
        <w:t xml:space="preserve">. </w:t>
      </w:r>
      <w:r w:rsidRPr="002060DA">
        <w:t xml:space="preserve">Furthermore it is noted that this includes 11% samples were excluded due to </w:t>
      </w:r>
      <w:r w:rsidR="00BB7B81">
        <w:t>‘</w:t>
      </w:r>
      <w:r w:rsidRPr="002060DA">
        <w:t>pre-dose samples</w:t>
      </w:r>
      <w:r w:rsidR="00BB7B81">
        <w:t>’</w:t>
      </w:r>
      <w:r w:rsidRPr="002060DA">
        <w:t xml:space="preserve"> separate to the listing of </w:t>
      </w:r>
      <w:r w:rsidR="00BB7B81">
        <w:t>‘</w:t>
      </w:r>
      <w:r w:rsidRPr="002060DA">
        <w:t>Day 1 pre-</w:t>
      </w:r>
      <w:r w:rsidRPr="002060DA">
        <w:lastRenderedPageBreak/>
        <w:t>dose samples</w:t>
      </w:r>
      <w:r w:rsidR="00BB7B81">
        <w:t>’</w:t>
      </w:r>
      <w:r w:rsidRPr="002060DA">
        <w:t xml:space="preserve">. Could the sponsor please clarify each category? For example, how many, and how high were the </w:t>
      </w:r>
      <w:r w:rsidR="00A60A6A">
        <w:t>ipilimumab</w:t>
      </w:r>
      <w:r w:rsidRPr="002060DA">
        <w:t xml:space="preserve"> levels detected pre-dosing? Why was a level detected prior to dosing? Can the </w:t>
      </w:r>
      <w:r w:rsidR="00BB7B81">
        <w:t>sponsor</w:t>
      </w:r>
      <w:r w:rsidRPr="002060DA">
        <w:t xml:space="preserve"> please explain and justify the exclusion of samples once dosing has commenced </w:t>
      </w:r>
      <w:r w:rsidR="00BB7B81">
        <w:t>‘</w:t>
      </w:r>
      <w:r>
        <w:t>Day 1 pre-dose samples</w:t>
      </w:r>
      <w:r w:rsidR="00BB7B81">
        <w:t>’</w:t>
      </w:r>
      <w:r>
        <w:t>?</w:t>
      </w:r>
    </w:p>
    <w:p w:rsidR="002060DA" w:rsidRPr="002060DA" w:rsidRDefault="002060DA" w:rsidP="00FE2511">
      <w:pPr>
        <w:pStyle w:val="Numberbullet0"/>
        <w:numPr>
          <w:ilvl w:val="0"/>
          <w:numId w:val="19"/>
        </w:numPr>
      </w:pPr>
      <w:r w:rsidRPr="002060DA">
        <w:t xml:space="preserve">For the covariate analysis, the number of covariates examined is </w:t>
      </w:r>
      <w:r w:rsidR="00605937">
        <w:t>smaller than those described</w:t>
      </w:r>
      <w:r w:rsidRPr="002060DA">
        <w:t xml:space="preserve">. These omitted variables include baseline BSA, ideal body weight, albumen, and race. Can the </w:t>
      </w:r>
      <w:r w:rsidR="00BB7B81">
        <w:t>sponsor</w:t>
      </w:r>
      <w:r w:rsidRPr="002060DA">
        <w:t xml:space="preserve"> please provide explanation for the omission of covariates</w:t>
      </w:r>
      <w:r>
        <w:t>?</w:t>
      </w:r>
    </w:p>
    <w:p w:rsidR="002060DA" w:rsidRPr="002060DA" w:rsidRDefault="002060DA" w:rsidP="00FE2511">
      <w:pPr>
        <w:pStyle w:val="Numberbullet0"/>
        <w:numPr>
          <w:ilvl w:val="0"/>
          <w:numId w:val="19"/>
        </w:numPr>
      </w:pPr>
      <w:r w:rsidRPr="002060DA">
        <w:t xml:space="preserve">With the generation of the base PK model </w:t>
      </w:r>
      <w:r w:rsidR="00BB7B81">
        <w:t>‘</w:t>
      </w:r>
      <w:r w:rsidRPr="002060DA">
        <w:t>There were some subjects who were had aberrant concentrations, and the inclusion of those concentrations</w:t>
      </w:r>
      <w:r w:rsidR="00BB7B81">
        <w:t>’</w:t>
      </w:r>
      <w:r w:rsidRPr="002060DA">
        <w:t xml:space="preserve"> prevented successful analysis (</w:t>
      </w:r>
      <w:r w:rsidR="00BB7B81">
        <w:t>‘</w:t>
      </w:r>
      <w:r w:rsidRPr="002060DA">
        <w:t>termination</w:t>
      </w:r>
      <w:r w:rsidR="00BB7B81">
        <w:t>’</w:t>
      </w:r>
      <w:r w:rsidRPr="002060DA">
        <w:t xml:space="preserve">?) of NONMEM and thus these samples were excluded. This is in addition to the 6 excluded samples described in the same paragraph. Could the </w:t>
      </w:r>
      <w:r w:rsidR="00BB7B81">
        <w:t>sponsor</w:t>
      </w:r>
      <w:r w:rsidRPr="002060DA">
        <w:t xml:space="preserve"> please provide more information on the </w:t>
      </w:r>
      <w:r w:rsidR="00BB7B81">
        <w:t>‘</w:t>
      </w:r>
      <w:r w:rsidRPr="002060DA">
        <w:t>aberrant</w:t>
      </w:r>
      <w:r w:rsidR="00BB7B81">
        <w:t>’</w:t>
      </w:r>
      <w:r w:rsidR="00015668">
        <w:t xml:space="preserve"> samples;</w:t>
      </w:r>
      <w:r w:rsidRPr="002060DA">
        <w:t xml:space="preserve"> how many were there? Why were these considered aberr</w:t>
      </w:r>
      <w:r w:rsidR="00015668">
        <w:t xml:space="preserve">ant (assay issue </w:t>
      </w:r>
      <w:r w:rsidR="00605937">
        <w:t>versus</w:t>
      </w:r>
      <w:r w:rsidR="00015668">
        <w:t xml:space="preserve"> outliers)?</w:t>
      </w:r>
    </w:p>
    <w:p w:rsidR="00C618F7" w:rsidRDefault="00C618F7" w:rsidP="00C618F7">
      <w:pPr>
        <w:pStyle w:val="Heading3"/>
      </w:pPr>
      <w:bookmarkStart w:id="327" w:name="_Toc475616245"/>
      <w:r>
        <w:t>Pharmacodynamics</w:t>
      </w:r>
      <w:bookmarkEnd w:id="327"/>
    </w:p>
    <w:p w:rsidR="00C618F7" w:rsidRPr="00586F98" w:rsidRDefault="002060DA" w:rsidP="00C618F7">
      <w:pPr>
        <w:rPr>
          <w:lang w:eastAsia="ja-JP"/>
        </w:rPr>
      </w:pPr>
      <w:r>
        <w:rPr>
          <w:lang w:eastAsia="ja-JP"/>
        </w:rPr>
        <w:t>No questions.</w:t>
      </w:r>
    </w:p>
    <w:p w:rsidR="00C618F7" w:rsidRDefault="00C618F7" w:rsidP="00C618F7">
      <w:pPr>
        <w:pStyle w:val="Heading3"/>
      </w:pPr>
      <w:bookmarkStart w:id="328" w:name="_Toc475616246"/>
      <w:r>
        <w:t>Efficacy</w:t>
      </w:r>
      <w:bookmarkEnd w:id="328"/>
    </w:p>
    <w:p w:rsidR="002060DA" w:rsidRDefault="002060DA" w:rsidP="00FE2511">
      <w:pPr>
        <w:pStyle w:val="Numberbullet0"/>
        <w:numPr>
          <w:ilvl w:val="0"/>
          <w:numId w:val="20"/>
        </w:numPr>
      </w:pPr>
      <w:r w:rsidRPr="002060DA">
        <w:t>For the pooled ef</w:t>
      </w:r>
      <w:r w:rsidR="00605937">
        <w:t xml:space="preserve">ficacy </w:t>
      </w:r>
      <w:r w:rsidR="00605937" w:rsidRPr="00B95A18">
        <w:t>analysis</w:t>
      </w:r>
      <w:r w:rsidRPr="00B95A18">
        <w:t xml:space="preserve"> Table </w:t>
      </w:r>
      <w:r w:rsidR="004572B9">
        <w:t>23</w:t>
      </w:r>
      <w:r w:rsidRPr="00B95A18">
        <w:t xml:space="preserve"> and the </w:t>
      </w:r>
      <w:r w:rsidR="00BB7B81" w:rsidRPr="00B95A18">
        <w:t>sponsor</w:t>
      </w:r>
      <w:r w:rsidRPr="00B95A18">
        <w:t xml:space="preserve">’s text are unclear regarding the total number of patients relevant to the proposed indication from MDX010-08. The study summary in Table </w:t>
      </w:r>
      <w:r w:rsidR="004572B9">
        <w:t>23</w:t>
      </w:r>
      <w:r w:rsidRPr="00B95A18">
        <w:t xml:space="preserve"> and text r</w:t>
      </w:r>
      <w:r w:rsidRPr="002060DA">
        <w:t>efer to these patients as previously treated. However, these patients are included under the pooled total number of previously untreated patients.</w:t>
      </w:r>
    </w:p>
    <w:p w:rsidR="002060DA" w:rsidRDefault="002060DA" w:rsidP="002060DA">
      <w:pPr>
        <w:ind w:left="397"/>
      </w:pPr>
      <w:r>
        <w:t xml:space="preserve">Of </w:t>
      </w:r>
      <w:r w:rsidR="00814B2E">
        <w:t>the total 35 patients indicated:</w:t>
      </w:r>
    </w:p>
    <w:p w:rsidR="002060DA" w:rsidRDefault="002060DA" w:rsidP="00814B2E">
      <w:pPr>
        <w:pStyle w:val="ListBullet2"/>
      </w:pPr>
      <w:r>
        <w:t xml:space="preserve">Can the </w:t>
      </w:r>
      <w:r w:rsidR="00BB7B81">
        <w:t>sponsor</w:t>
      </w:r>
      <w:r>
        <w:t xml:space="preserve"> please clarify how many patients from MDX010-08 were previously untreated (versus chemotherapy naïve as in</w:t>
      </w:r>
      <w:r w:rsidR="00015668">
        <w:t>dicated in the table and text)?</w:t>
      </w:r>
    </w:p>
    <w:p w:rsidR="002060DA" w:rsidRDefault="002060DA" w:rsidP="00814B2E">
      <w:pPr>
        <w:pStyle w:val="ListBullet2"/>
      </w:pPr>
      <w:r>
        <w:t xml:space="preserve">Can the </w:t>
      </w:r>
      <w:r w:rsidR="00BB7B81">
        <w:t>sponsor</w:t>
      </w:r>
      <w:r>
        <w:t xml:space="preserve"> clarify how many </w:t>
      </w:r>
      <w:r w:rsidRPr="00015668">
        <w:t xml:space="preserve">randomised </w:t>
      </w:r>
      <w:r>
        <w:t xml:space="preserve">patients received 3mg/kg </w:t>
      </w:r>
      <w:r w:rsidR="00A60A6A">
        <w:t>ipilimumab</w:t>
      </w:r>
      <w:r>
        <w:t xml:space="preserve"> monotherapy without any maintenance therapy?</w:t>
      </w:r>
    </w:p>
    <w:p w:rsidR="00605937" w:rsidRPr="00605937" w:rsidRDefault="002060DA" w:rsidP="00875F01">
      <w:pPr>
        <w:ind w:left="397"/>
      </w:pPr>
      <w:r>
        <w:t xml:space="preserve">Of this subsequent total of patients clarified by the previous questions, can the </w:t>
      </w:r>
      <w:r w:rsidR="00BB7B81">
        <w:t>sponsor</w:t>
      </w:r>
      <w:r>
        <w:t xml:space="preserve"> please provide the inter</w:t>
      </w:r>
      <w:r w:rsidR="00814B2E">
        <w:t xml:space="preserve">quartile range of median follow </w:t>
      </w:r>
      <w:r>
        <w:t>up, and clarify the OS survival rates obtained for this group relevant to the proposed indication?</w:t>
      </w:r>
    </w:p>
    <w:p w:rsidR="002060DA" w:rsidRDefault="002060DA" w:rsidP="002060DA">
      <w:pPr>
        <w:pStyle w:val="Numberbullet0"/>
      </w:pPr>
      <w:r>
        <w:t xml:space="preserve">For the pooled </w:t>
      </w:r>
      <w:r w:rsidRPr="00875F01">
        <w:t>efficacy analysis</w:t>
      </w:r>
      <w:r w:rsidRPr="00B95A18">
        <w:t xml:space="preserve">, Table </w:t>
      </w:r>
      <w:r w:rsidR="004572B9">
        <w:t>26</w:t>
      </w:r>
      <w:r w:rsidRPr="00B95A18">
        <w:t>, indicates</w:t>
      </w:r>
      <w:r>
        <w:t xml:space="preserve"> that within</w:t>
      </w:r>
      <w:r w:rsidRPr="00661EAE">
        <w:t xml:space="preserve"> the pooled previously untreated group there is a patient who was followed up for only 4.8 days, and in the pooled chemotherapy naïve group a patient followed up for 0.9 days. Can the </w:t>
      </w:r>
      <w:r w:rsidR="00BB7B81">
        <w:t>sponsor</w:t>
      </w:r>
      <w:r w:rsidRPr="00661EAE">
        <w:t xml:space="preserve"> please provide details of the patients</w:t>
      </w:r>
      <w:r>
        <w:t>’</w:t>
      </w:r>
      <w:r w:rsidRPr="00661EAE">
        <w:t xml:space="preserve"> performance status, the reason</w:t>
      </w:r>
      <w:r>
        <w:t>s</w:t>
      </w:r>
      <w:r w:rsidRPr="00661EAE">
        <w:t xml:space="preserve"> for the short duration of follow-up and confirmation that these patients met the eligibility criteria of the relevant study? Can the </w:t>
      </w:r>
      <w:r w:rsidR="00BB7B81">
        <w:t>sponsor</w:t>
      </w:r>
      <w:r w:rsidRPr="00661EAE">
        <w:t xml:space="preserve"> please provide the </w:t>
      </w:r>
      <w:r>
        <w:t>interquartile ranges</w:t>
      </w:r>
      <w:r w:rsidRPr="00661EAE">
        <w:t xml:space="preserve"> for the median follow-up</w:t>
      </w:r>
      <w:r>
        <w:t xml:space="preserve"> relevant to the table</w:t>
      </w:r>
      <w:r w:rsidRPr="00661EAE">
        <w:t>?</w:t>
      </w:r>
    </w:p>
    <w:p w:rsidR="00C618F7" w:rsidRPr="00586F98" w:rsidRDefault="002060DA" w:rsidP="00C618F7">
      <w:pPr>
        <w:pStyle w:val="Numberbullet0"/>
      </w:pPr>
      <w:r w:rsidRPr="00690A40">
        <w:t xml:space="preserve">Given the uncertainty of the differences in efficacy and safety issues between the 3mg/kg and 10mg/kg dosing schedule in previously untreated and previously treated patients, the </w:t>
      </w:r>
      <w:r w:rsidR="00BB7B81">
        <w:t>sponsor</w:t>
      </w:r>
      <w:r w:rsidRPr="00690A40">
        <w:t xml:space="preserve"> is requested to provide an interim summary of </w:t>
      </w:r>
      <w:r>
        <w:t>efficacy</w:t>
      </w:r>
      <w:r w:rsidR="00015668">
        <w:t xml:space="preserve"> data for CA184169.</w:t>
      </w:r>
    </w:p>
    <w:p w:rsidR="00C618F7" w:rsidRDefault="00C618F7" w:rsidP="00C618F7">
      <w:pPr>
        <w:pStyle w:val="Heading3"/>
      </w:pPr>
      <w:bookmarkStart w:id="329" w:name="_Toc475616247"/>
      <w:r>
        <w:t>Safety</w:t>
      </w:r>
      <w:bookmarkEnd w:id="329"/>
    </w:p>
    <w:p w:rsidR="006C6765" w:rsidRPr="006C6765" w:rsidRDefault="006C6765" w:rsidP="006C6765">
      <w:bookmarkStart w:id="330" w:name="_Toc390676262"/>
      <w:r w:rsidRPr="006C6765">
        <w:t>Queries regarding safety data relevant to the proposed usage</w:t>
      </w:r>
      <w:bookmarkEnd w:id="330"/>
    </w:p>
    <w:p w:rsidR="006C6765" w:rsidRPr="006C6765" w:rsidRDefault="006C6765" w:rsidP="006C6765">
      <w:r w:rsidRPr="006C6765">
        <w:t>There were maximally 35 patients from pool</w:t>
      </w:r>
      <w:r w:rsidR="00415CA2">
        <w:t>ed P</w:t>
      </w:r>
      <w:r w:rsidRPr="006C6765">
        <w:t>hase II studies previously submitted that provide safety data r</w:t>
      </w:r>
      <w:r w:rsidR="00415CA2">
        <w:t>elevant for the proposed usage.</w:t>
      </w:r>
    </w:p>
    <w:p w:rsidR="006C6765" w:rsidRPr="006C6765" w:rsidRDefault="006C6765" w:rsidP="00415CA2">
      <w:pPr>
        <w:pStyle w:val="Numberbullet0"/>
        <w:numPr>
          <w:ilvl w:val="0"/>
          <w:numId w:val="34"/>
        </w:numPr>
      </w:pPr>
      <w:r w:rsidRPr="006C6765">
        <w:lastRenderedPageBreak/>
        <w:t>For the pooled safety data</w:t>
      </w:r>
      <w:r w:rsidRPr="00875F01">
        <w:t>, a</w:t>
      </w:r>
      <w:r w:rsidRPr="006C6765">
        <w:t xml:space="preserve">s outlined in the </w:t>
      </w:r>
      <w:r w:rsidR="00875F01" w:rsidRPr="006C6765">
        <w:t xml:space="preserve">questions to the </w:t>
      </w:r>
      <w:r w:rsidR="00875F01">
        <w:t>sponsor</w:t>
      </w:r>
      <w:r w:rsidR="00875F01" w:rsidRPr="006C6765">
        <w:t xml:space="preserve"> regarding efficacy</w:t>
      </w:r>
      <w:r w:rsidR="00875F01">
        <w:t xml:space="preserve"> (above)</w:t>
      </w:r>
      <w:r w:rsidRPr="006C6765">
        <w:t>, it is unclear how many patients presented within the pooled analyses are relevant to the proposed usage. Of the patients clarified by</w:t>
      </w:r>
      <w:r w:rsidR="00875F01">
        <w:t xml:space="preserve"> Efficacy</w:t>
      </w:r>
      <w:r w:rsidRPr="006C6765">
        <w:t xml:space="preserve"> question</w:t>
      </w:r>
      <w:r w:rsidR="00875F01">
        <w:t xml:space="preserve"> </w:t>
      </w:r>
      <w:r w:rsidR="00875F01" w:rsidRPr="00875F01">
        <w:t>1</w:t>
      </w:r>
      <w:r w:rsidRPr="00875F01">
        <w:t>, can</w:t>
      </w:r>
      <w:r w:rsidRPr="006C6765">
        <w:t xml:space="preserve"> the </w:t>
      </w:r>
      <w:r w:rsidR="00BB7B81">
        <w:t>sponsor</w:t>
      </w:r>
      <w:r w:rsidRPr="006C6765">
        <w:t xml:space="preserve"> provide the relevant safety data for these patients? The </w:t>
      </w:r>
      <w:r w:rsidR="00BB7B81">
        <w:t>sponsor</w:t>
      </w:r>
      <w:r w:rsidRPr="006C6765">
        <w:t xml:space="preserve"> is requested to represent in text and table the summary of all information as presented within the pooled safety analyses (from </w:t>
      </w:r>
      <w:r w:rsidR="00415CA2" w:rsidRPr="006C6765">
        <w:t>the clinical overview and summary of clinical safety</w:t>
      </w:r>
      <w:r w:rsidRPr="006C6765">
        <w:t>). In doing this, the following requests are made to permit evaluation:</w:t>
      </w:r>
    </w:p>
    <w:p w:rsidR="006C6765" w:rsidRPr="00415CA2" w:rsidRDefault="006C6765" w:rsidP="00415CA2">
      <w:pPr>
        <w:pStyle w:val="Numberbullet2"/>
      </w:pPr>
      <w:r w:rsidRPr="00415CA2">
        <w:t>Source data should be checked to ensure AEs are captured, grading is appropriate and allocation of causality is accurate. To facilitate review by the evaluator, please provide amendments of previously submitted data in a tracked copy and cleaned/untracked copy.</w:t>
      </w:r>
    </w:p>
    <w:p w:rsidR="006C6765" w:rsidRPr="00415CA2" w:rsidRDefault="006C6765" w:rsidP="00415CA2">
      <w:pPr>
        <w:pStyle w:val="Numberbullet2"/>
      </w:pPr>
      <w:r w:rsidRPr="00415CA2">
        <w:t xml:space="preserve">Safety data should be clearly presented and defined in a clinically meaningful way to avoid the underrepresentation of data as described </w:t>
      </w:r>
      <w:r w:rsidRPr="00875F01">
        <w:t xml:space="preserve">in </w:t>
      </w:r>
      <w:r w:rsidR="00875F01">
        <w:t>Section 8</w:t>
      </w:r>
      <w:r w:rsidRPr="00415CA2">
        <w:t>. Higher clinical terms should be collapsed in a meaningful way with each preferred term listed below. The method of analysis and collation of synonymous clinically re</w:t>
      </w:r>
      <w:r w:rsidR="00415CA2">
        <w:t>levant terms should be defined.</w:t>
      </w:r>
    </w:p>
    <w:p w:rsidR="006C6765" w:rsidRPr="006C6765" w:rsidRDefault="006C6765" w:rsidP="00415CA2">
      <w:pPr>
        <w:pStyle w:val="Numberbullet2"/>
      </w:pPr>
      <w:r w:rsidRPr="006C6765">
        <w:t xml:space="preserve">In addition, the </w:t>
      </w:r>
      <w:r w:rsidR="00BB7B81">
        <w:t>sponsor</w:t>
      </w:r>
      <w:r w:rsidRPr="006C6765">
        <w:t xml:space="preserve"> should summarise for these patients the number of episodes for all grades of AEs and imARs that required hospitalisation for investigation or management, the use of any systemic corticosteroid, infliximab use, other immunosuppressant use, surgical intervention, TPN or any other relevant medical intervention. Please summarise with sufficient detail</w:t>
      </w:r>
      <w:r w:rsidR="00415CA2">
        <w:t xml:space="preserve"> included for each subcategory.</w:t>
      </w:r>
    </w:p>
    <w:p w:rsidR="006C6765" w:rsidRDefault="006C6765" w:rsidP="00415CA2">
      <w:pPr>
        <w:pStyle w:val="Numberbullet0"/>
      </w:pPr>
      <w:r w:rsidRPr="006C6765">
        <w:t xml:space="preserve">Given the uncertainty of the differences in safety issues between the 3mg/kg and 10mg/kg dosing schedule in previously untreated and previously treated patients, the </w:t>
      </w:r>
      <w:r w:rsidR="00BB7B81">
        <w:t>sponsor</w:t>
      </w:r>
      <w:r w:rsidRPr="006C6765">
        <w:t xml:space="preserve"> is requested to provide an interim summa</w:t>
      </w:r>
      <w:r w:rsidR="00415CA2">
        <w:t>ry of safety data for CA184169.</w:t>
      </w:r>
    </w:p>
    <w:p w:rsidR="006C6765" w:rsidRPr="00875F01" w:rsidRDefault="006C6765" w:rsidP="00875F01">
      <w:pPr>
        <w:pStyle w:val="Numberbullet0"/>
      </w:pPr>
      <w:bookmarkStart w:id="331" w:name="_Toc390676263"/>
      <w:r w:rsidRPr="00875F01">
        <w:t>General queries regarding source data from studies evaluated that provide limited evidence for the proposed usage</w:t>
      </w:r>
      <w:bookmarkEnd w:id="331"/>
    </w:p>
    <w:p w:rsidR="006C6765" w:rsidRPr="00251F33" w:rsidRDefault="006C6765" w:rsidP="00875F01">
      <w:pPr>
        <w:ind w:left="357"/>
      </w:pPr>
      <w:r w:rsidRPr="00251F33">
        <w:t xml:space="preserve">The </w:t>
      </w:r>
      <w:r w:rsidR="00BB7B81">
        <w:t>sponsor</w:t>
      </w:r>
      <w:r w:rsidRPr="00251F33">
        <w:t xml:space="preserve"> has not provided safety data in a clinically meaningful manner that allowed the satisfactory assessment of the safety data for the studies submitted with this application.</w:t>
      </w:r>
      <w:r>
        <w:t xml:space="preserve"> These issues have been </w:t>
      </w:r>
      <w:r w:rsidRPr="00875F01">
        <w:t>discussed in Section 8.</w:t>
      </w:r>
    </w:p>
    <w:p w:rsidR="006C6765" w:rsidRDefault="006C6765" w:rsidP="00875F01">
      <w:pPr>
        <w:pStyle w:val="Numberbullet2"/>
      </w:pPr>
      <w:r>
        <w:t>When narratives of SAEs within the dossier have been reviewed, it appears that AEs described within the narrative are not consistently captured in the listings of AEs and imARs found at the beginning of the narrative. This includes both the gradi</w:t>
      </w:r>
      <w:r w:rsidR="00415CA2">
        <w:t>ng of AEs and the event itself.</w:t>
      </w:r>
    </w:p>
    <w:p w:rsidR="006C6765" w:rsidRDefault="006C6765" w:rsidP="00875F01">
      <w:pPr>
        <w:pStyle w:val="Numberbullet2"/>
      </w:pPr>
      <w:r>
        <w:t xml:space="preserve">Can the </w:t>
      </w:r>
      <w:r w:rsidR="00BB7B81">
        <w:t>sponsor</w:t>
      </w:r>
      <w:r>
        <w:t xml:space="preserve"> please clarify if these lists for AEs and imARs should comprehensively include what is described within the narrative? Are these the data sources that are used to generate summary tables and analyses? The inconsistency between these summary lists and the narrative has been observed for all submitted trials with narrativ</w:t>
      </w:r>
      <w:r w:rsidR="00415CA2">
        <w:t>es available.</w:t>
      </w:r>
    </w:p>
    <w:p w:rsidR="006C6765" w:rsidRDefault="006C6765" w:rsidP="00C018B9">
      <w:pPr>
        <w:ind w:left="851"/>
      </w:pPr>
      <w:r w:rsidRPr="00875F01">
        <w:t xml:space="preserve">Examples are given in </w:t>
      </w:r>
      <w:r w:rsidRPr="00C018B9">
        <w:t>Section 8</w:t>
      </w:r>
      <w:r w:rsidRPr="00875F01">
        <w:t xml:space="preserve"> according to study</w:t>
      </w:r>
      <w:r w:rsidR="00415CA2" w:rsidRPr="00875F01">
        <w:t xml:space="preserve"> and are also summarised below.</w:t>
      </w:r>
      <w:r w:rsidR="00C018B9">
        <w:t xml:space="preserve"> </w:t>
      </w:r>
      <w:r>
        <w:t xml:space="preserve">Please can the </w:t>
      </w:r>
      <w:r w:rsidR="00BB7B81">
        <w:t>sponsor</w:t>
      </w:r>
      <w:r>
        <w:t xml:space="preserve"> clarify if these lists at the beginning of each narrative are intended to capture and grade all events, and these lists are subsequently used for </w:t>
      </w:r>
      <w:r w:rsidR="005479FC">
        <w:t>analyses?</w:t>
      </w:r>
    </w:p>
    <w:p w:rsidR="006C6765" w:rsidRDefault="006C6765" w:rsidP="00875F01">
      <w:pPr>
        <w:pStyle w:val="Numberbullet2"/>
      </w:pPr>
      <w:r>
        <w:t xml:space="preserve">Can the </w:t>
      </w:r>
      <w:r w:rsidR="00BB7B81">
        <w:t>sponsor</w:t>
      </w:r>
      <w:r>
        <w:t xml:space="preserve"> please also indicate if Grade 5 events were captured on the SAE narrative, and if not, how were they collated/captured for all CSRs? Specifically, should the summary listing at the top of the narrative, capture a grade 5 event if the patient died? Can the </w:t>
      </w:r>
      <w:r w:rsidR="00BB7B81">
        <w:t>sponsor</w:t>
      </w:r>
      <w:r>
        <w:t xml:space="preserve"> explain how they ensured that deaths were uniformly and comprehensively captured?</w:t>
      </w:r>
    </w:p>
    <w:p w:rsidR="006C6765" w:rsidRDefault="006C6765" w:rsidP="00875F01">
      <w:pPr>
        <w:pStyle w:val="Numberbullet2"/>
      </w:pPr>
      <w:r>
        <w:lastRenderedPageBreak/>
        <w:t xml:space="preserve">Can the </w:t>
      </w:r>
      <w:r w:rsidR="00BB7B81">
        <w:t>sponsor</w:t>
      </w:r>
      <w:r w:rsidRPr="00CF6F5F">
        <w:t xml:space="preserve"> please clarify for the allocation of SAEs versus AEs, who identified these events and how were these events defined</w:t>
      </w:r>
      <w:r>
        <w:t xml:space="preserve"> </w:t>
      </w:r>
      <w:r w:rsidRPr="00920288">
        <w:t>(</w:t>
      </w:r>
      <w:r>
        <w:t>the criteria within the CSR does not explain this</w:t>
      </w:r>
      <w:r w:rsidRPr="00920288">
        <w:t>)</w:t>
      </w:r>
      <w:r w:rsidRPr="00CF6F5F">
        <w:t xml:space="preserve">? Was it according to investigator, sponsor, or CRF? Who judged if an event </w:t>
      </w:r>
      <w:r w:rsidR="00BB7B81">
        <w:t>‘</w:t>
      </w:r>
      <w:r w:rsidRPr="00CF6F5F">
        <w:t>may have jeopard</w:t>
      </w:r>
      <w:r w:rsidR="001A330A">
        <w:t>ise</w:t>
      </w:r>
      <w:r w:rsidRPr="00CF6F5F">
        <w:t>d the subject</w:t>
      </w:r>
      <w:r w:rsidR="00BB7B81">
        <w:t>’</w:t>
      </w:r>
      <w:r w:rsidRPr="00CF6F5F">
        <w:t xml:space="preserve">? What level of </w:t>
      </w:r>
      <w:r w:rsidR="00BB7B81">
        <w:t>‘</w:t>
      </w:r>
      <w:r w:rsidRPr="00CF6F5F">
        <w:t>medical</w:t>
      </w:r>
      <w:r w:rsidR="00BB7B81">
        <w:t>’</w:t>
      </w:r>
      <w:r w:rsidRPr="00CF6F5F">
        <w:t xml:space="preserve"> intervention warranted a SAE?</w:t>
      </w:r>
    </w:p>
    <w:p w:rsidR="00AD3FFD" w:rsidRDefault="006C6765" w:rsidP="00875F01">
      <w:pPr>
        <w:pStyle w:val="Numberbullet2"/>
      </w:pPr>
      <w:r>
        <w:t xml:space="preserve">Can the </w:t>
      </w:r>
      <w:r w:rsidR="00BB7B81">
        <w:t>sponsor</w:t>
      </w:r>
      <w:r>
        <w:t xml:space="preserve"> please provide or indicate where the</w:t>
      </w:r>
      <w:r w:rsidRPr="00CF6F5F">
        <w:t xml:space="preserve"> description of definitions, criteria and the background behind the allocation of imAR</w:t>
      </w:r>
      <w:r>
        <w:t>s</w:t>
      </w:r>
      <w:r w:rsidRPr="00CF6F5F">
        <w:t xml:space="preserve">, as developed by the </w:t>
      </w:r>
      <w:r w:rsidR="00BB7B81">
        <w:t>sponsor</w:t>
      </w:r>
      <w:r w:rsidR="00AD3FFD">
        <w:t xml:space="preserve"> and the FDA can be found?</w:t>
      </w:r>
    </w:p>
    <w:p w:rsidR="00AD3FFD" w:rsidRDefault="006C6765" w:rsidP="00875F01">
      <w:pPr>
        <w:pStyle w:val="Numberbullet2"/>
      </w:pPr>
      <w:r>
        <w:t xml:space="preserve">Could the </w:t>
      </w:r>
      <w:r w:rsidR="00BB7B81">
        <w:t>sponsor</w:t>
      </w:r>
      <w:r>
        <w:t xml:space="preserve"> please clarify or indicate where the definition for a </w:t>
      </w:r>
      <w:r w:rsidR="00BB7B81">
        <w:t>‘</w:t>
      </w:r>
      <w:r>
        <w:t>severe</w:t>
      </w:r>
      <w:r w:rsidR="00BB7B81">
        <w:t>’</w:t>
      </w:r>
      <w:r>
        <w:t xml:space="preserve"> versus </w:t>
      </w:r>
      <w:r w:rsidR="00BB7B81">
        <w:t>‘</w:t>
      </w:r>
      <w:r>
        <w:t>serious</w:t>
      </w:r>
      <w:r w:rsidR="00BB7B81">
        <w:t>’</w:t>
      </w:r>
      <w:r>
        <w:t xml:space="preserve"> AE is found? For example, in </w:t>
      </w:r>
      <w:r w:rsidR="00D354F6">
        <w:t xml:space="preserve">CSR </w:t>
      </w:r>
      <w:r>
        <w:t xml:space="preserve">CA184024, </w:t>
      </w:r>
      <w:r w:rsidRPr="00D354F6">
        <w:t xml:space="preserve">Table 8.1 </w:t>
      </w:r>
      <w:r w:rsidR="00BB7B81" w:rsidRPr="00D354F6">
        <w:t>‘</w:t>
      </w:r>
      <w:r w:rsidRPr="00D354F6">
        <w:t>Summary</w:t>
      </w:r>
      <w:r>
        <w:t xml:space="preserve"> of Safety – treated subjects</w:t>
      </w:r>
      <w:r w:rsidR="00BB7B81">
        <w:t>’</w:t>
      </w:r>
      <w:r>
        <w:t>, this table separately lists severe AEs as Gr 3/4 events, serious AEs, related AEs, AEs leading to d</w:t>
      </w:r>
      <w:r w:rsidR="00AD3FFD">
        <w:t>rug discontinuation, and death.</w:t>
      </w:r>
    </w:p>
    <w:p w:rsidR="006C6765" w:rsidRDefault="006C6765" w:rsidP="00875F01">
      <w:pPr>
        <w:pStyle w:val="Numberbullet2"/>
      </w:pPr>
      <w:r w:rsidRPr="00F74447">
        <w:t xml:space="preserve">Can the </w:t>
      </w:r>
      <w:r w:rsidR="00BB7B81">
        <w:t>sponsor</w:t>
      </w:r>
      <w:r w:rsidRPr="00F74447">
        <w:t xml:space="preserve"> please clarify if the document of cumulative line listings of serious events comprehensively captures the SAEs for the studies</w:t>
      </w:r>
      <w:r>
        <w:t xml:space="preserve"> within the dossier</w:t>
      </w:r>
      <w:r w:rsidRPr="00F74447">
        <w:t>? Does this include deaths? Cross referencing between a CSR and the cumulative line listing for AEs described within the body of the CSR was often not possible.</w:t>
      </w:r>
      <w:r>
        <w:t xml:space="preserve"> Can the </w:t>
      </w:r>
      <w:r w:rsidR="00BB7B81">
        <w:t>sponsor</w:t>
      </w:r>
      <w:r>
        <w:t xml:space="preserve"> also indicate where the key for abbreviation in this document is located?</w:t>
      </w:r>
    </w:p>
    <w:p w:rsidR="006C6765" w:rsidRPr="00D354F6" w:rsidRDefault="006C6765" w:rsidP="00D354F6">
      <w:pPr>
        <w:pStyle w:val="Numberbullet0"/>
      </w:pPr>
      <w:bookmarkStart w:id="332" w:name="_Toc390676264"/>
      <w:r w:rsidRPr="00D354F6">
        <w:t>Specific Questions regarding the data from studies evaluated that provide limited evidence for the proposed usage</w:t>
      </w:r>
      <w:bookmarkEnd w:id="332"/>
    </w:p>
    <w:p w:rsidR="006C6765" w:rsidRPr="00D354F6" w:rsidRDefault="006C6765" w:rsidP="006C6765">
      <w:pPr>
        <w:rPr>
          <w:i/>
        </w:rPr>
      </w:pPr>
      <w:r w:rsidRPr="00D354F6">
        <w:rPr>
          <w:i/>
        </w:rPr>
        <w:t xml:space="preserve">Patient deaths identified by the </w:t>
      </w:r>
      <w:r w:rsidR="00BB7B81" w:rsidRPr="00D354F6">
        <w:rPr>
          <w:i/>
        </w:rPr>
        <w:t>sponsor</w:t>
      </w:r>
    </w:p>
    <w:p w:rsidR="006C6765" w:rsidRPr="006C6765" w:rsidRDefault="006C6765" w:rsidP="00D354F6">
      <w:pPr>
        <w:pStyle w:val="Numberbullet2"/>
      </w:pPr>
      <w:r w:rsidRPr="006C6765">
        <w:t xml:space="preserve">Within </w:t>
      </w:r>
      <w:r w:rsidR="00D354F6" w:rsidRPr="00D354F6">
        <w:t>Section 8</w:t>
      </w:r>
      <w:r w:rsidRPr="00D354F6">
        <w:t>,</w:t>
      </w:r>
      <w:r w:rsidRPr="006C6765">
        <w:t xml:space="preserve"> clarification regarding the following death is requested;</w:t>
      </w:r>
    </w:p>
    <w:p w:rsidR="006C6765" w:rsidRPr="006C6765" w:rsidRDefault="006C6765" w:rsidP="00D354F6">
      <w:pPr>
        <w:ind w:left="851"/>
      </w:pPr>
      <w:r w:rsidRPr="006C6765">
        <w:t>For CA184024, patient CA184024-115-24072 death appears to be possibly related to the study drug given the ongoing presence of irAEs (colitis, rash, SIRs) that required ongoing systemic corticosteroids until the time of death, the development of the reported pneumonia whilst other irAEs (including SIRs) were still requiring treatment, the absence of an infective aetiology being proven, the diagnosis of SIRs being given as the reason for hospitalisation, the potential for pneumonia to be similar in presentation to SIRs, and ultimately the event of SIRs was graded as 5. Pneumonia wa</w:t>
      </w:r>
      <w:r w:rsidR="00AD3FFD">
        <w:t>s also listed with as grade 5.</w:t>
      </w:r>
    </w:p>
    <w:p w:rsidR="006C6765" w:rsidRPr="006C6765" w:rsidRDefault="006C6765" w:rsidP="00D354F6">
      <w:pPr>
        <w:ind w:left="851"/>
      </w:pPr>
      <w:r w:rsidRPr="006C6765">
        <w:t xml:space="preserve">As the event of SIRs was graded as a Gr 5 event, could the </w:t>
      </w:r>
      <w:r w:rsidR="00BB7B81">
        <w:t>sponsor</w:t>
      </w:r>
      <w:r w:rsidRPr="006C6765">
        <w:t xml:space="preserve"> please justify why this event was not regarded as a treatment related death and presen</w:t>
      </w:r>
      <w:r w:rsidR="00AD3FFD">
        <w:t>ted in summary tables as such?</w:t>
      </w:r>
    </w:p>
    <w:p w:rsidR="006C6765" w:rsidRPr="006C6765" w:rsidRDefault="006C6765" w:rsidP="00D354F6">
      <w:pPr>
        <w:ind w:left="851"/>
      </w:pPr>
      <w:r w:rsidRPr="006C6765">
        <w:t>Were deaths only presented according to how the investigator captured and annotated them? What if a grade 5 im</w:t>
      </w:r>
      <w:r w:rsidR="00AD3FFD">
        <w:t>AR was noted, as in this case?</w:t>
      </w:r>
    </w:p>
    <w:p w:rsidR="006C6765" w:rsidRPr="006C6765" w:rsidRDefault="00F67CC3" w:rsidP="00D354F6">
      <w:pPr>
        <w:pStyle w:val="Numberbullet2"/>
      </w:pPr>
      <w:r>
        <w:t>Within Section 8</w:t>
      </w:r>
      <w:r w:rsidR="006C6765" w:rsidRPr="006C6765">
        <w:t>, clarification regarding t</w:t>
      </w:r>
      <w:r>
        <w:t>he following death is requested.</w:t>
      </w:r>
    </w:p>
    <w:p w:rsidR="006C6765" w:rsidRPr="006C6765" w:rsidRDefault="00AD3FFD" w:rsidP="00F67CC3">
      <w:pPr>
        <w:ind w:left="851"/>
      </w:pPr>
      <w:r>
        <w:t xml:space="preserve">Study </w:t>
      </w:r>
      <w:r w:rsidR="00F67CC3">
        <w:t xml:space="preserve">CA184042: </w:t>
      </w:r>
      <w:r w:rsidR="006C6765" w:rsidRPr="006C6765">
        <w:t xml:space="preserve">The </w:t>
      </w:r>
      <w:r w:rsidR="00BB7B81">
        <w:t>sponsor</w:t>
      </w:r>
      <w:r w:rsidR="006C6765" w:rsidRPr="006C6765">
        <w:t xml:space="preserve"> writes </w:t>
      </w:r>
      <w:r w:rsidR="003362C2">
        <w:t>“</w:t>
      </w:r>
      <w:r w:rsidR="006C6765" w:rsidRPr="006C6765">
        <w:t>A total of 55 subjects di</w:t>
      </w:r>
      <w:r>
        <w:t xml:space="preserve">ed; 36 out of 51 corticosteroid </w:t>
      </w:r>
      <w:r w:rsidR="006C6765" w:rsidRPr="006C6765">
        <w:t xml:space="preserve">free subjects (70.6%) </w:t>
      </w:r>
      <w:r>
        <w:t xml:space="preserve">and 19 out of 21 corticosteroid </w:t>
      </w:r>
      <w:r w:rsidR="006C6765" w:rsidRPr="006C6765">
        <w:t xml:space="preserve">dependent subjects (90.5%). The majority died as a result of disease progression. </w:t>
      </w:r>
      <w:r w:rsidR="006C6765" w:rsidRPr="00D354F6">
        <w:t>One subject died due to drug toxicity (sepsis)</w:t>
      </w:r>
      <w:r w:rsidR="006C6765" w:rsidRPr="006C6765">
        <w:t xml:space="preserve">; one due to unknown cause (both in Arm A). As previously reported in the interim report, </w:t>
      </w:r>
      <w:r>
        <w:t xml:space="preserve">the cause of death for </w:t>
      </w:r>
      <w:r w:rsidR="006C6765" w:rsidRPr="006C6765">
        <w:t>Subject CA184042-</w:t>
      </w:r>
      <w:r>
        <w:t>[information redacted]</w:t>
      </w:r>
      <w:r w:rsidR="006C6765" w:rsidRPr="006C6765">
        <w:t xml:space="preserve"> was reported as PD by the investigator and is thus listed as PD in the clinical database, </w:t>
      </w:r>
      <w:r w:rsidR="007F08C8">
        <w:t xml:space="preserve">but </w:t>
      </w:r>
      <w:r w:rsidR="006C6765" w:rsidRPr="006C6765">
        <w:t xml:space="preserve">the internal BMS safety database shows the death as due to </w:t>
      </w:r>
      <w:r w:rsidR="006C6765" w:rsidRPr="00D354F6">
        <w:t>septic shock</w:t>
      </w:r>
      <w:r w:rsidR="003362C2">
        <w:t xml:space="preserve"> probably related to study drug.”</w:t>
      </w:r>
    </w:p>
    <w:p w:rsidR="006C6765" w:rsidRPr="006C6765" w:rsidRDefault="006C6765" w:rsidP="00F67CC3">
      <w:pPr>
        <w:ind w:left="851"/>
      </w:pPr>
      <w:r w:rsidRPr="006C6765">
        <w:t xml:space="preserve">Review of the narratives suggests that the patient whose death is annotated as due to </w:t>
      </w:r>
      <w:r w:rsidR="00BB7B81">
        <w:t>‘</w:t>
      </w:r>
      <w:r w:rsidRPr="006C6765">
        <w:t>septic shock</w:t>
      </w:r>
      <w:r w:rsidR="00BB7B81">
        <w:t>’</w:t>
      </w:r>
      <w:r w:rsidRPr="006C6765">
        <w:t xml:space="preserve">, died from possible/likely drug related colitis, gastrointestinal perforation/ischemia/gangrenous colon, likely precipitating the septic shock and subsequent patient death. These events were considered by the investigator probably related to study drug. Note is made that there is no Grade 5 AE listed for any of the </w:t>
      </w:r>
      <w:r w:rsidRPr="006C6765">
        <w:lastRenderedPageBreak/>
        <w:t xml:space="preserve">events – were deaths captured separately and can the </w:t>
      </w:r>
      <w:r w:rsidR="00BB7B81">
        <w:t>sponsor</w:t>
      </w:r>
      <w:r w:rsidRPr="006C6765">
        <w:t xml:space="preserve"> please explain this? Would it be more clinically accurate to indicate that this patient died due to possible/likely drug related colitis, gastrointestinal perforation/ ischemia/ gangrenous colon, likely precipitating the septic shock? The colitis, diarrhoea, and gastrointestinal perforation are not listed as AEs though are described within the SAE narrative. Could the </w:t>
      </w:r>
      <w:r w:rsidR="00BB7B81">
        <w:t>sponsor</w:t>
      </w:r>
      <w:r w:rsidRPr="006C6765">
        <w:t xml:space="preserve"> provide more e</w:t>
      </w:r>
      <w:r w:rsidR="00F67CC3">
        <w:t>xplanation for these omissions?</w:t>
      </w:r>
    </w:p>
    <w:p w:rsidR="006C6765" w:rsidRPr="006C6765" w:rsidRDefault="00F67CC3" w:rsidP="00F67CC3">
      <w:pPr>
        <w:pStyle w:val="Numberbullet2"/>
      </w:pPr>
      <w:r>
        <w:t>Within Section 8</w:t>
      </w:r>
      <w:r w:rsidR="006C6765" w:rsidRPr="006C6765">
        <w:t>, clarification regarding t</w:t>
      </w:r>
      <w:r>
        <w:t>he following death is requested.</w:t>
      </w:r>
    </w:p>
    <w:p w:rsidR="006C6765" w:rsidRPr="006C6765" w:rsidRDefault="00F67CC3" w:rsidP="00F67CC3">
      <w:pPr>
        <w:ind w:left="851"/>
      </w:pPr>
      <w:r>
        <w:t xml:space="preserve">Study </w:t>
      </w:r>
      <w:r w:rsidR="006C6765" w:rsidRPr="006C6765">
        <w:t>CA184042</w:t>
      </w:r>
      <w:r>
        <w:t xml:space="preserve">: </w:t>
      </w:r>
      <w:r w:rsidR="006C6765" w:rsidRPr="006C6765">
        <w:t xml:space="preserve">For the second death described in the text of the CSR as </w:t>
      </w:r>
      <w:r w:rsidR="00BB7B81">
        <w:t>‘</w:t>
      </w:r>
      <w:r w:rsidR="006C6765" w:rsidRPr="006C6765">
        <w:t>cause unknown</w:t>
      </w:r>
      <w:r w:rsidR="00BB7B81">
        <w:t>’</w:t>
      </w:r>
      <w:r w:rsidR="006C6765" w:rsidRPr="006C6765">
        <w:t xml:space="preserve">, there is a possibility of a drug related AE, given the concurrent presence of G3 diarrhoea at the time of death. However, the narrative is not clear. It describes the diarrhoea as a single episode that was considered </w:t>
      </w:r>
      <w:r w:rsidR="00BB7B81">
        <w:t>‘</w:t>
      </w:r>
      <w:r w:rsidR="006C6765" w:rsidRPr="006C6765">
        <w:t>resolved</w:t>
      </w:r>
      <w:r w:rsidR="00BB7B81">
        <w:t>’</w:t>
      </w:r>
      <w:r w:rsidR="006C6765" w:rsidRPr="006C6765">
        <w:t xml:space="preserve"> perhaps due to the patient’s death. Furthermore, </w:t>
      </w:r>
      <w:r w:rsidR="00BB7B81">
        <w:t>‘</w:t>
      </w:r>
      <w:r w:rsidR="006C6765" w:rsidRPr="006C6765">
        <w:t xml:space="preserve">Loss of </w:t>
      </w:r>
      <w:proofErr w:type="gramStart"/>
      <w:r w:rsidRPr="006C6765">
        <w:t>consciousness</w:t>
      </w:r>
      <w:r>
        <w:t>’</w:t>
      </w:r>
      <w:proofErr w:type="gramEnd"/>
      <w:r w:rsidR="006C6765" w:rsidRPr="006C6765">
        <w:t xml:space="preserve"> used to describe the cause of death, is unconventional and dif</w:t>
      </w:r>
      <w:r>
        <w:t>ficult to interpret clinically.</w:t>
      </w:r>
    </w:p>
    <w:p w:rsidR="006C6765" w:rsidRPr="006C6765" w:rsidRDefault="006C6765" w:rsidP="00F67CC3">
      <w:pPr>
        <w:ind w:left="851"/>
      </w:pPr>
      <w:r w:rsidRPr="006C6765">
        <w:t>What clinical event was thought to have caused the patient’s dea</w:t>
      </w:r>
      <w:r w:rsidR="00F67CC3">
        <w:t xml:space="preserve">th? </w:t>
      </w:r>
      <w:r w:rsidRPr="006C6765">
        <w:t xml:space="preserve">The events are additionally unclear given that the first event was considered </w:t>
      </w:r>
      <w:r w:rsidR="00BB7B81">
        <w:t>‘</w:t>
      </w:r>
      <w:r w:rsidRPr="006C6765">
        <w:t>unresolved</w:t>
      </w:r>
      <w:r w:rsidR="00BB7B81">
        <w:t>’</w:t>
      </w:r>
      <w:r w:rsidRPr="006C6765">
        <w:t xml:space="preserve"> at the time of the second event (?) ten days later, where the patient was found unconscious in a pool of diarrhoea on the floor. Was the patient known to be unc</w:t>
      </w:r>
      <w:r w:rsidR="00F67CC3">
        <w:t xml:space="preserve">onscious at home for ten days? </w:t>
      </w:r>
      <w:r w:rsidRPr="006C6765">
        <w:t>Wh</w:t>
      </w:r>
      <w:r w:rsidR="00F67CC3">
        <w:t>y are no grade 5 events listed?</w:t>
      </w:r>
    </w:p>
    <w:p w:rsidR="006C6765" w:rsidRPr="006C6765" w:rsidRDefault="006C6765" w:rsidP="00F67CC3">
      <w:pPr>
        <w:ind w:left="851"/>
      </w:pPr>
      <w:r w:rsidRPr="006C6765">
        <w:t xml:space="preserve">Could the </w:t>
      </w:r>
      <w:r w:rsidR="00BB7B81">
        <w:t>sponsor</w:t>
      </w:r>
      <w:r w:rsidRPr="006C6765">
        <w:t xml:space="preserve"> please provide </w:t>
      </w:r>
      <w:r w:rsidR="00F67CC3">
        <w:t>more information on the issues?</w:t>
      </w:r>
    </w:p>
    <w:p w:rsidR="006C6765" w:rsidRPr="006C6765" w:rsidRDefault="00F67CC3" w:rsidP="00F67CC3">
      <w:pPr>
        <w:pStyle w:val="Numberbullet2"/>
      </w:pPr>
      <w:r>
        <w:t>Within Section 8</w:t>
      </w:r>
      <w:r w:rsidR="006C6765" w:rsidRPr="006C6765">
        <w:t>, clarification regarding t</w:t>
      </w:r>
      <w:r>
        <w:t>he following death is requested.</w:t>
      </w:r>
    </w:p>
    <w:p w:rsidR="006C6765" w:rsidRPr="006C6765" w:rsidRDefault="00F67CC3" w:rsidP="00F67CC3">
      <w:pPr>
        <w:ind w:left="851"/>
      </w:pPr>
      <w:r>
        <w:t xml:space="preserve">Study CA184078: </w:t>
      </w:r>
      <w:r w:rsidR="006C6765" w:rsidRPr="006C6765">
        <w:t xml:space="preserve">The first death described is listed as due to disease progression in the provided narrative and not due to cardiac arrest as stated above. However, in Appendix 6.9 </w:t>
      </w:r>
      <w:r w:rsidR="00BB7B81">
        <w:t>‘</w:t>
      </w:r>
      <w:r w:rsidR="006C6765" w:rsidRPr="006C6765">
        <w:t>Listing of Deaths</w:t>
      </w:r>
      <w:r w:rsidR="00BB7B81">
        <w:t>’</w:t>
      </w:r>
      <w:r w:rsidR="006C6765" w:rsidRPr="006C6765">
        <w:t xml:space="preserve"> the subject is annotated as having a cardiac arrest two days post last study dose. There are also discrepancies between this Appendix and the narrative noted with some dates. Could the </w:t>
      </w:r>
      <w:r w:rsidR="00BB7B81">
        <w:t>sponsor</w:t>
      </w:r>
      <w:r w:rsidR="006C6765" w:rsidRPr="006C6765">
        <w:t xml:space="preserve"> please provide an explanation for these discrepancies and clarify the events?</w:t>
      </w:r>
    </w:p>
    <w:p w:rsidR="006C6765" w:rsidRPr="006C6765" w:rsidRDefault="00BB7B81" w:rsidP="00F67CC3">
      <w:pPr>
        <w:ind w:left="851"/>
      </w:pPr>
      <w:r>
        <w:t>‘</w:t>
      </w:r>
      <w:r w:rsidR="006C6765" w:rsidRPr="006C6765">
        <w:t xml:space="preserve">Patient Identifier: </w:t>
      </w:r>
      <w:r w:rsidR="00F67CC3">
        <w:t>[information redacted- patient X]</w:t>
      </w:r>
    </w:p>
    <w:p w:rsidR="006C6765" w:rsidRPr="006C6765" w:rsidRDefault="006C6765" w:rsidP="00F67CC3">
      <w:pPr>
        <w:ind w:left="851"/>
      </w:pPr>
      <w:r w:rsidRPr="006C6765">
        <w:t>Event:</w:t>
      </w:r>
    </w:p>
    <w:p w:rsidR="006C6765" w:rsidRPr="006C6765" w:rsidRDefault="006C6765" w:rsidP="00F67CC3">
      <w:pPr>
        <w:pStyle w:val="ListBullet"/>
        <w:ind w:left="1208" w:hanging="357"/>
      </w:pPr>
      <w:r w:rsidRPr="006C6765">
        <w:t>Hypersensitivity (Grade 3, Related, Day 22)</w:t>
      </w:r>
    </w:p>
    <w:p w:rsidR="006C6765" w:rsidRPr="006C6765" w:rsidRDefault="006C6765" w:rsidP="00F67CC3">
      <w:pPr>
        <w:pStyle w:val="ListBullet"/>
        <w:ind w:left="1208" w:hanging="357"/>
      </w:pPr>
      <w:r w:rsidRPr="006C6765">
        <w:t>Hypersensitivity (Grade 3, Related, Day 50)</w:t>
      </w:r>
    </w:p>
    <w:p w:rsidR="006C6765" w:rsidRPr="006C6765" w:rsidRDefault="006C6765" w:rsidP="00F67CC3">
      <w:pPr>
        <w:pStyle w:val="ListBullet"/>
        <w:ind w:left="1208" w:hanging="357"/>
      </w:pPr>
      <w:r w:rsidRPr="006C6765">
        <w:t>Atrial fibrillation (Grade 3, Not related, Day 59)</w:t>
      </w:r>
    </w:p>
    <w:p w:rsidR="006C6765" w:rsidRPr="006C6765" w:rsidRDefault="006C6765" w:rsidP="00F67CC3">
      <w:pPr>
        <w:pStyle w:val="ListBullet"/>
        <w:ind w:left="1208" w:hanging="357"/>
      </w:pPr>
      <w:r w:rsidRPr="006C6765">
        <w:t>Disease progression (Grade 5, Not related, Day 114)</w:t>
      </w:r>
    </w:p>
    <w:p w:rsidR="006C6765" w:rsidRPr="006C6765" w:rsidRDefault="006C6765" w:rsidP="00F67CC3">
      <w:pPr>
        <w:ind w:left="851"/>
      </w:pPr>
      <w:r w:rsidRPr="006C6765">
        <w:t xml:space="preserve">On Day 114, 50 days post 4th dose of </w:t>
      </w:r>
      <w:r w:rsidR="00A60A6A">
        <w:t>ipilimumab</w:t>
      </w:r>
      <w:r w:rsidRPr="006C6765">
        <w:t xml:space="preserve"> and 22 days post 5th dose of carboplatin and paclitaxel, the subject was noted with disease progression. The subject did not feel well and was unresponsive when the emergency medical technician (EMT) arrived. The subject was taken to a local hospital and was pronounced dead (Day 114) due to disease progression. The subject received the last dose of study therapy (</w:t>
      </w:r>
      <w:r w:rsidR="00A60A6A">
        <w:t>ipilimumab</w:t>
      </w:r>
      <w:r w:rsidRPr="006C6765">
        <w:t>) on Day 64, and the last doses of carboplatin and paclitaxel on</w:t>
      </w:r>
      <w:r w:rsidR="00F67CC3">
        <w:t xml:space="preserve"> Day</w:t>
      </w:r>
      <w:r w:rsidRPr="006C6765">
        <w:t xml:space="preserve"> 92.</w:t>
      </w:r>
      <w:r w:rsidR="00BB7B81">
        <w:t>’</w:t>
      </w:r>
    </w:p>
    <w:p w:rsidR="006C6765" w:rsidRPr="006C6765" w:rsidRDefault="006C6765" w:rsidP="00F67CC3">
      <w:pPr>
        <w:ind w:left="851"/>
      </w:pPr>
      <w:r w:rsidRPr="006C6765">
        <w:t>Appendix 6.9 lists;</w:t>
      </w:r>
    </w:p>
    <w:p w:rsidR="006C6765" w:rsidRPr="006C6765" w:rsidRDefault="00BB7B81" w:rsidP="00F67CC3">
      <w:pPr>
        <w:ind w:left="851"/>
      </w:pPr>
      <w:r>
        <w:t>‘</w:t>
      </w:r>
      <w:r w:rsidR="006C6765" w:rsidRPr="006C6765">
        <w:t>Subject: </w:t>
      </w:r>
      <w:r w:rsidR="00F67CC3">
        <w:t>[information redacted- patient X]</w:t>
      </w:r>
    </w:p>
    <w:p w:rsidR="006C6765" w:rsidRPr="006C6765" w:rsidRDefault="006C6765" w:rsidP="00F67CC3">
      <w:pPr>
        <w:ind w:left="851"/>
      </w:pPr>
      <w:r w:rsidRPr="006C6765">
        <w:t>First date dosing: 14</w:t>
      </w:r>
      <w:r w:rsidR="00F67CC3">
        <w:t xml:space="preserve"> April </w:t>
      </w:r>
      <w:r w:rsidRPr="006C6765">
        <w:t>20</w:t>
      </w:r>
      <w:r w:rsidR="00F67CC3">
        <w:t>xx</w:t>
      </w:r>
    </w:p>
    <w:p w:rsidR="006C6765" w:rsidRPr="006C6765" w:rsidRDefault="006C6765" w:rsidP="00F67CC3">
      <w:pPr>
        <w:ind w:left="851"/>
      </w:pPr>
      <w:r w:rsidRPr="006C6765">
        <w:t>Last date dosing: 04</w:t>
      </w:r>
      <w:r w:rsidR="00F67CC3">
        <w:t xml:space="preserve"> August </w:t>
      </w:r>
      <w:r w:rsidRPr="006C6765">
        <w:t>20</w:t>
      </w:r>
      <w:r w:rsidR="00F67CC3">
        <w:t>xx</w:t>
      </w:r>
    </w:p>
    <w:p w:rsidR="00712559" w:rsidRDefault="00F67CC3" w:rsidP="00F67CC3">
      <w:pPr>
        <w:ind w:left="851"/>
      </w:pPr>
      <w:r>
        <w:t xml:space="preserve">Death date: 05 </w:t>
      </w:r>
      <w:r w:rsidR="006C6765" w:rsidRPr="006C6765">
        <w:t>A</w:t>
      </w:r>
      <w:r>
        <w:t xml:space="preserve">ugust </w:t>
      </w:r>
      <w:r w:rsidR="006C6765" w:rsidRPr="006C6765">
        <w:t>20</w:t>
      </w:r>
      <w:r>
        <w:t>xx</w:t>
      </w:r>
    </w:p>
    <w:p w:rsidR="006C6765" w:rsidRPr="006C6765" w:rsidRDefault="006C6765" w:rsidP="00F67CC3">
      <w:pPr>
        <w:ind w:left="851"/>
      </w:pPr>
      <w:r w:rsidRPr="006C6765">
        <w:t>Number of days since last dose: 2</w:t>
      </w:r>
    </w:p>
    <w:p w:rsidR="006C6765" w:rsidRPr="006C6765" w:rsidRDefault="00F67CC3" w:rsidP="0048681A">
      <w:pPr>
        <w:ind w:left="851"/>
      </w:pPr>
      <w:r>
        <w:lastRenderedPageBreak/>
        <w:t xml:space="preserve">Primary cause of death: Other </w:t>
      </w:r>
      <w:r w:rsidR="006C6765" w:rsidRPr="006C6765">
        <w:t xml:space="preserve">Specify: </w:t>
      </w:r>
      <w:r w:rsidRPr="006C6765">
        <w:t>cardiac arrest</w:t>
      </w:r>
      <w:r w:rsidR="00BB7B81">
        <w:t>’</w:t>
      </w:r>
    </w:p>
    <w:p w:rsidR="006C6765" w:rsidRPr="006C6765" w:rsidRDefault="00F13C63" w:rsidP="0048681A">
      <w:pPr>
        <w:pStyle w:val="Numberbullet2"/>
      </w:pPr>
      <w:r>
        <w:t>Within Section 8</w:t>
      </w:r>
      <w:r w:rsidR="006C6765" w:rsidRPr="006C6765">
        <w:t>, clarification regarding t</w:t>
      </w:r>
      <w:r w:rsidR="0048681A">
        <w:t>he following death is requested.</w:t>
      </w:r>
    </w:p>
    <w:p w:rsidR="006C6765" w:rsidRPr="006C6765" w:rsidRDefault="0048681A" w:rsidP="0048681A">
      <w:pPr>
        <w:ind w:left="851"/>
      </w:pPr>
      <w:r>
        <w:t xml:space="preserve">Study </w:t>
      </w:r>
      <w:r w:rsidR="006C6765" w:rsidRPr="006C6765">
        <w:t>CA184078</w:t>
      </w:r>
      <w:r>
        <w:t xml:space="preserve">: </w:t>
      </w:r>
      <w:r w:rsidR="006C6765" w:rsidRPr="006C6765">
        <w:t xml:space="preserve">Subject </w:t>
      </w:r>
      <w:r>
        <w:t>[information redacted]</w:t>
      </w:r>
      <w:r w:rsidR="006C6765" w:rsidRPr="006C6765">
        <w:t xml:space="preserve"> had one day on study treatment and did not continue due to </w:t>
      </w:r>
      <w:r w:rsidR="00BB7B81">
        <w:t>‘</w:t>
      </w:r>
      <w:r w:rsidR="006C6765" w:rsidRPr="006C6765">
        <w:t>disease progression</w:t>
      </w:r>
      <w:r w:rsidR="00BB7B81">
        <w:t>’</w:t>
      </w:r>
      <w:r w:rsidR="006C6765" w:rsidRPr="006C6765">
        <w:t xml:space="preserve"> (after one day of treatment). The patient is listed to have died approximately 10 months after the study dose due to </w:t>
      </w:r>
      <w:r w:rsidR="00BB7B81">
        <w:t>‘</w:t>
      </w:r>
      <w:r w:rsidR="006C6765" w:rsidRPr="006C6765">
        <w:t>liver failure</w:t>
      </w:r>
      <w:r w:rsidR="00BB7B81">
        <w:t>’</w:t>
      </w:r>
      <w:r w:rsidR="006C6765" w:rsidRPr="006C6765">
        <w:t xml:space="preserve">. An explanation of why this patient was taken off study after one day was not provided. A description of events was not found in the </w:t>
      </w:r>
      <w:r w:rsidR="00BB7B81">
        <w:t>‘</w:t>
      </w:r>
      <w:r w:rsidR="006C6765" w:rsidRPr="006C6765">
        <w:t>cum-serious-line-listing</w:t>
      </w:r>
      <w:r w:rsidR="00BB7B81">
        <w:t>’</w:t>
      </w:r>
      <w:r w:rsidR="006C6765" w:rsidRPr="006C6765">
        <w:t xml:space="preserve"> report. Could more information please be provided to clarify why the patient was taken off study after one day of treatment?</w:t>
      </w:r>
    </w:p>
    <w:p w:rsidR="006C6765" w:rsidRPr="006C6765" w:rsidRDefault="006C6765" w:rsidP="0048681A">
      <w:pPr>
        <w:pStyle w:val="Numberbullet2"/>
      </w:pPr>
      <w:r w:rsidRPr="006C6765">
        <w:t>Wi</w:t>
      </w:r>
      <w:r w:rsidR="0048681A">
        <w:t>thin Section 8</w:t>
      </w:r>
      <w:r w:rsidRPr="006C6765">
        <w:t>, clarification regarding t</w:t>
      </w:r>
      <w:r w:rsidR="0048681A">
        <w:t>he following death is requested.</w:t>
      </w:r>
    </w:p>
    <w:p w:rsidR="006C6765" w:rsidRPr="006C6765" w:rsidRDefault="0048681A" w:rsidP="0048681A">
      <w:pPr>
        <w:ind w:left="851"/>
      </w:pPr>
      <w:r>
        <w:t xml:space="preserve">Study CA184078: </w:t>
      </w:r>
      <w:r w:rsidR="006C6765" w:rsidRPr="006C6765">
        <w:t xml:space="preserve">Patient Identifier: </w:t>
      </w:r>
      <w:r>
        <w:t xml:space="preserve">[information redacted]. </w:t>
      </w:r>
      <w:r w:rsidR="006C6765" w:rsidRPr="006C6765">
        <w:t xml:space="preserve">This patient death is suspicious for being possibly related to the study drug. The subject developed grade 3 diarrhoea that recurred with weaning of corticosteroids, leading to hospitalisation with ongoing Grade 2 diarrhoea with Grade 3 dehydration to </w:t>
      </w:r>
      <w:r w:rsidR="00BB7B81">
        <w:t>‘</w:t>
      </w:r>
      <w:r w:rsidR="006C6765" w:rsidRPr="006C6765">
        <w:t>rule out an ileus and perforation and to receive hydration</w:t>
      </w:r>
      <w:r w:rsidR="00BB7B81">
        <w:t>’</w:t>
      </w:r>
      <w:r w:rsidR="006C6765" w:rsidRPr="006C6765">
        <w:t xml:space="preserve">. The patient was eventually discharged to hospice care with anuric renal disease and </w:t>
      </w:r>
      <w:r w:rsidR="00BB7B81">
        <w:t>‘</w:t>
      </w:r>
      <w:r w:rsidR="006C6765" w:rsidRPr="006C6765">
        <w:t>metastatic melanoma</w:t>
      </w:r>
      <w:r w:rsidR="00BB7B81">
        <w:t>’</w:t>
      </w:r>
      <w:r w:rsidR="006C6765" w:rsidRPr="006C6765">
        <w:t xml:space="preserve"> but received haemodialysis for Gr4 renal failure 17 days following her discharge to hospice care. She died 7 days after receiving haemodialysis. Diarrhoea and dehydration were ongoing until the time of death. Whilst disease progression was a likely contributor, ongoing diarrhoea attributed to study therapy appears to have precipitated the renal failure which appears to have cont</w:t>
      </w:r>
      <w:r>
        <w:t>ributed to the patient’s death.</w:t>
      </w:r>
    </w:p>
    <w:p w:rsidR="006C6765" w:rsidRPr="006C6765" w:rsidRDefault="006C6765" w:rsidP="0048681A">
      <w:pPr>
        <w:ind w:left="851"/>
      </w:pPr>
      <w:r w:rsidRPr="006C6765">
        <w:t>What was the rationale for the patient receiving haemodialysis whilst in hospice care? Was it because the renal failure was thought to be reversible due to its relationship with the study drug? Was haemodialysis given due to the Physician’s opinion that the patient would not be terminal if the renal failure was reversible?</w:t>
      </w:r>
    </w:p>
    <w:p w:rsidR="006C6765" w:rsidRPr="0048681A" w:rsidRDefault="006C6765" w:rsidP="006C6765">
      <w:pPr>
        <w:rPr>
          <w:i/>
        </w:rPr>
      </w:pPr>
      <w:r w:rsidRPr="0048681A">
        <w:rPr>
          <w:i/>
        </w:rPr>
        <w:t xml:space="preserve">Selected pertinent safety queries </w:t>
      </w:r>
      <w:proofErr w:type="gramStart"/>
      <w:r w:rsidRPr="0048681A">
        <w:rPr>
          <w:i/>
        </w:rPr>
        <w:t>raised</w:t>
      </w:r>
      <w:proofErr w:type="gramEnd"/>
      <w:r w:rsidRPr="0048681A">
        <w:rPr>
          <w:i/>
        </w:rPr>
        <w:t xml:space="preserve"> th</w:t>
      </w:r>
      <w:r w:rsidR="0048681A">
        <w:rPr>
          <w:i/>
        </w:rPr>
        <w:t>rough the process of evaluation</w:t>
      </w:r>
    </w:p>
    <w:p w:rsidR="006C6765" w:rsidRPr="006C6765" w:rsidRDefault="00A76AF8" w:rsidP="006C6765">
      <w:r>
        <w:t xml:space="preserve">Study </w:t>
      </w:r>
      <w:r w:rsidR="006C6765" w:rsidRPr="006C6765">
        <w:t>CA184024</w:t>
      </w:r>
    </w:p>
    <w:p w:rsidR="006C6765" w:rsidRPr="006C6765" w:rsidRDefault="00311FB9" w:rsidP="00A76AF8">
      <w:pPr>
        <w:pStyle w:val="Numberbullet2"/>
        <w:numPr>
          <w:ilvl w:val="1"/>
          <w:numId w:val="37"/>
        </w:numPr>
      </w:pPr>
      <w:r>
        <w:t>Case 1; c</w:t>
      </w:r>
      <w:r w:rsidR="006C6765" w:rsidRPr="006C6765">
        <w:t>ausality of death not reported as study drug related when it appears to be possible.</w:t>
      </w:r>
    </w:p>
    <w:p w:rsidR="006C6765" w:rsidRPr="006C6765" w:rsidRDefault="006C6765" w:rsidP="00311FB9">
      <w:pPr>
        <w:ind w:left="851"/>
      </w:pPr>
      <w:proofErr w:type="gramStart"/>
      <w:r w:rsidRPr="006C6765">
        <w:t>CA184024</w:t>
      </w:r>
      <w:r w:rsidR="00311FB9">
        <w:t>[</w:t>
      </w:r>
      <w:proofErr w:type="gramEnd"/>
      <w:r w:rsidR="00311FB9">
        <w:t>information redacted]</w:t>
      </w:r>
      <w:r w:rsidRPr="006C6765">
        <w:t xml:space="preserve"> died within days of the first dose and causality was not attributed to the study drug, although it appears it may be related. The narrative describes G3 liver AEs on Day 2 as the only event preceding hospitalisation which could account for the sudden deterioration of the patient, as no other cause is identified. Given the rapid deterioration in LFTs within 1 day of dosing, possibility of study drug related d</w:t>
      </w:r>
      <w:r w:rsidR="00311FB9">
        <w:t xml:space="preserve">eath here is highly suspicious. </w:t>
      </w:r>
      <w:r w:rsidRPr="006C6765">
        <w:t xml:space="preserve">Can the </w:t>
      </w:r>
      <w:r w:rsidR="00BB7B81">
        <w:t>sponsor</w:t>
      </w:r>
      <w:r w:rsidRPr="006C6765">
        <w:t xml:space="preserve"> please clarify this?</w:t>
      </w:r>
    </w:p>
    <w:p w:rsidR="006C6765" w:rsidRPr="006C6765" w:rsidRDefault="006C6765" w:rsidP="00311FB9">
      <w:pPr>
        <w:ind w:left="851"/>
      </w:pPr>
      <w:r w:rsidRPr="006C6765">
        <w:t xml:space="preserve">The renal dysfunction, altered mental state, hyperkalaemia and elevated ammonia were not captured as AEs. Can the </w:t>
      </w:r>
      <w:r w:rsidR="00BB7B81">
        <w:t>sponsor</w:t>
      </w:r>
      <w:r w:rsidRPr="006C6765">
        <w:t xml:space="preserve"> please explain w</w:t>
      </w:r>
      <w:r w:rsidR="0048681A">
        <w:t>hy? Were these events captured?</w:t>
      </w:r>
    </w:p>
    <w:p w:rsidR="006C6765" w:rsidRPr="006C6765" w:rsidRDefault="00BB7B81" w:rsidP="00311FB9">
      <w:pPr>
        <w:ind w:left="851"/>
      </w:pPr>
      <w:r>
        <w:t>‘</w:t>
      </w:r>
      <w:r w:rsidR="006C6765" w:rsidRPr="006C6765">
        <w:t>General Medical History: Accidental shot right leg 1967, alcohol moderate use, smokes 20 cigarettes per week, nil other hepatotoxic meds.</w:t>
      </w:r>
    </w:p>
    <w:p w:rsidR="006C6765" w:rsidRPr="006C6765" w:rsidRDefault="006C6765" w:rsidP="00311FB9">
      <w:pPr>
        <w:ind w:left="851"/>
      </w:pPr>
      <w:proofErr w:type="gramStart"/>
      <w:r w:rsidRPr="006C6765">
        <w:t>ECOG PS 1.</w:t>
      </w:r>
      <w:proofErr w:type="gramEnd"/>
    </w:p>
    <w:p w:rsidR="006C6765" w:rsidRPr="006C6765" w:rsidRDefault="00311FB9" w:rsidP="00311FB9">
      <w:pPr>
        <w:ind w:left="851"/>
      </w:pPr>
      <w:r>
        <w:t xml:space="preserve">Event: </w:t>
      </w:r>
      <w:r w:rsidR="006C6765" w:rsidRPr="006C6765">
        <w:t>Disease progression (Grade 5, not likely related, Day 7)</w:t>
      </w:r>
    </w:p>
    <w:p w:rsidR="006C6765" w:rsidRPr="006C6765" w:rsidRDefault="00311FB9" w:rsidP="00311FB9">
      <w:pPr>
        <w:ind w:left="851"/>
      </w:pPr>
      <w:proofErr w:type="gramStart"/>
      <w:r>
        <w:t>imAR</w:t>
      </w:r>
      <w:proofErr w:type="gramEnd"/>
      <w:r>
        <w:t xml:space="preserve">: </w:t>
      </w:r>
      <w:r w:rsidR="006C6765" w:rsidRPr="006C6765">
        <w:t>Hepatitis (Earliest onset an</w:t>
      </w:r>
      <w:r w:rsidR="0048681A">
        <w:t>y Grade: Day 2, Worst Grade: 3)</w:t>
      </w:r>
    </w:p>
    <w:p w:rsidR="006C6765" w:rsidRPr="006C6765" w:rsidRDefault="00311FB9" w:rsidP="00311FB9">
      <w:pPr>
        <w:ind w:left="851"/>
      </w:pPr>
      <w:r>
        <w:t>A baseline spiral CT, Day -7</w:t>
      </w:r>
      <w:r w:rsidR="006C6765" w:rsidRPr="006C6765">
        <w:t>, showed multiple liver lesions.</w:t>
      </w:r>
    </w:p>
    <w:p w:rsidR="006C6765" w:rsidRPr="006C6765" w:rsidRDefault="006C6765" w:rsidP="00311FB9">
      <w:pPr>
        <w:ind w:left="851"/>
      </w:pPr>
      <w:r w:rsidRPr="006C6765">
        <w:t>On Day 2 of the study</w:t>
      </w:r>
      <w:r w:rsidR="00311FB9">
        <w:t>,</w:t>
      </w:r>
      <w:r w:rsidRPr="006C6765">
        <w:t xml:space="preserve"> laboratory results sho</w:t>
      </w:r>
      <w:r w:rsidR="00311FB9">
        <w:t xml:space="preserve">wed an adverse event of alanine </w:t>
      </w:r>
      <w:r w:rsidRPr="006C6765">
        <w:t>aminotransferase (ALT) increased (Grade 3) and aspartate aminotransfe</w:t>
      </w:r>
      <w:r w:rsidR="00311FB9">
        <w:t xml:space="preserve">rase (AST) </w:t>
      </w:r>
      <w:r w:rsidR="00311FB9">
        <w:lastRenderedPageBreak/>
        <w:t xml:space="preserve">increased (Grade 3). </w:t>
      </w:r>
      <w:r w:rsidRPr="006C6765">
        <w:t xml:space="preserve">On Day 7, 6 days post 1st </w:t>
      </w:r>
      <w:r w:rsidR="00311FB9">
        <w:t>dose of study therapy, the subject was hospitalized for c</w:t>
      </w:r>
      <w:r w:rsidRPr="006C6765">
        <w:t>onstitutional symptoms or deteriorating general condition. He developed worsening of symptoms after hospitalizatio</w:t>
      </w:r>
      <w:r w:rsidR="00311FB9">
        <w:t xml:space="preserve">n with an ECOG score of 3-4 and </w:t>
      </w:r>
      <w:r w:rsidRPr="006C6765">
        <w:t>increased liver e</w:t>
      </w:r>
      <w:r w:rsidR="00311FB9">
        <w:t xml:space="preserve">nzymes. A microbiology test was </w:t>
      </w:r>
      <w:r w:rsidRPr="006C6765">
        <w:t>performe</w:t>
      </w:r>
      <w:r w:rsidR="00311FB9">
        <w:t>d on the same day was negative.</w:t>
      </w:r>
    </w:p>
    <w:p w:rsidR="006C6765" w:rsidRPr="006C6765" w:rsidRDefault="00311FB9" w:rsidP="00311FB9">
      <w:pPr>
        <w:ind w:left="851"/>
      </w:pPr>
      <w:r>
        <w:t xml:space="preserve">His general condition deteriorated </w:t>
      </w:r>
      <w:r w:rsidR="006C6765" w:rsidRPr="006C6765">
        <w:t>while hospital</w:t>
      </w:r>
      <w:r w:rsidR="001A330A">
        <w:t>ise</w:t>
      </w:r>
      <w:r w:rsidR="006C6765" w:rsidRPr="006C6765">
        <w:t>d but appear</w:t>
      </w:r>
      <w:r>
        <w:t xml:space="preserve">ed to be stable after analgesic </w:t>
      </w:r>
      <w:r w:rsidR="006C6765" w:rsidRPr="006C6765">
        <w:t xml:space="preserve">adjustments. A slight fever was also noted. An elevated CRP (C-reactive </w:t>
      </w:r>
      <w:r>
        <w:t xml:space="preserve">protein) to 400 mg/L (normal </w:t>
      </w:r>
      <w:r w:rsidRPr="006C6765">
        <w:t>r</w:t>
      </w:r>
      <w:r>
        <w:t xml:space="preserve">ange 0 to </w:t>
      </w:r>
      <w:r w:rsidR="006C6765" w:rsidRPr="006C6765">
        <w:t xml:space="preserve">10 mg/L) was also seen with no growth in blood culture. </w:t>
      </w:r>
      <w:r w:rsidR="00D62BC0">
        <w:t xml:space="preserve">A chest X-ray showed right side </w:t>
      </w:r>
      <w:r w:rsidR="006C6765" w:rsidRPr="006C6765">
        <w:t>pleural fluid without any indications of definite pneumonia. F</w:t>
      </w:r>
      <w:r w:rsidR="00D62BC0">
        <w:t xml:space="preserve">urther, deterioration of kidney </w:t>
      </w:r>
      <w:r w:rsidR="006C6765" w:rsidRPr="006C6765">
        <w:t>fu</w:t>
      </w:r>
      <w:r w:rsidR="00D62BC0">
        <w:t>nction (creatinine level of 365 µ</w:t>
      </w:r>
      <w:r w:rsidR="006C6765" w:rsidRPr="006C6765">
        <w:t xml:space="preserve">mol/L; baseline: 83 </w:t>
      </w:r>
      <w:r w:rsidR="00D62BC0">
        <w:t>µ</w:t>
      </w:r>
      <w:r w:rsidR="006C6765" w:rsidRPr="006C6765">
        <w:t>mol/L), increased clouded menta</w:t>
      </w:r>
      <w:r w:rsidR="00D62BC0">
        <w:t xml:space="preserve">lity, hyperkalaemia (7.6 mmol/L; normal: 4.1 to </w:t>
      </w:r>
      <w:r w:rsidR="006C6765" w:rsidRPr="006C6765">
        <w:t>5 mmol/L, baseline: 4.6 mmol/L), and elevated ammonia (120 unit not available) were also rep</w:t>
      </w:r>
      <w:r w:rsidR="00D62BC0">
        <w:t xml:space="preserve">orted. He expired on Day 11 due to disease progression </w:t>
      </w:r>
      <w:r w:rsidR="006C6765" w:rsidRPr="006C6765">
        <w:t>lead</w:t>
      </w:r>
      <w:r w:rsidR="00D62BC0">
        <w:t xml:space="preserve">ing to multi organ failure. The </w:t>
      </w:r>
      <w:r w:rsidR="006C6765" w:rsidRPr="006C6765">
        <w:t>event of hepatitis was continuing a</w:t>
      </w:r>
      <w:r w:rsidR="00D62BC0">
        <w:t xml:space="preserve">t the time of death. An autopsy </w:t>
      </w:r>
      <w:r w:rsidR="006C6765" w:rsidRPr="006C6765">
        <w:t>was not performed.</w:t>
      </w:r>
      <w:r w:rsidR="00BB7B81">
        <w:t>’</w:t>
      </w:r>
    </w:p>
    <w:p w:rsidR="006C6765" w:rsidRPr="006C6765" w:rsidRDefault="006C6765" w:rsidP="00D62BC0">
      <w:pPr>
        <w:pStyle w:val="Numberbullet2"/>
      </w:pPr>
      <w:r w:rsidRPr="006C6765">
        <w:t>Case 2 – Incomplete documentation of imAR events, unclear grading of AE, AEs in narrative not listed for a narrative containing serious clinical events.</w:t>
      </w:r>
    </w:p>
    <w:p w:rsidR="006C6765" w:rsidRPr="006C6765" w:rsidRDefault="006C6765" w:rsidP="00D62BC0">
      <w:pPr>
        <w:ind w:left="851"/>
      </w:pPr>
      <w:r w:rsidRPr="006C6765">
        <w:t>CA184024</w:t>
      </w:r>
      <w:r w:rsidR="00D62BC0">
        <w:t>[information redacted]</w:t>
      </w:r>
      <w:r w:rsidRPr="006C6765">
        <w:t>: imAR diarrhoea was documented as only Gr 2 despite repeated hospitalisation, repeated colonoscopy, recurrence of symptoms with weaning of corticosteroids, and requirement for TPN. Worst grade severity of diarrhoea has not been documented for a number of episodes correctly.</w:t>
      </w:r>
      <w:r w:rsidR="00D62BC0">
        <w:t xml:space="preserve"> Hypokalaemia was not captured. </w:t>
      </w:r>
      <w:r w:rsidRPr="006C6765">
        <w:t xml:space="preserve">Can the </w:t>
      </w:r>
      <w:r w:rsidR="00BB7B81">
        <w:t>sponsor</w:t>
      </w:r>
      <w:r w:rsidRPr="006C6765">
        <w:t xml:space="preserve"> plea</w:t>
      </w:r>
      <w:r w:rsidR="0048681A">
        <w:t>se explain these discrepancies?</w:t>
      </w:r>
    </w:p>
    <w:p w:rsidR="006C6765" w:rsidRPr="006C6765" w:rsidRDefault="00BB7B81" w:rsidP="00D62BC0">
      <w:pPr>
        <w:ind w:left="851"/>
      </w:pPr>
      <w:r>
        <w:t>‘</w:t>
      </w:r>
      <w:r w:rsidR="006C6765" w:rsidRPr="006C6765">
        <w:t>Event:</w:t>
      </w:r>
    </w:p>
    <w:p w:rsidR="006C6765" w:rsidRPr="006C6765" w:rsidRDefault="006C6765" w:rsidP="00D62BC0">
      <w:pPr>
        <w:pStyle w:val="ListBullet"/>
        <w:ind w:left="1208" w:hanging="357"/>
      </w:pPr>
      <w:r w:rsidRPr="006C6765">
        <w:t>Diarrhoea (Grade 3, certainly related, Day 53)</w:t>
      </w:r>
    </w:p>
    <w:p w:rsidR="006C6765" w:rsidRPr="006C6765" w:rsidRDefault="006C6765" w:rsidP="00D62BC0">
      <w:pPr>
        <w:pStyle w:val="ListBullet"/>
        <w:ind w:left="1208" w:hanging="357"/>
      </w:pPr>
      <w:r w:rsidRPr="006C6765">
        <w:t>Escherichia infection (Grade 3, possibly related, Day 53)</w:t>
      </w:r>
    </w:p>
    <w:p w:rsidR="006C6765" w:rsidRPr="006C6765" w:rsidRDefault="006C6765" w:rsidP="00D62BC0">
      <w:pPr>
        <w:pStyle w:val="ListBullet"/>
        <w:ind w:left="1208" w:hanging="357"/>
      </w:pPr>
      <w:r w:rsidRPr="006C6765">
        <w:t>Colitis (Grade 2, certainly related, Day 55)</w:t>
      </w:r>
    </w:p>
    <w:p w:rsidR="006C6765" w:rsidRPr="006C6765" w:rsidRDefault="006C6765" w:rsidP="00D62BC0">
      <w:pPr>
        <w:pStyle w:val="ListBullet"/>
        <w:ind w:left="1208" w:hanging="357"/>
      </w:pPr>
      <w:r w:rsidRPr="006C6765">
        <w:t>Diarrhoea (Grad</w:t>
      </w:r>
      <w:r w:rsidR="00D62BC0">
        <w:t xml:space="preserve">e 2, certainly related, Day 67) </w:t>
      </w:r>
      <w:r w:rsidRPr="006C6765">
        <w:t>but patient was hospitalised on day 68 due to this and administered IV corticosteroids. Hospitalisation is G3.</w:t>
      </w:r>
    </w:p>
    <w:p w:rsidR="006C6765" w:rsidRPr="006C6765" w:rsidRDefault="006C6765" w:rsidP="00D62BC0">
      <w:pPr>
        <w:pStyle w:val="ListBullet"/>
        <w:ind w:left="1208" w:hanging="357"/>
      </w:pPr>
      <w:r w:rsidRPr="006C6765">
        <w:t>Diarrhoea (Grad</w:t>
      </w:r>
      <w:r w:rsidR="00D62BC0">
        <w:t xml:space="preserve">e 2, certainly related, Day 75) </w:t>
      </w:r>
      <w:r w:rsidRPr="006C6765">
        <w:t>but patient was hospitalised, required a colonoscopy on Day 77</w:t>
      </w:r>
    </w:p>
    <w:p w:rsidR="006C6765" w:rsidRPr="006C6765" w:rsidRDefault="006C6765" w:rsidP="00D62BC0">
      <w:pPr>
        <w:pStyle w:val="ListBullet"/>
        <w:ind w:left="1208" w:hanging="357"/>
      </w:pPr>
      <w:r w:rsidRPr="006C6765">
        <w:t>Diarrhoea (Grad</w:t>
      </w:r>
      <w:r w:rsidR="0088471D">
        <w:t xml:space="preserve">e 3, certainly related, Day 85) </w:t>
      </w:r>
      <w:r w:rsidRPr="006C6765">
        <w:t>due to tapering of the steroids diarrhoea reoccurred and the patient required IV corticosteroids (imAR incorrectly graded)</w:t>
      </w:r>
    </w:p>
    <w:p w:rsidR="006C6765" w:rsidRPr="006C6765" w:rsidRDefault="006C6765" w:rsidP="00D62BC0">
      <w:pPr>
        <w:pStyle w:val="ListBullet"/>
        <w:ind w:left="1208" w:hanging="357"/>
      </w:pPr>
      <w:r w:rsidRPr="006C6765">
        <w:t>Diarrhoea (Grade 1, certainly related, Day 100) again due to tapering of steroid, required hospitalisation and TPN, toxicity incorrectly graded.</w:t>
      </w:r>
    </w:p>
    <w:p w:rsidR="006C6765" w:rsidRPr="0088471D" w:rsidRDefault="0088471D" w:rsidP="00D62BC0">
      <w:pPr>
        <w:ind w:left="851"/>
        <w:rPr>
          <w:i/>
        </w:rPr>
      </w:pPr>
      <w:r w:rsidRPr="0088471D">
        <w:rPr>
          <w:i/>
        </w:rPr>
        <w:t xml:space="preserve">Not documented; Day 110, </w:t>
      </w:r>
      <w:r w:rsidR="006C6765" w:rsidRPr="0088471D">
        <w:rPr>
          <w:i/>
        </w:rPr>
        <w:t>she had an increase in diarrhoea to eight times per day during the admission for the previous dot point which constitutes G3 diarrhoea at least. This required an increase in corticosteroid dosing and treatment with Infliximab.</w:t>
      </w:r>
    </w:p>
    <w:p w:rsidR="006C6765" w:rsidRPr="006C6765" w:rsidRDefault="006C6765" w:rsidP="00D62BC0">
      <w:pPr>
        <w:ind w:left="851"/>
      </w:pPr>
      <w:proofErr w:type="gramStart"/>
      <w:r w:rsidRPr="006C6765">
        <w:t>imAR</w:t>
      </w:r>
      <w:proofErr w:type="gramEnd"/>
      <w:r w:rsidRPr="006C6765">
        <w:t>:</w:t>
      </w:r>
    </w:p>
    <w:p w:rsidR="006C6765" w:rsidRPr="0088471D" w:rsidRDefault="006C6765" w:rsidP="0088471D">
      <w:pPr>
        <w:pStyle w:val="ListBullet"/>
        <w:ind w:left="1208" w:hanging="357"/>
        <w:rPr>
          <w:i/>
        </w:rPr>
      </w:pPr>
      <w:r w:rsidRPr="006C6765">
        <w:t>Diarrhoea (Grad</w:t>
      </w:r>
      <w:r w:rsidR="0088471D">
        <w:t xml:space="preserve">e 2, certainly related, Day 67) </w:t>
      </w:r>
      <w:proofErr w:type="gramStart"/>
      <w:r w:rsidRPr="0088471D">
        <w:rPr>
          <w:i/>
        </w:rPr>
        <w:t>This</w:t>
      </w:r>
      <w:proofErr w:type="gramEnd"/>
      <w:r w:rsidRPr="0088471D">
        <w:rPr>
          <w:i/>
        </w:rPr>
        <w:t xml:space="preserve"> is incorrectly graded.</w:t>
      </w:r>
    </w:p>
    <w:p w:rsidR="006C6765" w:rsidRPr="006C6765" w:rsidRDefault="006C6765" w:rsidP="0088471D">
      <w:pPr>
        <w:pStyle w:val="ListBullet"/>
        <w:ind w:left="1208" w:hanging="357"/>
      </w:pPr>
      <w:r w:rsidRPr="006C6765">
        <w:t>Dermatitis (Grad</w:t>
      </w:r>
      <w:r w:rsidR="0048681A">
        <w:t>e 2, certainly related, Day 49)</w:t>
      </w:r>
    </w:p>
    <w:p w:rsidR="006C6765" w:rsidRPr="006C6765" w:rsidRDefault="0088471D" w:rsidP="00D62BC0">
      <w:pPr>
        <w:ind w:left="851"/>
      </w:pPr>
      <w:r>
        <w:t>On Day 48</w:t>
      </w:r>
      <w:r w:rsidR="006C6765" w:rsidRPr="006C6765">
        <w:t>, 5 days after the 3rd dose of study t</w:t>
      </w:r>
      <w:r>
        <w:t xml:space="preserve">herapy, the subject experienced </w:t>
      </w:r>
      <w:r w:rsidR="006C6765" w:rsidRPr="006C6765">
        <w:t>diarrhoea (Grade 1) consisting loose stool two to three time a day. She</w:t>
      </w:r>
      <w:r>
        <w:t xml:space="preserve"> received unknown treatment for the event. On day 49</w:t>
      </w:r>
      <w:r w:rsidR="006C6765" w:rsidRPr="006C6765">
        <w:t xml:space="preserve"> the subject presented with grade 2 derm</w:t>
      </w:r>
      <w:r>
        <w:t xml:space="preserve">atitis (investigator reported </w:t>
      </w:r>
      <w:r w:rsidR="006C6765" w:rsidRPr="006C6765">
        <w:t>term itching and rash). On the</w:t>
      </w:r>
      <w:r>
        <w:t xml:space="preserve"> evening of Day 53</w:t>
      </w:r>
      <w:r w:rsidR="006C6765" w:rsidRPr="006C6765">
        <w:t>, t</w:t>
      </w:r>
      <w:r>
        <w:t xml:space="preserve">he </w:t>
      </w:r>
      <w:r>
        <w:lastRenderedPageBreak/>
        <w:t xml:space="preserve">subject had four episodes of </w:t>
      </w:r>
      <w:r w:rsidR="006C6765" w:rsidRPr="006C6765">
        <w:t>diarrhoea and was diagnosed with Escherichia infection (Grade 3). The sev</w:t>
      </w:r>
      <w:r>
        <w:t xml:space="preserve">erity of diarrhoea increased to </w:t>
      </w:r>
      <w:r w:rsidR="006C6765" w:rsidRPr="006C6765">
        <w:t>Grade 3 on Day 53</w:t>
      </w:r>
      <w:r>
        <w:t>. On Day 54</w:t>
      </w:r>
      <w:r w:rsidR="006C6765" w:rsidRPr="006C6765">
        <w:t>, she was hospital</w:t>
      </w:r>
      <w:r w:rsidR="001A330A">
        <w:t>ise</w:t>
      </w:r>
      <w:r w:rsidR="006C6765" w:rsidRPr="006C6765">
        <w:t>d due to diarrhoea and</w:t>
      </w:r>
      <w:r>
        <w:t xml:space="preserve"> was treated with hydration and </w:t>
      </w:r>
      <w:r w:rsidR="006C6765" w:rsidRPr="006C6765">
        <w:t>125 mg of methylprednisolone. Sh</w:t>
      </w:r>
      <w:r>
        <w:t>e was afebrile and there was no blood in her stools. On Day 55</w:t>
      </w:r>
      <w:r w:rsidR="006C6765" w:rsidRPr="006C6765">
        <w:t xml:space="preserve">, the dermatitis was downgraded to grade </w:t>
      </w:r>
      <w:r>
        <w:t xml:space="preserve">1 and she was </w:t>
      </w:r>
      <w:r w:rsidR="006C6765" w:rsidRPr="006C6765">
        <w:t>diagnosed with colitis (Grade 2) by a colonoscopy procedure which rev</w:t>
      </w:r>
      <w:r w:rsidR="00786E8B">
        <w:t xml:space="preserve">ealed inflammatory colitis with </w:t>
      </w:r>
      <w:r w:rsidR="006C6765" w:rsidRPr="006C6765">
        <w:t>marked colitis changes up to the 50 cm of descending colon. Stool cult</w:t>
      </w:r>
      <w:r w:rsidR="00786E8B">
        <w:t>ures done on [information redacted] (date not specified) were positive for C</w:t>
      </w:r>
      <w:r w:rsidR="006C6765" w:rsidRPr="006C6765">
        <w:t xml:space="preserve">lostridium difficile. She </w:t>
      </w:r>
      <w:r w:rsidR="00786E8B">
        <w:t xml:space="preserve">was diagnosed with Clostridium difficile infection </w:t>
      </w:r>
      <w:r w:rsidR="006C6765" w:rsidRPr="006C6765">
        <w:t>(Grade 3) and treated with metronidazole</w:t>
      </w:r>
      <w:r w:rsidR="001F3382">
        <w:t xml:space="preserve">. </w:t>
      </w:r>
      <w:r w:rsidR="006C6765" w:rsidRPr="006C6765">
        <w:t>On Day 56, diar</w:t>
      </w:r>
      <w:r w:rsidR="00786E8B">
        <w:t xml:space="preserve">rhoea was still persisting, but </w:t>
      </w:r>
      <w:r w:rsidR="006C6765" w:rsidRPr="006C6765">
        <w:t xml:space="preserve">her bowel sounds were </w:t>
      </w:r>
      <w:r w:rsidR="00786E8B">
        <w:t xml:space="preserve">good and she remained afebrile. </w:t>
      </w:r>
      <w:r w:rsidR="006C6765" w:rsidRPr="006C6765">
        <w:t>She was also s</w:t>
      </w:r>
      <w:r w:rsidR="00786E8B">
        <w:t xml:space="preserve">tarted on intravenous steroids, </w:t>
      </w:r>
      <w:r w:rsidR="006C6765" w:rsidRPr="006C6765">
        <w:t>which subsequently switched over to oral steroids. On Day 58, the events of diarr</w:t>
      </w:r>
      <w:r w:rsidR="00786E8B">
        <w:t>hoea, Escherichia infection and C</w:t>
      </w:r>
      <w:r w:rsidR="006C6765" w:rsidRPr="006C6765">
        <w:t>lostridium difficile infection were considered as resolved. The event of colitis and dermatitis both re</w:t>
      </w:r>
      <w:r w:rsidR="0048681A">
        <w:t>solved on Day 62.</w:t>
      </w:r>
    </w:p>
    <w:p w:rsidR="006C6765" w:rsidRPr="006C6765" w:rsidRDefault="00786E8B" w:rsidP="00D62BC0">
      <w:pPr>
        <w:ind w:left="851"/>
      </w:pPr>
      <w:r>
        <w:t>On Day 67</w:t>
      </w:r>
      <w:r w:rsidR="006C6765" w:rsidRPr="006C6765">
        <w:t>, she had again five episodes of diarrhoea (Grade 2). On Day 68</w:t>
      </w:r>
      <w:r>
        <w:t>, she was hospital</w:t>
      </w:r>
      <w:r w:rsidR="001A330A">
        <w:t>ise</w:t>
      </w:r>
      <w:r>
        <w:t xml:space="preserve">d </w:t>
      </w:r>
      <w:r w:rsidR="006C6765" w:rsidRPr="006C6765">
        <w:t>with no pyrexia, no blood in stool, and not dehydrated. Treatment included methylprednisolone 125 mg QD intravenously. On Day 70, she was discharged from the hospital with Grade 1 diarrhoea; the event was reported to be resolved with sequelae on the same day. She was discharg</w:t>
      </w:r>
      <w:r w:rsidR="0048681A">
        <w:t>ed with 80 mg prednisolone BID.</w:t>
      </w:r>
    </w:p>
    <w:p w:rsidR="006C6765" w:rsidRPr="006C6765" w:rsidRDefault="006C6765" w:rsidP="001167B8">
      <w:pPr>
        <w:ind w:left="851"/>
      </w:pPr>
      <w:r w:rsidRPr="006C6765">
        <w:t>On Day 75</w:t>
      </w:r>
      <w:r w:rsidR="00786E8B">
        <w:t xml:space="preserve">, she was </w:t>
      </w:r>
      <w:r w:rsidRPr="006C6765">
        <w:t>readmitte</w:t>
      </w:r>
      <w:r w:rsidR="00786E8B">
        <w:t xml:space="preserve">d with diarrhoea (Grade 2) of 4 to </w:t>
      </w:r>
      <w:r w:rsidRPr="006C6765">
        <w:t>5 episodes daily, which required treatment with solumedrol (continuation 80 mg pr</w:t>
      </w:r>
      <w:r w:rsidR="00786E8B">
        <w:t xml:space="preserve">ednisolone BID). </w:t>
      </w:r>
      <w:r w:rsidRPr="006C6765">
        <w:t>The recurrence of diarrhoea (Grade 2) was described as sometimes wat</w:t>
      </w:r>
      <w:r w:rsidR="00786E8B">
        <w:t xml:space="preserve">ery/firm. There was no blood in </w:t>
      </w:r>
      <w:r w:rsidRPr="006C6765">
        <w:t xml:space="preserve">the stool and her hydration status was good. Laboratory results on Day 76 </w:t>
      </w:r>
      <w:r w:rsidR="00786E8B">
        <w:t xml:space="preserve">showed </w:t>
      </w:r>
      <w:r w:rsidRPr="006C6765">
        <w:t>potassium level 2.6 mmol/L (baseline 4.1; no</w:t>
      </w:r>
      <w:r w:rsidR="00786E8B">
        <w:t xml:space="preserve">rmal 3.5 to </w:t>
      </w:r>
      <w:r w:rsidRPr="006C6765">
        <w:t>5).</w:t>
      </w:r>
      <w:r w:rsidR="00786E8B">
        <w:t xml:space="preserve"> A colonoscopy performed on Day </w:t>
      </w:r>
      <w:r w:rsidRPr="006C6765">
        <w:t>77, revealed that the intestinal mucosa was not fria</w:t>
      </w:r>
      <w:r w:rsidR="00786E8B">
        <w:t xml:space="preserve">ble and did not bleed on touch, </w:t>
      </w:r>
      <w:r w:rsidR="00C22CAE" w:rsidRPr="006C6765">
        <w:t>hyperaemia</w:t>
      </w:r>
      <w:r w:rsidRPr="006C6765">
        <w:t xml:space="preserve"> proximally with a good improvement and, colitis was getting b</w:t>
      </w:r>
      <w:r w:rsidR="00786E8B">
        <w:t xml:space="preserve">etter, which indicated a better </w:t>
      </w:r>
      <w:r w:rsidRPr="006C6765">
        <w:t>improvement from the previous colonosc</w:t>
      </w:r>
      <w:r w:rsidR="00786E8B">
        <w:t>opy done on Day 55. She was discharged on Day 79</w:t>
      </w:r>
      <w:r w:rsidRPr="006C6765">
        <w:t>, with prednisolone 8</w:t>
      </w:r>
      <w:r w:rsidR="00786E8B">
        <w:t xml:space="preserve">0 mg BID tapering over a month. </w:t>
      </w:r>
      <w:r w:rsidRPr="006C6765">
        <w:t xml:space="preserve">Upon tapering of </w:t>
      </w:r>
      <w:r w:rsidR="00786E8B">
        <w:t>steroids, diarrhoea reoccurred. On Day 85</w:t>
      </w:r>
      <w:r w:rsidRPr="006C6765">
        <w:t xml:space="preserve"> the subject again experie</w:t>
      </w:r>
      <w:r w:rsidR="00786E8B">
        <w:t xml:space="preserve">nce diarrhoea (Grade 3) and her </w:t>
      </w:r>
      <w:r w:rsidRPr="006C6765">
        <w:t xml:space="preserve">potassium level was </w:t>
      </w:r>
      <w:proofErr w:type="gramStart"/>
      <w:r w:rsidRPr="006C6765">
        <w:t>3.1 mmol/L.</w:t>
      </w:r>
      <w:proofErr w:type="gramEnd"/>
      <w:r w:rsidRPr="006C6765">
        <w:t xml:space="preserve"> She received methylprednis</w:t>
      </w:r>
      <w:r w:rsidR="00786E8B">
        <w:t>one 125 mg intravenously. Since Day 91</w:t>
      </w:r>
      <w:r w:rsidRPr="006C6765">
        <w:t>, prednisolone therapy was reduced to 80 m</w:t>
      </w:r>
      <w:r w:rsidR="001167B8">
        <w:t xml:space="preserve">g daily. On Day 92, </w:t>
      </w:r>
      <w:r w:rsidRPr="006C6765">
        <w:t>she was discharged with Grade 1 diarrhoea. After bein</w:t>
      </w:r>
      <w:r w:rsidR="001167B8">
        <w:t xml:space="preserve">g discharged from the hospital, she was tapering </w:t>
      </w:r>
      <w:r w:rsidRPr="006C6765">
        <w:t>off of prednisolone therapy from 80 mg daily to 60 mg daily. Subsequently, the diarrhoea increased from once daily to</w:t>
      </w:r>
      <w:r w:rsidR="001167B8">
        <w:t xml:space="preserve"> three times daily. On Day 100</w:t>
      </w:r>
      <w:r w:rsidRPr="006C6765">
        <w:t>, she was hospital</w:t>
      </w:r>
      <w:r w:rsidR="001A330A">
        <w:t>ise</w:t>
      </w:r>
      <w:r w:rsidRPr="006C6765">
        <w:t>d again with Grade 1 diarrhoea. At tha</w:t>
      </w:r>
      <w:r w:rsidR="001167B8">
        <w:t xml:space="preserve">t time, she was treated through </w:t>
      </w:r>
      <w:r w:rsidRPr="006C6765">
        <w:t>total parenteral nutrition (TPN). After one week of TPN, her c</w:t>
      </w:r>
      <w:r w:rsidR="001167B8">
        <w:t>ondition remained unchanged. On Day 110</w:t>
      </w:r>
      <w:r w:rsidRPr="006C6765">
        <w:t>, she had an increase in diarrhoea to eight times. The prednisolone dose was increa</w:t>
      </w:r>
      <w:r w:rsidR="001167B8">
        <w:t>sed to 80 mg/day on Day 111</w:t>
      </w:r>
      <w:r w:rsidRPr="006C6765">
        <w:t>. A computed tomography (CT) and colonoscop</w:t>
      </w:r>
      <w:r w:rsidR="001167B8">
        <w:t>y were performed on Day 113</w:t>
      </w:r>
      <w:r w:rsidRPr="006C6765">
        <w:t xml:space="preserve">. The colonoscopy showed further improvement when compared to the last colonoscopy performed. Endoscopy description reported that there were slight changes over the entire colon, granulated mucosa but not </w:t>
      </w:r>
      <w:r w:rsidR="001167B8" w:rsidRPr="006C6765">
        <w:t>haemorrhagic</w:t>
      </w:r>
      <w:r w:rsidRPr="006C6765">
        <w:t xml:space="preserve"> and no longer </w:t>
      </w:r>
      <w:r w:rsidR="001167B8" w:rsidRPr="006C6765">
        <w:t>oedematous</w:t>
      </w:r>
      <w:r w:rsidRPr="006C6765">
        <w:t>. There were no ulcerations and no fibrin. There was continued haustration and fine capillary bed under granulations. She was started on budesonide and loperamide and had one dose of infliximab 280 mg. She was discon</w:t>
      </w:r>
      <w:r w:rsidR="001167B8">
        <w:t>tinued from the study on Day 55</w:t>
      </w:r>
      <w:r w:rsidRPr="006C6765">
        <w:t xml:space="preserve"> due to the events of diarrhoea, Escherichia infection and colitis. She was discharged from the hospital on Day 114 with diarrhoea (Grade 1). The event of diarrhoea resolved on</w:t>
      </w:r>
      <w:r w:rsidR="001167B8">
        <w:t xml:space="preserve"> Day 169</w:t>
      </w:r>
      <w:r w:rsidRPr="006C6765">
        <w:t xml:space="preserve">. The investigator considered that the events of diarrhoea and colitis were certainly related and the event of Escherichia infection as possibly related to </w:t>
      </w:r>
      <w:r w:rsidR="00A60A6A">
        <w:t>ipilimumab</w:t>
      </w:r>
      <w:r w:rsidRPr="006C6765">
        <w:t xml:space="preserve"> and Dacarbazine study therapy.</w:t>
      </w:r>
      <w:r w:rsidR="00BB7B81">
        <w:t>’</w:t>
      </w:r>
    </w:p>
    <w:p w:rsidR="006C6765" w:rsidRPr="006C6765" w:rsidRDefault="001167B8" w:rsidP="001167B8">
      <w:pPr>
        <w:pStyle w:val="Numberbullet2"/>
      </w:pPr>
      <w:r>
        <w:lastRenderedPageBreak/>
        <w:t>Case 4;</w:t>
      </w:r>
      <w:r w:rsidR="006C6765" w:rsidRPr="006C6765">
        <w:t xml:space="preserve"> Inadequate details from investigator; possible study related AE resulting in death.</w:t>
      </w:r>
    </w:p>
    <w:p w:rsidR="006C6765" w:rsidRPr="006C6765" w:rsidRDefault="006C6765" w:rsidP="00A212DA">
      <w:pPr>
        <w:ind w:left="851"/>
      </w:pPr>
      <w:r w:rsidRPr="001167B8">
        <w:rPr>
          <w:i/>
        </w:rPr>
        <w:t>The subject developed renal failure and was hospitalised 13 days post study dose with no other causes identified for the development of renal failure and subsequent death. Was the renal failure potentially related to study treatment? How was the disease progression determined?</w:t>
      </w:r>
    </w:p>
    <w:p w:rsidR="006C6765" w:rsidRPr="006C6765" w:rsidRDefault="006C6765" w:rsidP="001167B8">
      <w:pPr>
        <w:ind w:left="851"/>
      </w:pPr>
      <w:proofErr w:type="gramStart"/>
      <w:r w:rsidRPr="006C6765">
        <w:t>CA184024</w:t>
      </w:r>
      <w:r w:rsidR="001167B8">
        <w:t>[</w:t>
      </w:r>
      <w:proofErr w:type="gramEnd"/>
      <w:r w:rsidR="001167B8">
        <w:t>information redacted]</w:t>
      </w:r>
    </w:p>
    <w:p w:rsidR="006C6765" w:rsidRPr="006C6765" w:rsidRDefault="00BB7B81" w:rsidP="001167B8">
      <w:pPr>
        <w:ind w:left="851"/>
      </w:pPr>
      <w:r>
        <w:t>‘</w:t>
      </w:r>
      <w:r w:rsidR="006C6765" w:rsidRPr="006C6765">
        <w:t>Event:</w:t>
      </w:r>
    </w:p>
    <w:p w:rsidR="006C6765" w:rsidRPr="006C6765" w:rsidRDefault="006C6765" w:rsidP="001167B8">
      <w:pPr>
        <w:pStyle w:val="ListBullet"/>
        <w:ind w:left="1208" w:hanging="357"/>
      </w:pPr>
      <w:r w:rsidRPr="006C6765">
        <w:t>Renal failure (Grade 3, not related, Day 14)</w:t>
      </w:r>
    </w:p>
    <w:p w:rsidR="006C6765" w:rsidRPr="006C6765" w:rsidRDefault="006C6765" w:rsidP="001167B8">
      <w:pPr>
        <w:pStyle w:val="ListBullet"/>
        <w:ind w:left="1208" w:hanging="357"/>
      </w:pPr>
      <w:r w:rsidRPr="006C6765">
        <w:t>Renal failure</w:t>
      </w:r>
      <w:r w:rsidR="0048681A">
        <w:t xml:space="preserve"> (Grade 5, not related, Day 18)</w:t>
      </w:r>
    </w:p>
    <w:p w:rsidR="006C6765" w:rsidRPr="006C6765" w:rsidRDefault="001167B8" w:rsidP="001E4353">
      <w:pPr>
        <w:tabs>
          <w:tab w:val="left" w:pos="8364"/>
        </w:tabs>
        <w:ind w:left="851"/>
      </w:pPr>
      <w:r>
        <w:t xml:space="preserve">Clinical Summary: </w:t>
      </w:r>
      <w:r w:rsidR="006C6765" w:rsidRPr="006C6765">
        <w:t>On Day 14, 13 days post 1st dose of study thera</w:t>
      </w:r>
      <w:r>
        <w:t xml:space="preserve">py, the subject developed renal </w:t>
      </w:r>
      <w:r w:rsidR="006C6765" w:rsidRPr="006C6765">
        <w:t xml:space="preserve">failure </w:t>
      </w:r>
      <w:r>
        <w:t>(Grade 3) and was hospital</w:t>
      </w:r>
      <w:r w:rsidR="001A330A">
        <w:t>ise</w:t>
      </w:r>
      <w:r>
        <w:t xml:space="preserve">d. </w:t>
      </w:r>
      <w:r w:rsidR="006C6765" w:rsidRPr="006C6765">
        <w:t>Laboratory tests p</w:t>
      </w:r>
      <w:r>
        <w:t>erformed on Day 15 showed urea 277.4 mg/dL (normal: 17 to</w:t>
      </w:r>
      <w:r w:rsidR="006C6765" w:rsidRPr="006C6765">
        <w:t xml:space="preserve"> 43 mg/dL, ba</w:t>
      </w:r>
      <w:r>
        <w:t xml:space="preserve">seline: 7.5 mmol/L, normal: 2.1 to 7.6 mmol/L), uric acid 14.7 mg/dL (normal: 3.2 to </w:t>
      </w:r>
      <w:r w:rsidR="006C6765" w:rsidRPr="006C6765">
        <w:t>7.6 mg/dL, baseline: 5.3 mg/dL)</w:t>
      </w:r>
      <w:r>
        <w:t xml:space="preserve">, creatinine 2.3 mg/dL (normal: 0.72 to </w:t>
      </w:r>
      <w:r w:rsidR="006C6765" w:rsidRPr="006C6765">
        <w:t>1.3 mg/dL, baseline: 1.19 mg/dL). He was treated with sodium c</w:t>
      </w:r>
      <w:r>
        <w:t xml:space="preserve">hloride solution and 5% glucose </w:t>
      </w:r>
      <w:r w:rsidR="006C6765" w:rsidRPr="006C6765">
        <w:t>solution, furosemide, allopurinol, bicarbonate, metoclopram</w:t>
      </w:r>
      <w:r>
        <w:t xml:space="preserve">ide, morphine, and hydroxyzine. </w:t>
      </w:r>
      <w:r w:rsidR="006C6765" w:rsidRPr="006C6765">
        <w:t>Laborato</w:t>
      </w:r>
      <w:r>
        <w:t>ry tests on Day 18</w:t>
      </w:r>
      <w:r w:rsidR="006C6765" w:rsidRPr="006C6765">
        <w:t>, showed the following resul</w:t>
      </w:r>
      <w:r>
        <w:t xml:space="preserve">ts: urea 392.2 mg/dL, uric acid </w:t>
      </w:r>
      <w:r w:rsidR="006C6765" w:rsidRPr="006C6765">
        <w:t>13.1 mg/dL and creatinine 4.8 mg/dL. He died due to renal failure and di</w:t>
      </w:r>
      <w:r>
        <w:t xml:space="preserve">sease progression on Day 18. </w:t>
      </w:r>
      <w:r w:rsidR="006C6765" w:rsidRPr="006C6765">
        <w:t>Auto</w:t>
      </w:r>
      <w:r>
        <w:t xml:space="preserve">psy details were not available. </w:t>
      </w:r>
      <w:r w:rsidR="006C6765" w:rsidRPr="006C6765">
        <w:t xml:space="preserve">The investigator considered that the event of renal failure was not related to </w:t>
      </w:r>
      <w:r w:rsidR="00A60A6A">
        <w:t>ipilimumab</w:t>
      </w:r>
      <w:r>
        <w:t xml:space="preserve"> and </w:t>
      </w:r>
      <w:r w:rsidR="006C6765" w:rsidRPr="006C6765">
        <w:t>Dacarbazine study therapy.</w:t>
      </w:r>
      <w:r w:rsidR="00BB7B81">
        <w:t>’</w:t>
      </w:r>
    </w:p>
    <w:p w:rsidR="006C6765" w:rsidRPr="006C6765" w:rsidRDefault="001E4353" w:rsidP="001E4353">
      <w:pPr>
        <w:pStyle w:val="Numberbullet2"/>
      </w:pPr>
      <w:r>
        <w:t xml:space="preserve">Case 5; </w:t>
      </w:r>
      <w:r w:rsidR="006C6765" w:rsidRPr="006C6765">
        <w:t>Grade 4 event listed by investigator incorrectly. Was this missed as a Gr4 endocrine irAE?</w:t>
      </w:r>
    </w:p>
    <w:p w:rsidR="006C6765" w:rsidRPr="001E4353" w:rsidRDefault="001E4353" w:rsidP="001E4353">
      <w:pPr>
        <w:ind w:left="851"/>
        <w:rPr>
          <w:i/>
        </w:rPr>
      </w:pPr>
      <w:r>
        <w:t xml:space="preserve">Study </w:t>
      </w:r>
      <w:proofErr w:type="gramStart"/>
      <w:r w:rsidR="006C6765" w:rsidRPr="006C6765">
        <w:t>CA184024</w:t>
      </w:r>
      <w:r>
        <w:t>[</w:t>
      </w:r>
      <w:proofErr w:type="gramEnd"/>
      <w:r>
        <w:t xml:space="preserve">information redacted]: </w:t>
      </w:r>
      <w:r w:rsidR="006C6765" w:rsidRPr="001E4353">
        <w:rPr>
          <w:i/>
        </w:rPr>
        <w:t xml:space="preserve">no immune related endocrine AE listed although possible. Note is made that the investigator did not attribute causality. The Gr4 hypoglycaemic seizure occurred without history of diabetes or oral hypoglycaemic medications. The patient recovered with corticosteroids (and thyroxine replacement), and was subsequently confirmed to have subclinical hypothyroidism (low TSH but normal T3/T4). This hypoglycaemic event is highly suspicious for a study drug related autoimmune AE for which corticosteroid replacement was administered. No cortisol results were given by the investigator. What did the </w:t>
      </w:r>
      <w:r w:rsidR="00BB7B81" w:rsidRPr="001E4353">
        <w:rPr>
          <w:i/>
        </w:rPr>
        <w:t>sponsor</w:t>
      </w:r>
      <w:r w:rsidR="006C6765" w:rsidRPr="001E4353">
        <w:rPr>
          <w:i/>
        </w:rPr>
        <w:t xml:space="preserve"> allocate as the cause of the Gr4 </w:t>
      </w:r>
      <w:r w:rsidR="00C22CAE" w:rsidRPr="001E4353">
        <w:rPr>
          <w:i/>
        </w:rPr>
        <w:t>hypoglycaemic</w:t>
      </w:r>
      <w:r w:rsidR="006C6765" w:rsidRPr="001E4353">
        <w:rPr>
          <w:i/>
        </w:rPr>
        <w:t xml:space="preserve"> seizure? Can the </w:t>
      </w:r>
      <w:r w:rsidR="00BB7B81" w:rsidRPr="001E4353">
        <w:rPr>
          <w:i/>
        </w:rPr>
        <w:t>sponsor</w:t>
      </w:r>
      <w:r w:rsidR="006C6765" w:rsidRPr="001E4353">
        <w:rPr>
          <w:i/>
        </w:rPr>
        <w:t xml:space="preserve"> explain why the </w:t>
      </w:r>
      <w:r w:rsidR="00C22CAE" w:rsidRPr="001E4353">
        <w:rPr>
          <w:i/>
        </w:rPr>
        <w:t>hypoglycaemic</w:t>
      </w:r>
      <w:r w:rsidR="006C6765" w:rsidRPr="001E4353">
        <w:rPr>
          <w:i/>
        </w:rPr>
        <w:t xml:space="preserve"> event was not captured as an imAR? Was this because the investigator did not attribute th</w:t>
      </w:r>
      <w:r w:rsidR="0048681A" w:rsidRPr="001E4353">
        <w:rPr>
          <w:i/>
        </w:rPr>
        <w:t>e causality to the study drugs?</w:t>
      </w:r>
    </w:p>
    <w:p w:rsidR="006C6765" w:rsidRPr="006C6765" w:rsidRDefault="00BB7B81" w:rsidP="001E4353">
      <w:pPr>
        <w:ind w:left="851"/>
      </w:pPr>
      <w:r>
        <w:t>‘</w:t>
      </w:r>
      <w:r w:rsidR="006C6765" w:rsidRPr="006C6765">
        <w:t>Event:</w:t>
      </w:r>
    </w:p>
    <w:p w:rsidR="006C6765" w:rsidRPr="006C6765" w:rsidRDefault="006C6765" w:rsidP="001E4353">
      <w:pPr>
        <w:pStyle w:val="ListBullet"/>
        <w:ind w:left="1208" w:hanging="357"/>
      </w:pPr>
      <w:r w:rsidRPr="006C6765">
        <w:t>Cholelithiasis (Grade 2, not related, Day 64)</w:t>
      </w:r>
    </w:p>
    <w:p w:rsidR="006C6765" w:rsidRPr="006C6765" w:rsidRDefault="00C22CAE" w:rsidP="001E4353">
      <w:pPr>
        <w:pStyle w:val="ListBullet"/>
        <w:ind w:left="1208" w:hanging="357"/>
      </w:pPr>
      <w:r w:rsidRPr="006C6765">
        <w:t>Hypoglycaemic</w:t>
      </w:r>
      <w:r w:rsidR="006C6765" w:rsidRPr="006C6765">
        <w:t xml:space="preserve"> seizure (Grade 4, not likely related, Day 335)</w:t>
      </w:r>
    </w:p>
    <w:p w:rsidR="006C6765" w:rsidRPr="006C6765" w:rsidRDefault="006C6765" w:rsidP="001E4353">
      <w:pPr>
        <w:pStyle w:val="ListBullet"/>
        <w:ind w:left="1208" w:hanging="357"/>
      </w:pPr>
      <w:r w:rsidRPr="006C6765">
        <w:t>Endocrine disorder (Grade 2, probably related, Day 353)</w:t>
      </w:r>
    </w:p>
    <w:p w:rsidR="006C6765" w:rsidRPr="006C6765" w:rsidRDefault="006C6765" w:rsidP="001E4353">
      <w:pPr>
        <w:pStyle w:val="ListBullet"/>
        <w:ind w:left="1208" w:hanging="357"/>
      </w:pPr>
      <w:r w:rsidRPr="006C6765">
        <w:t>Endocrine disorder (Grade 1, probably related, Day 434)</w:t>
      </w:r>
    </w:p>
    <w:p w:rsidR="006C6765" w:rsidRPr="006C6765" w:rsidRDefault="00C22CAE" w:rsidP="001E4353">
      <w:pPr>
        <w:pStyle w:val="ListBullet"/>
        <w:ind w:left="1208" w:hanging="357"/>
      </w:pPr>
      <w:r w:rsidRPr="006C6765">
        <w:t>Hypoglycaemic</w:t>
      </w:r>
      <w:r w:rsidR="006C6765" w:rsidRPr="006C6765">
        <w:t xml:space="preserve"> event (Grade 4, not related, Day 789)</w:t>
      </w:r>
    </w:p>
    <w:p w:rsidR="006C6765" w:rsidRPr="006C6765" w:rsidRDefault="006C6765" w:rsidP="001E4353">
      <w:pPr>
        <w:ind w:left="851"/>
      </w:pPr>
      <w:proofErr w:type="gramStart"/>
      <w:r w:rsidRPr="006C6765">
        <w:t>imAR</w:t>
      </w:r>
      <w:proofErr w:type="gramEnd"/>
      <w:r w:rsidRPr="006C6765">
        <w:t>:</w:t>
      </w:r>
    </w:p>
    <w:p w:rsidR="006C6765" w:rsidRPr="006C6765" w:rsidRDefault="006C6765" w:rsidP="001E4353">
      <w:pPr>
        <w:pStyle w:val="ListBullet"/>
        <w:ind w:left="1208" w:hanging="357"/>
      </w:pPr>
      <w:r w:rsidRPr="006C6765">
        <w:t>Hepatitis (Earliest onset any Grade: Day 63, Worst Grade: 3)</w:t>
      </w:r>
    </w:p>
    <w:p w:rsidR="006C6765" w:rsidRPr="006C6765" w:rsidRDefault="006C6765" w:rsidP="001E4353">
      <w:pPr>
        <w:pStyle w:val="ListBullet"/>
        <w:ind w:left="1208" w:hanging="357"/>
      </w:pPr>
      <w:r w:rsidRPr="006C6765">
        <w:t>Dermatitis</w:t>
      </w:r>
      <w:r w:rsidR="0048681A">
        <w:t xml:space="preserve"> (Grade 2, not related, Day 71)</w:t>
      </w:r>
    </w:p>
    <w:p w:rsidR="006C6765" w:rsidRPr="006C6765" w:rsidRDefault="006C6765" w:rsidP="001E4353">
      <w:pPr>
        <w:ind w:left="851"/>
      </w:pPr>
      <w:r w:rsidRPr="006C6765">
        <w:lastRenderedPageBreak/>
        <w:t>On Day 335, 82 days post 9th dose of study therapy, the subj</w:t>
      </w:r>
      <w:r w:rsidR="001E4353">
        <w:t xml:space="preserve">ect was admitted to the </w:t>
      </w:r>
      <w:r w:rsidRPr="006C6765">
        <w:t xml:space="preserve">hospital with a </w:t>
      </w:r>
      <w:r w:rsidR="00C22CAE" w:rsidRPr="006C6765">
        <w:t>hypoglycaemic</w:t>
      </w:r>
      <w:r w:rsidRPr="006C6765">
        <w:t xml:space="preserve"> seizure (Grade 4). He was in a coma, a</w:t>
      </w:r>
      <w:r w:rsidR="001E4353">
        <w:t xml:space="preserve">nd laboratory tests showed very </w:t>
      </w:r>
      <w:r w:rsidRPr="006C6765">
        <w:t>low sodium and blood glucose levels (lab values not available). Intrav</w:t>
      </w:r>
      <w:r w:rsidR="001E4353">
        <w:t xml:space="preserve">enous fluids, levothyroxine and </w:t>
      </w:r>
      <w:r w:rsidRPr="006C6765">
        <w:t>hydrocortisone were given as treatment for the event and st</w:t>
      </w:r>
      <w:r w:rsidR="001E4353">
        <w:t xml:space="preserve">udy therapy was interrupted. On </w:t>
      </w:r>
      <w:r w:rsidRPr="006C6765">
        <w:t>Day 336, a magnetic resonance imaging of the bra</w:t>
      </w:r>
      <w:r w:rsidR="001E4353">
        <w:t xml:space="preserve">in showed evidence of prominent </w:t>
      </w:r>
      <w:r w:rsidRPr="006C6765">
        <w:t>right maxillary sinusitis and right ethmoid sinusitis, no abnorma</w:t>
      </w:r>
      <w:r w:rsidR="001E4353">
        <w:t xml:space="preserve">l post contrast enhancement, no </w:t>
      </w:r>
      <w:r w:rsidRPr="006C6765">
        <w:t>suspicious space occupying lesions, no areas of demyelin</w:t>
      </w:r>
      <w:r w:rsidR="001E4353">
        <w:t xml:space="preserve">ation and normal ventricles. On </w:t>
      </w:r>
      <w:r w:rsidRPr="006C6765">
        <w:t xml:space="preserve">Day 337, </w:t>
      </w:r>
      <w:r w:rsidR="001E4353" w:rsidRPr="006C6765">
        <w:t>hypoglycaemic</w:t>
      </w:r>
      <w:r w:rsidRPr="006C6765">
        <w:t xml:space="preserve"> seizure resolved and he was discharged from the hospital. He had no relevant medical history of diabetes and was not on any diabetic medi</w:t>
      </w:r>
      <w:r w:rsidR="001E4353">
        <w:t>cation. On Day 353</w:t>
      </w:r>
      <w:r w:rsidRPr="006C6765">
        <w:t>, his rand</w:t>
      </w:r>
      <w:r w:rsidR="001E4353">
        <w:t xml:space="preserve">om glucose level was low </w:t>
      </w:r>
      <w:proofErr w:type="gramStart"/>
      <w:r w:rsidR="001E4353">
        <w:t>at 3.9 µ</w:t>
      </w:r>
      <w:r w:rsidRPr="006C6765">
        <w:t>mol/L</w:t>
      </w:r>
      <w:proofErr w:type="gramEnd"/>
      <w:r w:rsidRPr="006C6765">
        <w:t xml:space="preserve"> (normal: 4.1-7.7 </w:t>
      </w:r>
      <w:r w:rsidR="001E4353">
        <w:t>µ</w:t>
      </w:r>
      <w:r w:rsidRPr="006C6765">
        <w:t>mol/L). On that same day 100 days post 9th dose of the study therapy, the subject was diagnosed with endocrine disorder (Grade 2).</w:t>
      </w:r>
      <w:r w:rsidR="00BB7B81">
        <w:t>’</w:t>
      </w:r>
    </w:p>
    <w:p w:rsidR="006C6765" w:rsidRPr="006C6765" w:rsidRDefault="006C6765" w:rsidP="001E4353">
      <w:pPr>
        <w:pStyle w:val="Numberbullet2"/>
      </w:pPr>
      <w:r w:rsidRPr="006C6765">
        <w:t>Case 6 - The summary narrative does not list a Gr4 irAE. Does this indicate it was accounted for?</w:t>
      </w:r>
    </w:p>
    <w:p w:rsidR="006C6765" w:rsidRPr="001E4353" w:rsidRDefault="006C6765" w:rsidP="001E4353">
      <w:pPr>
        <w:ind w:left="851"/>
        <w:rPr>
          <w:i/>
        </w:rPr>
      </w:pPr>
      <w:r w:rsidRPr="006C6765">
        <w:t>CA184024</w:t>
      </w:r>
      <w:r w:rsidR="00F826CF">
        <w:t xml:space="preserve"> </w:t>
      </w:r>
      <w:r w:rsidR="001E4353">
        <w:t xml:space="preserve">[information redacted]: </w:t>
      </w:r>
      <w:r w:rsidRPr="001E4353">
        <w:rPr>
          <w:i/>
        </w:rPr>
        <w:t>Was the colitis listed as an imAR? It is not listed below as such but the narrative indicates that the reason for narrative was for a serious irAE.</w:t>
      </w:r>
      <w:r w:rsidR="001E4353" w:rsidRPr="001E4353">
        <w:rPr>
          <w:i/>
        </w:rPr>
        <w:t xml:space="preserve"> </w:t>
      </w:r>
      <w:r w:rsidRPr="001E4353">
        <w:rPr>
          <w:i/>
        </w:rPr>
        <w:t>The listing only reads as:</w:t>
      </w:r>
    </w:p>
    <w:p w:rsidR="006C6765" w:rsidRPr="006C6765" w:rsidRDefault="00BB7B81" w:rsidP="001E4353">
      <w:pPr>
        <w:ind w:left="851"/>
      </w:pPr>
      <w:r>
        <w:t>‘</w:t>
      </w:r>
      <w:r w:rsidR="006C6765" w:rsidRPr="006C6765">
        <w:t>Event:</w:t>
      </w:r>
    </w:p>
    <w:p w:rsidR="006C6765" w:rsidRPr="006C6765" w:rsidRDefault="006C6765" w:rsidP="001E4353">
      <w:pPr>
        <w:pStyle w:val="ListBullet"/>
        <w:ind w:left="1208" w:hanging="357"/>
      </w:pPr>
      <w:r w:rsidRPr="006C6765">
        <w:t>Diarrhoea (Grade 1), probably related, Day 472)</w:t>
      </w:r>
    </w:p>
    <w:p w:rsidR="006C6765" w:rsidRPr="006C6765" w:rsidRDefault="006C6765" w:rsidP="001E4353">
      <w:pPr>
        <w:pStyle w:val="ListBullet"/>
        <w:ind w:left="1208" w:hanging="357"/>
      </w:pPr>
      <w:r w:rsidRPr="006C6765">
        <w:t>Colitis (Grade 4, probably related, Day 482)</w:t>
      </w:r>
    </w:p>
    <w:p w:rsidR="006C6765" w:rsidRPr="006C6765" w:rsidRDefault="006C6765" w:rsidP="001E4353">
      <w:pPr>
        <w:pStyle w:val="ListBullet"/>
        <w:ind w:left="1208" w:hanging="357"/>
      </w:pPr>
      <w:r w:rsidRPr="006C6765">
        <w:t>Diarrhoea (Grade 3, probably related, Day 482)</w:t>
      </w:r>
      <w:r w:rsidR="00BB7B81">
        <w:t>’</w:t>
      </w:r>
    </w:p>
    <w:p w:rsidR="006C6765" w:rsidRPr="006C6765" w:rsidRDefault="0048681A" w:rsidP="001E4353">
      <w:pPr>
        <w:ind w:left="851"/>
      </w:pPr>
      <w:r>
        <w:t>(No imAR category listed.)</w:t>
      </w:r>
    </w:p>
    <w:p w:rsidR="006C6765" w:rsidRPr="006C6765" w:rsidRDefault="00F826CF" w:rsidP="001E4353">
      <w:pPr>
        <w:pStyle w:val="Numberbullet2"/>
      </w:pPr>
      <w:r>
        <w:t>Case 7:</w:t>
      </w:r>
      <w:r w:rsidR="001E4353">
        <w:t xml:space="preserve"> </w:t>
      </w:r>
      <w:r w:rsidR="006C6765" w:rsidRPr="001E4353">
        <w:rPr>
          <w:i/>
        </w:rPr>
        <w:t>The investigator incorrectly annotates a Gr 4 AE/imAR. The sponsor annotates imAR appropriately. Are both events captured as listed? What was captured in the summ</w:t>
      </w:r>
      <w:r w:rsidR="005D1DF0">
        <w:rPr>
          <w:i/>
        </w:rPr>
        <w:t>ary of imARs;</w:t>
      </w:r>
      <w:r w:rsidR="006C6765" w:rsidRPr="001E4353">
        <w:rPr>
          <w:i/>
        </w:rPr>
        <w:t xml:space="preserve"> both an </w:t>
      </w:r>
      <w:r w:rsidR="00BB7B81" w:rsidRPr="001E4353">
        <w:rPr>
          <w:i/>
        </w:rPr>
        <w:t>‘</w:t>
      </w:r>
      <w:r w:rsidR="006C6765" w:rsidRPr="001E4353">
        <w:rPr>
          <w:i/>
        </w:rPr>
        <w:t>autoimmune disorder</w:t>
      </w:r>
      <w:r w:rsidR="00BB7B81" w:rsidRPr="001E4353">
        <w:rPr>
          <w:i/>
        </w:rPr>
        <w:t>’</w:t>
      </w:r>
      <w:r w:rsidR="006C6765" w:rsidRPr="001E4353">
        <w:rPr>
          <w:i/>
        </w:rPr>
        <w:t xml:space="preserve"> and </w:t>
      </w:r>
      <w:r w:rsidR="00BB7B81" w:rsidRPr="001E4353">
        <w:rPr>
          <w:i/>
        </w:rPr>
        <w:t>‘</w:t>
      </w:r>
      <w:r w:rsidR="006C6765" w:rsidRPr="001E4353">
        <w:rPr>
          <w:i/>
        </w:rPr>
        <w:t>hepatitis</w:t>
      </w:r>
      <w:r w:rsidR="00BB7B81" w:rsidRPr="001E4353">
        <w:rPr>
          <w:i/>
        </w:rPr>
        <w:t>’</w:t>
      </w:r>
      <w:r w:rsidR="006C6765" w:rsidRPr="001E4353">
        <w:rPr>
          <w:i/>
        </w:rPr>
        <w:t>?</w:t>
      </w:r>
    </w:p>
    <w:p w:rsidR="006C6765" w:rsidRPr="005D1DF0" w:rsidRDefault="006C6765" w:rsidP="001E4353">
      <w:pPr>
        <w:ind w:left="851"/>
        <w:rPr>
          <w:i/>
        </w:rPr>
      </w:pPr>
      <w:r w:rsidRPr="006C6765">
        <w:t>CA184024</w:t>
      </w:r>
      <w:r w:rsidR="00F826CF">
        <w:t xml:space="preserve"> </w:t>
      </w:r>
      <w:r w:rsidR="001E4353">
        <w:t xml:space="preserve">[information redacted]: </w:t>
      </w:r>
      <w:r w:rsidRPr="005D1DF0">
        <w:rPr>
          <w:i/>
        </w:rPr>
        <w:t xml:space="preserve">The investigator requested a SAE to be documented as an </w:t>
      </w:r>
      <w:r w:rsidR="00BB7B81" w:rsidRPr="005D1DF0">
        <w:rPr>
          <w:i/>
        </w:rPr>
        <w:t>‘</w:t>
      </w:r>
      <w:r w:rsidRPr="005D1DF0">
        <w:rPr>
          <w:i/>
        </w:rPr>
        <w:t>autoimmune disorder</w:t>
      </w:r>
      <w:r w:rsidR="00BB7B81" w:rsidRPr="005D1DF0">
        <w:rPr>
          <w:i/>
        </w:rPr>
        <w:t>’</w:t>
      </w:r>
      <w:r w:rsidRPr="005D1DF0">
        <w:rPr>
          <w:i/>
        </w:rPr>
        <w:t xml:space="preserve"> AE but is clearly </w:t>
      </w:r>
      <w:r w:rsidR="00BB7B81" w:rsidRPr="005D1DF0">
        <w:rPr>
          <w:i/>
        </w:rPr>
        <w:t>‘</w:t>
      </w:r>
      <w:r w:rsidRPr="005D1DF0">
        <w:rPr>
          <w:i/>
        </w:rPr>
        <w:t>hepatitis</w:t>
      </w:r>
      <w:r w:rsidR="00BB7B81" w:rsidRPr="005D1DF0">
        <w:rPr>
          <w:i/>
        </w:rPr>
        <w:t>’</w:t>
      </w:r>
      <w:r w:rsidR="001E4353" w:rsidRPr="005D1DF0">
        <w:rPr>
          <w:i/>
        </w:rPr>
        <w:t xml:space="preserve">. </w:t>
      </w:r>
      <w:r w:rsidRPr="005D1DF0">
        <w:rPr>
          <w:i/>
        </w:rPr>
        <w:t xml:space="preserve">There are no other endocrine events described to account for the </w:t>
      </w:r>
      <w:r w:rsidR="00BB7B81" w:rsidRPr="005D1DF0">
        <w:rPr>
          <w:i/>
        </w:rPr>
        <w:t>‘</w:t>
      </w:r>
      <w:r w:rsidRPr="005D1DF0">
        <w:rPr>
          <w:i/>
        </w:rPr>
        <w:t>autoimmune disorder</w:t>
      </w:r>
      <w:r w:rsidR="00BB7B81" w:rsidRPr="005D1DF0">
        <w:rPr>
          <w:i/>
        </w:rPr>
        <w:t>’</w:t>
      </w:r>
      <w:r w:rsidR="001E4353" w:rsidRPr="005D1DF0">
        <w:rPr>
          <w:i/>
        </w:rPr>
        <w:t xml:space="preserve"> </w:t>
      </w:r>
      <w:r w:rsidRPr="005D1DF0">
        <w:rPr>
          <w:i/>
        </w:rPr>
        <w:t xml:space="preserve">and the narrative states that hyperbilirubinemia and transaminitis are documented as the </w:t>
      </w:r>
      <w:r w:rsidR="00BB7B81" w:rsidRPr="005D1DF0">
        <w:rPr>
          <w:i/>
        </w:rPr>
        <w:t>‘</w:t>
      </w:r>
      <w:r w:rsidRPr="005D1DF0">
        <w:rPr>
          <w:i/>
        </w:rPr>
        <w:t>endocrine</w:t>
      </w:r>
      <w:r w:rsidR="00BB7B81" w:rsidRPr="005D1DF0">
        <w:rPr>
          <w:i/>
        </w:rPr>
        <w:t>’</w:t>
      </w:r>
      <w:r w:rsidRPr="005D1DF0">
        <w:rPr>
          <w:i/>
        </w:rPr>
        <w:t xml:space="preserve"> AE </w:t>
      </w:r>
      <w:r w:rsidR="0048681A" w:rsidRPr="005D1DF0">
        <w:rPr>
          <w:i/>
        </w:rPr>
        <w:t>at the investigator’s request.</w:t>
      </w:r>
    </w:p>
    <w:p w:rsidR="006C6765" w:rsidRPr="006C6765" w:rsidRDefault="00BB7B81" w:rsidP="001E4353">
      <w:pPr>
        <w:ind w:left="851"/>
      </w:pPr>
      <w:r>
        <w:t>‘</w:t>
      </w:r>
      <w:r w:rsidR="006C6765" w:rsidRPr="006C6765">
        <w:t>Event:</w:t>
      </w:r>
    </w:p>
    <w:p w:rsidR="006C6765" w:rsidRPr="006C6765" w:rsidRDefault="00F826CF" w:rsidP="001E4353">
      <w:pPr>
        <w:ind w:left="851"/>
      </w:pPr>
      <w:r w:rsidRPr="006C6765">
        <w:t>Hyperbilirubinaemia</w:t>
      </w:r>
      <w:r w:rsidR="006C6765" w:rsidRPr="006C6765">
        <w:t xml:space="preserve"> (Grade 3, certainly related, Day 63)</w:t>
      </w:r>
    </w:p>
    <w:p w:rsidR="006C6765" w:rsidRPr="006C6765" w:rsidRDefault="006C6765" w:rsidP="001E4353">
      <w:pPr>
        <w:ind w:left="851"/>
      </w:pPr>
      <w:r w:rsidRPr="006C6765">
        <w:t>Autoimmune Disorder (Grade 4, certainly related, Day 63)</w:t>
      </w:r>
    </w:p>
    <w:p w:rsidR="006C6765" w:rsidRPr="006C6765" w:rsidRDefault="006C6765" w:rsidP="001E4353">
      <w:pPr>
        <w:ind w:left="851"/>
      </w:pPr>
      <w:r w:rsidRPr="006C6765">
        <w:t xml:space="preserve">Pain in extremity (Grade 4, </w:t>
      </w:r>
      <w:proofErr w:type="gramStart"/>
      <w:r w:rsidRPr="006C6765">
        <w:t>Not</w:t>
      </w:r>
      <w:proofErr w:type="gramEnd"/>
      <w:r w:rsidRPr="006C6765">
        <w:t xml:space="preserve"> related, Day 82)</w:t>
      </w:r>
    </w:p>
    <w:p w:rsidR="006C6765" w:rsidRPr="006C6765" w:rsidRDefault="006C6765" w:rsidP="001E4353">
      <w:pPr>
        <w:ind w:left="851"/>
      </w:pPr>
      <w:r w:rsidRPr="006C6765">
        <w:t>Autoimmune Disorder (Recurrent) (Grade 3, certainly related, Day 118)</w:t>
      </w:r>
    </w:p>
    <w:p w:rsidR="006C6765" w:rsidRPr="006C6765" w:rsidRDefault="006C6765" w:rsidP="001E4353">
      <w:pPr>
        <w:ind w:left="851"/>
      </w:pPr>
      <w:r w:rsidRPr="006C6765">
        <w:t>Alanine aminotransferase increased (Grade 4, certainly related, Day 126)</w:t>
      </w:r>
    </w:p>
    <w:p w:rsidR="006C6765" w:rsidRPr="006C6765" w:rsidRDefault="006C6765" w:rsidP="001E4353">
      <w:pPr>
        <w:ind w:left="851"/>
      </w:pPr>
      <w:r w:rsidRPr="006C6765">
        <w:t>Alanine aminotransferase increased (Grade 2, certainly related, Day 133)</w:t>
      </w:r>
    </w:p>
    <w:p w:rsidR="006C6765" w:rsidRPr="006C6765" w:rsidRDefault="006C6765" w:rsidP="001E4353">
      <w:pPr>
        <w:ind w:left="851"/>
      </w:pPr>
      <w:r w:rsidRPr="006C6765">
        <w:t>Alanine aminotransferase increased (Grade 1, certainly related, Day 140)</w:t>
      </w:r>
    </w:p>
    <w:p w:rsidR="006C6765" w:rsidRPr="006C6765" w:rsidRDefault="006C6765" w:rsidP="001E4353">
      <w:pPr>
        <w:ind w:left="851"/>
      </w:pPr>
      <w:proofErr w:type="gramStart"/>
      <w:r w:rsidRPr="006C6765">
        <w:t>imAR</w:t>
      </w:r>
      <w:proofErr w:type="gramEnd"/>
      <w:r w:rsidRPr="006C6765">
        <w:t>:</w:t>
      </w:r>
    </w:p>
    <w:p w:rsidR="006C6765" w:rsidRPr="006C6765" w:rsidRDefault="006C6765" w:rsidP="001E4353">
      <w:pPr>
        <w:ind w:left="851"/>
      </w:pPr>
      <w:r w:rsidRPr="006C6765">
        <w:t>Hepatitis (Earliest onset any Grade: Day 63, Worst Grade: 4)</w:t>
      </w:r>
    </w:p>
    <w:p w:rsidR="006C6765" w:rsidRPr="006C6765" w:rsidRDefault="006C6765" w:rsidP="001E4353">
      <w:pPr>
        <w:ind w:left="851"/>
      </w:pPr>
      <w:r w:rsidRPr="006C6765">
        <w:t>Dermatitis (Grade 2, certainly related, Day 25)</w:t>
      </w:r>
      <w:r w:rsidR="00BB7B81">
        <w:t>’</w:t>
      </w:r>
    </w:p>
    <w:p w:rsidR="006C6765" w:rsidRPr="006C6765" w:rsidRDefault="005D1DF0" w:rsidP="005D1DF0">
      <w:pPr>
        <w:pStyle w:val="Numberbullet2"/>
      </w:pPr>
      <w:r>
        <w:lastRenderedPageBreak/>
        <w:t xml:space="preserve">Case 8; </w:t>
      </w:r>
      <w:r w:rsidR="006C6765" w:rsidRPr="006C6765">
        <w:t>Documentation of a potential GI perforation is unclear, as well as cause of GI haemorrhage that is captured on the same day as Gr4 enterocolitis.</w:t>
      </w:r>
    </w:p>
    <w:p w:rsidR="006C6765" w:rsidRPr="005D1DF0" w:rsidRDefault="006C6765" w:rsidP="005D1DF0">
      <w:pPr>
        <w:ind w:left="851"/>
        <w:rPr>
          <w:i/>
        </w:rPr>
      </w:pPr>
      <w:r w:rsidRPr="006C6765">
        <w:t>CA184024</w:t>
      </w:r>
      <w:r w:rsidR="00F826CF">
        <w:t xml:space="preserve"> [information redacted] </w:t>
      </w:r>
      <w:r w:rsidRPr="005D1DF0">
        <w:rPr>
          <w:i/>
        </w:rPr>
        <w:t xml:space="preserve">was treated on the study arm. It is unclear from the narrative whether a perforated viscous was considered as a potential event as described within the narrative. No GI perforations were described for this study within the CSR. The patient is noted to have both grade 4 enterocolitis and the intestinal haemorrhage described on the same study day, although the investigator’s conclusion is noted. </w:t>
      </w:r>
      <w:r w:rsidR="005D1DF0" w:rsidRPr="005D1DF0">
        <w:rPr>
          <w:i/>
        </w:rPr>
        <w:t>Anaemia</w:t>
      </w:r>
      <w:r w:rsidRPr="005D1DF0">
        <w:rPr>
          <w:i/>
        </w:rPr>
        <w:t xml:space="preserve"> is not captured. Did the patient have a</w:t>
      </w:r>
      <w:r w:rsidR="0048681A" w:rsidRPr="005D1DF0">
        <w:rPr>
          <w:i/>
        </w:rPr>
        <w:t xml:space="preserve"> perforation?</w:t>
      </w:r>
    </w:p>
    <w:p w:rsidR="006C6765" w:rsidRPr="006C6765" w:rsidRDefault="00BB7B81" w:rsidP="005D1DF0">
      <w:pPr>
        <w:ind w:left="851"/>
      </w:pPr>
      <w:r>
        <w:t>‘</w:t>
      </w:r>
      <w:r w:rsidR="006C6765" w:rsidRPr="006C6765">
        <w:t>Event:</w:t>
      </w:r>
    </w:p>
    <w:p w:rsidR="006C6765" w:rsidRPr="006C6765" w:rsidRDefault="006C6765" w:rsidP="005D1DF0">
      <w:pPr>
        <w:ind w:left="851"/>
      </w:pPr>
      <w:r w:rsidRPr="006C6765">
        <w:t>Abdominal pain (Grade 3, not likely related, Day 66)</w:t>
      </w:r>
    </w:p>
    <w:p w:rsidR="006C6765" w:rsidRPr="006C6765" w:rsidRDefault="006C6765" w:rsidP="005D1DF0">
      <w:pPr>
        <w:ind w:left="851"/>
      </w:pPr>
      <w:r w:rsidRPr="006C6765">
        <w:t>Malaise (Grade 1, not likely related, Day 66)</w:t>
      </w:r>
    </w:p>
    <w:p w:rsidR="006C6765" w:rsidRPr="006C6765" w:rsidRDefault="006C6765" w:rsidP="005D1DF0">
      <w:pPr>
        <w:ind w:left="851"/>
      </w:pPr>
      <w:r w:rsidRPr="006C6765">
        <w:t>Hepatitis (Grade 3, probably related, Day 66)</w:t>
      </w:r>
    </w:p>
    <w:p w:rsidR="006C6765" w:rsidRPr="006C6765" w:rsidRDefault="006C6765" w:rsidP="005D1DF0">
      <w:pPr>
        <w:ind w:left="851"/>
      </w:pPr>
      <w:r w:rsidRPr="006C6765">
        <w:t>Intestinal haemorrhage (Grade 4, not likely related, Day 74)</w:t>
      </w:r>
    </w:p>
    <w:p w:rsidR="006C6765" w:rsidRPr="006C6765" w:rsidRDefault="006C6765" w:rsidP="005D1DF0">
      <w:pPr>
        <w:ind w:left="851"/>
      </w:pPr>
      <w:proofErr w:type="gramStart"/>
      <w:r w:rsidRPr="006C6765">
        <w:t>imAR</w:t>
      </w:r>
      <w:proofErr w:type="gramEnd"/>
      <w:r w:rsidRPr="006C6765">
        <w:t>:</w:t>
      </w:r>
    </w:p>
    <w:p w:rsidR="006C6765" w:rsidRPr="006C6765" w:rsidRDefault="006C6765" w:rsidP="005D1DF0">
      <w:pPr>
        <w:ind w:left="851"/>
      </w:pPr>
      <w:r w:rsidRPr="006C6765">
        <w:t>Hepatitis (E</w:t>
      </w:r>
      <w:r w:rsidR="005D1DF0">
        <w:t>arliest onset any Grade: Day 46</w:t>
      </w:r>
      <w:r w:rsidRPr="006C6765">
        <w:t>, Worst Grade: 3)</w:t>
      </w:r>
    </w:p>
    <w:p w:rsidR="006C6765" w:rsidRPr="006C6765" w:rsidRDefault="006C6765" w:rsidP="005D1DF0">
      <w:pPr>
        <w:ind w:left="851"/>
      </w:pPr>
      <w:r w:rsidRPr="006C6765">
        <w:t>Enterocolitis (Grade</w:t>
      </w:r>
      <w:r w:rsidR="0048681A">
        <w:t xml:space="preserve"> 4, not likely related, Day 74)</w:t>
      </w:r>
    </w:p>
    <w:p w:rsidR="006C6765" w:rsidRPr="006C6765" w:rsidRDefault="006C6765" w:rsidP="005D1DF0">
      <w:pPr>
        <w:ind w:left="851"/>
      </w:pPr>
      <w:r w:rsidRPr="006C6765">
        <w:t>He developed an autoimmune hepatitis that was controlled with corticosteroids. An ultrasound of the liver was performed and revealed no liver metastases. He was started on levocetirizine dihydroch</w:t>
      </w:r>
      <w:r w:rsidR="005D1DF0">
        <w:t>loride from Day 60</w:t>
      </w:r>
      <w:r w:rsidRPr="006C6765">
        <w:t xml:space="preserve"> to Day 74, methylprednisolone (dose not av</w:t>
      </w:r>
      <w:r w:rsidR="005D1DF0">
        <w:t>ailable) on Day 68</w:t>
      </w:r>
      <w:r w:rsidRPr="006C6765">
        <w:t>, which was switched over to prednisolone (dose not av</w:t>
      </w:r>
      <w:r w:rsidR="005D1DF0">
        <w:t>ailable) on Day 73</w:t>
      </w:r>
      <w:r w:rsidRPr="006C6765">
        <w:t>. Prednisolone was stopped on the same day. During the hospital admission, he developed acute abdominal symptoms which appeared to be based on bleeding in the peritoneal cavity, possibly as a result of a metastasis in combination with a perforation haemorrhage. The investigator stated that the abdominal bleeding could have been caused because of prolonged clotting times for which the su</w:t>
      </w:r>
      <w:r w:rsidR="0048681A">
        <w:t>bject was taking acenocoumarol.</w:t>
      </w:r>
    </w:p>
    <w:p w:rsidR="006C6765" w:rsidRPr="006C6765" w:rsidRDefault="005D1DF0" w:rsidP="005D1DF0">
      <w:pPr>
        <w:ind w:left="851"/>
      </w:pPr>
      <w:r>
        <w:t>On Day 74</w:t>
      </w:r>
      <w:r w:rsidR="006C6765" w:rsidRPr="006C6765">
        <w:t>, 28 days after the 3rd dose of study therapy, he was diagnosed with intestinal haemorrhage (Grade 4). The activated partial thromboplastin time was 42 seconds (Normal Range 0-40 seconds) and prothrombin time was 76 seconds (normal and baseline values are not available). His treatment included potassium ch</w:t>
      </w:r>
      <w:r>
        <w:t>loride from Day 68</w:t>
      </w:r>
      <w:r w:rsidR="006C6765" w:rsidRPr="006C6765">
        <w:t xml:space="preserve">, </w:t>
      </w:r>
      <w:r>
        <w:t>hydrocortisone from Day 75 to Day 78</w:t>
      </w:r>
      <w:r w:rsidR="006C6765" w:rsidRPr="006C6765">
        <w:t>, and flucloxacillin s</w:t>
      </w:r>
      <w:r>
        <w:t>odium from Day 77to Day 81</w:t>
      </w:r>
      <w:r w:rsidR="006C6765" w:rsidRPr="006C6765">
        <w:t>. He also received pro</w:t>
      </w:r>
      <w:r>
        <w:t>thrombin on Day 74</w:t>
      </w:r>
      <w:r w:rsidR="006C6765" w:rsidRPr="006C6765">
        <w:t>, gentamici</w:t>
      </w:r>
      <w:r>
        <w:t>n sodium on Day 74</w:t>
      </w:r>
      <w:r w:rsidR="006C6765" w:rsidRPr="006C6765">
        <w:t>, metro</w:t>
      </w:r>
      <w:r>
        <w:t>nidazole on Day 74</w:t>
      </w:r>
      <w:r w:rsidR="006C6765" w:rsidRPr="006C6765">
        <w:t xml:space="preserve">, ceftriaxone </w:t>
      </w:r>
      <w:r>
        <w:t>sodium from Day 74 to Day 80</w:t>
      </w:r>
      <w:r w:rsidR="006C6765" w:rsidRPr="006C6765">
        <w:t>, red blood</w:t>
      </w:r>
      <w:r>
        <w:t xml:space="preserve"> cells from Day 74 to Day 75</w:t>
      </w:r>
      <w:r w:rsidR="006C6765" w:rsidRPr="006C6765">
        <w:t>, me</w:t>
      </w:r>
      <w:r>
        <w:t>peridine on Day 74</w:t>
      </w:r>
      <w:r w:rsidR="006C6765" w:rsidRPr="006C6765">
        <w:t>, plasma fres</w:t>
      </w:r>
      <w:r>
        <w:t>h frozen on Day 74</w:t>
      </w:r>
      <w:r w:rsidR="006C6765" w:rsidRPr="006C6765">
        <w:t>, 10 mg predni</w:t>
      </w:r>
      <w:r>
        <w:t>solone from Day 79 to Day 110</w:t>
      </w:r>
      <w:r w:rsidR="00F826CF" w:rsidRPr="006C6765">
        <w:t xml:space="preserve"> and</w:t>
      </w:r>
      <w:r w:rsidR="006C6765" w:rsidRPr="006C6765">
        <w:t xml:space="preserve"> p</w:t>
      </w:r>
      <w:r>
        <w:t>hosphate on Day 81. On Day 75</w:t>
      </w:r>
      <w:r w:rsidR="006C6765" w:rsidRPr="006C6765">
        <w:t xml:space="preserve">, explorative surgery took place find the extension and cause of the bleeding. During the explorative laparotomy, three </w:t>
      </w:r>
      <w:r w:rsidR="00F826CF" w:rsidRPr="006C6765">
        <w:t>litres</w:t>
      </w:r>
      <w:r w:rsidR="006C6765" w:rsidRPr="006C6765">
        <w:t xml:space="preserve"> of blood were removed and it appeared that the bleeding was successfully stopped. A biopsy of the haemorrhage showed no indication of metastasis. At the last computed tomography (CT) scan assessment; there was an indication of an increase in the metastases by 24%. The intestinal haemorrhage and </w:t>
      </w:r>
      <w:r w:rsidR="007F08C8">
        <w:t xml:space="preserve">abdominal </w:t>
      </w:r>
      <w:r w:rsidR="006C6765" w:rsidRPr="006C6765">
        <w:t xml:space="preserve">pain </w:t>
      </w:r>
      <w:r>
        <w:t>resolved on Day 75</w:t>
      </w:r>
      <w:r w:rsidR="006C6765" w:rsidRPr="006C6765">
        <w:t>. The study therapy was discontinued due the event of hepatitis. The event of</w:t>
      </w:r>
      <w:r>
        <w:t xml:space="preserve"> malaise resolved on Day 82. On Day 186</w:t>
      </w:r>
      <w:r w:rsidR="006C6765" w:rsidRPr="006C6765">
        <w:t>, his lab values continued to be normal (values not available) and further treatment was not required. The event of hepatitis r</w:t>
      </w:r>
      <w:r>
        <w:t>esolved on Day 186</w:t>
      </w:r>
      <w:r w:rsidR="006C6765" w:rsidRPr="006C6765">
        <w:t>.</w:t>
      </w:r>
    </w:p>
    <w:p w:rsidR="006C6765" w:rsidRPr="006C6765" w:rsidRDefault="006C6765" w:rsidP="005D1DF0">
      <w:pPr>
        <w:ind w:left="851"/>
      </w:pPr>
      <w:r w:rsidRPr="006C6765">
        <w:t xml:space="preserve">The investigator considered that the event of hepatitis was probably related and events of abdominal pain, malaise and intestinal haemorrhage were not likely related to the </w:t>
      </w:r>
      <w:r w:rsidR="00A60A6A">
        <w:t>ipilimumab</w:t>
      </w:r>
      <w:r w:rsidRPr="006C6765">
        <w:t xml:space="preserve"> and Dacarbazine study therapy.</w:t>
      </w:r>
      <w:r w:rsidR="00BB7B81">
        <w:t>’</w:t>
      </w:r>
    </w:p>
    <w:p w:rsidR="006C6765" w:rsidRPr="006C6765" w:rsidRDefault="005D1DF0" w:rsidP="005D1DF0">
      <w:pPr>
        <w:pStyle w:val="Numberbullet2"/>
      </w:pPr>
      <w:r>
        <w:lastRenderedPageBreak/>
        <w:t>Case 14;</w:t>
      </w:r>
      <w:r w:rsidR="006C6765" w:rsidRPr="006C6765">
        <w:t xml:space="preserve"> Grade 3 diarrhoea related to study treatment is suspicious for contributing to patient’s death.</w:t>
      </w:r>
    </w:p>
    <w:p w:rsidR="006C6765" w:rsidRPr="005D1DF0" w:rsidRDefault="006C6765" w:rsidP="00F37FC0">
      <w:pPr>
        <w:ind w:left="851"/>
        <w:rPr>
          <w:i/>
        </w:rPr>
      </w:pPr>
      <w:r w:rsidRPr="006C6765">
        <w:t>CA184024</w:t>
      </w:r>
      <w:r w:rsidR="005D1DF0">
        <w:t>[information redacted]</w:t>
      </w:r>
      <w:r w:rsidRPr="006C6765">
        <w:t xml:space="preserve">: </w:t>
      </w:r>
      <w:r w:rsidRPr="005D1DF0">
        <w:rPr>
          <w:i/>
        </w:rPr>
        <w:t xml:space="preserve">This patient was hospitalised within 10 days of a previous admission for recurrent Gr 3 diarrhoea due to colitis secondary to the study drug. He failed to be weaned off systemic corticosteroids, required mesalamine and infliximab. The Gr 3 diarrhoea did not resolve until the patient's death. The peripheral oedema and hypokalaemia that developed 8 days after re-admission was suggestive of the patient's decompensation as a result of the diarrhoea. The patient died 18 days after the infliximab. Disease progression was noted in the liver on same day as re-hospitalisation but liver function tests were within the relatively normal range. Could this death not be considered second to the study drug or at least Gr4 colitis? The AE of hypokalaemia has not been annotated. Can the </w:t>
      </w:r>
      <w:r w:rsidR="00BB7B81" w:rsidRPr="005D1DF0">
        <w:rPr>
          <w:i/>
        </w:rPr>
        <w:t>sponsor</w:t>
      </w:r>
      <w:r w:rsidRPr="005D1DF0">
        <w:rPr>
          <w:i/>
        </w:rPr>
        <w:t xml:space="preserve"> please provide more information and explanation for these?</w:t>
      </w:r>
    </w:p>
    <w:p w:rsidR="006C6765" w:rsidRPr="006C6765" w:rsidRDefault="00BB7B81" w:rsidP="00F37FC0">
      <w:pPr>
        <w:ind w:left="851"/>
      </w:pPr>
      <w:r>
        <w:t>‘</w:t>
      </w:r>
      <w:r w:rsidR="006C6765" w:rsidRPr="006C6765">
        <w:t>Event:</w:t>
      </w:r>
    </w:p>
    <w:p w:rsidR="006C6765" w:rsidRPr="006C6765" w:rsidRDefault="006C6765" w:rsidP="00F37FC0">
      <w:pPr>
        <w:pStyle w:val="ListBullet"/>
        <w:ind w:left="851"/>
      </w:pPr>
      <w:r w:rsidRPr="006C6765">
        <w:t>Diarrhoea (Grade 2, probably related, Day 2)</w:t>
      </w:r>
    </w:p>
    <w:p w:rsidR="006C6765" w:rsidRPr="006C6765" w:rsidRDefault="006C6765" w:rsidP="00F37FC0">
      <w:pPr>
        <w:pStyle w:val="ListBullet"/>
        <w:ind w:left="851"/>
      </w:pPr>
      <w:r w:rsidRPr="006C6765">
        <w:t>Diarrhoea (Grade 3, probably related, Day 24)</w:t>
      </w:r>
    </w:p>
    <w:p w:rsidR="006C6765" w:rsidRPr="006C6765" w:rsidRDefault="006C6765" w:rsidP="00F37FC0">
      <w:pPr>
        <w:pStyle w:val="ListBullet"/>
        <w:ind w:left="851"/>
      </w:pPr>
      <w:r w:rsidRPr="006C6765">
        <w:t>Vomiting (Grade 3, possibly related, Day 24)</w:t>
      </w:r>
    </w:p>
    <w:p w:rsidR="006C6765" w:rsidRPr="006C6765" w:rsidRDefault="006C6765" w:rsidP="00F37FC0">
      <w:pPr>
        <w:pStyle w:val="ListBullet"/>
        <w:ind w:left="851"/>
      </w:pPr>
      <w:r w:rsidRPr="006C6765">
        <w:t>Diarrhoea (Grade 3, certainly related, Day 38)</w:t>
      </w:r>
    </w:p>
    <w:p w:rsidR="006C6765" w:rsidRPr="006C6765" w:rsidRDefault="006C6765" w:rsidP="00F37FC0">
      <w:pPr>
        <w:pStyle w:val="ListBullet"/>
        <w:ind w:left="851"/>
      </w:pPr>
      <w:r w:rsidRPr="006C6765">
        <w:t>Oedema peripheral (Grade 3, not related, Day 38)</w:t>
      </w:r>
    </w:p>
    <w:p w:rsidR="006C6765" w:rsidRPr="006C6765" w:rsidRDefault="006C6765" w:rsidP="00F37FC0">
      <w:pPr>
        <w:pStyle w:val="ListBullet"/>
        <w:ind w:left="851"/>
      </w:pPr>
      <w:r w:rsidRPr="006C6765">
        <w:t>Malignant neoplasm (Grade 5, not related, Day 60)</w:t>
      </w:r>
    </w:p>
    <w:p w:rsidR="006C6765" w:rsidRPr="006C6765" w:rsidRDefault="006C6765" w:rsidP="00F37FC0">
      <w:pPr>
        <w:ind w:left="851"/>
      </w:pPr>
      <w:proofErr w:type="gramStart"/>
      <w:r w:rsidRPr="006C6765">
        <w:t>imAR</w:t>
      </w:r>
      <w:proofErr w:type="gramEnd"/>
      <w:r w:rsidRPr="006C6765">
        <w:t>:</w:t>
      </w:r>
    </w:p>
    <w:p w:rsidR="006C6765" w:rsidRPr="006C6765" w:rsidRDefault="006C6765" w:rsidP="00F37FC0">
      <w:pPr>
        <w:pStyle w:val="ListBullet"/>
        <w:ind w:left="851"/>
      </w:pPr>
      <w:r w:rsidRPr="006C6765">
        <w:t xml:space="preserve">Enterocolitis (Earliest onset any </w:t>
      </w:r>
      <w:r w:rsidR="005D1DF0">
        <w:t>Grade: Day 24</w:t>
      </w:r>
      <w:r w:rsidR="0048681A">
        <w:t>, Worst Grade: 3)</w:t>
      </w:r>
    </w:p>
    <w:p w:rsidR="006C6765" w:rsidRPr="006C6765" w:rsidRDefault="006C6765" w:rsidP="00F37FC0">
      <w:pPr>
        <w:ind w:left="851"/>
      </w:pPr>
      <w:r w:rsidRPr="006C6765">
        <w:t>On Day 24, one day post 2nd dose of study therapy, h</w:t>
      </w:r>
      <w:r w:rsidR="005D1DF0">
        <w:t>e was again hospital</w:t>
      </w:r>
      <w:r w:rsidR="001A330A">
        <w:t>ise</w:t>
      </w:r>
      <w:r w:rsidR="005D1DF0">
        <w:t xml:space="preserve">d due to </w:t>
      </w:r>
      <w:r w:rsidRPr="006C6765">
        <w:t>diarrhoea (Grade 3) and vomiting (Grade 3). On the same day, his body temperature was 37.5° C, pulse was 90/min and oxygen saturation was 92% in room air. He was slightly dehydrated. His white blood cells (WBC) were within normal limits. He received int</w:t>
      </w:r>
      <w:r w:rsidR="005D1DF0">
        <w:t>ravenous fluids from Day 24 to Day 28, ondansetron from Day 24 to Day 29</w:t>
      </w:r>
      <w:r w:rsidRPr="006C6765">
        <w:t>, loperamide from Da</w:t>
      </w:r>
      <w:r w:rsidR="005D1DF0">
        <w:t>y 24 to Day 31</w:t>
      </w:r>
      <w:r w:rsidRPr="006C6765">
        <w:t>. A stool s</w:t>
      </w:r>
      <w:r w:rsidR="005D1DF0">
        <w:t xml:space="preserve">pecimen collected on Day 25 </w:t>
      </w:r>
      <w:r w:rsidRPr="006C6765">
        <w:t>showed no presence of Clostridium difficile toxins, Cryptosporidium, Oocysts, Salmonella, Shigella, Campylobacter or E.</w:t>
      </w:r>
      <w:r w:rsidR="00F37FC0">
        <w:t xml:space="preserve"> </w:t>
      </w:r>
      <w:r w:rsidRPr="006C6765">
        <w:t>coli. No WBCs, RBCs, pathogenic ova, cysts or parasites were seen in the stool sample. A sigmoidosc</w:t>
      </w:r>
      <w:r w:rsidR="00F37FC0">
        <w:t>opy was performed on Day 28</w:t>
      </w:r>
      <w:r w:rsidRPr="006C6765">
        <w:t xml:space="preserve"> which indicated a diagnosis of indeterminate colitis. Treatment included intravenous (IV) 8</w:t>
      </w:r>
      <w:r w:rsidR="005D1DF0">
        <w:t xml:space="preserve"> mg dexamethasone on Day 28</w:t>
      </w:r>
      <w:r w:rsidRPr="006C6765">
        <w:t xml:space="preserve"> and then oral dexamethasone for two weeks. He was discontinu</w:t>
      </w:r>
      <w:r w:rsidR="005D1DF0">
        <w:t>ed from the study on Day 24</w:t>
      </w:r>
      <w:r w:rsidRPr="006C6765">
        <w:t xml:space="preserve"> due to diarrhoea. The event of </w:t>
      </w:r>
      <w:r w:rsidR="005D1DF0">
        <w:t>vomiting resolved on Day 28</w:t>
      </w:r>
      <w:r w:rsidRPr="006C6765">
        <w:t xml:space="preserve"> and diarrhoea </w:t>
      </w:r>
      <w:r w:rsidR="005D1DF0">
        <w:t>resolved on Day 31</w:t>
      </w:r>
      <w:r w:rsidRPr="006C6765">
        <w:t>, and he was discharged to home on the same day.</w:t>
      </w:r>
    </w:p>
    <w:p w:rsidR="006C6765" w:rsidRPr="006C6765" w:rsidRDefault="006C6765" w:rsidP="00F37FC0">
      <w:pPr>
        <w:ind w:left="851"/>
      </w:pPr>
      <w:r w:rsidRPr="006C6765">
        <w:t xml:space="preserve">The investigator considered that the event of diarrhoea was probably related and the event of vomiting was possibly related to </w:t>
      </w:r>
      <w:r w:rsidR="00A60A6A">
        <w:t>ipilimumab</w:t>
      </w:r>
      <w:r w:rsidR="0048681A">
        <w:t xml:space="preserve"> and Dacarbazine study therapy.</w:t>
      </w:r>
    </w:p>
    <w:p w:rsidR="006C6765" w:rsidRPr="006C6765" w:rsidRDefault="005D1DF0" w:rsidP="00F37FC0">
      <w:pPr>
        <w:ind w:left="851"/>
      </w:pPr>
      <w:r>
        <w:t>On Day 38</w:t>
      </w:r>
      <w:r w:rsidR="006C6765" w:rsidRPr="006C6765">
        <w:t>, 15 days post 2nd dose of study therapy, he was readmitted to the hospital with more symptoms of drug induced diarrhoea (Grade 3) and with bilateral lower extremity oedema (Grade 3). Blood test p</w:t>
      </w:r>
      <w:r>
        <w:t>erformed on Day 36</w:t>
      </w:r>
      <w:r w:rsidR="006C6765" w:rsidRPr="006C6765">
        <w:t xml:space="preserve">, showed INR to be 1.3, haemoglobin to be 12.7 g/dL, alkaline phosphatase (ALP) 170 U/L, albumin 3.1 g/dL and urea was </w:t>
      </w:r>
      <w:proofErr w:type="gramStart"/>
      <w:r w:rsidR="006C6765" w:rsidRPr="006C6765">
        <w:t xml:space="preserve">6.8 </w:t>
      </w:r>
      <w:r w:rsidR="00F37FC0">
        <w:t>µ</w:t>
      </w:r>
      <w:r w:rsidR="006C6765" w:rsidRPr="006C6765">
        <w:t>mol/L.</w:t>
      </w:r>
      <w:proofErr w:type="gramEnd"/>
      <w:r w:rsidR="006C6765" w:rsidRPr="006C6765">
        <w:t xml:space="preserve"> A computed tomography (</w:t>
      </w:r>
      <w:r>
        <w:t>CT) scan on Day 38</w:t>
      </w:r>
      <w:r w:rsidR="006C6765" w:rsidRPr="006C6765">
        <w:t xml:space="preserve"> showed evidence of disease progression in the liver. Additional treatment for diarrhoea included 100 mg hydrocortis</w:t>
      </w:r>
      <w:r>
        <w:t>one IV from Day 38</w:t>
      </w:r>
      <w:r w:rsidR="006C6765" w:rsidRPr="006C6765">
        <w:t>. He also received loperamide and mesalamine for the second occurrence of dia</w:t>
      </w:r>
      <w:r w:rsidR="00F37FC0">
        <w:t>rrhoea from Day 39</w:t>
      </w:r>
      <w:r w:rsidR="006C6765" w:rsidRPr="006C6765">
        <w:t xml:space="preserve"> onwards. Infliximab was begun on </w:t>
      </w:r>
      <w:r w:rsidR="00F37FC0">
        <w:t>Day 42</w:t>
      </w:r>
      <w:r w:rsidR="006C6765" w:rsidRPr="006C6765">
        <w:t xml:space="preserve"> thru </w:t>
      </w:r>
      <w:r w:rsidR="00F37FC0">
        <w:t>Day 49</w:t>
      </w:r>
      <w:r w:rsidR="006C6765" w:rsidRPr="006C6765">
        <w:t xml:space="preserve">. On Day 45 lab values included potassium of 2.7 </w:t>
      </w:r>
      <w:r w:rsidR="00F37FC0">
        <w:lastRenderedPageBreak/>
        <w:t>µ</w:t>
      </w:r>
      <w:r w:rsidR="006C6765" w:rsidRPr="006C6765">
        <w:t xml:space="preserve">mol/L (baseline 4.2 </w:t>
      </w:r>
      <w:r w:rsidR="00F37FC0">
        <w:t>µ</w:t>
      </w:r>
      <w:r w:rsidR="006C6765" w:rsidRPr="006C6765">
        <w:t>mol/L), WBC count of 15.3</w:t>
      </w:r>
      <w:r w:rsidR="00F37FC0">
        <w:t xml:space="preserve"> x </w:t>
      </w:r>
      <w:r w:rsidR="006C6765" w:rsidRPr="006C6765">
        <w:t>10</w:t>
      </w:r>
      <w:r w:rsidR="006C6765" w:rsidRPr="00F37FC0">
        <w:rPr>
          <w:vertAlign w:val="superscript"/>
        </w:rPr>
        <w:t>9</w:t>
      </w:r>
      <w:r w:rsidR="006C6765" w:rsidRPr="006C6765">
        <w:t xml:space="preserve"> c/L (baseline on Day 1: 8.1</w:t>
      </w:r>
      <w:r w:rsidR="00F37FC0">
        <w:t xml:space="preserve"> </w:t>
      </w:r>
      <w:r w:rsidR="006C6765" w:rsidRPr="006C6765">
        <w:t>x</w:t>
      </w:r>
      <w:r w:rsidR="00F37FC0">
        <w:t xml:space="preserve"> </w:t>
      </w:r>
      <w:r w:rsidR="006C6765" w:rsidRPr="006C6765">
        <w:t>10</w:t>
      </w:r>
      <w:r w:rsidR="006C6765" w:rsidRPr="00F37FC0">
        <w:rPr>
          <w:vertAlign w:val="superscript"/>
        </w:rPr>
        <w:t>9</w:t>
      </w:r>
      <w:r w:rsidR="006C6765" w:rsidRPr="006C6765">
        <w:t>c/L), and neutrophil count of 12.7</w:t>
      </w:r>
      <w:r w:rsidR="00F37FC0">
        <w:t xml:space="preserve"> x </w:t>
      </w:r>
      <w:r w:rsidR="006C6765" w:rsidRPr="006C6765">
        <w:t>10</w:t>
      </w:r>
      <w:r w:rsidR="006C6765" w:rsidRPr="00F37FC0">
        <w:rPr>
          <w:vertAlign w:val="superscript"/>
        </w:rPr>
        <w:t>9</w:t>
      </w:r>
      <w:r w:rsidR="006C6765" w:rsidRPr="006C6765">
        <w:t xml:space="preserve"> c/L (baseline on Day 1: 6.3</w:t>
      </w:r>
      <w:r w:rsidR="00F37FC0">
        <w:t xml:space="preserve"> </w:t>
      </w:r>
      <w:r w:rsidR="006C6765" w:rsidRPr="006C6765">
        <w:t>x</w:t>
      </w:r>
      <w:r w:rsidR="00F37FC0">
        <w:t xml:space="preserve"> 10</w:t>
      </w:r>
      <w:r w:rsidR="00F37FC0" w:rsidRPr="00F37FC0">
        <w:rPr>
          <w:vertAlign w:val="superscript"/>
        </w:rPr>
        <w:t>9</w:t>
      </w:r>
      <w:r w:rsidR="00F37FC0">
        <w:t>c/L). On Day 46</w:t>
      </w:r>
      <w:r w:rsidR="006C6765" w:rsidRPr="006C6765">
        <w:t>, the bilateral leg oedema which is related to the underlying progressive disease was treated with intravenous furosemide followed by oral doses and compression st</w:t>
      </w:r>
      <w:r w:rsidR="00F37FC0">
        <w:t>ockings. On Day 60</w:t>
      </w:r>
      <w:r w:rsidR="006C6765" w:rsidRPr="006C6765">
        <w:t xml:space="preserve">, he died due to malignant neoplasm progression. The events of diarrhoea and bilateral leg oedema were continuing at the time of death. Autopsy details were not available. Transaminase and bilirubin levels remained within normal limits throughout. </w:t>
      </w:r>
      <w:proofErr w:type="gramStart"/>
      <w:r w:rsidR="006C6765" w:rsidRPr="006C6765">
        <w:t>Alk.</w:t>
      </w:r>
      <w:proofErr w:type="gramEnd"/>
      <w:r w:rsidR="006C6765" w:rsidRPr="006C6765">
        <w:t xml:space="preserve"> </w:t>
      </w:r>
      <w:proofErr w:type="gramStart"/>
      <w:r w:rsidR="006C6765" w:rsidRPr="006C6765">
        <w:t>Phos.</w:t>
      </w:r>
      <w:proofErr w:type="gramEnd"/>
      <w:r w:rsidR="006C6765" w:rsidRPr="006C6765">
        <w:t xml:space="preserve"> </w:t>
      </w:r>
      <w:r w:rsidR="00F826CF" w:rsidRPr="006C6765">
        <w:t>L</w:t>
      </w:r>
      <w:r w:rsidR="006C6765" w:rsidRPr="006C6765">
        <w:t xml:space="preserve">evels </w:t>
      </w:r>
      <w:r w:rsidR="007F08C8">
        <w:t>rose</w:t>
      </w:r>
      <w:r w:rsidR="007F08C8" w:rsidRPr="006C6765">
        <w:t xml:space="preserve"> </w:t>
      </w:r>
      <w:r w:rsidR="006C6765" w:rsidRPr="006C6765">
        <w:t xml:space="preserve">to 369 on </w:t>
      </w:r>
      <w:r w:rsidR="00F37FC0">
        <w:t>Day 23</w:t>
      </w:r>
      <w:r w:rsidR="006C6765" w:rsidRPr="006C6765">
        <w:t xml:space="preserve"> (</w:t>
      </w:r>
      <w:r w:rsidR="005853BB">
        <w:t>3 x ULN</w:t>
      </w:r>
      <w:r w:rsidR="00F37FC0">
        <w:t>) before decreasing to normal.</w:t>
      </w:r>
    </w:p>
    <w:p w:rsidR="006C6765" w:rsidRPr="006C6765" w:rsidRDefault="006C6765" w:rsidP="00F37FC0">
      <w:pPr>
        <w:ind w:left="851"/>
      </w:pPr>
      <w:r w:rsidRPr="006C6765">
        <w:t xml:space="preserve">The investigator considered that the event of diarrhoea was certainly related and the events of oedema peripheral and malignant neoplasm were not related to the </w:t>
      </w:r>
      <w:r w:rsidR="00A60A6A">
        <w:t>ipilimumab</w:t>
      </w:r>
      <w:r w:rsidRPr="006C6765">
        <w:t xml:space="preserve"> and Dacarbazine study therapy.</w:t>
      </w:r>
      <w:r w:rsidR="00BB7B81">
        <w:t>’</w:t>
      </w:r>
    </w:p>
    <w:p w:rsidR="006C6765" w:rsidRPr="006C6765" w:rsidRDefault="00F37FC0" w:rsidP="00F37FC0">
      <w:pPr>
        <w:pStyle w:val="Numberbullet2"/>
      </w:pPr>
      <w:r>
        <w:t xml:space="preserve">Case 20; </w:t>
      </w:r>
      <w:r w:rsidR="006C6765" w:rsidRPr="006C6765">
        <w:t>Cause for hospitalisation unclear and grading of event/s leading to hospitalisation (likely treatment related Gr4 event).</w:t>
      </w:r>
    </w:p>
    <w:p w:rsidR="006C6765" w:rsidRPr="00F37FC0" w:rsidRDefault="006C6765" w:rsidP="00F37FC0">
      <w:pPr>
        <w:ind w:left="851"/>
        <w:rPr>
          <w:i/>
        </w:rPr>
      </w:pPr>
      <w:r w:rsidRPr="006C6765">
        <w:t>CA184024</w:t>
      </w:r>
      <w:r w:rsidR="00F826CF">
        <w:t xml:space="preserve"> </w:t>
      </w:r>
      <w:r w:rsidR="00F37FC0">
        <w:t xml:space="preserve">[information redacted] </w:t>
      </w:r>
      <w:proofErr w:type="gramStart"/>
      <w:r w:rsidR="007F08C8" w:rsidRPr="00F37FC0">
        <w:rPr>
          <w:i/>
        </w:rPr>
        <w:t>Wh</w:t>
      </w:r>
      <w:r w:rsidR="007F08C8">
        <w:rPr>
          <w:i/>
        </w:rPr>
        <w:t>at</w:t>
      </w:r>
      <w:proofErr w:type="gramEnd"/>
      <w:r w:rsidR="007F08C8" w:rsidRPr="00F37FC0">
        <w:rPr>
          <w:i/>
        </w:rPr>
        <w:t xml:space="preserve"> </w:t>
      </w:r>
      <w:r w:rsidRPr="00F37FC0">
        <w:rPr>
          <w:i/>
        </w:rPr>
        <w:t>event caused the patient's hospitalisation? Is the grading sufficient? For example, if it was secondary to the confusional state, this would be a grade 4 event.</w:t>
      </w:r>
    </w:p>
    <w:p w:rsidR="006C6765" w:rsidRPr="006C6765" w:rsidRDefault="00F37FC0" w:rsidP="00F37FC0">
      <w:pPr>
        <w:ind w:left="851"/>
      </w:pPr>
      <w:r>
        <w:t>‘</w:t>
      </w:r>
      <w:r w:rsidR="006C6765" w:rsidRPr="006C6765">
        <w:t>Event:</w:t>
      </w:r>
    </w:p>
    <w:p w:rsidR="006C6765" w:rsidRPr="006C6765" w:rsidRDefault="006C6765" w:rsidP="00F37FC0">
      <w:pPr>
        <w:ind w:left="851"/>
      </w:pPr>
      <w:r w:rsidRPr="006C6765">
        <w:t>Diarrhoea (Grade 1, probably related, Day 49)</w:t>
      </w:r>
    </w:p>
    <w:p w:rsidR="006C6765" w:rsidRPr="006C6765" w:rsidRDefault="006C6765" w:rsidP="00F37FC0">
      <w:pPr>
        <w:ind w:left="851"/>
      </w:pPr>
      <w:r w:rsidRPr="006C6765">
        <w:t>Nausea (Grade 2, probably related, Day 49)</w:t>
      </w:r>
    </w:p>
    <w:p w:rsidR="006C6765" w:rsidRPr="006C6765" w:rsidRDefault="006C6765" w:rsidP="00F37FC0">
      <w:pPr>
        <w:ind w:left="851"/>
      </w:pPr>
      <w:r w:rsidRPr="006C6765">
        <w:t>Fatigue (Grade 2, not likely related, Day 49)</w:t>
      </w:r>
    </w:p>
    <w:p w:rsidR="006C6765" w:rsidRPr="006C6765" w:rsidRDefault="006C6765" w:rsidP="00F37FC0">
      <w:pPr>
        <w:ind w:left="851"/>
      </w:pPr>
      <w:r w:rsidRPr="006C6765">
        <w:t>Pyrexia (Grade 2, possibly related, Day 49)</w:t>
      </w:r>
    </w:p>
    <w:p w:rsidR="006C6765" w:rsidRPr="006C6765" w:rsidRDefault="006C6765" w:rsidP="00F37FC0">
      <w:pPr>
        <w:ind w:left="851"/>
      </w:pPr>
      <w:r w:rsidRPr="006C6765">
        <w:t>Confusional State (Grade 2, probably related, Day 49)</w:t>
      </w:r>
    </w:p>
    <w:p w:rsidR="006C6765" w:rsidRPr="006C6765" w:rsidRDefault="006C6765" w:rsidP="00F37FC0">
      <w:pPr>
        <w:ind w:left="851"/>
      </w:pPr>
      <w:r w:rsidRPr="006C6765">
        <w:t>Back pain (Grade 3, not related, Day 139)</w:t>
      </w:r>
    </w:p>
    <w:p w:rsidR="006C6765" w:rsidRPr="006C6765" w:rsidRDefault="006C6765" w:rsidP="00F37FC0">
      <w:pPr>
        <w:ind w:left="851"/>
      </w:pPr>
      <w:r w:rsidRPr="006C6765">
        <w:t>Disease Progression (Grade 5, not related, Day 152)</w:t>
      </w:r>
    </w:p>
    <w:p w:rsidR="006C6765" w:rsidRPr="006C6765" w:rsidRDefault="006C6765" w:rsidP="00F37FC0">
      <w:pPr>
        <w:ind w:left="851"/>
      </w:pPr>
      <w:proofErr w:type="gramStart"/>
      <w:r w:rsidRPr="006C6765">
        <w:t>imAR</w:t>
      </w:r>
      <w:proofErr w:type="gramEnd"/>
      <w:r w:rsidRPr="006C6765">
        <w:t>:</w:t>
      </w:r>
    </w:p>
    <w:p w:rsidR="00F37FC0" w:rsidRDefault="006C6765" w:rsidP="00F37FC0">
      <w:pPr>
        <w:ind w:left="851"/>
      </w:pPr>
      <w:r w:rsidRPr="006C6765">
        <w:t>Hepatitis (Earliest onset any</w:t>
      </w:r>
      <w:r w:rsidR="0048681A">
        <w:t xml:space="preserve"> Grade: Day 40, Worst Grade: 2)</w:t>
      </w:r>
    </w:p>
    <w:p w:rsidR="006C6765" w:rsidRPr="006C6765" w:rsidRDefault="00F37FC0" w:rsidP="00F37FC0">
      <w:pPr>
        <w:ind w:left="851"/>
      </w:pPr>
      <w:r>
        <w:t>On Day 49</w:t>
      </w:r>
      <w:r w:rsidR="006C6765" w:rsidRPr="006C6765">
        <w:t>, 8 days post 3rd dose of study therapy, the subject was hospital</w:t>
      </w:r>
      <w:r w:rsidR="001A330A">
        <w:t>ise</w:t>
      </w:r>
      <w:r w:rsidR="006C6765" w:rsidRPr="006C6765">
        <w:t>d due to increasing fatigue (Grade 2), diarrhoea (Grade 1), nausea (Grade 2), and pyrexia (Grade 2). He also presented with a decline in cognitive function which was reported as confusional</w:t>
      </w:r>
      <w:r>
        <w:t xml:space="preserve"> state (Grade 2). On Day 49</w:t>
      </w:r>
      <w:r w:rsidR="006C6765" w:rsidRPr="006C6765">
        <w:t>, he underwent brain magnetic resonance imaging (MRI) which was normal. Chest X-ray performed on the same day showed questionable decrease in the size of some of the masses in the right chest. He was treated with methylprednis</w:t>
      </w:r>
      <w:r>
        <w:t>olone sodium succinate 125 mg/2 ml injection from Day 50 until Day 51</w:t>
      </w:r>
      <w:r w:rsidR="006C6765" w:rsidRPr="006C6765">
        <w:t xml:space="preserve">, ibuprofen, baclofen, omeprazole, dextrose, apap/hydcodone, lorazepam, </w:t>
      </w:r>
      <w:proofErr w:type="gramStart"/>
      <w:r w:rsidR="006C6765" w:rsidRPr="006C6765">
        <w:t>potassium</w:t>
      </w:r>
      <w:proofErr w:type="gramEnd"/>
      <w:r w:rsidR="006C6765" w:rsidRPr="006C6765">
        <w:t xml:space="preserve"> and cetylpyridinium/menthol lozenge for all the events. The 4th dose of study therapy was skipped due to the event of confusional state. The event of fatigue was considered by the investigator to be not related to study medica</w:t>
      </w:r>
      <w:r>
        <w:t>tion and resolved on Day 56</w:t>
      </w:r>
      <w:r w:rsidR="006C6765" w:rsidRPr="006C6765">
        <w:t>. The events of diarrhoea, nausea, pyrexia, and confusion</w:t>
      </w:r>
      <w:r>
        <w:t>al state resolved on Day 56</w:t>
      </w:r>
      <w:r w:rsidR="006C6765" w:rsidRPr="006C6765">
        <w:t xml:space="preserve"> and he was discharged home in stable condition. The investigator considered that the events of diarrhoea, nausea, and confusional state were probably related and pyrexia was possibly related to </w:t>
      </w:r>
      <w:r w:rsidR="00A60A6A">
        <w:t>ipilimumab</w:t>
      </w:r>
      <w:r w:rsidR="006C6765" w:rsidRPr="006C6765">
        <w:t xml:space="preserve"> and Dacarbazine study therapy.</w:t>
      </w:r>
      <w:r w:rsidR="00BB7B81">
        <w:t>’</w:t>
      </w:r>
    </w:p>
    <w:p w:rsidR="006C6765" w:rsidRPr="006C6765" w:rsidRDefault="006C6765" w:rsidP="00F37FC0">
      <w:pPr>
        <w:pStyle w:val="Numberbullet2"/>
      </w:pPr>
      <w:r w:rsidRPr="006C6765">
        <w:t>Case 21 – Patient was hospitalised (Gr 3) for diarrhoea but graded only as Gr2. Diarrhoea was study related and is suspicious for the cause of death. More information is requested.</w:t>
      </w:r>
    </w:p>
    <w:p w:rsidR="006C6765" w:rsidRPr="00F37FC0" w:rsidRDefault="006C6765" w:rsidP="00F37FC0">
      <w:pPr>
        <w:ind w:left="851"/>
        <w:rPr>
          <w:i/>
        </w:rPr>
      </w:pPr>
      <w:r w:rsidRPr="006C6765">
        <w:lastRenderedPageBreak/>
        <w:t>CA184024</w:t>
      </w:r>
      <w:r w:rsidR="00F826CF">
        <w:t xml:space="preserve"> </w:t>
      </w:r>
      <w:r w:rsidR="00F37FC0">
        <w:t xml:space="preserve">[information redacted] </w:t>
      </w:r>
      <w:r w:rsidRPr="00F37FC0">
        <w:rPr>
          <w:i/>
        </w:rPr>
        <w:t>This patient was hospitalised for a two month history of diarrhoea, 5 days post 4th dose of study therapy. The grading for diarrhoea should be 3. The patient was readmitted to another hospital following discharge after one day’s treatment for diarrhoea, and died 10 days after the initial presentation of this problem</w:t>
      </w:r>
      <w:r w:rsidR="001F3382" w:rsidRPr="00F37FC0">
        <w:rPr>
          <w:i/>
        </w:rPr>
        <w:t xml:space="preserve">. </w:t>
      </w:r>
      <w:r w:rsidRPr="00F37FC0">
        <w:rPr>
          <w:i/>
        </w:rPr>
        <w:t xml:space="preserve">Is more information available? Would this death be considered suspicious as being drug related given that diarrhoea was the precipitating event for hospitalisation? Weight loss is not captured as an AE. Can the </w:t>
      </w:r>
      <w:r w:rsidR="00BB7B81" w:rsidRPr="00F37FC0">
        <w:rPr>
          <w:i/>
        </w:rPr>
        <w:t>sponsor</w:t>
      </w:r>
      <w:r w:rsidRPr="00F37FC0">
        <w:rPr>
          <w:i/>
        </w:rPr>
        <w:t xml:space="preserve"> please explain these?</w:t>
      </w:r>
    </w:p>
    <w:p w:rsidR="006C6765" w:rsidRPr="006C6765" w:rsidRDefault="00BB7B81" w:rsidP="00F37FC0">
      <w:pPr>
        <w:ind w:left="851"/>
      </w:pPr>
      <w:r>
        <w:t>‘</w:t>
      </w:r>
      <w:r w:rsidR="006C6765" w:rsidRPr="006C6765">
        <w:t>Event:</w:t>
      </w:r>
    </w:p>
    <w:p w:rsidR="006C6765" w:rsidRPr="006C6765" w:rsidRDefault="006C6765" w:rsidP="00F37FC0">
      <w:pPr>
        <w:ind w:left="851"/>
      </w:pPr>
      <w:r w:rsidRPr="006C6765">
        <w:t>Alanine aminotransferase increased (Grade 3, certainly related, Day 71)</w:t>
      </w:r>
    </w:p>
    <w:p w:rsidR="006C6765" w:rsidRPr="006C6765" w:rsidRDefault="006C6765" w:rsidP="00F37FC0">
      <w:pPr>
        <w:ind w:left="851"/>
      </w:pPr>
      <w:r w:rsidRPr="006C6765">
        <w:t>Presyncope (Grade 3, not likely related, Day 85)</w:t>
      </w:r>
    </w:p>
    <w:p w:rsidR="006C6765" w:rsidRPr="006C6765" w:rsidRDefault="006C6765" w:rsidP="00F37FC0">
      <w:pPr>
        <w:ind w:left="851"/>
      </w:pPr>
      <w:r w:rsidRPr="006C6765">
        <w:t>Dehydration (Grade 2, not likely related, Day 86)</w:t>
      </w:r>
    </w:p>
    <w:p w:rsidR="006C6765" w:rsidRPr="006C6765" w:rsidRDefault="006C6765" w:rsidP="00F37FC0">
      <w:pPr>
        <w:ind w:left="851"/>
      </w:pPr>
      <w:r w:rsidRPr="006C6765">
        <w:t>Diarrhoea (Grade 2, certainly related, Day 90)</w:t>
      </w:r>
    </w:p>
    <w:p w:rsidR="006C6765" w:rsidRPr="006C6765" w:rsidRDefault="006C6765" w:rsidP="00F37FC0">
      <w:pPr>
        <w:ind w:left="851"/>
      </w:pPr>
      <w:r w:rsidRPr="006C6765">
        <w:t>Respiratory Failure (Grade 5, not related, Day 101)</w:t>
      </w:r>
    </w:p>
    <w:p w:rsidR="006C6765" w:rsidRPr="006C6765" w:rsidRDefault="006C6765" w:rsidP="00F37FC0">
      <w:pPr>
        <w:ind w:left="851"/>
      </w:pPr>
      <w:proofErr w:type="gramStart"/>
      <w:r w:rsidRPr="006C6765">
        <w:t>imAR</w:t>
      </w:r>
      <w:proofErr w:type="gramEnd"/>
      <w:r w:rsidRPr="006C6765">
        <w:t>:</w:t>
      </w:r>
    </w:p>
    <w:p w:rsidR="006C6765" w:rsidRPr="006C6765" w:rsidRDefault="006C6765" w:rsidP="00F37FC0">
      <w:pPr>
        <w:ind w:left="851"/>
      </w:pPr>
      <w:r w:rsidRPr="006C6765">
        <w:t>Hepatitis (Earliest onset any Grade: Day 43, Worst Grade: 3)</w:t>
      </w:r>
    </w:p>
    <w:p w:rsidR="006C6765" w:rsidRPr="006C6765" w:rsidRDefault="006C6765" w:rsidP="00F37FC0">
      <w:pPr>
        <w:ind w:left="851"/>
      </w:pPr>
      <w:r w:rsidRPr="006C6765">
        <w:t>Dermatitis (Earliest onset any Grade: Day 28, Worst Grade: 2)</w:t>
      </w:r>
    </w:p>
    <w:p w:rsidR="006C6765" w:rsidRPr="006C6765" w:rsidRDefault="006C6765" w:rsidP="00F37FC0">
      <w:pPr>
        <w:ind w:left="851"/>
      </w:pPr>
      <w:r w:rsidRPr="006C6765">
        <w:t>Enterocolitis (Earliest onset any</w:t>
      </w:r>
      <w:r w:rsidR="0048681A">
        <w:t xml:space="preserve"> Grade: Day 65, Worst Grade: 2)</w:t>
      </w:r>
    </w:p>
    <w:p w:rsidR="006C6765" w:rsidRPr="006C6765" w:rsidRDefault="006C6765" w:rsidP="00F37FC0">
      <w:pPr>
        <w:ind w:left="851"/>
      </w:pPr>
      <w:r w:rsidRPr="006C6765">
        <w:t>On Day 90, 5 days post 4th dose of study therapy, the subject was hospital</w:t>
      </w:r>
      <w:r w:rsidR="001A330A">
        <w:t>ise</w:t>
      </w:r>
      <w:r w:rsidRPr="006C6765">
        <w:t>d for diarrhoea (Grade 2) which had begun at</w:t>
      </w:r>
      <w:r w:rsidR="00F37FC0">
        <w:t xml:space="preserve"> Grade 1 on Day 65</w:t>
      </w:r>
      <w:r w:rsidRPr="006C6765">
        <w:t>. He reported to have had diarrhoea for the last two months. He also experienced nausea, anorexia, and severe nocturia since his study</w:t>
      </w:r>
      <w:r w:rsidR="00F37FC0">
        <w:t xml:space="preserve"> therapy on Day 86</w:t>
      </w:r>
      <w:r w:rsidRPr="006C6765">
        <w:t>. He was found to be positive for malnourishment and weight loss. Laboratory findings were normal for cardiac markers, complete blood count, and the basic metabolic panel tests. In addition, his stool was analysed for Clostridium difficile and other ova and parasites, and no abnormalities were seen. The electrocardiogram (date not available) reading showed no acute pathologic changes and sinus arrhythmia. A posterior to anterior chest X-ray (date not available) was performed which identified no acute pulmonary disease, no arteriosclerotic disease of the abdominal aorta, and no radiographic evidence of bowel obstruction. He was treated with steroids and intravenous fluids and was discharged from the hospital on the same day. He was discontinued from the study due to diarrhoea and was readmitted to a</w:t>
      </w:r>
      <w:r w:rsidR="00F37FC0">
        <w:t>nother hospital. On Day 101</w:t>
      </w:r>
      <w:r w:rsidRPr="006C6765">
        <w:t>, he died and the death certificate reported that the subject died due to respiratory failure and metastatic malignant melanoma.</w:t>
      </w:r>
    </w:p>
    <w:p w:rsidR="006C6765" w:rsidRPr="006C6765" w:rsidRDefault="006C6765" w:rsidP="00F37FC0">
      <w:pPr>
        <w:ind w:left="851"/>
      </w:pPr>
      <w:r w:rsidRPr="006C6765">
        <w:t xml:space="preserve">The investigator considered that the events of ALT increased and diarrhoea were certainly related, whereas respiratory failure was not related to </w:t>
      </w:r>
      <w:r w:rsidR="00A60A6A">
        <w:t>ipilimumab</w:t>
      </w:r>
      <w:r w:rsidRPr="006C6765">
        <w:t xml:space="preserve"> and Dacarbazine study therapy.</w:t>
      </w:r>
      <w:r w:rsidR="00BB7B81">
        <w:t>’</w:t>
      </w:r>
    </w:p>
    <w:p w:rsidR="00F37FC0" w:rsidRDefault="00F37FC0" w:rsidP="006C6765">
      <w:r>
        <w:t>Study CA184078</w:t>
      </w:r>
    </w:p>
    <w:p w:rsidR="006C6765" w:rsidRPr="006C6765" w:rsidRDefault="006C6765" w:rsidP="00F37FC0">
      <w:pPr>
        <w:pStyle w:val="Numberbullet2"/>
        <w:numPr>
          <w:ilvl w:val="1"/>
          <w:numId w:val="38"/>
        </w:numPr>
      </w:pPr>
      <w:r w:rsidRPr="006C6765">
        <w:t>Case 1 – Gr 4 optic neuritis is not included in any of the summary tables or within th</w:t>
      </w:r>
      <w:r w:rsidR="00F37FC0">
        <w:t>e narrative of SAEs in the CSR.</w:t>
      </w:r>
    </w:p>
    <w:p w:rsidR="006C6765" w:rsidRPr="00F37FC0" w:rsidRDefault="006C6765" w:rsidP="00F37FC0">
      <w:pPr>
        <w:ind w:left="851"/>
        <w:rPr>
          <w:i/>
        </w:rPr>
      </w:pPr>
      <w:r w:rsidRPr="00F37FC0">
        <w:rPr>
          <w:i/>
        </w:rPr>
        <w:t xml:space="preserve">The optic neuritis was considered by the investigator as related to study therapy and therapy was discontinued as a result of the AE. As examples of where summary tables have not presented this AE, Table 8.2 (on-study treatment related serious adverse events – any CTC grade), and Table 8.4 (On-study adverse events leading to discontinuation – any CTC grade) do not list this event. This event is not listed in the PI/CMI or risk management plan. Can the </w:t>
      </w:r>
      <w:r w:rsidR="00BB7B81" w:rsidRPr="00F37FC0">
        <w:rPr>
          <w:i/>
        </w:rPr>
        <w:t>sponsor</w:t>
      </w:r>
      <w:r w:rsidR="0048681A" w:rsidRPr="00F37FC0">
        <w:rPr>
          <w:i/>
        </w:rPr>
        <w:t xml:space="preserve"> explain these issues?</w:t>
      </w:r>
    </w:p>
    <w:p w:rsidR="006C6765" w:rsidRPr="006C6765" w:rsidRDefault="00BB7B81" w:rsidP="00F37FC0">
      <w:pPr>
        <w:ind w:left="851"/>
      </w:pPr>
      <w:r>
        <w:t>‘</w:t>
      </w:r>
      <w:r w:rsidR="006C6765" w:rsidRPr="006C6765">
        <w:t>Patient Identifier: CA184078</w:t>
      </w:r>
      <w:r w:rsidR="00F826CF">
        <w:t xml:space="preserve"> </w:t>
      </w:r>
      <w:r w:rsidR="00F37FC0">
        <w:t>[information redacted]</w:t>
      </w:r>
    </w:p>
    <w:p w:rsidR="006C6765" w:rsidRPr="006C6765" w:rsidRDefault="006C6765" w:rsidP="00F37FC0">
      <w:pPr>
        <w:ind w:left="851"/>
      </w:pPr>
      <w:r w:rsidRPr="006C6765">
        <w:lastRenderedPageBreak/>
        <w:t>Event:</w:t>
      </w:r>
    </w:p>
    <w:p w:rsidR="006C6765" w:rsidRPr="006C6765" w:rsidRDefault="006C6765" w:rsidP="00F37FC0">
      <w:pPr>
        <w:pStyle w:val="ListBullet"/>
        <w:ind w:left="851"/>
      </w:pPr>
      <w:r w:rsidRPr="006C6765">
        <w:t>Hypopituitarism (Grade 3, Related, Day 43)</w:t>
      </w:r>
    </w:p>
    <w:p w:rsidR="006C6765" w:rsidRPr="006C6765" w:rsidRDefault="006C6765" w:rsidP="00F37FC0">
      <w:pPr>
        <w:pStyle w:val="ListBullet"/>
        <w:ind w:left="851"/>
      </w:pPr>
      <w:r w:rsidRPr="006C6765">
        <w:t>Optic neuritis (Grade 4, Related, Day 162)</w:t>
      </w:r>
      <w:r w:rsidR="00BB7B81">
        <w:t>’</w:t>
      </w:r>
    </w:p>
    <w:p w:rsidR="006C6765" w:rsidRPr="006C6765" w:rsidRDefault="006C6765" w:rsidP="00F37FC0">
      <w:pPr>
        <w:pStyle w:val="Heading5"/>
      </w:pPr>
      <w:r w:rsidRPr="006C6765">
        <w:t>Safety Specification in the draft RMP</w:t>
      </w:r>
    </w:p>
    <w:p w:rsidR="006C6765" w:rsidRPr="00F37FC0" w:rsidRDefault="006C6765" w:rsidP="00F37FC0">
      <w:pPr>
        <w:pStyle w:val="Numberbullet0"/>
        <w:numPr>
          <w:ilvl w:val="0"/>
          <w:numId w:val="39"/>
        </w:numPr>
      </w:pPr>
      <w:r w:rsidRPr="00F37FC0">
        <w:t xml:space="preserve">Can the </w:t>
      </w:r>
      <w:r w:rsidR="00BB7B81" w:rsidRPr="00F37FC0">
        <w:t>sponsor</w:t>
      </w:r>
      <w:r w:rsidRPr="00F37FC0">
        <w:t xml:space="preserve"> clarify why the case of optic neuritis noted in CA184078 is not noted within this document?</w:t>
      </w:r>
    </w:p>
    <w:p w:rsidR="006C6765" w:rsidRPr="006C6765" w:rsidRDefault="006C6765" w:rsidP="00F37FC0">
      <w:pPr>
        <w:pStyle w:val="Numberbullet0"/>
      </w:pPr>
      <w:r w:rsidRPr="006C6765">
        <w:t xml:space="preserve">It is noted that there are differences in numbers from the </w:t>
      </w:r>
      <w:r w:rsidR="00BB7B81">
        <w:t>‘</w:t>
      </w:r>
      <w:r w:rsidRPr="006C6765">
        <w:t>riskmgt-system</w:t>
      </w:r>
      <w:r w:rsidR="00BB7B81">
        <w:t>’</w:t>
      </w:r>
      <w:r w:rsidRPr="006C6765">
        <w:t xml:space="preserve"> report for the EMA regarding total investigated numbers in relevant populations</w:t>
      </w:r>
      <w:r w:rsidRPr="00B95A18">
        <w:t xml:space="preserve">. Table </w:t>
      </w:r>
      <w:r w:rsidR="004572B9">
        <w:t>24</w:t>
      </w:r>
      <w:r w:rsidRPr="00B95A18">
        <w:t xml:space="preserve"> in this</w:t>
      </w:r>
      <w:r w:rsidRPr="006C6765">
        <w:t xml:space="preserve"> evaluation report summarises the numbers of previously untreated patients given 3mg/kg monotherapy as 35 patients which differs to that included within this document. It reads as;</w:t>
      </w:r>
    </w:p>
    <w:p w:rsidR="006C6765" w:rsidRPr="006C6765" w:rsidRDefault="00BB7B81" w:rsidP="00F37FC0">
      <w:pPr>
        <w:ind w:left="425"/>
      </w:pPr>
      <w:r>
        <w:t>‘</w:t>
      </w:r>
      <w:r w:rsidR="006C6765" w:rsidRPr="006C6765">
        <w:t xml:space="preserve">Safety data supporting 3 mg/kg </w:t>
      </w:r>
      <w:r w:rsidR="00A60A6A">
        <w:t>ipilimumab</w:t>
      </w:r>
      <w:r w:rsidR="006C6765" w:rsidRPr="006C6765">
        <w:t xml:space="preserve"> monotherapy for both previously untreated and pre-treated advanced melanoma indication were from retrospective pooled analysis of studies in advanced melanoma treated with 3 mg/kg </w:t>
      </w:r>
      <w:r w:rsidR="00A60A6A">
        <w:t>ipilimumab</w:t>
      </w:r>
      <w:r w:rsidR="00F37FC0">
        <w:t xml:space="preserve"> (Phase III MDX010-20; Phase II</w:t>
      </w:r>
      <w:r w:rsidR="006C6765" w:rsidRPr="006C6765">
        <w:t xml:space="preserve"> studies of MDX010-08, CA184004, and CA184022). This analysis included data from previously untreated (N = 55), previously treated (N = 641), chemotherapy-naive (N = 141), and prior chemotherapy treated (N = 555) subjects who received any 3 mg/kg </w:t>
      </w:r>
      <w:r w:rsidR="00A60A6A">
        <w:t>ipilimumab</w:t>
      </w:r>
      <w:r w:rsidR="006C6765" w:rsidRPr="006C6765">
        <w:t>-containing treatment.</w:t>
      </w:r>
      <w:r>
        <w:t>’</w:t>
      </w:r>
    </w:p>
    <w:p w:rsidR="006C6765" w:rsidRPr="006C6765" w:rsidRDefault="006C6765" w:rsidP="00F37FC0">
      <w:pPr>
        <w:ind w:left="425"/>
      </w:pPr>
      <w:r w:rsidRPr="006C6765">
        <w:t xml:space="preserve">Can the </w:t>
      </w:r>
      <w:r w:rsidR="00BB7B81">
        <w:t>sponsor</w:t>
      </w:r>
      <w:r w:rsidRPr="006C6765">
        <w:t xml:space="preserve"> please explain this and clarify the information?</w:t>
      </w:r>
    </w:p>
    <w:p w:rsidR="00C618F7" w:rsidRDefault="00C618F7" w:rsidP="00C618F7">
      <w:pPr>
        <w:pStyle w:val="Heading2"/>
      </w:pPr>
      <w:bookmarkStart w:id="333" w:name="_Toc475616248"/>
      <w:r>
        <w:t>Second round evaluation of clinical data submitted in response to questions</w:t>
      </w:r>
      <w:bookmarkEnd w:id="333"/>
    </w:p>
    <w:p w:rsidR="006C6765" w:rsidRPr="006C6765" w:rsidRDefault="006C6765" w:rsidP="006C6765">
      <w:r w:rsidRPr="006C6765">
        <w:t xml:space="preserve">Overview of </w:t>
      </w:r>
      <w:r w:rsidR="00F826CF">
        <w:t>the</w:t>
      </w:r>
      <w:r w:rsidRPr="006C6765">
        <w:t xml:space="preserve"> response</w:t>
      </w:r>
      <w:r w:rsidR="00F826CF">
        <w:t xml:space="preserve"> to questions </w:t>
      </w:r>
      <w:proofErr w:type="gramStart"/>
      <w:r w:rsidR="00F826CF">
        <w:t>raised</w:t>
      </w:r>
      <w:proofErr w:type="gramEnd"/>
      <w:r w:rsidR="00F826CF">
        <w:t>.</w:t>
      </w:r>
    </w:p>
    <w:p w:rsidR="006C6765" w:rsidRDefault="006C6765" w:rsidP="006C6765">
      <w:r w:rsidRPr="006C6765">
        <w:t>The sponsor has submitted a</w:t>
      </w:r>
      <w:r w:rsidR="00701D85">
        <w:t xml:space="preserve"> response to TGA questions</w:t>
      </w:r>
      <w:r w:rsidRPr="006C6765">
        <w:t>, with supporting documents</w:t>
      </w:r>
      <w:r w:rsidR="001F3382">
        <w:t xml:space="preserve">. </w:t>
      </w:r>
      <w:r w:rsidRPr="006C6765">
        <w:t xml:space="preserve">The following table </w:t>
      </w:r>
      <w:r w:rsidR="004572B9">
        <w:t>(Table 39</w:t>
      </w:r>
      <w:r w:rsidR="00B95A18">
        <w:t xml:space="preserve">) </w:t>
      </w:r>
      <w:r w:rsidRPr="006C6765">
        <w:t>summarises new or updated data and analyses in the response.</w:t>
      </w:r>
    </w:p>
    <w:p w:rsidR="00B95A18" w:rsidRPr="00B95A18" w:rsidRDefault="004572B9" w:rsidP="00B95A18">
      <w:pPr>
        <w:pStyle w:val="Tabletitle"/>
      </w:pPr>
      <w:r>
        <w:t>Table 39</w:t>
      </w:r>
      <w:r w:rsidR="00B95A18">
        <w:t>:</w:t>
      </w:r>
      <w:r w:rsidR="00B95A18" w:rsidRPr="00B95A18">
        <w:t xml:space="preserve"> Summary of updated data and analyses in sponsor’s response</w:t>
      </w:r>
    </w:p>
    <w:tbl>
      <w:tblPr>
        <w:tblStyle w:val="TableTGAblue"/>
        <w:tblW w:w="0" w:type="auto"/>
        <w:tblLook w:val="0020" w:firstRow="1" w:lastRow="0" w:firstColumn="0" w:lastColumn="0" w:noHBand="0" w:noVBand="0"/>
      </w:tblPr>
      <w:tblGrid>
        <w:gridCol w:w="4077"/>
        <w:gridCol w:w="4536"/>
      </w:tblGrid>
      <w:tr w:rsidR="00701D85" w:rsidRPr="00701D85" w:rsidTr="002F3779">
        <w:trPr>
          <w:cnfStyle w:val="100000000000" w:firstRow="1" w:lastRow="0" w:firstColumn="0" w:lastColumn="0" w:oddVBand="0" w:evenVBand="0" w:oddHBand="0" w:evenHBand="0" w:firstRowFirstColumn="0" w:firstRowLastColumn="0" w:lastRowFirstColumn="0" w:lastRowLastColumn="0"/>
          <w:tblHeader/>
        </w:trPr>
        <w:tc>
          <w:tcPr>
            <w:tcW w:w="4077" w:type="dxa"/>
          </w:tcPr>
          <w:p w:rsidR="00701D85" w:rsidRPr="00701D85" w:rsidRDefault="00701D85" w:rsidP="00701D85">
            <w:pPr>
              <w:ind w:left="0"/>
            </w:pPr>
            <w:r>
              <w:t xml:space="preserve">Data type; </w:t>
            </w:r>
            <w:r w:rsidRPr="00701D85">
              <w:t>study name</w:t>
            </w:r>
          </w:p>
        </w:tc>
        <w:tc>
          <w:tcPr>
            <w:tcW w:w="4536" w:type="dxa"/>
          </w:tcPr>
          <w:p w:rsidR="00701D85" w:rsidRPr="00701D85" w:rsidRDefault="00701D85" w:rsidP="00701D85">
            <w:pPr>
              <w:ind w:left="0"/>
            </w:pPr>
            <w:r w:rsidRPr="00701D85">
              <w:t>Nature of new data</w:t>
            </w:r>
          </w:p>
        </w:tc>
      </w:tr>
      <w:tr w:rsidR="00701D85" w:rsidRPr="00701D85" w:rsidTr="00701D85">
        <w:tc>
          <w:tcPr>
            <w:tcW w:w="4077" w:type="dxa"/>
          </w:tcPr>
          <w:p w:rsidR="00701D85" w:rsidRPr="00701D85" w:rsidRDefault="00701D85" w:rsidP="00701D85">
            <w:pPr>
              <w:ind w:left="0"/>
            </w:pPr>
            <w:r w:rsidRPr="00701D85">
              <w:t>CA184332 (observational study)</w:t>
            </w:r>
          </w:p>
        </w:tc>
        <w:tc>
          <w:tcPr>
            <w:tcW w:w="4536" w:type="dxa"/>
          </w:tcPr>
          <w:p w:rsidR="00701D85" w:rsidRPr="00701D85" w:rsidRDefault="00701D85" w:rsidP="00701D85">
            <w:pPr>
              <w:ind w:left="0"/>
            </w:pPr>
            <w:r w:rsidRPr="00701D85">
              <w:t>Additional patients (now n=157) and follow-up (new safety and OS data)</w:t>
            </w:r>
          </w:p>
        </w:tc>
      </w:tr>
      <w:tr w:rsidR="00701D85" w:rsidRPr="00701D85" w:rsidTr="00701D85">
        <w:tc>
          <w:tcPr>
            <w:tcW w:w="4077" w:type="dxa"/>
          </w:tcPr>
          <w:p w:rsidR="00701D85" w:rsidRPr="00701D85" w:rsidRDefault="00701D85" w:rsidP="00701D85">
            <w:pPr>
              <w:ind w:left="0"/>
            </w:pPr>
            <w:r w:rsidRPr="00701D85">
              <w:t>CA184338 (observational study)</w:t>
            </w:r>
          </w:p>
        </w:tc>
        <w:tc>
          <w:tcPr>
            <w:tcW w:w="4536" w:type="dxa"/>
          </w:tcPr>
          <w:p w:rsidR="00701D85" w:rsidRPr="00701D85" w:rsidRDefault="00701D85" w:rsidP="00701D85">
            <w:pPr>
              <w:ind w:left="0"/>
            </w:pPr>
            <w:r w:rsidRPr="00701D85">
              <w:t>Additional patients (now n=273) and follow-up (new safety and OS data)</w:t>
            </w:r>
          </w:p>
        </w:tc>
      </w:tr>
      <w:tr w:rsidR="00701D85" w:rsidRPr="00701D85" w:rsidTr="00701D85">
        <w:tc>
          <w:tcPr>
            <w:tcW w:w="4077" w:type="dxa"/>
          </w:tcPr>
          <w:p w:rsidR="00701D85" w:rsidRPr="00701D85" w:rsidRDefault="00701D85" w:rsidP="00701D85">
            <w:pPr>
              <w:ind w:left="0"/>
            </w:pPr>
            <w:r w:rsidRPr="00701D85">
              <w:t>Pooled analysis of MDX010-020, MDX010-08, CA184004 and CA184022</w:t>
            </w:r>
          </w:p>
        </w:tc>
        <w:tc>
          <w:tcPr>
            <w:tcW w:w="4536" w:type="dxa"/>
          </w:tcPr>
          <w:p w:rsidR="00701D85" w:rsidRPr="00701D85" w:rsidRDefault="00701D85" w:rsidP="00701D85">
            <w:pPr>
              <w:ind w:left="0"/>
            </w:pPr>
            <w:r w:rsidRPr="00701D85">
              <w:t>Final efficacy and safety data.</w:t>
            </w:r>
          </w:p>
        </w:tc>
      </w:tr>
      <w:tr w:rsidR="00701D85" w:rsidRPr="00701D85" w:rsidTr="00701D85">
        <w:tc>
          <w:tcPr>
            <w:tcW w:w="4077" w:type="dxa"/>
          </w:tcPr>
          <w:p w:rsidR="00701D85" w:rsidRPr="00701D85" w:rsidRDefault="00701D85" w:rsidP="00701D85">
            <w:pPr>
              <w:ind w:left="0"/>
            </w:pPr>
            <w:r w:rsidRPr="00701D85">
              <w:t>CA184045 (EAP)</w:t>
            </w:r>
          </w:p>
        </w:tc>
        <w:tc>
          <w:tcPr>
            <w:tcW w:w="4536" w:type="dxa"/>
          </w:tcPr>
          <w:p w:rsidR="00701D85" w:rsidRPr="00701D85" w:rsidRDefault="00701D85" w:rsidP="00701D85">
            <w:pPr>
              <w:ind w:left="0"/>
            </w:pPr>
            <w:r w:rsidRPr="00701D85">
              <w:t>Interim CSR</w:t>
            </w:r>
          </w:p>
        </w:tc>
      </w:tr>
      <w:tr w:rsidR="00701D85" w:rsidRPr="00701D85" w:rsidTr="00701D85">
        <w:tc>
          <w:tcPr>
            <w:tcW w:w="4077" w:type="dxa"/>
          </w:tcPr>
          <w:p w:rsidR="00701D85" w:rsidRPr="00701D85" w:rsidRDefault="00701D85" w:rsidP="00701D85">
            <w:pPr>
              <w:ind w:left="0"/>
            </w:pPr>
            <w:r w:rsidRPr="00701D85">
              <w:t>Third exposure – response (</w:t>
            </w:r>
            <w:r w:rsidR="0039038B">
              <w:t>ER</w:t>
            </w:r>
            <w:r w:rsidRPr="00701D85">
              <w:t>) report</w:t>
            </w:r>
          </w:p>
        </w:tc>
        <w:tc>
          <w:tcPr>
            <w:tcW w:w="4536" w:type="dxa"/>
          </w:tcPr>
          <w:p w:rsidR="00701D85" w:rsidRPr="00701D85" w:rsidRDefault="0039038B" w:rsidP="00701D85">
            <w:pPr>
              <w:ind w:left="0"/>
            </w:pPr>
            <w:r>
              <w:t>ER</w:t>
            </w:r>
            <w:r w:rsidR="00701D85" w:rsidRPr="00701D85">
              <w:t xml:space="preserve"> (OS) based on </w:t>
            </w:r>
            <w:r w:rsidR="00223033">
              <w:t xml:space="preserve">Phase </w:t>
            </w:r>
            <w:r w:rsidR="00AC7AE5">
              <w:t>II/III</w:t>
            </w:r>
            <w:r w:rsidR="00701D85" w:rsidRPr="00701D85">
              <w:t xml:space="preserve"> data.</w:t>
            </w:r>
          </w:p>
          <w:p w:rsidR="00701D85" w:rsidRPr="00701D85" w:rsidRDefault="0039038B" w:rsidP="00701D85">
            <w:pPr>
              <w:ind w:left="0"/>
            </w:pPr>
            <w:r>
              <w:t>ER</w:t>
            </w:r>
            <w:r w:rsidR="00701D85" w:rsidRPr="00701D85">
              <w:t xml:space="preserve"> (safety) based mainly on </w:t>
            </w:r>
            <w:r w:rsidR="00223033">
              <w:t xml:space="preserve">Phase </w:t>
            </w:r>
            <w:r w:rsidR="00AC7AE5">
              <w:t>II/III</w:t>
            </w:r>
            <w:r w:rsidR="00701D85" w:rsidRPr="00701D85">
              <w:t xml:space="preserve"> data.</w:t>
            </w:r>
          </w:p>
        </w:tc>
      </w:tr>
      <w:tr w:rsidR="006C6765" w:rsidRPr="00701D85" w:rsidTr="00701D85">
        <w:tc>
          <w:tcPr>
            <w:tcW w:w="8613" w:type="dxa"/>
            <w:gridSpan w:val="2"/>
          </w:tcPr>
          <w:p w:rsidR="006C6765" w:rsidRPr="00701D85" w:rsidRDefault="006C6765" w:rsidP="00701D85">
            <w:pPr>
              <w:ind w:left="0"/>
            </w:pPr>
            <w:r w:rsidRPr="00701D85">
              <w:t>No interim summary of efficacy or safety is available for CA184169.</w:t>
            </w:r>
          </w:p>
        </w:tc>
      </w:tr>
    </w:tbl>
    <w:p w:rsidR="006C6765" w:rsidRPr="006C6765" w:rsidRDefault="006C6765" w:rsidP="006C6765">
      <w:r w:rsidRPr="006C6765">
        <w:lastRenderedPageBreak/>
        <w:t xml:space="preserve">For simplicity this </w:t>
      </w:r>
      <w:r w:rsidR="00701D85">
        <w:t>second round evaluation</w:t>
      </w:r>
      <w:r w:rsidRPr="006C6765">
        <w:t xml:space="preserve"> report does not evaluate responses question by question</w:t>
      </w:r>
      <w:r w:rsidR="001F3382">
        <w:t xml:space="preserve">. </w:t>
      </w:r>
      <w:r w:rsidRPr="006C6765">
        <w:t>The approach is to synthesise new or updated data / scientific argument within the domains of pha</w:t>
      </w:r>
      <w:r w:rsidR="00701D85">
        <w:t>rmacology, efficacy and safety.</w:t>
      </w:r>
    </w:p>
    <w:p w:rsidR="006C6765" w:rsidRPr="006C6765" w:rsidRDefault="006C6765" w:rsidP="00701D85">
      <w:pPr>
        <w:pStyle w:val="Heading3"/>
      </w:pPr>
      <w:bookmarkStart w:id="334" w:name="_Toc475616249"/>
      <w:r w:rsidRPr="006C6765">
        <w:t>Overview of populations</w:t>
      </w:r>
      <w:bookmarkEnd w:id="334"/>
    </w:p>
    <w:p w:rsidR="006C6765" w:rsidRPr="006C6765" w:rsidRDefault="006C6765" w:rsidP="006C6765">
      <w:r w:rsidRPr="006C6765">
        <w:t xml:space="preserve">Evidence provided or referred to by the sponsor in support of the application at the </w:t>
      </w:r>
      <w:r w:rsidR="00701D85">
        <w:t>response to questions</w:t>
      </w:r>
      <w:r w:rsidRPr="006C6765">
        <w:t xml:space="preserve"> stage can be categorised according to study or analysis type, according to dose regimen and according to the patient population, as follows.</w:t>
      </w:r>
    </w:p>
    <w:p w:rsidR="006C6765" w:rsidRDefault="004572B9" w:rsidP="006C6765">
      <w:r>
        <w:t>Information in T</w:t>
      </w:r>
      <w:r w:rsidR="00B95A18">
        <w:t xml:space="preserve">able </w:t>
      </w:r>
      <w:r>
        <w:t xml:space="preserve">40 </w:t>
      </w:r>
      <w:r w:rsidR="00B95A18">
        <w:t>that is bold italicised is</w:t>
      </w:r>
      <w:r w:rsidR="006C6765" w:rsidRPr="006C6765">
        <w:t xml:space="preserve"> evidence has been provided </w:t>
      </w:r>
      <w:r w:rsidR="00B95A18">
        <w:t>in the response</w:t>
      </w:r>
      <w:r w:rsidR="006C6765" w:rsidRPr="006C6765">
        <w:t xml:space="preserve"> as new or updated data / analysis.</w:t>
      </w:r>
    </w:p>
    <w:p w:rsidR="00B95A18" w:rsidRDefault="004572B9" w:rsidP="00B95A18">
      <w:pPr>
        <w:pStyle w:val="Tabletitle"/>
      </w:pPr>
      <w:r>
        <w:t>Table 40</w:t>
      </w:r>
      <w:r w:rsidR="00B95A18">
        <w:t>: An overview of evidence provided according to dose regimen and patient population</w:t>
      </w:r>
    </w:p>
    <w:tbl>
      <w:tblPr>
        <w:tblStyle w:val="TableTGAblue"/>
        <w:tblW w:w="9026" w:type="dxa"/>
        <w:tblLayout w:type="fixed"/>
        <w:tblLook w:val="0020" w:firstRow="1" w:lastRow="0" w:firstColumn="0" w:lastColumn="0" w:noHBand="0" w:noVBand="0"/>
      </w:tblPr>
      <w:tblGrid>
        <w:gridCol w:w="2187"/>
        <w:gridCol w:w="1431"/>
        <w:gridCol w:w="1487"/>
        <w:gridCol w:w="1217"/>
        <w:gridCol w:w="1217"/>
        <w:gridCol w:w="1487"/>
      </w:tblGrid>
      <w:tr w:rsidR="00E15BEB" w:rsidRPr="00E15BEB" w:rsidTr="002F3779">
        <w:trPr>
          <w:cnfStyle w:val="100000000000" w:firstRow="1" w:lastRow="0" w:firstColumn="0" w:lastColumn="0" w:oddVBand="0" w:evenVBand="0" w:oddHBand="0" w:evenHBand="0" w:firstRowFirstColumn="0" w:firstRowLastColumn="0" w:lastRowFirstColumn="0" w:lastRowLastColumn="0"/>
          <w:trHeight w:val="396"/>
          <w:tblHeader/>
        </w:trPr>
        <w:tc>
          <w:tcPr>
            <w:tcW w:w="2187" w:type="dxa"/>
          </w:tcPr>
          <w:p w:rsidR="00E15BEB" w:rsidRPr="00E15BEB" w:rsidRDefault="00E15BEB" w:rsidP="00E15BEB">
            <w:pPr>
              <w:ind w:left="0" w:right="0"/>
              <w:rPr>
                <w:sz w:val="20"/>
                <w:szCs w:val="20"/>
              </w:rPr>
            </w:pPr>
            <w:r w:rsidRPr="00E15BEB">
              <w:rPr>
                <w:sz w:val="20"/>
                <w:szCs w:val="20"/>
              </w:rPr>
              <w:t>(Efficacy population unless specified)</w:t>
            </w:r>
          </w:p>
        </w:tc>
        <w:tc>
          <w:tcPr>
            <w:tcW w:w="2918" w:type="dxa"/>
            <w:gridSpan w:val="2"/>
          </w:tcPr>
          <w:p w:rsidR="00E15BEB" w:rsidRPr="00E15BEB" w:rsidRDefault="00E15BEB" w:rsidP="00E15BEB">
            <w:pPr>
              <w:ind w:left="0" w:right="0"/>
              <w:rPr>
                <w:sz w:val="20"/>
                <w:szCs w:val="20"/>
              </w:rPr>
            </w:pPr>
            <w:r w:rsidRPr="00E15BEB">
              <w:rPr>
                <w:sz w:val="20"/>
                <w:szCs w:val="20"/>
              </w:rPr>
              <w:t>3 mg / kg monotherapy</w:t>
            </w:r>
          </w:p>
        </w:tc>
        <w:tc>
          <w:tcPr>
            <w:tcW w:w="2434" w:type="dxa"/>
            <w:gridSpan w:val="2"/>
          </w:tcPr>
          <w:p w:rsidR="00E15BEB" w:rsidRPr="00E15BEB" w:rsidRDefault="00E15BEB" w:rsidP="00E15BEB">
            <w:pPr>
              <w:ind w:left="0" w:right="0"/>
              <w:rPr>
                <w:sz w:val="20"/>
                <w:szCs w:val="20"/>
              </w:rPr>
            </w:pPr>
            <w:r w:rsidRPr="00E15BEB">
              <w:rPr>
                <w:sz w:val="20"/>
                <w:szCs w:val="20"/>
              </w:rPr>
              <w:t>3 mg / kg combination</w:t>
            </w:r>
          </w:p>
        </w:tc>
        <w:tc>
          <w:tcPr>
            <w:tcW w:w="1487" w:type="dxa"/>
          </w:tcPr>
          <w:p w:rsidR="00E15BEB" w:rsidRPr="00E15BEB" w:rsidRDefault="00E15BEB" w:rsidP="00E15BEB">
            <w:pPr>
              <w:ind w:left="0" w:right="0"/>
              <w:rPr>
                <w:sz w:val="20"/>
                <w:szCs w:val="20"/>
              </w:rPr>
            </w:pPr>
            <w:r w:rsidRPr="00E15BEB">
              <w:rPr>
                <w:sz w:val="20"/>
                <w:szCs w:val="20"/>
              </w:rPr>
              <w:t>Other</w:t>
            </w:r>
          </w:p>
        </w:tc>
      </w:tr>
      <w:tr w:rsidR="00E15BEB" w:rsidRPr="00E15BEB" w:rsidTr="00F826CF">
        <w:trPr>
          <w:trHeight w:val="396"/>
        </w:trPr>
        <w:tc>
          <w:tcPr>
            <w:tcW w:w="2187" w:type="dxa"/>
          </w:tcPr>
          <w:p w:rsidR="00E15BEB" w:rsidRPr="00E15BEB" w:rsidRDefault="00E15BEB" w:rsidP="00E15BEB">
            <w:pPr>
              <w:ind w:left="0" w:right="0"/>
              <w:rPr>
                <w:sz w:val="20"/>
                <w:szCs w:val="20"/>
              </w:rPr>
            </w:pPr>
            <w:r w:rsidRPr="00E15BEB">
              <w:rPr>
                <w:sz w:val="20"/>
                <w:szCs w:val="20"/>
              </w:rPr>
              <w:t>Prior treatment of advanced disease?</w:t>
            </w:r>
          </w:p>
        </w:tc>
        <w:tc>
          <w:tcPr>
            <w:tcW w:w="1431" w:type="dxa"/>
          </w:tcPr>
          <w:p w:rsidR="00E15BEB" w:rsidRPr="00E15BEB" w:rsidRDefault="00E15BEB" w:rsidP="00E15BEB">
            <w:pPr>
              <w:ind w:left="0" w:right="0"/>
              <w:rPr>
                <w:sz w:val="20"/>
                <w:szCs w:val="20"/>
              </w:rPr>
            </w:pPr>
            <w:r w:rsidRPr="00E15BEB">
              <w:rPr>
                <w:sz w:val="20"/>
                <w:szCs w:val="20"/>
              </w:rPr>
              <w:t>Untreated</w:t>
            </w:r>
          </w:p>
        </w:tc>
        <w:tc>
          <w:tcPr>
            <w:tcW w:w="1487" w:type="dxa"/>
          </w:tcPr>
          <w:p w:rsidR="00E15BEB" w:rsidRPr="00E15BEB" w:rsidRDefault="00E15BEB" w:rsidP="00E15BEB">
            <w:pPr>
              <w:ind w:left="0" w:right="0"/>
              <w:rPr>
                <w:sz w:val="20"/>
                <w:szCs w:val="20"/>
              </w:rPr>
            </w:pPr>
            <w:r w:rsidRPr="00E15BEB">
              <w:rPr>
                <w:sz w:val="20"/>
                <w:szCs w:val="20"/>
              </w:rPr>
              <w:t>Treated</w:t>
            </w:r>
          </w:p>
        </w:tc>
        <w:tc>
          <w:tcPr>
            <w:tcW w:w="1217" w:type="dxa"/>
          </w:tcPr>
          <w:p w:rsidR="00E15BEB" w:rsidRPr="00E15BEB" w:rsidRDefault="00E15BEB" w:rsidP="00E15BEB">
            <w:pPr>
              <w:ind w:left="0" w:right="0"/>
              <w:rPr>
                <w:sz w:val="20"/>
                <w:szCs w:val="20"/>
              </w:rPr>
            </w:pPr>
            <w:r w:rsidRPr="00E15BEB">
              <w:rPr>
                <w:sz w:val="20"/>
                <w:szCs w:val="20"/>
              </w:rPr>
              <w:t>Untreated</w:t>
            </w:r>
          </w:p>
        </w:tc>
        <w:tc>
          <w:tcPr>
            <w:tcW w:w="1217" w:type="dxa"/>
          </w:tcPr>
          <w:p w:rsidR="00E15BEB" w:rsidRPr="00E15BEB" w:rsidRDefault="00E15BEB" w:rsidP="00E15BEB">
            <w:pPr>
              <w:ind w:left="0" w:right="0"/>
              <w:rPr>
                <w:sz w:val="20"/>
                <w:szCs w:val="20"/>
              </w:rPr>
            </w:pPr>
            <w:r w:rsidRPr="00E15BEB">
              <w:rPr>
                <w:sz w:val="20"/>
                <w:szCs w:val="20"/>
              </w:rPr>
              <w:t>Treated</w:t>
            </w:r>
          </w:p>
        </w:tc>
        <w:tc>
          <w:tcPr>
            <w:tcW w:w="1487" w:type="dxa"/>
          </w:tcPr>
          <w:p w:rsidR="00E15BEB" w:rsidRPr="00E15BEB" w:rsidRDefault="00E15BEB" w:rsidP="00E15BEB">
            <w:pPr>
              <w:ind w:left="0" w:right="0"/>
              <w:rPr>
                <w:sz w:val="20"/>
                <w:szCs w:val="20"/>
              </w:rPr>
            </w:pPr>
            <w:r w:rsidRPr="00E15BEB">
              <w:rPr>
                <w:sz w:val="20"/>
                <w:szCs w:val="20"/>
              </w:rPr>
              <w:t>Untreated</w:t>
            </w:r>
          </w:p>
        </w:tc>
      </w:tr>
      <w:tr w:rsidR="00E15BEB" w:rsidRPr="00E15BEB" w:rsidTr="00F826CF">
        <w:trPr>
          <w:trHeight w:val="396"/>
        </w:trPr>
        <w:tc>
          <w:tcPr>
            <w:tcW w:w="2187" w:type="dxa"/>
          </w:tcPr>
          <w:p w:rsidR="00E15BEB" w:rsidRPr="00E15BEB" w:rsidRDefault="00E15BEB" w:rsidP="00E15BEB">
            <w:pPr>
              <w:ind w:left="0" w:right="0"/>
              <w:rPr>
                <w:sz w:val="20"/>
                <w:szCs w:val="20"/>
              </w:rPr>
            </w:pPr>
            <w:r w:rsidRPr="00E15BEB">
              <w:rPr>
                <w:sz w:val="20"/>
                <w:szCs w:val="20"/>
              </w:rPr>
              <w:t>Randomised, controlled trial#</w:t>
            </w:r>
          </w:p>
        </w:tc>
        <w:tc>
          <w:tcPr>
            <w:tcW w:w="1431" w:type="dxa"/>
          </w:tcPr>
          <w:p w:rsidR="00E15BEB" w:rsidRPr="00E15BEB" w:rsidRDefault="00E15BEB" w:rsidP="00E15BEB">
            <w:pPr>
              <w:ind w:left="0" w:right="0"/>
              <w:rPr>
                <w:sz w:val="20"/>
                <w:szCs w:val="20"/>
              </w:rPr>
            </w:pPr>
            <w:r w:rsidRPr="00E15BEB">
              <w:rPr>
                <w:sz w:val="20"/>
                <w:szCs w:val="20"/>
              </w:rPr>
              <w:t>MDX010-08:</w:t>
            </w:r>
          </w:p>
          <w:p w:rsidR="00E15BEB" w:rsidRPr="00E15BEB" w:rsidRDefault="00E15BEB" w:rsidP="00E15BEB">
            <w:pPr>
              <w:ind w:left="0" w:right="0"/>
              <w:rPr>
                <w:sz w:val="20"/>
                <w:szCs w:val="20"/>
              </w:rPr>
            </w:pPr>
            <w:r w:rsidRPr="00E15BEB">
              <w:rPr>
                <w:sz w:val="20"/>
                <w:szCs w:val="20"/>
              </w:rPr>
              <w:t>n=20</w:t>
            </w:r>
          </w:p>
        </w:tc>
        <w:tc>
          <w:tcPr>
            <w:tcW w:w="1487" w:type="dxa"/>
          </w:tcPr>
          <w:p w:rsidR="00E15BEB" w:rsidRPr="00E15BEB" w:rsidRDefault="00E15BEB" w:rsidP="00E15BEB">
            <w:pPr>
              <w:ind w:left="0" w:right="0"/>
              <w:rPr>
                <w:sz w:val="20"/>
                <w:szCs w:val="20"/>
              </w:rPr>
            </w:pPr>
            <w:r w:rsidRPr="00E15BEB">
              <w:rPr>
                <w:sz w:val="20"/>
                <w:szCs w:val="20"/>
              </w:rPr>
              <w:t>MDX010-08:</w:t>
            </w:r>
          </w:p>
          <w:p w:rsidR="00E15BEB" w:rsidRPr="00E15BEB" w:rsidRDefault="00E15BEB" w:rsidP="00E15BEB">
            <w:pPr>
              <w:ind w:left="0" w:right="0"/>
              <w:rPr>
                <w:sz w:val="20"/>
                <w:szCs w:val="20"/>
              </w:rPr>
            </w:pPr>
            <w:r w:rsidRPr="00E15BEB">
              <w:rPr>
                <w:sz w:val="20"/>
                <w:szCs w:val="20"/>
              </w:rPr>
              <w:t>n=20</w:t>
            </w:r>
          </w:p>
          <w:p w:rsidR="00E15BEB" w:rsidRPr="00E15BEB" w:rsidRDefault="00E15BEB" w:rsidP="00E15BEB">
            <w:pPr>
              <w:ind w:left="0" w:right="0"/>
              <w:rPr>
                <w:sz w:val="20"/>
                <w:szCs w:val="20"/>
              </w:rPr>
            </w:pPr>
            <w:r w:rsidRPr="00E15BEB">
              <w:rPr>
                <w:sz w:val="20"/>
                <w:szCs w:val="20"/>
              </w:rPr>
              <w:t>MDX010-020:</w:t>
            </w:r>
          </w:p>
          <w:p w:rsidR="00E15BEB" w:rsidRPr="00E15BEB" w:rsidRDefault="00E15BEB" w:rsidP="00E15BEB">
            <w:pPr>
              <w:ind w:left="0" w:right="0"/>
              <w:rPr>
                <w:sz w:val="20"/>
                <w:szCs w:val="20"/>
              </w:rPr>
            </w:pPr>
            <w:r w:rsidRPr="00E15BEB">
              <w:rPr>
                <w:sz w:val="20"/>
                <w:szCs w:val="20"/>
              </w:rPr>
              <w:t>n=137</w:t>
            </w:r>
          </w:p>
        </w:tc>
        <w:tc>
          <w:tcPr>
            <w:tcW w:w="1217" w:type="dxa"/>
          </w:tcPr>
          <w:p w:rsidR="00E15BEB" w:rsidRPr="00E15BEB" w:rsidRDefault="00E15BEB" w:rsidP="00E15BEB">
            <w:pPr>
              <w:ind w:left="0" w:right="0"/>
              <w:rPr>
                <w:sz w:val="20"/>
                <w:szCs w:val="20"/>
              </w:rPr>
            </w:pPr>
            <w:r w:rsidRPr="00E15BEB">
              <w:rPr>
                <w:sz w:val="20"/>
                <w:szCs w:val="20"/>
              </w:rPr>
              <w:t>MDX010-08:</w:t>
            </w:r>
          </w:p>
          <w:p w:rsidR="00E15BEB" w:rsidRPr="00E15BEB" w:rsidRDefault="00E15BEB" w:rsidP="00E15BEB">
            <w:pPr>
              <w:ind w:left="0" w:right="0"/>
              <w:rPr>
                <w:sz w:val="20"/>
                <w:szCs w:val="20"/>
              </w:rPr>
            </w:pPr>
            <w:r w:rsidRPr="00E15BEB">
              <w:rPr>
                <w:sz w:val="20"/>
                <w:szCs w:val="20"/>
              </w:rPr>
              <w:t>n=22</w:t>
            </w:r>
          </w:p>
        </w:tc>
        <w:tc>
          <w:tcPr>
            <w:tcW w:w="1217" w:type="dxa"/>
          </w:tcPr>
          <w:p w:rsidR="00E15BEB" w:rsidRPr="00E15BEB" w:rsidRDefault="00E15BEB" w:rsidP="00E15BEB">
            <w:pPr>
              <w:ind w:left="0" w:right="0"/>
              <w:rPr>
                <w:sz w:val="20"/>
                <w:szCs w:val="20"/>
              </w:rPr>
            </w:pPr>
            <w:r w:rsidRPr="00E15BEB">
              <w:rPr>
                <w:sz w:val="20"/>
                <w:szCs w:val="20"/>
              </w:rPr>
              <w:t>MDX010-08:</w:t>
            </w:r>
          </w:p>
          <w:p w:rsidR="00E15BEB" w:rsidRPr="00E15BEB" w:rsidRDefault="00E15BEB" w:rsidP="00E15BEB">
            <w:pPr>
              <w:ind w:left="0" w:right="0"/>
              <w:rPr>
                <w:sz w:val="20"/>
                <w:szCs w:val="20"/>
              </w:rPr>
            </w:pPr>
            <w:r w:rsidRPr="00E15BEB">
              <w:rPr>
                <w:sz w:val="20"/>
                <w:szCs w:val="20"/>
              </w:rPr>
              <w:t>n=14</w:t>
            </w:r>
          </w:p>
          <w:p w:rsidR="00E15BEB" w:rsidRPr="00E15BEB" w:rsidRDefault="00E15BEB" w:rsidP="00E15BEB">
            <w:pPr>
              <w:ind w:left="0" w:right="0"/>
              <w:rPr>
                <w:sz w:val="20"/>
                <w:szCs w:val="20"/>
              </w:rPr>
            </w:pPr>
            <w:r w:rsidRPr="00E15BEB">
              <w:rPr>
                <w:sz w:val="20"/>
                <w:szCs w:val="20"/>
              </w:rPr>
              <w:t>MDX010-020:</w:t>
            </w:r>
          </w:p>
          <w:p w:rsidR="00E15BEB" w:rsidRPr="00E15BEB" w:rsidRDefault="00E15BEB" w:rsidP="00E15BEB">
            <w:pPr>
              <w:ind w:left="0" w:right="0"/>
              <w:rPr>
                <w:sz w:val="20"/>
                <w:szCs w:val="20"/>
              </w:rPr>
            </w:pPr>
            <w:r w:rsidRPr="00E15BEB">
              <w:rPr>
                <w:sz w:val="20"/>
                <w:szCs w:val="20"/>
              </w:rPr>
              <w:t>n=403</w:t>
            </w:r>
          </w:p>
        </w:tc>
        <w:tc>
          <w:tcPr>
            <w:tcW w:w="1487" w:type="dxa"/>
          </w:tcPr>
          <w:p w:rsidR="00E15BEB" w:rsidRPr="00E15BEB" w:rsidRDefault="00E15BEB" w:rsidP="00E15BEB">
            <w:pPr>
              <w:ind w:left="0" w:right="0"/>
              <w:rPr>
                <w:sz w:val="20"/>
                <w:szCs w:val="20"/>
              </w:rPr>
            </w:pPr>
            <w:r w:rsidRPr="00E15BEB">
              <w:rPr>
                <w:sz w:val="20"/>
                <w:szCs w:val="20"/>
              </w:rPr>
              <w:t>CA184024 10 mg/kg + DTIC</w:t>
            </w:r>
          </w:p>
          <w:p w:rsidR="00E15BEB" w:rsidRPr="00E15BEB" w:rsidRDefault="00E15BEB" w:rsidP="00E15BEB">
            <w:pPr>
              <w:ind w:left="0" w:right="0"/>
              <w:rPr>
                <w:sz w:val="20"/>
                <w:szCs w:val="20"/>
              </w:rPr>
            </w:pPr>
            <w:r w:rsidRPr="00E15BEB">
              <w:rPr>
                <w:sz w:val="20"/>
                <w:szCs w:val="20"/>
              </w:rPr>
              <w:t>n=240</w:t>
            </w:r>
          </w:p>
        </w:tc>
      </w:tr>
      <w:tr w:rsidR="00E15BEB" w:rsidRPr="00E15BEB" w:rsidTr="00F826CF">
        <w:trPr>
          <w:trHeight w:val="396"/>
        </w:trPr>
        <w:tc>
          <w:tcPr>
            <w:tcW w:w="2187" w:type="dxa"/>
          </w:tcPr>
          <w:p w:rsidR="00E15BEB" w:rsidRPr="00E15BEB" w:rsidRDefault="00E15BEB" w:rsidP="00E15BEB">
            <w:pPr>
              <w:ind w:left="0" w:right="0"/>
              <w:rPr>
                <w:sz w:val="20"/>
                <w:szCs w:val="20"/>
              </w:rPr>
            </w:pPr>
            <w:r w:rsidRPr="00E15BEB">
              <w:rPr>
                <w:sz w:val="20"/>
                <w:szCs w:val="20"/>
              </w:rPr>
              <w:t>Uncontrolled trial</w:t>
            </w:r>
          </w:p>
        </w:tc>
        <w:tc>
          <w:tcPr>
            <w:tcW w:w="1431" w:type="dxa"/>
          </w:tcPr>
          <w:p w:rsidR="00E15BEB" w:rsidRPr="00E15BEB" w:rsidRDefault="00E15BEB" w:rsidP="00E15BEB">
            <w:pPr>
              <w:ind w:left="0" w:right="0"/>
              <w:rPr>
                <w:sz w:val="20"/>
                <w:szCs w:val="20"/>
              </w:rPr>
            </w:pPr>
            <w:r>
              <w:rPr>
                <w:sz w:val="20"/>
                <w:szCs w:val="20"/>
              </w:rPr>
              <w:t xml:space="preserve">CA184004 </w:t>
            </w:r>
            <w:r w:rsidRPr="00E15BEB">
              <w:rPr>
                <w:sz w:val="20"/>
                <w:szCs w:val="20"/>
              </w:rPr>
              <w:t>CA184022</w:t>
            </w:r>
          </w:p>
          <w:p w:rsidR="00E15BEB" w:rsidRPr="00E15BEB" w:rsidRDefault="00E15BEB" w:rsidP="00E15BEB">
            <w:pPr>
              <w:ind w:left="0" w:right="0"/>
              <w:rPr>
                <w:sz w:val="20"/>
                <w:szCs w:val="20"/>
              </w:rPr>
            </w:pPr>
            <w:r w:rsidRPr="00E15BEB">
              <w:rPr>
                <w:sz w:val="20"/>
                <w:szCs w:val="20"/>
              </w:rPr>
              <w:t>n=15</w:t>
            </w:r>
          </w:p>
        </w:tc>
        <w:tc>
          <w:tcPr>
            <w:tcW w:w="1487" w:type="dxa"/>
          </w:tcPr>
          <w:p w:rsidR="00E15BEB" w:rsidRPr="00E15BEB" w:rsidRDefault="00E15BEB" w:rsidP="00E15BEB">
            <w:pPr>
              <w:ind w:left="0" w:right="0"/>
              <w:rPr>
                <w:sz w:val="20"/>
                <w:szCs w:val="20"/>
              </w:rPr>
            </w:pPr>
            <w:r>
              <w:rPr>
                <w:sz w:val="20"/>
                <w:szCs w:val="20"/>
              </w:rPr>
              <w:t xml:space="preserve">CA184004 </w:t>
            </w:r>
            <w:r w:rsidRPr="00E15BEB">
              <w:rPr>
                <w:sz w:val="20"/>
                <w:szCs w:val="20"/>
              </w:rPr>
              <w:t>CA184022</w:t>
            </w:r>
          </w:p>
          <w:p w:rsidR="00E15BEB" w:rsidRPr="00E15BEB" w:rsidRDefault="00E15BEB" w:rsidP="00E15BEB">
            <w:pPr>
              <w:ind w:left="0" w:right="0"/>
              <w:rPr>
                <w:sz w:val="20"/>
                <w:szCs w:val="20"/>
              </w:rPr>
            </w:pPr>
            <w:r w:rsidRPr="00E15BEB">
              <w:rPr>
                <w:sz w:val="20"/>
                <w:szCs w:val="20"/>
              </w:rPr>
              <w:t>n=97</w:t>
            </w:r>
          </w:p>
        </w:tc>
        <w:tc>
          <w:tcPr>
            <w:tcW w:w="1217" w:type="dxa"/>
          </w:tcPr>
          <w:p w:rsidR="00E15BEB" w:rsidRPr="00E15BEB" w:rsidRDefault="00E15BEB" w:rsidP="00E15BEB">
            <w:pPr>
              <w:ind w:left="0" w:right="0"/>
              <w:rPr>
                <w:sz w:val="20"/>
                <w:szCs w:val="20"/>
              </w:rPr>
            </w:pPr>
          </w:p>
        </w:tc>
        <w:tc>
          <w:tcPr>
            <w:tcW w:w="1217" w:type="dxa"/>
          </w:tcPr>
          <w:p w:rsidR="00E15BEB" w:rsidRPr="00E15BEB" w:rsidRDefault="00E15BEB" w:rsidP="00E15BEB">
            <w:pPr>
              <w:ind w:left="0" w:right="0"/>
              <w:rPr>
                <w:sz w:val="20"/>
                <w:szCs w:val="20"/>
              </w:rPr>
            </w:pPr>
          </w:p>
        </w:tc>
        <w:tc>
          <w:tcPr>
            <w:tcW w:w="1487" w:type="dxa"/>
          </w:tcPr>
          <w:p w:rsidR="00E15BEB" w:rsidRPr="00E15BEB" w:rsidRDefault="00E15BEB" w:rsidP="00E15BEB">
            <w:pPr>
              <w:ind w:left="0" w:right="0"/>
              <w:rPr>
                <w:sz w:val="20"/>
                <w:szCs w:val="20"/>
              </w:rPr>
            </w:pPr>
          </w:p>
        </w:tc>
      </w:tr>
      <w:tr w:rsidR="00E15BEB" w:rsidRPr="00E15BEB" w:rsidTr="00F826CF">
        <w:trPr>
          <w:trHeight w:val="396"/>
        </w:trPr>
        <w:tc>
          <w:tcPr>
            <w:tcW w:w="2187" w:type="dxa"/>
          </w:tcPr>
          <w:p w:rsidR="00E15BEB" w:rsidRPr="00E15BEB" w:rsidRDefault="00E15BEB" w:rsidP="00E15BEB">
            <w:pPr>
              <w:ind w:left="0" w:right="0"/>
              <w:rPr>
                <w:sz w:val="20"/>
                <w:szCs w:val="20"/>
              </w:rPr>
            </w:pPr>
            <w:r w:rsidRPr="00E15BEB">
              <w:rPr>
                <w:sz w:val="20"/>
                <w:szCs w:val="20"/>
              </w:rPr>
              <w:t>Observational study</w:t>
            </w:r>
          </w:p>
        </w:tc>
        <w:tc>
          <w:tcPr>
            <w:tcW w:w="1431" w:type="dxa"/>
          </w:tcPr>
          <w:p w:rsidR="00E15BEB" w:rsidRPr="00B95A18" w:rsidRDefault="00E15BEB" w:rsidP="00E15BEB">
            <w:pPr>
              <w:ind w:left="0" w:right="0"/>
              <w:rPr>
                <w:b/>
                <w:i/>
                <w:sz w:val="20"/>
                <w:szCs w:val="20"/>
              </w:rPr>
            </w:pPr>
            <w:r w:rsidRPr="00B95A18">
              <w:rPr>
                <w:b/>
                <w:i/>
                <w:sz w:val="20"/>
                <w:szCs w:val="20"/>
              </w:rPr>
              <w:t>CA184338</w:t>
            </w:r>
          </w:p>
          <w:p w:rsidR="00E15BEB" w:rsidRPr="00B95A18" w:rsidRDefault="00E15BEB" w:rsidP="00E15BEB">
            <w:pPr>
              <w:ind w:left="0" w:right="0"/>
              <w:rPr>
                <w:b/>
                <w:i/>
                <w:sz w:val="20"/>
                <w:szCs w:val="20"/>
              </w:rPr>
            </w:pPr>
            <w:r w:rsidRPr="00B95A18">
              <w:rPr>
                <w:b/>
                <w:i/>
                <w:sz w:val="20"/>
                <w:szCs w:val="20"/>
              </w:rPr>
              <w:t>n=273</w:t>
            </w:r>
          </w:p>
          <w:p w:rsidR="00E15BEB" w:rsidRPr="00B95A18" w:rsidRDefault="00E15BEB" w:rsidP="00E15BEB">
            <w:pPr>
              <w:ind w:left="0" w:right="0"/>
              <w:rPr>
                <w:b/>
                <w:i/>
                <w:sz w:val="20"/>
                <w:szCs w:val="20"/>
              </w:rPr>
            </w:pPr>
            <w:r w:rsidRPr="00B95A18">
              <w:rPr>
                <w:b/>
                <w:i/>
                <w:sz w:val="20"/>
                <w:szCs w:val="20"/>
              </w:rPr>
              <w:t>CA184332</w:t>
            </w:r>
          </w:p>
          <w:p w:rsidR="00E15BEB" w:rsidRPr="00E15BEB" w:rsidRDefault="00E15BEB" w:rsidP="00E15BEB">
            <w:pPr>
              <w:ind w:left="0" w:right="0"/>
              <w:rPr>
                <w:sz w:val="20"/>
                <w:szCs w:val="20"/>
                <w:highlight w:val="yellow"/>
              </w:rPr>
            </w:pPr>
            <w:r w:rsidRPr="00B95A18">
              <w:rPr>
                <w:b/>
                <w:i/>
                <w:sz w:val="20"/>
                <w:szCs w:val="20"/>
              </w:rPr>
              <w:t>n=157</w:t>
            </w:r>
          </w:p>
        </w:tc>
        <w:tc>
          <w:tcPr>
            <w:tcW w:w="1487" w:type="dxa"/>
          </w:tcPr>
          <w:p w:rsidR="00E15BEB" w:rsidRPr="00E15BEB" w:rsidRDefault="00E15BEB" w:rsidP="00E15BEB">
            <w:pPr>
              <w:ind w:left="0" w:right="0"/>
              <w:rPr>
                <w:sz w:val="20"/>
                <w:szCs w:val="20"/>
              </w:rPr>
            </w:pPr>
            <w:r w:rsidRPr="00E15BEB">
              <w:rPr>
                <w:sz w:val="20"/>
                <w:szCs w:val="20"/>
              </w:rPr>
              <w:t>nil</w:t>
            </w:r>
          </w:p>
        </w:tc>
        <w:tc>
          <w:tcPr>
            <w:tcW w:w="1217" w:type="dxa"/>
          </w:tcPr>
          <w:p w:rsidR="00E15BEB" w:rsidRPr="00E15BEB" w:rsidRDefault="00E15BEB" w:rsidP="00E15BEB">
            <w:pPr>
              <w:ind w:left="0" w:right="0"/>
              <w:rPr>
                <w:sz w:val="20"/>
                <w:szCs w:val="20"/>
              </w:rPr>
            </w:pPr>
          </w:p>
        </w:tc>
        <w:tc>
          <w:tcPr>
            <w:tcW w:w="1217" w:type="dxa"/>
          </w:tcPr>
          <w:p w:rsidR="00E15BEB" w:rsidRPr="00E15BEB" w:rsidRDefault="00E15BEB" w:rsidP="00E15BEB">
            <w:pPr>
              <w:ind w:left="0" w:right="0"/>
              <w:rPr>
                <w:sz w:val="20"/>
                <w:szCs w:val="20"/>
              </w:rPr>
            </w:pPr>
          </w:p>
        </w:tc>
        <w:tc>
          <w:tcPr>
            <w:tcW w:w="1487" w:type="dxa"/>
          </w:tcPr>
          <w:p w:rsidR="00E15BEB" w:rsidRPr="00E15BEB" w:rsidRDefault="00E15BEB" w:rsidP="00E15BEB">
            <w:pPr>
              <w:ind w:left="0" w:right="0"/>
              <w:rPr>
                <w:sz w:val="20"/>
                <w:szCs w:val="20"/>
              </w:rPr>
            </w:pPr>
          </w:p>
        </w:tc>
      </w:tr>
      <w:tr w:rsidR="00E15BEB" w:rsidRPr="00E15BEB" w:rsidTr="00F826CF">
        <w:trPr>
          <w:trHeight w:val="396"/>
        </w:trPr>
        <w:tc>
          <w:tcPr>
            <w:tcW w:w="2187" w:type="dxa"/>
            <w:vMerge w:val="restart"/>
          </w:tcPr>
          <w:p w:rsidR="00E15BEB" w:rsidRPr="00E15BEB" w:rsidRDefault="00E15BEB" w:rsidP="00E15BEB">
            <w:pPr>
              <w:ind w:left="0" w:right="0"/>
              <w:rPr>
                <w:sz w:val="20"/>
                <w:szCs w:val="20"/>
              </w:rPr>
            </w:pPr>
            <w:r w:rsidRPr="00E15BEB">
              <w:rPr>
                <w:sz w:val="20"/>
                <w:szCs w:val="20"/>
              </w:rPr>
              <w:t>Other studies / analyses</w:t>
            </w:r>
          </w:p>
        </w:tc>
        <w:tc>
          <w:tcPr>
            <w:tcW w:w="1431" w:type="dxa"/>
          </w:tcPr>
          <w:p w:rsidR="00E15BEB" w:rsidRPr="00B95A18" w:rsidRDefault="00E15BEB" w:rsidP="00E15BEB">
            <w:pPr>
              <w:ind w:left="0" w:right="0"/>
              <w:rPr>
                <w:b/>
                <w:i/>
                <w:sz w:val="20"/>
                <w:szCs w:val="20"/>
              </w:rPr>
            </w:pPr>
            <w:r w:rsidRPr="00B95A18">
              <w:rPr>
                <w:b/>
                <w:i/>
                <w:sz w:val="20"/>
                <w:szCs w:val="20"/>
              </w:rPr>
              <w:t xml:space="preserve">Pooled </w:t>
            </w:r>
            <w:r w:rsidR="00223033" w:rsidRPr="00B95A18">
              <w:rPr>
                <w:b/>
                <w:i/>
                <w:sz w:val="20"/>
                <w:szCs w:val="20"/>
              </w:rPr>
              <w:t xml:space="preserve">Phase </w:t>
            </w:r>
            <w:r w:rsidR="00AC7AE5" w:rsidRPr="00B95A18">
              <w:rPr>
                <w:b/>
                <w:i/>
                <w:sz w:val="20"/>
                <w:szCs w:val="20"/>
              </w:rPr>
              <w:t>II/III</w:t>
            </w:r>
            <w:r w:rsidRPr="00B95A18">
              <w:rPr>
                <w:b/>
                <w:i/>
                <w:sz w:val="20"/>
                <w:szCs w:val="20"/>
              </w:rPr>
              <w:t>*</w:t>
            </w:r>
          </w:p>
          <w:p w:rsidR="00E15BEB" w:rsidRPr="00E15BEB" w:rsidRDefault="00E15BEB" w:rsidP="00E15BEB">
            <w:pPr>
              <w:ind w:left="0" w:right="0"/>
              <w:rPr>
                <w:sz w:val="20"/>
                <w:szCs w:val="20"/>
                <w:highlight w:val="yellow"/>
              </w:rPr>
            </w:pPr>
            <w:r w:rsidRPr="00E15BEB">
              <w:rPr>
                <w:sz w:val="20"/>
                <w:szCs w:val="20"/>
              </w:rPr>
              <w:t>n=35 (i.e. n=20+15 from above)</w:t>
            </w:r>
          </w:p>
        </w:tc>
        <w:tc>
          <w:tcPr>
            <w:tcW w:w="1487" w:type="dxa"/>
          </w:tcPr>
          <w:p w:rsidR="00E15BEB" w:rsidRPr="00E15BEB" w:rsidRDefault="00E15BEB" w:rsidP="00E15BEB">
            <w:pPr>
              <w:ind w:left="0" w:right="0"/>
              <w:rPr>
                <w:sz w:val="20"/>
                <w:szCs w:val="20"/>
              </w:rPr>
            </w:pPr>
            <w:r w:rsidRPr="00E15BEB">
              <w:rPr>
                <w:sz w:val="20"/>
                <w:szCs w:val="20"/>
              </w:rPr>
              <w:t xml:space="preserve">Pooled </w:t>
            </w:r>
            <w:r w:rsidR="00223033">
              <w:rPr>
                <w:sz w:val="20"/>
                <w:szCs w:val="20"/>
              </w:rPr>
              <w:t xml:space="preserve">Phase </w:t>
            </w:r>
            <w:r w:rsidR="00AC7AE5">
              <w:rPr>
                <w:sz w:val="20"/>
                <w:szCs w:val="20"/>
              </w:rPr>
              <w:t>II/III</w:t>
            </w:r>
            <w:r w:rsidRPr="00E15BEB">
              <w:rPr>
                <w:sz w:val="20"/>
                <w:szCs w:val="20"/>
              </w:rPr>
              <w:t>*</w:t>
            </w:r>
          </w:p>
          <w:p w:rsidR="00E15BEB" w:rsidRPr="00E15BEB" w:rsidRDefault="00E15BEB" w:rsidP="00E15BEB">
            <w:pPr>
              <w:ind w:left="0" w:right="0"/>
              <w:rPr>
                <w:sz w:val="20"/>
                <w:szCs w:val="20"/>
              </w:rPr>
            </w:pPr>
            <w:r w:rsidRPr="00E15BEB">
              <w:rPr>
                <w:sz w:val="20"/>
                <w:szCs w:val="20"/>
              </w:rPr>
              <w:t>n=254 (i.e. n=20+137+97 from above)</w:t>
            </w:r>
          </w:p>
        </w:tc>
        <w:tc>
          <w:tcPr>
            <w:tcW w:w="1217" w:type="dxa"/>
          </w:tcPr>
          <w:p w:rsidR="00E15BEB" w:rsidRPr="00E15BEB" w:rsidRDefault="00E15BEB" w:rsidP="00E15BEB">
            <w:pPr>
              <w:ind w:left="0" w:right="0"/>
              <w:rPr>
                <w:sz w:val="20"/>
                <w:szCs w:val="20"/>
              </w:rPr>
            </w:pPr>
            <w:r w:rsidRPr="00E15BEB">
              <w:rPr>
                <w:sz w:val="20"/>
                <w:szCs w:val="20"/>
              </w:rPr>
              <w:t xml:space="preserve">Pooled </w:t>
            </w:r>
            <w:r w:rsidR="00223033">
              <w:rPr>
                <w:sz w:val="20"/>
                <w:szCs w:val="20"/>
              </w:rPr>
              <w:t xml:space="preserve">Phase </w:t>
            </w:r>
            <w:r w:rsidR="00AC7AE5">
              <w:rPr>
                <w:sz w:val="20"/>
                <w:szCs w:val="20"/>
              </w:rPr>
              <w:t>II/III</w:t>
            </w:r>
            <w:r w:rsidRPr="00E15BEB">
              <w:rPr>
                <w:sz w:val="20"/>
                <w:szCs w:val="20"/>
              </w:rPr>
              <w:t>*</w:t>
            </w:r>
          </w:p>
          <w:p w:rsidR="00E15BEB" w:rsidRPr="00E15BEB" w:rsidRDefault="00E15BEB" w:rsidP="00E15BEB">
            <w:pPr>
              <w:ind w:left="0" w:right="0"/>
              <w:rPr>
                <w:sz w:val="20"/>
                <w:szCs w:val="20"/>
              </w:rPr>
            </w:pPr>
            <w:r w:rsidRPr="00E15BEB">
              <w:rPr>
                <w:sz w:val="20"/>
                <w:szCs w:val="20"/>
              </w:rPr>
              <w:t>n=22</w:t>
            </w:r>
          </w:p>
        </w:tc>
        <w:tc>
          <w:tcPr>
            <w:tcW w:w="1217" w:type="dxa"/>
          </w:tcPr>
          <w:p w:rsidR="00E15BEB" w:rsidRPr="00E15BEB" w:rsidRDefault="00E15BEB" w:rsidP="00E15BEB">
            <w:pPr>
              <w:ind w:left="0" w:right="0"/>
              <w:rPr>
                <w:sz w:val="20"/>
                <w:szCs w:val="20"/>
              </w:rPr>
            </w:pPr>
            <w:r w:rsidRPr="00E15BEB">
              <w:rPr>
                <w:sz w:val="20"/>
                <w:szCs w:val="20"/>
              </w:rPr>
              <w:t xml:space="preserve">Pooled </w:t>
            </w:r>
            <w:r w:rsidR="00223033">
              <w:rPr>
                <w:sz w:val="20"/>
                <w:szCs w:val="20"/>
              </w:rPr>
              <w:t xml:space="preserve">Phase </w:t>
            </w:r>
            <w:r w:rsidR="00AC7AE5">
              <w:rPr>
                <w:sz w:val="20"/>
                <w:szCs w:val="20"/>
              </w:rPr>
              <w:t>II/III</w:t>
            </w:r>
            <w:r w:rsidRPr="00E15BEB">
              <w:rPr>
                <w:sz w:val="20"/>
                <w:szCs w:val="20"/>
              </w:rPr>
              <w:t>*</w:t>
            </w:r>
          </w:p>
          <w:p w:rsidR="00E15BEB" w:rsidRPr="00E15BEB" w:rsidRDefault="00E15BEB" w:rsidP="00E15BEB">
            <w:pPr>
              <w:ind w:left="0" w:right="0"/>
              <w:rPr>
                <w:sz w:val="20"/>
                <w:szCs w:val="20"/>
              </w:rPr>
            </w:pPr>
            <w:r w:rsidRPr="00E15BEB">
              <w:rPr>
                <w:sz w:val="20"/>
                <w:szCs w:val="20"/>
              </w:rPr>
              <w:t>n=417</w:t>
            </w:r>
          </w:p>
        </w:tc>
        <w:tc>
          <w:tcPr>
            <w:tcW w:w="1487" w:type="dxa"/>
          </w:tcPr>
          <w:p w:rsidR="00E15BEB" w:rsidRPr="00E15BEB" w:rsidRDefault="00E15BEB" w:rsidP="00E15BEB">
            <w:pPr>
              <w:ind w:left="0" w:right="0"/>
              <w:rPr>
                <w:sz w:val="20"/>
                <w:szCs w:val="20"/>
              </w:rPr>
            </w:pPr>
          </w:p>
        </w:tc>
      </w:tr>
      <w:tr w:rsidR="00E15BEB" w:rsidRPr="00E15BEB" w:rsidTr="00F826CF">
        <w:trPr>
          <w:trHeight w:val="396"/>
        </w:trPr>
        <w:tc>
          <w:tcPr>
            <w:tcW w:w="2187" w:type="dxa"/>
            <w:vMerge/>
          </w:tcPr>
          <w:p w:rsidR="00E15BEB" w:rsidRPr="00E15BEB" w:rsidRDefault="00E15BEB" w:rsidP="00E15BEB">
            <w:pPr>
              <w:ind w:left="0" w:right="0"/>
              <w:rPr>
                <w:sz w:val="20"/>
                <w:szCs w:val="20"/>
              </w:rPr>
            </w:pPr>
          </w:p>
        </w:tc>
        <w:tc>
          <w:tcPr>
            <w:tcW w:w="6839" w:type="dxa"/>
            <w:gridSpan w:val="5"/>
          </w:tcPr>
          <w:p w:rsidR="00E15BEB" w:rsidRPr="00E15BEB" w:rsidRDefault="00E15BEB" w:rsidP="00E15BEB">
            <w:pPr>
              <w:ind w:left="0" w:right="0"/>
              <w:rPr>
                <w:sz w:val="20"/>
                <w:szCs w:val="20"/>
              </w:rPr>
            </w:pPr>
            <w:r w:rsidRPr="00E15BEB">
              <w:rPr>
                <w:sz w:val="20"/>
                <w:szCs w:val="20"/>
              </w:rPr>
              <w:t xml:space="preserve">The </w:t>
            </w:r>
            <w:r w:rsidRPr="00B95A18">
              <w:rPr>
                <w:b/>
                <w:i/>
                <w:sz w:val="20"/>
                <w:szCs w:val="20"/>
              </w:rPr>
              <w:t xml:space="preserve">third </w:t>
            </w:r>
            <w:r w:rsidR="0039038B">
              <w:rPr>
                <w:b/>
                <w:i/>
                <w:sz w:val="20"/>
                <w:szCs w:val="20"/>
              </w:rPr>
              <w:t>ER</w:t>
            </w:r>
            <w:r w:rsidRPr="00B95A18">
              <w:rPr>
                <w:b/>
                <w:i/>
                <w:sz w:val="20"/>
                <w:szCs w:val="20"/>
              </w:rPr>
              <w:t xml:space="preserve"> analysis</w:t>
            </w:r>
            <w:r w:rsidRPr="00E15BEB">
              <w:rPr>
                <w:sz w:val="20"/>
                <w:szCs w:val="20"/>
              </w:rPr>
              <w:t xml:space="preserve"> of OS used data from 756 subjects with advanced melanoma (many counted earlier in this table; see Section 13.2.1 for comments about patient heterogeneity).</w:t>
            </w:r>
          </w:p>
        </w:tc>
      </w:tr>
      <w:tr w:rsidR="00E15BEB" w:rsidRPr="00E15BEB" w:rsidTr="00F826CF">
        <w:trPr>
          <w:trHeight w:val="397"/>
        </w:trPr>
        <w:tc>
          <w:tcPr>
            <w:tcW w:w="9025" w:type="dxa"/>
            <w:gridSpan w:val="6"/>
          </w:tcPr>
          <w:p w:rsidR="00E15BEB" w:rsidRPr="00E15BEB" w:rsidRDefault="002125C0" w:rsidP="00E15BEB">
            <w:pPr>
              <w:ind w:left="0" w:right="0"/>
              <w:rPr>
                <w:sz w:val="20"/>
                <w:szCs w:val="20"/>
              </w:rPr>
            </w:pPr>
            <w:r>
              <w:rPr>
                <w:sz w:val="20"/>
                <w:szCs w:val="20"/>
              </w:rPr>
              <w:t>*pooled phase II/III</w:t>
            </w:r>
            <w:r w:rsidR="00E15BEB" w:rsidRPr="00E15BEB">
              <w:rPr>
                <w:sz w:val="20"/>
                <w:szCs w:val="20"/>
              </w:rPr>
              <w:t xml:space="preserve"> refers to studies MDX010-20, MDX010-08, CA184004, CA184022.  Section 18.4.7 reveals that MDX010-20 contributed no</w:t>
            </w:r>
            <w:r>
              <w:rPr>
                <w:sz w:val="20"/>
                <w:szCs w:val="20"/>
              </w:rPr>
              <w:t xml:space="preserve"> previously untreated subjects. </w:t>
            </w:r>
            <w:r w:rsidR="00E15BEB" w:rsidRPr="00E15BEB">
              <w:rPr>
                <w:sz w:val="20"/>
                <w:szCs w:val="20"/>
              </w:rPr>
              <w:t>#randomisation was between monotherapy and combination arms</w:t>
            </w:r>
          </w:p>
        </w:tc>
      </w:tr>
    </w:tbl>
    <w:p w:rsidR="006C6765" w:rsidRPr="006C6765" w:rsidRDefault="006C6765" w:rsidP="006C6765">
      <w:r w:rsidRPr="006C6765">
        <w:lastRenderedPageBreak/>
        <w:t>The sponso</w:t>
      </w:r>
      <w:r w:rsidR="00E15BEB">
        <w:t>r distinguishes (in the pooled Phase II/III</w:t>
      </w:r>
      <w:r w:rsidRPr="006C6765">
        <w:t xml:space="preserve"> analysis) between patients previously untreated with any modality, and ‘chemo</w:t>
      </w:r>
      <w:r w:rsidR="00E15BEB">
        <w:t xml:space="preserve"> </w:t>
      </w:r>
      <w:r w:rsidRPr="006C6765">
        <w:t xml:space="preserve">naive’ patients (previously untreated with chemotherapy, </w:t>
      </w:r>
      <w:r w:rsidR="0048681A">
        <w:t>that is</w:t>
      </w:r>
      <w:r w:rsidRPr="006C6765">
        <w:t xml:space="preserve"> allowing previous treatment with modalities such as immunotherapy).</w:t>
      </w:r>
    </w:p>
    <w:p w:rsidR="006C6765" w:rsidRDefault="00E15BEB" w:rsidP="006C6765">
      <w:r>
        <w:t>The sponsor devoted</w:t>
      </w:r>
      <w:r w:rsidR="006C6765" w:rsidRPr="006C6765">
        <w:t xml:space="preserve"> </w:t>
      </w:r>
      <w:r>
        <w:t>a section</w:t>
      </w:r>
      <w:r w:rsidR="006C6765" w:rsidRPr="006C6765">
        <w:t xml:space="preserve"> of the response document to defining populations and key clinical data</w:t>
      </w:r>
      <w:r w:rsidR="001F3382">
        <w:t xml:space="preserve">. </w:t>
      </w:r>
      <w:r w:rsidR="006C6765" w:rsidRPr="006C6765">
        <w:t xml:space="preserve">This is </w:t>
      </w:r>
      <w:r w:rsidR="006C6765" w:rsidRPr="00B95A18">
        <w:t xml:space="preserve">summarised in Table </w:t>
      </w:r>
      <w:r w:rsidR="004572B9">
        <w:t>41</w:t>
      </w:r>
      <w:r w:rsidR="006C6765" w:rsidRPr="00B95A18">
        <w:t>, this</w:t>
      </w:r>
      <w:r w:rsidR="006C6765" w:rsidRPr="006C6765">
        <w:t xml:space="preserve"> table includes a distinction between prior therapy for advanced disease and prior therapy in any setting (</w:t>
      </w:r>
      <w:r w:rsidR="002125C0">
        <w:t>for example</w:t>
      </w:r>
      <w:r w:rsidR="006C6765" w:rsidRPr="006C6765">
        <w:t xml:space="preserve"> </w:t>
      </w:r>
      <w:r w:rsidR="00B95A18">
        <w:t xml:space="preserve">approximately </w:t>
      </w:r>
      <w:r w:rsidR="006C6765" w:rsidRPr="006C6765">
        <w:t>20% of those in observational studies had received neoadjuvant or adjuvant treatment)</w:t>
      </w:r>
      <w:r w:rsidR="001F3382">
        <w:t xml:space="preserve">. </w:t>
      </w:r>
      <w:r w:rsidR="006C6765" w:rsidRPr="006C6765">
        <w:t>This appears to capture 3 mg/kg monotherapy data</w:t>
      </w:r>
      <w:r w:rsidR="001F3382">
        <w:t xml:space="preserve">. </w:t>
      </w:r>
      <w:r w:rsidR="006C6765" w:rsidRPr="006C6765">
        <w:t xml:space="preserve">More information about efficacy analysis populations </w:t>
      </w:r>
      <w:r w:rsidR="00F826CF">
        <w:t>was provided in</w:t>
      </w:r>
      <w:r w:rsidR="006C6765" w:rsidRPr="006C6765">
        <w:t xml:space="preserve"> </w:t>
      </w:r>
      <w:r w:rsidR="006C6765" w:rsidRPr="00F826CF">
        <w:t xml:space="preserve">tabulated </w:t>
      </w:r>
      <w:r w:rsidR="00F826CF" w:rsidRPr="00F826CF">
        <w:t>form</w:t>
      </w:r>
      <w:r w:rsidR="006C6765" w:rsidRPr="00F826CF">
        <w:t>.</w:t>
      </w:r>
    </w:p>
    <w:p w:rsidR="002125C0" w:rsidRDefault="002125C0" w:rsidP="004572B9">
      <w:pPr>
        <w:pStyle w:val="Tabletitle"/>
      </w:pPr>
      <w:r w:rsidRPr="002125C0">
        <w:t xml:space="preserve">Table </w:t>
      </w:r>
      <w:r w:rsidR="004572B9">
        <w:t>41</w:t>
      </w:r>
      <w:r w:rsidR="00B95A18">
        <w:t>:</w:t>
      </w:r>
      <w:r w:rsidRPr="002125C0">
        <w:t xml:space="preserve"> Patient </w:t>
      </w:r>
      <w:r w:rsidR="00B95A18" w:rsidRPr="002125C0">
        <w:t>populations by prior treatment status</w:t>
      </w:r>
    </w:p>
    <w:p w:rsidR="002125C0" w:rsidRPr="002125C0" w:rsidRDefault="002125C0" w:rsidP="002125C0">
      <w:r>
        <w:rPr>
          <w:noProof/>
          <w:lang w:eastAsia="en-AU"/>
        </w:rPr>
        <w:drawing>
          <wp:inline distT="0" distB="0" distL="0" distR="0" wp14:anchorId="444ADD62" wp14:editId="071BCD59">
            <wp:extent cx="5376973" cy="3767328"/>
            <wp:effectExtent l="0" t="0" r="0" b="0"/>
            <wp:docPr id="31" name="Picture 31" descr="Table 41: Patient populations by prior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76553" cy="3767033"/>
                    </a:xfrm>
                    <a:prstGeom prst="rect">
                      <a:avLst/>
                    </a:prstGeom>
                  </pic:spPr>
                </pic:pic>
              </a:graphicData>
            </a:graphic>
          </wp:inline>
        </w:drawing>
      </w:r>
    </w:p>
    <w:p w:rsidR="006C6765" w:rsidRPr="006C6765" w:rsidRDefault="006C6765" w:rsidP="006C6765">
      <w:r w:rsidRPr="006C6765">
        <w:t>The sponsor refers, also, to safety analysis of patients who received 3 mg/kg ipilimumab monotherapy OR combination with other therapies (n=55 previously untreated; n=141 chemo</w:t>
      </w:r>
      <w:r w:rsidR="00F826CF">
        <w:noBreakHyphen/>
      </w:r>
      <w:r w:rsidRPr="006C6765">
        <w:t>naive).</w:t>
      </w:r>
    </w:p>
    <w:p w:rsidR="006C6765" w:rsidRPr="006C6765" w:rsidRDefault="006C6765" w:rsidP="002125C0">
      <w:pPr>
        <w:pStyle w:val="Heading3"/>
      </w:pPr>
      <w:bookmarkStart w:id="335" w:name="_Toc475616250"/>
      <w:r w:rsidRPr="006C6765">
        <w:t>Evaluation relevant to pharmacology</w:t>
      </w:r>
      <w:bookmarkEnd w:id="335"/>
    </w:p>
    <w:p w:rsidR="006C6765" w:rsidRPr="006C6765" w:rsidRDefault="002125C0" w:rsidP="006C6765">
      <w:r>
        <w:t>The sponsor addressed</w:t>
      </w:r>
      <w:r w:rsidR="006C6765" w:rsidRPr="006C6765">
        <w:t xml:space="preserve"> various questions asked by the clinical evaluator concerning population pharmacokinetic (</w:t>
      </w:r>
      <w:r w:rsidR="004D2D70">
        <w:t>PopPK</w:t>
      </w:r>
      <w:r w:rsidR="006C6765" w:rsidRPr="006C6765">
        <w:t>) data.</w:t>
      </w:r>
    </w:p>
    <w:p w:rsidR="006C6765" w:rsidRPr="006C6765" w:rsidRDefault="006C6765" w:rsidP="002125C0">
      <w:pPr>
        <w:pStyle w:val="Heading4"/>
      </w:pPr>
      <w:r w:rsidRPr="006C6765">
        <w:t>Choice of data for use in exposure-response (</w:t>
      </w:r>
      <w:r w:rsidR="0039038B">
        <w:t>ER</w:t>
      </w:r>
      <w:r w:rsidRPr="006C6765">
        <w:t>) analyses</w:t>
      </w:r>
    </w:p>
    <w:p w:rsidR="006C6765" w:rsidRPr="006C6765" w:rsidRDefault="006C6765" w:rsidP="006C6765">
      <w:r w:rsidRPr="006C6765">
        <w:t xml:space="preserve">With reference to </w:t>
      </w:r>
      <w:r w:rsidR="002125C0" w:rsidRPr="006C6765">
        <w:t xml:space="preserve">clinical question </w:t>
      </w:r>
      <w:r w:rsidRPr="006C6765">
        <w:t>1 about the population PK analysis, the sponsor explained that CA184024 was the only study with a placebo arm for which OS was the primary endpoint.</w:t>
      </w:r>
    </w:p>
    <w:p w:rsidR="006C6765" w:rsidRPr="006C6765" w:rsidRDefault="006C6765" w:rsidP="006C6765">
      <w:r w:rsidRPr="006C6765">
        <w:t xml:space="preserve">The sponsor notes that a third </w:t>
      </w:r>
      <w:r w:rsidR="0039038B">
        <w:t>ER</w:t>
      </w:r>
      <w:r w:rsidRPr="006C6765">
        <w:t xml:space="preserve"> analysis has been undertaken, considering OS data combined from CA184024 and the four Phase </w:t>
      </w:r>
      <w:r w:rsidR="002125C0">
        <w:t>II</w:t>
      </w:r>
      <w:r w:rsidRPr="006C6765">
        <w:t xml:space="preserve"> studies (CA184004, CA184007, CA184008 and CA184022)</w:t>
      </w:r>
      <w:r w:rsidR="001F3382">
        <w:t xml:space="preserve">. </w:t>
      </w:r>
      <w:r w:rsidRPr="006C6765">
        <w:t xml:space="preserve">One aim was to assess the relationship between </w:t>
      </w:r>
      <w:r w:rsidR="00A05B08" w:rsidRPr="00FA355C">
        <w:t>C</w:t>
      </w:r>
      <w:r w:rsidR="00A05B08" w:rsidRPr="00A05B08">
        <w:rPr>
          <w:vertAlign w:val="subscript"/>
        </w:rPr>
        <w:t>minss</w:t>
      </w:r>
      <w:r w:rsidRPr="006C6765">
        <w:t xml:space="preserve"> and OS following 3 mg/kg and 10 mg/kg dosing</w:t>
      </w:r>
      <w:r w:rsidR="001F3382">
        <w:t xml:space="preserve">. </w:t>
      </w:r>
      <w:r w:rsidRPr="006C6765">
        <w:t>The 3rd ER-OS analysis is evaluated below.</w:t>
      </w:r>
    </w:p>
    <w:p w:rsidR="006C6765" w:rsidRPr="006C6765" w:rsidRDefault="006C6765" w:rsidP="002125C0">
      <w:pPr>
        <w:pStyle w:val="Heading4"/>
      </w:pPr>
      <w:r w:rsidRPr="006C6765">
        <w:lastRenderedPageBreak/>
        <w:t xml:space="preserve">Choice of covariates in </w:t>
      </w:r>
      <w:r w:rsidR="004D2D70">
        <w:t>PopPK</w:t>
      </w:r>
      <w:r w:rsidRPr="006C6765">
        <w:t xml:space="preserve"> analyses</w:t>
      </w:r>
    </w:p>
    <w:p w:rsidR="006C6765" w:rsidRPr="006C6765" w:rsidRDefault="006C6765" w:rsidP="006C6765">
      <w:r w:rsidRPr="006C6765">
        <w:t>With reference to Clinical Question 3 about the population PK analysis, the sponsor argues that body surface area and ideal body weight are highly correlated with total body weight; and also that dosing is according to total body weight.</w:t>
      </w:r>
    </w:p>
    <w:p w:rsidR="006C6765" w:rsidRPr="006C6765" w:rsidRDefault="006C6765" w:rsidP="006C6765">
      <w:r w:rsidRPr="006C6765">
        <w:t>The sponsor argues that inclusion of albumin as a covariate could have confounded the assessment of hepatic impairment</w:t>
      </w:r>
      <w:r w:rsidR="001F3382">
        <w:t xml:space="preserve">. </w:t>
      </w:r>
      <w:r w:rsidRPr="006C6765">
        <w:t xml:space="preserve">In the 3rd </w:t>
      </w:r>
      <w:r w:rsidR="0039038B">
        <w:t>ER</w:t>
      </w:r>
      <w:r w:rsidRPr="006C6765">
        <w:t xml:space="preserve"> analysis, hepatic impairment was assessed for its effect on ipilimumab clearance (although only mild impairment and normal hepatic function were assessable, because only 1 subject had worse than mild impairment in the analysis)</w:t>
      </w:r>
      <w:r w:rsidR="001F3382">
        <w:t xml:space="preserve">. </w:t>
      </w:r>
      <w:r w:rsidRPr="006C6765">
        <w:t xml:space="preserve">Given correlation between extent of hepatic impairment and albumin level, </w:t>
      </w:r>
      <w:r w:rsidR="002125C0">
        <w:t>the evaluator</w:t>
      </w:r>
      <w:r w:rsidRPr="006C6765">
        <w:t xml:space="preserve"> accept</w:t>
      </w:r>
      <w:r w:rsidR="002125C0">
        <w:t>ed</w:t>
      </w:r>
      <w:r w:rsidRPr="006C6765">
        <w:t xml:space="preserve"> the sponsor’s argument in this regard.</w:t>
      </w:r>
    </w:p>
    <w:p w:rsidR="006C6765" w:rsidRPr="006C6765" w:rsidRDefault="006C6765" w:rsidP="002125C0">
      <w:pPr>
        <w:pStyle w:val="Heading4"/>
      </w:pPr>
      <w:r w:rsidRPr="006C6765">
        <w:t>Clinical relevance of impact of elevated LDH on ipilimumab exposure</w:t>
      </w:r>
    </w:p>
    <w:p w:rsidR="006C6765" w:rsidRPr="006C6765" w:rsidRDefault="006C6765" w:rsidP="006C6765">
      <w:r w:rsidRPr="006C6765">
        <w:t xml:space="preserve">With reference to a question </w:t>
      </w:r>
      <w:r w:rsidR="006A55B0">
        <w:t>in</w:t>
      </w:r>
      <w:r w:rsidRPr="006C6765">
        <w:t xml:space="preserve"> the CER, the sponsor argues that impact of LDH elevation &gt;</w:t>
      </w:r>
      <w:r w:rsidR="006A55B0">
        <w:t> </w:t>
      </w:r>
      <w:r w:rsidRPr="006C6765">
        <w:t>3</w:t>
      </w:r>
      <w:r w:rsidR="006A55B0">
        <w:t> </w:t>
      </w:r>
      <w:r w:rsidRPr="006C6765">
        <w:t>x</w:t>
      </w:r>
      <w:r w:rsidR="006A55B0">
        <w:t> </w:t>
      </w:r>
      <w:r w:rsidRPr="006C6765">
        <w:t>ULN on ipilimumab exposure is not meaningful</w:t>
      </w:r>
      <w:r w:rsidR="001F3382">
        <w:t xml:space="preserve">. </w:t>
      </w:r>
      <w:r w:rsidRPr="006C6765">
        <w:t xml:space="preserve">The sponsor notes elevated LDH is associated with a reduction in </w:t>
      </w:r>
      <w:r w:rsidR="00A05B08" w:rsidRPr="00FA355C">
        <w:t>C</w:t>
      </w:r>
      <w:r w:rsidR="00A05B08" w:rsidRPr="00A05B08">
        <w:rPr>
          <w:vertAlign w:val="subscript"/>
        </w:rPr>
        <w:t>minss</w:t>
      </w:r>
      <w:r w:rsidRPr="006C6765">
        <w:t xml:space="preserve"> (</w:t>
      </w:r>
      <w:r w:rsidR="0048681A">
        <w:t>that is</w:t>
      </w:r>
      <w:r w:rsidRPr="006C6765">
        <w:t xml:space="preserve"> trough ipilimumab level at steady state), implying no impact on safety profile</w:t>
      </w:r>
      <w:r w:rsidR="001F3382">
        <w:t xml:space="preserve">. </w:t>
      </w:r>
      <w:r w:rsidRPr="006C6765">
        <w:t>The sponsor also argues that impact on efficacy should be minimal, in that:</w:t>
      </w:r>
    </w:p>
    <w:p w:rsidR="006C6765" w:rsidRPr="006C6765" w:rsidRDefault="006C6765" w:rsidP="006A55B0">
      <w:pPr>
        <w:pStyle w:val="Numberbullet2"/>
      </w:pPr>
      <w:r w:rsidRPr="006C6765">
        <w:t>exposure associated with an efficacious response (concentration range of 3 µg/mL to 20 µg/mL) was achieved in over 93% of subjects treated with ipilimumab 3 mg/kg; and</w:t>
      </w:r>
    </w:p>
    <w:p w:rsidR="006C6765" w:rsidRPr="006C6765" w:rsidRDefault="006C6765" w:rsidP="006A55B0">
      <w:pPr>
        <w:pStyle w:val="Numberbullet2"/>
      </w:pPr>
      <w:proofErr w:type="gramStart"/>
      <w:r w:rsidRPr="006C6765">
        <w:t>the</w:t>
      </w:r>
      <w:proofErr w:type="gramEnd"/>
      <w:r w:rsidRPr="006C6765">
        <w:t xml:space="preserve"> exposure-response analysis described in the </w:t>
      </w:r>
      <w:r w:rsidR="004D2D70">
        <w:t>PopPK</w:t>
      </w:r>
      <w:r w:rsidRPr="006C6765">
        <w:t xml:space="preserve">-ER report (DCN 930082362) demonstrated a survival benefit even at the lowest 5th percentile of </w:t>
      </w:r>
      <w:r w:rsidR="00A05B08" w:rsidRPr="00FA355C">
        <w:t>C</w:t>
      </w:r>
      <w:r w:rsidR="00A05B08" w:rsidRPr="00A05B08">
        <w:rPr>
          <w:vertAlign w:val="subscript"/>
        </w:rPr>
        <w:t>minss</w:t>
      </w:r>
      <w:r w:rsidRPr="006C6765">
        <w:t xml:space="preserve"> following 3 mg/kg dosing</w:t>
      </w:r>
      <w:r w:rsidR="006A55B0">
        <w:t>.</w:t>
      </w:r>
    </w:p>
    <w:p w:rsidR="006C6765" w:rsidRPr="006C6765" w:rsidRDefault="006C6765" w:rsidP="006C6765">
      <w:r w:rsidRPr="006C6765">
        <w:t xml:space="preserve">The </w:t>
      </w:r>
      <w:r w:rsidR="006A55B0">
        <w:t>clinical</w:t>
      </w:r>
      <w:r w:rsidRPr="006C6765">
        <w:t xml:space="preserve"> evaluator’s concern was more around the limited number of patients with elevations &gt;</w:t>
      </w:r>
      <w:r w:rsidR="006A55B0">
        <w:t xml:space="preserve"> </w:t>
      </w:r>
      <w:r w:rsidRPr="006C6765">
        <w:t>3</w:t>
      </w:r>
      <w:r w:rsidR="006A55B0">
        <w:t xml:space="preserve"> </w:t>
      </w:r>
      <w:r w:rsidRPr="006C6765">
        <w:t>x</w:t>
      </w:r>
      <w:r w:rsidR="006A55B0">
        <w:t xml:space="preserve"> </w:t>
      </w:r>
      <w:r w:rsidRPr="006C6765">
        <w:t xml:space="preserve">ULN in LDH; but </w:t>
      </w:r>
      <w:r w:rsidR="006A55B0">
        <w:t>the evaluator</w:t>
      </w:r>
      <w:r w:rsidRPr="006C6765">
        <w:t xml:space="preserve"> accept</w:t>
      </w:r>
      <w:r w:rsidR="006A55B0">
        <w:t>s</w:t>
      </w:r>
      <w:r w:rsidRPr="006C6765">
        <w:t xml:space="preserve"> the sponsor’s view that the number of patients in this subgroup was not small.</w:t>
      </w:r>
    </w:p>
    <w:p w:rsidR="006C6765" w:rsidRPr="006C6765" w:rsidRDefault="006C6765" w:rsidP="006A55B0">
      <w:pPr>
        <w:pStyle w:val="Heading4"/>
      </w:pPr>
      <w:r w:rsidRPr="006C6765">
        <w:t>Evaluation of third exposure-response analysis (DCN930082362)</w:t>
      </w:r>
    </w:p>
    <w:p w:rsidR="006C6765" w:rsidRPr="006C6765" w:rsidRDefault="006C6765" w:rsidP="006C6765">
      <w:r w:rsidRPr="006C6765">
        <w:t xml:space="preserve">This is the third </w:t>
      </w:r>
      <w:r w:rsidR="004D2D70">
        <w:t>PopPK</w:t>
      </w:r>
      <w:r w:rsidRPr="006C6765">
        <w:t>/</w:t>
      </w:r>
      <w:r w:rsidR="0039038B">
        <w:t>ER</w:t>
      </w:r>
      <w:r w:rsidRPr="006C6765">
        <w:t xml:space="preserve"> analysis provided by the sponsor</w:t>
      </w:r>
      <w:r w:rsidR="001F3382">
        <w:t xml:space="preserve">. </w:t>
      </w:r>
      <w:r w:rsidRPr="006C6765">
        <w:t>It is titled “</w:t>
      </w:r>
      <w:r w:rsidR="00A60A6A">
        <w:t>ipilimumab</w:t>
      </w:r>
      <w:r w:rsidRPr="006C6765">
        <w:t xml:space="preserve"> Population Pharmacokinetic and Exposure - Response Analyses in Previously Treated or Untreated Subjects with Advanced Melanoma” (report date September 2014).</w:t>
      </w:r>
    </w:p>
    <w:p w:rsidR="006C6765" w:rsidRPr="006C6765" w:rsidRDefault="006C6765" w:rsidP="006C6765">
      <w:r w:rsidRPr="006C6765">
        <w:t xml:space="preserve">By way of background, there are two broad components to the </w:t>
      </w:r>
      <w:r w:rsidR="0039038B">
        <w:t>ER</w:t>
      </w:r>
      <w:r w:rsidRPr="006C6765">
        <w:t xml:space="preserve"> analysis.</w:t>
      </w:r>
    </w:p>
    <w:p w:rsidR="006C6765" w:rsidRPr="006C6765" w:rsidRDefault="006C6765" w:rsidP="006A55B0">
      <w:pPr>
        <w:pStyle w:val="ListBullet"/>
      </w:pPr>
      <w:r w:rsidRPr="006C6765">
        <w:t xml:space="preserve">First, a </w:t>
      </w:r>
      <w:r w:rsidR="004D2D70">
        <w:t>PopPK</w:t>
      </w:r>
      <w:r w:rsidRPr="006C6765">
        <w:t xml:space="preserve"> model is developed</w:t>
      </w:r>
      <w:r w:rsidR="001F3382">
        <w:t xml:space="preserve">. </w:t>
      </w:r>
      <w:r w:rsidRPr="006C6765">
        <w:t>The aim is to estimate ipilimumab exposure (</w:t>
      </w:r>
      <w:r w:rsidR="002125C0">
        <w:t>for example</w:t>
      </w:r>
      <w:r w:rsidRPr="006C6765">
        <w:t xml:space="preserve"> </w:t>
      </w:r>
      <w:r w:rsidR="00A05B08" w:rsidRPr="00FA355C">
        <w:t>C</w:t>
      </w:r>
      <w:r w:rsidR="00A05B08" w:rsidRPr="00A05B08">
        <w:rPr>
          <w:vertAlign w:val="subscript"/>
        </w:rPr>
        <w:t>minss</w:t>
      </w:r>
      <w:r w:rsidRPr="006C6765">
        <w:t>) in individuals, by taking into account covariates found to explain exposure</w:t>
      </w:r>
      <w:r w:rsidR="001F3382">
        <w:t xml:space="preserve">. </w:t>
      </w:r>
      <w:r w:rsidRPr="006C6765">
        <w:t xml:space="preserve">Patients used in </w:t>
      </w:r>
      <w:r w:rsidR="004D2D70">
        <w:t>PopPK</w:t>
      </w:r>
      <w:r w:rsidRPr="006C6765">
        <w:t xml:space="preserve"> modelling (making up the </w:t>
      </w:r>
      <w:r w:rsidR="004D2D70">
        <w:t>PopPK</w:t>
      </w:r>
      <w:r w:rsidRPr="006C6765">
        <w:t xml:space="preserve"> analysis dataset) are drawn from a range of clinical studies.</w:t>
      </w:r>
    </w:p>
    <w:p w:rsidR="006C6765" w:rsidRPr="006C6765" w:rsidRDefault="006C6765" w:rsidP="006A55B0">
      <w:pPr>
        <w:pStyle w:val="ListBullet"/>
      </w:pPr>
      <w:r w:rsidRPr="006C6765">
        <w:t>Second, a relationship between exposure and overall survival (</w:t>
      </w:r>
      <w:r w:rsidR="0039038B">
        <w:t>ER</w:t>
      </w:r>
      <w:r w:rsidRPr="006C6765">
        <w:t>: OS) is determined, taking into account covariates that might have an effect on OS</w:t>
      </w:r>
      <w:r w:rsidR="001F3382">
        <w:t xml:space="preserve">. </w:t>
      </w:r>
      <w:r w:rsidRPr="006C6765">
        <w:t>Likewise, a relationship between exposure and irAEs is examined (</w:t>
      </w:r>
      <w:r w:rsidR="0039038B">
        <w:t>ER</w:t>
      </w:r>
      <w:r w:rsidRPr="006C6765">
        <w:t>: irAEs)</w:t>
      </w:r>
      <w:r w:rsidR="001F3382">
        <w:t xml:space="preserve">. </w:t>
      </w:r>
      <w:r w:rsidRPr="006C6765">
        <w:t>Outcomes (OS, irAEs) are from patients from specified clini</w:t>
      </w:r>
      <w:r w:rsidR="0034203C">
        <w:t xml:space="preserve">cal studies (making up exposure efficacy and exposure </w:t>
      </w:r>
      <w:r w:rsidRPr="006C6765">
        <w:t>safety response analysis datasets).</w:t>
      </w:r>
    </w:p>
    <w:p w:rsidR="006C6765" w:rsidRPr="006C6765" w:rsidRDefault="006C6765" w:rsidP="006C6765">
      <w:r w:rsidRPr="006C6765">
        <w:t xml:space="preserve">Also by way of background, there have been two previous </w:t>
      </w:r>
      <w:r w:rsidR="0039038B">
        <w:t>ER</w:t>
      </w:r>
      <w:r w:rsidRPr="006C6765">
        <w:t xml:space="preserve"> analyses:</w:t>
      </w:r>
    </w:p>
    <w:p w:rsidR="006C6765" w:rsidRPr="006C6765" w:rsidRDefault="006C6765" w:rsidP="0034203C">
      <w:pPr>
        <w:pStyle w:val="ListBullet"/>
      </w:pPr>
      <w:r w:rsidRPr="006C6765">
        <w:t xml:space="preserve">The first </w:t>
      </w:r>
      <w:r w:rsidR="0039038B">
        <w:t>ER</w:t>
      </w:r>
      <w:r w:rsidRPr="006C6765">
        <w:t xml:space="preserve"> an</w:t>
      </w:r>
      <w:r w:rsidR="0034203C">
        <w:t>alysis used data from the four Phase II</w:t>
      </w:r>
      <w:r w:rsidRPr="006C6765">
        <w:t xml:space="preserve"> studies CA184004, CA184007, CA184008 and CA184022, but OS was not the primary endpoint.</w:t>
      </w:r>
    </w:p>
    <w:p w:rsidR="006C6765" w:rsidRPr="006C6765" w:rsidRDefault="006C6765" w:rsidP="0034203C">
      <w:pPr>
        <w:pStyle w:val="ListBullet"/>
      </w:pPr>
      <w:r w:rsidRPr="006C6765">
        <w:t xml:space="preserve">The second </w:t>
      </w:r>
      <w:r w:rsidR="0039038B">
        <w:t>ER</w:t>
      </w:r>
      <w:r w:rsidR="0034203C">
        <w:t xml:space="preserve"> analysis used data from the Phase III</w:t>
      </w:r>
      <w:r w:rsidRPr="006C6765">
        <w:t xml:space="preserve"> study CA184024 and OS was the primary endpoint</w:t>
      </w:r>
      <w:r w:rsidR="001F3382">
        <w:t xml:space="preserve">. </w:t>
      </w:r>
      <w:r w:rsidRPr="006C6765">
        <w:t xml:space="preserve">This was evaluated in the </w:t>
      </w:r>
      <w:r w:rsidR="0034203C">
        <w:t>first r</w:t>
      </w:r>
      <w:r w:rsidRPr="006C6765">
        <w:t xml:space="preserve">ound </w:t>
      </w:r>
      <w:r w:rsidR="0034203C">
        <w:t>0f clinical evaluation</w:t>
      </w:r>
      <w:r w:rsidRPr="006C6765">
        <w:t>.</w:t>
      </w:r>
    </w:p>
    <w:p w:rsidR="006C6765" w:rsidRPr="006C6765" w:rsidRDefault="006C6765" w:rsidP="006C6765">
      <w:r w:rsidRPr="006C6765">
        <w:lastRenderedPageBreak/>
        <w:t xml:space="preserve">The third </w:t>
      </w:r>
      <w:r w:rsidR="0039038B">
        <w:t>ER</w:t>
      </w:r>
      <w:r w:rsidRPr="006C6765">
        <w:t xml:space="preserve"> analysis makes use of the same </w:t>
      </w:r>
      <w:r w:rsidR="004D2D70">
        <w:t>PopPK</w:t>
      </w:r>
      <w:r w:rsidRPr="006C6765">
        <w:t xml:space="preserve"> model that was used in the second </w:t>
      </w:r>
      <w:r w:rsidR="004D2D70">
        <w:t>PopPK</w:t>
      </w:r>
      <w:r w:rsidRPr="006C6765">
        <w:t>/</w:t>
      </w:r>
      <w:r w:rsidR="0039038B">
        <w:t>ER</w:t>
      </w:r>
      <w:r w:rsidRPr="006C6765">
        <w:t xml:space="preserve"> analysis (</w:t>
      </w:r>
      <w:r w:rsidR="0048681A">
        <w:t>that is</w:t>
      </w:r>
      <w:r w:rsidRPr="006C6765">
        <w:t xml:space="preserve"> the </w:t>
      </w:r>
      <w:r w:rsidR="004D2D70">
        <w:t>PopPK</w:t>
      </w:r>
      <w:r w:rsidRPr="006C6765">
        <w:t xml:space="preserve"> analysis dataset is the same as described in the </w:t>
      </w:r>
      <w:r w:rsidR="0034203C">
        <w:t>first round</w:t>
      </w:r>
      <w:r w:rsidRPr="006C6765">
        <w:t xml:space="preserve"> CER; and PK parameter estimates are the same).</w:t>
      </w:r>
    </w:p>
    <w:p w:rsidR="006C6765" w:rsidRPr="006C6765" w:rsidRDefault="006C6765" w:rsidP="006C6765">
      <w:r w:rsidRPr="006C6765">
        <w:t xml:space="preserve">The third </w:t>
      </w:r>
      <w:r w:rsidR="0039038B">
        <w:t>ER</w:t>
      </w:r>
      <w:r w:rsidRPr="006C6765">
        <w:t xml:space="preserve"> analysis combines the above phase </w:t>
      </w:r>
      <w:r w:rsidR="0034203C">
        <w:t>II</w:t>
      </w:r>
      <w:r w:rsidRPr="006C6765">
        <w:t xml:space="preserve"> and </w:t>
      </w:r>
      <w:r w:rsidR="0034203C">
        <w:t xml:space="preserve">III </w:t>
      </w:r>
      <w:r w:rsidRPr="006C6765">
        <w:t>studies and considers OS and irAEs (</w:t>
      </w:r>
      <w:r w:rsidR="0048681A">
        <w:t>that is</w:t>
      </w:r>
      <w:r w:rsidRPr="006C6765">
        <w:t xml:space="preserve"> it has updated exposure response analysis datasets).</w:t>
      </w:r>
    </w:p>
    <w:p w:rsidR="006C6765" w:rsidRPr="006C6765" w:rsidRDefault="006C6765" w:rsidP="006C6765">
      <w:r w:rsidRPr="006C6765">
        <w:t xml:space="preserve">Methodology used for the third </w:t>
      </w:r>
      <w:r w:rsidR="004D2D70">
        <w:t>PopPK</w:t>
      </w:r>
      <w:r w:rsidRPr="006C6765">
        <w:t>/</w:t>
      </w:r>
      <w:r w:rsidR="0039038B">
        <w:t>ER</w:t>
      </w:r>
      <w:r w:rsidRPr="006C6765">
        <w:t xml:space="preserve"> analysis is not evaluated in detail here; refer to the separate Pop PK Evaluation Report and the </w:t>
      </w:r>
      <w:r w:rsidR="00F02E74">
        <w:t>first round</w:t>
      </w:r>
      <w:r w:rsidRPr="006C6765">
        <w:t xml:space="preserve"> CER, which considered the second </w:t>
      </w:r>
      <w:r w:rsidR="004D2D70">
        <w:t>PopPK</w:t>
      </w:r>
      <w:r w:rsidRPr="006C6765">
        <w:t>/</w:t>
      </w:r>
      <w:r w:rsidR="0039038B">
        <w:t>ER</w:t>
      </w:r>
      <w:r w:rsidRPr="006C6765">
        <w:t xml:space="preserve"> analysis.</w:t>
      </w:r>
    </w:p>
    <w:p w:rsidR="006C6765" w:rsidRPr="006C6765" w:rsidRDefault="006C6765" w:rsidP="006C6765">
      <w:r w:rsidRPr="006C6765">
        <w:t xml:space="preserve">The </w:t>
      </w:r>
      <w:r w:rsidR="004D2D70">
        <w:t>PopPK</w:t>
      </w:r>
      <w:r w:rsidRPr="006C6765">
        <w:t xml:space="preserve"> dataset included subjects with a range of doses (</w:t>
      </w:r>
      <w:r w:rsidR="002125C0">
        <w:t>for example</w:t>
      </w:r>
      <w:r w:rsidRPr="006C6765">
        <w:t xml:space="preserve"> 3 mg/kg </w:t>
      </w:r>
      <w:r w:rsidR="000614E5">
        <w:t>versus</w:t>
      </w:r>
      <w:r w:rsidRPr="006C6765">
        <w:t xml:space="preserve"> 10 mg/kg)</w:t>
      </w:r>
      <w:r w:rsidR="001F3382">
        <w:t xml:space="preserve">. </w:t>
      </w:r>
      <w:r w:rsidRPr="006C6765">
        <w:t xml:space="preserve">The base </w:t>
      </w:r>
      <w:r w:rsidR="004D2D70">
        <w:t>PopPK</w:t>
      </w:r>
      <w:r w:rsidRPr="006C6765">
        <w:t xml:space="preserve"> model assumed linear PK</w:t>
      </w:r>
      <w:r w:rsidR="001F3382">
        <w:t xml:space="preserve">. </w:t>
      </w:r>
      <w:r w:rsidRPr="006C6765">
        <w:t>In the PSC Minutes for this application, it states:</w:t>
      </w:r>
    </w:p>
    <w:p w:rsidR="006C6765" w:rsidRPr="00F02E74" w:rsidRDefault="006C6765" w:rsidP="00F02E74">
      <w:pPr>
        <w:ind w:left="720"/>
        <w:rPr>
          <w:i/>
        </w:rPr>
      </w:pPr>
      <w:r w:rsidRPr="00F02E74">
        <w:rPr>
          <w:i/>
        </w:rPr>
        <w:t>There was enough information in the data to estab</w:t>
      </w:r>
      <w:r w:rsidR="00F02E74" w:rsidRPr="00F02E74">
        <w:rPr>
          <w:i/>
        </w:rPr>
        <w:t xml:space="preserve">lish that the PK of the drug is </w:t>
      </w:r>
      <w:r w:rsidRPr="00F02E74">
        <w:rPr>
          <w:i/>
        </w:rPr>
        <w:t>linear within the tested dosing range. So exposure is proportion to dose…</w:t>
      </w:r>
    </w:p>
    <w:p w:rsidR="006C6765" w:rsidRPr="00F02E74" w:rsidRDefault="006C6765" w:rsidP="00F02E74">
      <w:pPr>
        <w:ind w:left="720"/>
        <w:rPr>
          <w:i/>
        </w:rPr>
      </w:pPr>
      <w:r w:rsidRPr="00F02E74">
        <w:rPr>
          <w:i/>
        </w:rPr>
        <w:t xml:space="preserve">With linear PK, parameters such as clearance and </w:t>
      </w:r>
      <w:proofErr w:type="gramStart"/>
      <w:r w:rsidRPr="00F02E74">
        <w:rPr>
          <w:i/>
        </w:rPr>
        <w:t>Vd</w:t>
      </w:r>
      <w:proofErr w:type="gramEnd"/>
      <w:r w:rsidRPr="00F02E74">
        <w:rPr>
          <w:i/>
        </w:rPr>
        <w:t xml:space="preserve"> should not vary with dose.</w:t>
      </w:r>
    </w:p>
    <w:p w:rsidR="006C6765" w:rsidRPr="006C6765" w:rsidRDefault="006C6765" w:rsidP="006C6765">
      <w:r w:rsidRPr="006C6765">
        <w:t xml:space="preserve">The </w:t>
      </w:r>
      <w:r w:rsidR="004D2D70">
        <w:t>PopPK</w:t>
      </w:r>
      <w:r w:rsidRPr="006C6765">
        <w:t xml:space="preserve"> model ev</w:t>
      </w:r>
      <w:r w:rsidR="00F02E74">
        <w:t xml:space="preserve">aluation compares observed and model </w:t>
      </w:r>
      <w:r w:rsidRPr="006C6765">
        <w:t>predicted concentrations stratified by dose (0.3, 3, 10 mg/kg)</w:t>
      </w:r>
      <w:r w:rsidR="001F3382">
        <w:t xml:space="preserve">. </w:t>
      </w:r>
      <w:r w:rsidRPr="006C6765">
        <w:t xml:space="preserve">Predicted doses rise with dose group and broadly parallel observed doses, so </w:t>
      </w:r>
      <w:r w:rsidR="00F02E74">
        <w:t>the evaluator</w:t>
      </w:r>
      <w:r w:rsidRPr="006C6765">
        <w:t xml:space="preserve"> assume</w:t>
      </w:r>
      <w:r w:rsidR="00F02E74">
        <w:t>d</w:t>
      </w:r>
      <w:r w:rsidRPr="006C6765">
        <w:t xml:space="preserve"> that the base and full </w:t>
      </w:r>
      <w:r w:rsidR="004D2D70">
        <w:t>PopPK</w:t>
      </w:r>
      <w:r w:rsidRPr="006C6765">
        <w:t xml:space="preserve"> models capture ‘dose’ as an independent variable that helps explain exposure</w:t>
      </w:r>
      <w:r w:rsidR="001F3382">
        <w:t xml:space="preserve">. </w:t>
      </w:r>
      <w:r w:rsidRPr="006C6765">
        <w:t xml:space="preserve">Explicit description in the third </w:t>
      </w:r>
      <w:r w:rsidR="004D2D70">
        <w:t>PopPK</w:t>
      </w:r>
      <w:r w:rsidRPr="006C6765">
        <w:t>/</w:t>
      </w:r>
      <w:r w:rsidR="0039038B">
        <w:t>ER</w:t>
      </w:r>
      <w:r w:rsidRPr="006C6765">
        <w:t xml:space="preserve"> report of how this was achieved would have been useful.</w:t>
      </w:r>
    </w:p>
    <w:p w:rsidR="006C6765" w:rsidRPr="006C6765" w:rsidRDefault="006C6765" w:rsidP="006C6765">
      <w:r w:rsidRPr="006C6765">
        <w:t xml:space="preserve">In </w:t>
      </w:r>
      <w:r w:rsidR="0039038B">
        <w:t>ER</w:t>
      </w:r>
      <w:r w:rsidRPr="006C6765">
        <w:t xml:space="preserve"> modelling for OS, the sponsor stratified </w:t>
      </w:r>
      <w:r w:rsidR="00A05B08" w:rsidRPr="00FA355C">
        <w:t>C</w:t>
      </w:r>
      <w:r w:rsidR="00A05B08" w:rsidRPr="00A05B08">
        <w:rPr>
          <w:vertAlign w:val="subscript"/>
        </w:rPr>
        <w:t>minss</w:t>
      </w:r>
      <w:r w:rsidRPr="006C6765">
        <w:t xml:space="preserve"> impact on OS according</w:t>
      </w:r>
      <w:r w:rsidR="00F02E74">
        <w:t xml:space="preserve"> to dose</w:t>
      </w:r>
      <w:r w:rsidRPr="006C6765">
        <w:t xml:space="preserve"> and the impact of </w:t>
      </w:r>
      <w:r w:rsidR="00A05B08" w:rsidRPr="00FA355C">
        <w:t>C</w:t>
      </w:r>
      <w:r w:rsidR="00A05B08" w:rsidRPr="00A05B08">
        <w:rPr>
          <w:vertAlign w:val="subscript"/>
        </w:rPr>
        <w:t>minss</w:t>
      </w:r>
      <w:r w:rsidRPr="006C6765">
        <w:t xml:space="preserve"> in 10 mg/kg patients (with a </w:t>
      </w:r>
      <w:r w:rsidR="00A05B08" w:rsidRPr="00FA355C">
        <w:t>C</w:t>
      </w:r>
      <w:r w:rsidR="00A05B08" w:rsidRPr="00A05B08">
        <w:rPr>
          <w:vertAlign w:val="subscript"/>
        </w:rPr>
        <w:t>minss</w:t>
      </w:r>
      <w:r w:rsidR="00F02E74">
        <w:t xml:space="preserve"> range of 18.6 to </w:t>
      </w:r>
      <w:r w:rsidRPr="006C6765">
        <w:t xml:space="preserve">113 µg/mL) appears greater than the impact of </w:t>
      </w:r>
      <w:r w:rsidR="00A05B08" w:rsidRPr="00FA355C">
        <w:t>C</w:t>
      </w:r>
      <w:r w:rsidR="00A05B08" w:rsidRPr="00A05B08">
        <w:rPr>
          <w:vertAlign w:val="subscript"/>
        </w:rPr>
        <w:t>minss</w:t>
      </w:r>
      <w:r w:rsidRPr="006C6765">
        <w:t xml:space="preserve"> in 3 mg/kg patients (with a </w:t>
      </w:r>
      <w:r w:rsidR="00A05B08" w:rsidRPr="00FA355C">
        <w:t>C</w:t>
      </w:r>
      <w:r w:rsidR="00A05B08" w:rsidRPr="00A05B08">
        <w:rPr>
          <w:vertAlign w:val="subscript"/>
        </w:rPr>
        <w:t>minss</w:t>
      </w:r>
      <w:r w:rsidR="00F02E74">
        <w:t xml:space="preserve"> range of 5.62 to </w:t>
      </w:r>
      <w:r w:rsidRPr="006C6765">
        <w:t>38.9 µg/mL)</w:t>
      </w:r>
      <w:r w:rsidR="001F3382">
        <w:t xml:space="preserve">. </w:t>
      </w:r>
      <w:r w:rsidRPr="006C6765">
        <w:t>While this might be attributable to the lower exposure seen in the 3 mg/kg patien</w:t>
      </w:r>
      <w:r w:rsidR="00F02E74">
        <w:t>ts, there was also a difference</w:t>
      </w:r>
      <w:r w:rsidRPr="006C6765">
        <w:t xml:space="preserve"> between the 10 mg/kg and the 10 mg/kg + DTIC groups</w:t>
      </w:r>
      <w:r w:rsidR="001F3382">
        <w:t xml:space="preserve">. </w:t>
      </w:r>
      <w:r w:rsidRPr="006C6765">
        <w:t xml:space="preserve">Elsewhere, it was suggested that there was a loss of ipilimumab </w:t>
      </w:r>
      <w:r w:rsidR="00A05B08" w:rsidRPr="00FA355C">
        <w:t>C</w:t>
      </w:r>
      <w:r w:rsidR="00A05B08" w:rsidRPr="00A05B08">
        <w:rPr>
          <w:vertAlign w:val="subscript"/>
        </w:rPr>
        <w:t>minss</w:t>
      </w:r>
      <w:r w:rsidRPr="006C6765">
        <w:t xml:space="preserve"> effect in the presence of DTIC</w:t>
      </w:r>
      <w:r w:rsidR="001F3382">
        <w:t xml:space="preserve">. </w:t>
      </w:r>
      <w:r w:rsidRPr="006C6765">
        <w:t>Alternatively, confounding by some unmeasured variable linked to OS might have contributed to modelled outcomes.</w:t>
      </w:r>
    </w:p>
    <w:p w:rsidR="006C6765" w:rsidRPr="006C6765" w:rsidRDefault="006C6765" w:rsidP="006C6765">
      <w:r w:rsidRPr="006C6765">
        <w:t xml:space="preserve">The same dose stratification approach was </w:t>
      </w:r>
      <w:r w:rsidR="00F02E74">
        <w:t xml:space="preserve">not evident in the </w:t>
      </w:r>
      <w:r w:rsidR="0039038B">
        <w:t>ER</w:t>
      </w:r>
      <w:r w:rsidR="00F02E74">
        <w:t xml:space="preserve"> (safety</w:t>
      </w:r>
      <w:r w:rsidRPr="006C6765">
        <w:t xml:space="preserve"> irAE) analysis.</w:t>
      </w:r>
    </w:p>
    <w:p w:rsidR="006C6765" w:rsidRDefault="006C6765" w:rsidP="006C6765">
      <w:r w:rsidRPr="006C6765">
        <w:t xml:space="preserve">Key information from the third </w:t>
      </w:r>
      <w:r w:rsidR="004D2D70">
        <w:t>PopPK</w:t>
      </w:r>
      <w:r w:rsidRPr="006C6765">
        <w:t>/</w:t>
      </w:r>
      <w:r w:rsidR="0039038B">
        <w:t>ER</w:t>
      </w:r>
      <w:r w:rsidRPr="006C6765">
        <w:t xml:space="preserve"> analysis is summarised </w:t>
      </w:r>
      <w:r w:rsidRPr="00F826CF">
        <w:t xml:space="preserve">in Figures </w:t>
      </w:r>
      <w:r w:rsidR="00F047E2">
        <w:t>7</w:t>
      </w:r>
      <w:r w:rsidRPr="006C6765">
        <w:t xml:space="preserve"> (for OS) and </w:t>
      </w:r>
      <w:r w:rsidR="00F047E2">
        <w:t>8</w:t>
      </w:r>
      <w:r w:rsidRPr="006C6765">
        <w:t xml:space="preserve"> (for irAEs).</w:t>
      </w:r>
    </w:p>
    <w:p w:rsidR="00066A7E" w:rsidRDefault="00066A7E" w:rsidP="00066A7E">
      <w:pPr>
        <w:pStyle w:val="FigureTitle"/>
        <w:keepNext/>
      </w:pPr>
      <w:r w:rsidRPr="00066A7E">
        <w:lastRenderedPageBreak/>
        <w:t xml:space="preserve">Figure </w:t>
      </w:r>
      <w:r w:rsidR="00F047E2">
        <w:t>7:</w:t>
      </w:r>
      <w:r w:rsidRPr="00066A7E">
        <w:t xml:space="preserve"> Covariate effects on the hazard ratio for final CPH model</w:t>
      </w:r>
    </w:p>
    <w:p w:rsidR="00066A7E" w:rsidRDefault="00066A7E" w:rsidP="00066A7E">
      <w:r>
        <w:rPr>
          <w:noProof/>
          <w:lang w:eastAsia="en-AU"/>
        </w:rPr>
        <w:drawing>
          <wp:inline distT="0" distB="0" distL="0" distR="0" wp14:anchorId="50A19384" wp14:editId="61A51408">
            <wp:extent cx="5026097" cy="4016045"/>
            <wp:effectExtent l="0" t="0" r="0" b="0"/>
            <wp:docPr id="7168" name="Picture 7168" descr="Figure 7: Covariate effects on the hazard ratio for final CP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26516" cy="4016380"/>
                    </a:xfrm>
                    <a:prstGeom prst="rect">
                      <a:avLst/>
                    </a:prstGeom>
                  </pic:spPr>
                </pic:pic>
              </a:graphicData>
            </a:graphic>
          </wp:inline>
        </w:drawing>
      </w:r>
    </w:p>
    <w:p w:rsidR="008E15AF" w:rsidRDefault="008E15AF" w:rsidP="008E15AF">
      <w:pPr>
        <w:pStyle w:val="FigureTitle"/>
        <w:keepNext/>
      </w:pPr>
      <w:r w:rsidRPr="008E15AF">
        <w:lastRenderedPageBreak/>
        <w:t xml:space="preserve">Figure </w:t>
      </w:r>
      <w:r w:rsidR="00F047E2">
        <w:t>8: Full model odds ratios;</w:t>
      </w:r>
      <w:r w:rsidRPr="008E15AF">
        <w:t xml:space="preserve"> any irAEs</w:t>
      </w:r>
    </w:p>
    <w:p w:rsidR="008E15AF" w:rsidRPr="008E15AF" w:rsidRDefault="008E15AF" w:rsidP="008E15AF">
      <w:r>
        <w:rPr>
          <w:noProof/>
          <w:lang w:eastAsia="en-AU"/>
        </w:rPr>
        <w:drawing>
          <wp:inline distT="0" distB="0" distL="0" distR="0" wp14:anchorId="14FE5206" wp14:editId="7B9D5EDB">
            <wp:extent cx="5359628" cy="4718304"/>
            <wp:effectExtent l="0" t="0" r="0" b="0"/>
            <wp:docPr id="7174" name="Picture 7174" descr="Figure 8: Full model odds ratios; any ir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57717" cy="4716621"/>
                    </a:xfrm>
                    <a:prstGeom prst="rect">
                      <a:avLst/>
                    </a:prstGeom>
                  </pic:spPr>
                </pic:pic>
              </a:graphicData>
            </a:graphic>
          </wp:inline>
        </w:drawing>
      </w:r>
    </w:p>
    <w:p w:rsidR="006C6765" w:rsidRDefault="003A3F78" w:rsidP="006C6765">
      <w:r w:rsidRPr="00B95A18">
        <w:t>T</w:t>
      </w:r>
      <w:r w:rsidR="006C6765" w:rsidRPr="00B95A18">
        <w:t xml:space="preserve">able </w:t>
      </w:r>
      <w:r w:rsidRPr="00B95A18">
        <w:t xml:space="preserve">12 </w:t>
      </w:r>
      <w:r w:rsidR="006C6765" w:rsidRPr="00B95A18">
        <w:t>on</w:t>
      </w:r>
      <w:r w:rsidR="006C6765" w:rsidRPr="006C6765">
        <w:t xml:space="preserve"> (parameter estimates for OS analysis, from the second </w:t>
      </w:r>
      <w:r w:rsidR="0039038B">
        <w:t>ER</w:t>
      </w:r>
      <w:r w:rsidR="006C6765" w:rsidRPr="006C6765">
        <w:t xml:space="preserve"> analysis) can be compared with </w:t>
      </w:r>
      <w:r>
        <w:t>Table</w:t>
      </w:r>
      <w:r w:rsidR="006C6765" w:rsidRPr="006C6765">
        <w:t xml:space="preserve"> </w:t>
      </w:r>
      <w:r w:rsidR="004572B9">
        <w:t>42</w:t>
      </w:r>
      <w:r w:rsidR="001F3382">
        <w:t xml:space="preserve">. </w:t>
      </w:r>
      <w:r w:rsidR="006C6765" w:rsidRPr="006C6765">
        <w:t xml:space="preserve">The HR for </w:t>
      </w:r>
      <w:r w:rsidR="00A05B08" w:rsidRPr="00FA355C">
        <w:t>C</w:t>
      </w:r>
      <w:r w:rsidR="00A05B08" w:rsidRPr="00A05B08">
        <w:rPr>
          <w:vertAlign w:val="subscript"/>
        </w:rPr>
        <w:t>minss</w:t>
      </w:r>
      <w:r w:rsidR="006C6765" w:rsidRPr="006C6765">
        <w:t xml:space="preserve"> is interpreted as indicating that per unit increase in </w:t>
      </w:r>
      <w:r w:rsidR="00A05B08" w:rsidRPr="00FA355C">
        <w:t>C</w:t>
      </w:r>
      <w:r w:rsidR="00A05B08" w:rsidRPr="00A05B08">
        <w:rPr>
          <w:vertAlign w:val="subscript"/>
        </w:rPr>
        <w:t>minss</w:t>
      </w:r>
      <w:r w:rsidR="006C6765" w:rsidRPr="006C6765">
        <w:t xml:space="preserve"> (1 µg/mL) there is a reduction in risk of death by a factor of 0.987 (1.3%)</w:t>
      </w:r>
      <w:r w:rsidR="001F3382">
        <w:t xml:space="preserve">. </w:t>
      </w:r>
      <w:r w:rsidR="006C6765" w:rsidRPr="006C6765">
        <w:t>As part of its efficacy argum</w:t>
      </w:r>
      <w:r>
        <w:t xml:space="preserve">ent, the sponsor noted exposure </w:t>
      </w:r>
      <w:r w:rsidR="006C6765" w:rsidRPr="006C6765">
        <w:t>response modelling found no evidence that prior therapy influenced risk of death (implying that the OS benefit conferred</w:t>
      </w:r>
      <w:r>
        <w:t xml:space="preserve"> by ipilimumab when used second </w:t>
      </w:r>
      <w:r w:rsidR="006C6765" w:rsidRPr="006C6765">
        <w:t>line shoul</w:t>
      </w:r>
      <w:r>
        <w:t xml:space="preserve">d be seen when it is used first </w:t>
      </w:r>
      <w:r w:rsidR="006C6765" w:rsidRPr="006C6765">
        <w:t>line).</w:t>
      </w:r>
    </w:p>
    <w:p w:rsidR="003A3F78" w:rsidRDefault="003A3F78" w:rsidP="003A3F78">
      <w:pPr>
        <w:pStyle w:val="Tabletitle"/>
      </w:pPr>
      <w:r>
        <w:lastRenderedPageBreak/>
        <w:t xml:space="preserve">Table </w:t>
      </w:r>
      <w:r w:rsidR="004572B9">
        <w:t>42</w:t>
      </w:r>
      <w:r>
        <w:t>:</w:t>
      </w:r>
      <w:r w:rsidRPr="003A3F78">
        <w:t xml:space="preserve"> </w:t>
      </w:r>
      <w:r>
        <w:t>Parameter estimates for full CPH model for OS analysis</w:t>
      </w:r>
    </w:p>
    <w:p w:rsidR="003A3F78" w:rsidRPr="006C6765" w:rsidRDefault="003A3F78" w:rsidP="006C6765">
      <w:r>
        <w:rPr>
          <w:noProof/>
          <w:lang w:eastAsia="en-AU"/>
        </w:rPr>
        <w:drawing>
          <wp:inline distT="0" distB="0" distL="0" distR="0" wp14:anchorId="5F4CFDFA" wp14:editId="27B85AC8">
            <wp:extent cx="5404799" cy="2779776"/>
            <wp:effectExtent l="0" t="0" r="0" b="0"/>
            <wp:docPr id="7176" name="Picture 7176" descr="Table 42: Parameter estimates for full CPH model for O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4401" cy="2779571"/>
                    </a:xfrm>
                    <a:prstGeom prst="rect">
                      <a:avLst/>
                    </a:prstGeom>
                  </pic:spPr>
                </pic:pic>
              </a:graphicData>
            </a:graphic>
          </wp:inline>
        </w:drawing>
      </w:r>
    </w:p>
    <w:p w:rsidR="006C6765" w:rsidRPr="006C6765" w:rsidRDefault="003A3F78" w:rsidP="006C6765">
      <w:r>
        <w:t>The evaluator did</w:t>
      </w:r>
      <w:r w:rsidR="006C6765" w:rsidRPr="006C6765">
        <w:t xml:space="preserve"> not consider that the updated </w:t>
      </w:r>
      <w:r w:rsidR="004D2D70">
        <w:t>PopPK</w:t>
      </w:r>
      <w:r w:rsidR="006C6765" w:rsidRPr="006C6765">
        <w:t>/</w:t>
      </w:r>
      <w:r w:rsidR="0039038B">
        <w:t>ER</w:t>
      </w:r>
      <w:r w:rsidR="006C6765" w:rsidRPr="006C6765">
        <w:t xml:space="preserve"> analyses substantially change understanding of the benefit-risk balance of ipilimumab 3 mg/kg in the target population</w:t>
      </w:r>
      <w:r w:rsidR="001F3382">
        <w:t xml:space="preserve">. </w:t>
      </w:r>
      <w:r w:rsidR="006C6765" w:rsidRPr="006C6765">
        <w:t xml:space="preserve">Given the various assumptions required in such modelling, and comments made above, </w:t>
      </w:r>
      <w:r>
        <w:t>the evaluator</w:t>
      </w:r>
      <w:r w:rsidR="006C6765" w:rsidRPr="006C6765">
        <w:t xml:space="preserve"> consider</w:t>
      </w:r>
      <w:r>
        <w:t>ed</w:t>
      </w:r>
      <w:r w:rsidR="006C6765" w:rsidRPr="006C6765">
        <w:t xml:space="preserve"> </w:t>
      </w:r>
      <w:r w:rsidR="0039038B">
        <w:t>ER</w:t>
      </w:r>
      <w:r w:rsidR="006C6765" w:rsidRPr="006C6765">
        <w:t xml:space="preserve"> results exploratory.</w:t>
      </w:r>
    </w:p>
    <w:p w:rsidR="006C6765" w:rsidRPr="006C6765" w:rsidRDefault="006C6765" w:rsidP="003A3F78">
      <w:pPr>
        <w:pStyle w:val="Heading3"/>
      </w:pPr>
      <w:bookmarkStart w:id="336" w:name="_Toc475616251"/>
      <w:r w:rsidRPr="006C6765">
        <w:t>Evaluation relevant to efficacy</w:t>
      </w:r>
      <w:bookmarkEnd w:id="336"/>
    </w:p>
    <w:p w:rsidR="006C6765" w:rsidRPr="006C6765" w:rsidRDefault="006C6765" w:rsidP="003A3F78">
      <w:pPr>
        <w:pStyle w:val="Heading4"/>
      </w:pPr>
      <w:r w:rsidRPr="006C6765">
        <w:t>Overview</w:t>
      </w:r>
    </w:p>
    <w:p w:rsidR="006C6765" w:rsidRPr="006C6765" w:rsidRDefault="006C6765" w:rsidP="006C6765">
      <w:r w:rsidRPr="006C6765">
        <w:t xml:space="preserve">The sponsor has not provided direct evidence of efficacy in the first-line population at the 3 mg/kg dose (in a suitable form such as a </w:t>
      </w:r>
      <w:r w:rsidR="003A3F78">
        <w:t>Phase III</w:t>
      </w:r>
      <w:r w:rsidRPr="006C6765">
        <w:t xml:space="preserve"> study), so relies on various indirect pieces of evidence</w:t>
      </w:r>
      <w:r w:rsidR="001F3382">
        <w:t xml:space="preserve">. </w:t>
      </w:r>
      <w:r w:rsidRPr="006C6765">
        <w:t xml:space="preserve">The sponsor </w:t>
      </w:r>
      <w:r w:rsidR="003A3F78" w:rsidRPr="006C6765">
        <w:t>summarise</w:t>
      </w:r>
      <w:r w:rsidR="003A3F78">
        <w:t>s</w:t>
      </w:r>
      <w:r w:rsidRPr="006C6765">
        <w:t xml:space="preserve"> this evidence in its Clinical Overview </w:t>
      </w:r>
      <w:r w:rsidR="003A3F78">
        <w:t>in the response documents</w:t>
      </w:r>
      <w:r w:rsidRPr="006C6765">
        <w:t>:</w:t>
      </w:r>
    </w:p>
    <w:p w:rsidR="006C6765" w:rsidRPr="006C6765" w:rsidRDefault="006C6765" w:rsidP="00223033">
      <w:pPr>
        <w:pStyle w:val="ListBullet"/>
      </w:pPr>
      <w:r w:rsidRPr="006C6765">
        <w:t>Advanced melanoma represents a clinical continuum where prior chemotherapy has not been a significant prognostic factor for outcome</w:t>
      </w:r>
    </w:p>
    <w:p w:rsidR="006C6765" w:rsidRPr="006C6765" w:rsidRDefault="00223033" w:rsidP="00223033">
      <w:pPr>
        <w:pStyle w:val="ListBullet"/>
      </w:pPr>
      <w:r>
        <w:t xml:space="preserve">Exposure </w:t>
      </w:r>
      <w:r w:rsidR="006C6765" w:rsidRPr="006C6765">
        <w:t>response (</w:t>
      </w:r>
      <w:r w:rsidR="0039038B">
        <w:t>ER</w:t>
      </w:r>
      <w:r w:rsidR="006C6765" w:rsidRPr="006C6765">
        <w:t>) data corroborating that the efficacy of ipilimumab is independent of prior therapy</w:t>
      </w:r>
    </w:p>
    <w:p w:rsidR="006C6765" w:rsidRPr="006C6765" w:rsidRDefault="006C6765" w:rsidP="00223033">
      <w:pPr>
        <w:pStyle w:val="ListBullet"/>
      </w:pPr>
      <w:r w:rsidRPr="006C6765">
        <w:t>Pharmacologic data showing consistent baseline immune status and T-cell response in untreated and previously treated subjects</w:t>
      </w:r>
    </w:p>
    <w:p w:rsidR="006C6765" w:rsidRPr="006C6765" w:rsidRDefault="006C6765" w:rsidP="00223033">
      <w:pPr>
        <w:pStyle w:val="ListBullet"/>
      </w:pPr>
      <w:r w:rsidRPr="006C6765">
        <w:t>Consistency in pharmacokinetic (PK) data between untreated and previously treated subjects</w:t>
      </w:r>
    </w:p>
    <w:p w:rsidR="006C6765" w:rsidRPr="006C6765" w:rsidRDefault="006C6765" w:rsidP="00223033">
      <w:pPr>
        <w:pStyle w:val="ListBullet"/>
      </w:pPr>
      <w:r w:rsidRPr="006C6765">
        <w:t>Consistency in efficacy of 3 mg/kg regardless of number or type of prior therapy in MDX010-20</w:t>
      </w:r>
    </w:p>
    <w:p w:rsidR="006C6765" w:rsidRPr="006C6765" w:rsidRDefault="006C6765" w:rsidP="00223033">
      <w:pPr>
        <w:pStyle w:val="ListBullet"/>
      </w:pPr>
      <w:r w:rsidRPr="006C6765">
        <w:t>OS of previously untreated subjects who receiv</w:t>
      </w:r>
      <w:r w:rsidR="00223033">
        <w:t xml:space="preserve">ed ipilimumab 3 mg/kg in a real </w:t>
      </w:r>
      <w:r w:rsidRPr="006C6765">
        <w:t xml:space="preserve">world setting (two retrospective observational studies) and pooled </w:t>
      </w:r>
      <w:r w:rsidR="00223033">
        <w:t>Phase II</w:t>
      </w:r>
      <w:r w:rsidRPr="006C6765">
        <w:t xml:space="preserve"> </w:t>
      </w:r>
      <w:r w:rsidR="00223033">
        <w:t xml:space="preserve">clinical trials in chemotherapy </w:t>
      </w:r>
      <w:r w:rsidRPr="006C6765">
        <w:t xml:space="preserve">naïve subjects compare </w:t>
      </w:r>
      <w:r w:rsidR="00223033" w:rsidRPr="006C6765">
        <w:t>favourably</w:t>
      </w:r>
      <w:r w:rsidRPr="006C6765">
        <w:t xml:space="preserve"> to DTIC, the global standard for advanced melanoma, and was superior to historical </w:t>
      </w:r>
      <w:r w:rsidR="00223033">
        <w:t>Phase II</w:t>
      </w:r>
      <w:r w:rsidRPr="006C6765">
        <w:t xml:space="preserve"> OS in a r</w:t>
      </w:r>
      <w:r w:rsidR="00223033">
        <w:t>isk adjusted model (Korn model)</w:t>
      </w:r>
    </w:p>
    <w:p w:rsidR="006C6765" w:rsidRPr="006C6765" w:rsidRDefault="006C6765" w:rsidP="00223033">
      <w:pPr>
        <w:pStyle w:val="ListBullet"/>
      </w:pPr>
      <w:r w:rsidRPr="006C6765">
        <w:t xml:space="preserve">Results from the </w:t>
      </w:r>
      <w:r w:rsidR="003A3F78">
        <w:t>Phase III</w:t>
      </w:r>
      <w:r w:rsidRPr="006C6765">
        <w:t xml:space="preserve"> study of ipilimumab 10 mg/kg plus DTIC versus DTIC that provide proof of confidence that ipilimumab can prolong OS in untreated subjects treated with ipilimumab</w:t>
      </w:r>
    </w:p>
    <w:p w:rsidR="006C6765" w:rsidRPr="006C6765" w:rsidRDefault="006C6765" w:rsidP="006C6765">
      <w:r w:rsidRPr="006C6765">
        <w:t>The sponsor also</w:t>
      </w:r>
      <w:r w:rsidR="00223033">
        <w:t xml:space="preserve"> writes in the response</w:t>
      </w:r>
      <w:r w:rsidRPr="006C6765">
        <w:t>:</w:t>
      </w:r>
    </w:p>
    <w:p w:rsidR="006C6765" w:rsidRPr="00223033" w:rsidRDefault="00223033" w:rsidP="00223033">
      <w:pPr>
        <w:ind w:left="720"/>
        <w:rPr>
          <w:i/>
        </w:rPr>
      </w:pPr>
      <w:r>
        <w:lastRenderedPageBreak/>
        <w:t>“</w:t>
      </w:r>
      <w:r w:rsidRPr="00223033">
        <w:rPr>
          <w:i/>
        </w:rPr>
        <w:t xml:space="preserve">For efficacy, benefit in first </w:t>
      </w:r>
      <w:r w:rsidR="006C6765" w:rsidRPr="00223033">
        <w:rPr>
          <w:i/>
        </w:rPr>
        <w:t>line was demonstrated primarily using the Korn model, which was designed to benchmark single arm trials to historical OS by adjusting for key prognostic factors. Validation of the Korn model by the sponsor was incl</w:t>
      </w:r>
      <w:r w:rsidR="00F826CF">
        <w:rPr>
          <w:i/>
        </w:rPr>
        <w:t xml:space="preserve">uded in the initial submission </w:t>
      </w:r>
      <w:r w:rsidR="006C6765" w:rsidRPr="00223033">
        <w:rPr>
          <w:i/>
        </w:rPr>
        <w:t>and is provided</w:t>
      </w:r>
      <w:r>
        <w:rPr>
          <w:i/>
        </w:rPr>
        <w:t xml:space="preserve"> again as part of this response…</w:t>
      </w:r>
    </w:p>
    <w:p w:rsidR="006C6765" w:rsidRPr="00223033" w:rsidRDefault="006C6765" w:rsidP="00223033">
      <w:pPr>
        <w:ind w:left="720"/>
        <w:rPr>
          <w:i/>
        </w:rPr>
      </w:pPr>
      <w:r w:rsidRPr="00223033">
        <w:rPr>
          <w:i/>
        </w:rPr>
        <w:t>In addition,</w:t>
      </w:r>
      <w:r w:rsidR="00223033">
        <w:rPr>
          <w:i/>
        </w:rPr>
        <w:t xml:space="preserve"> first </w:t>
      </w:r>
      <w:r w:rsidRPr="00223033">
        <w:rPr>
          <w:i/>
        </w:rPr>
        <w:t xml:space="preserve">line use of ipilimumab is supported by a </w:t>
      </w:r>
      <w:r w:rsidR="003A3F78" w:rsidRPr="00223033">
        <w:rPr>
          <w:i/>
        </w:rPr>
        <w:t>Phase III</w:t>
      </w:r>
      <w:r w:rsidRPr="00223033">
        <w:rPr>
          <w:i/>
        </w:rPr>
        <w:t xml:space="preserve"> trial demonstrating superior OS with ipilimumab</w:t>
      </w:r>
      <w:r w:rsidR="00223033">
        <w:rPr>
          <w:i/>
        </w:rPr>
        <w:t xml:space="preserve"> </w:t>
      </w:r>
      <w:r w:rsidRPr="00223033">
        <w:rPr>
          <w:i/>
        </w:rPr>
        <w:t>+</w:t>
      </w:r>
      <w:r w:rsidR="00223033">
        <w:rPr>
          <w:i/>
        </w:rPr>
        <w:t xml:space="preserve"> </w:t>
      </w:r>
      <w:r w:rsidRPr="00223033">
        <w:rPr>
          <w:i/>
        </w:rPr>
        <w:t>DTIC, versus DTIC, albeit at a different dose.</w:t>
      </w:r>
      <w:r w:rsidR="00223033" w:rsidRPr="00223033">
        <w:rPr>
          <w:i/>
        </w:rPr>
        <w:t>”</w:t>
      </w:r>
    </w:p>
    <w:p w:rsidR="006C6765" w:rsidRPr="006C6765" w:rsidRDefault="006C6765" w:rsidP="00223033">
      <w:pPr>
        <w:pStyle w:val="Heading4"/>
      </w:pPr>
      <w:r w:rsidRPr="006C6765">
        <w:t>New data pertaining to efficacy</w:t>
      </w:r>
    </w:p>
    <w:p w:rsidR="006C6765" w:rsidRPr="006C6765" w:rsidRDefault="006C6765" w:rsidP="00223033">
      <w:pPr>
        <w:pStyle w:val="Heading5"/>
      </w:pPr>
      <w:r w:rsidRPr="006C6765">
        <w:t xml:space="preserve">Final study report for pooled </w:t>
      </w:r>
      <w:r w:rsidR="00223033">
        <w:t>Phase II</w:t>
      </w:r>
      <w:r w:rsidRPr="006C6765">
        <w:t>/</w:t>
      </w:r>
      <w:r w:rsidR="00223033">
        <w:t>III</w:t>
      </w:r>
      <w:r w:rsidRPr="006C6765">
        <w:t xml:space="preserve"> analysis</w:t>
      </w:r>
    </w:p>
    <w:p w:rsidR="006C6765" w:rsidRPr="006C6765" w:rsidRDefault="006C6765" w:rsidP="006C6765">
      <w:r w:rsidRPr="006C6765">
        <w:t>This report is identified as DCN9</w:t>
      </w:r>
      <w:r w:rsidR="00223033">
        <w:t xml:space="preserve">30076433; the report date was 7 January </w:t>
      </w:r>
      <w:r w:rsidRPr="006C6765">
        <w:t>2014</w:t>
      </w:r>
      <w:r w:rsidR="001F3382">
        <w:t xml:space="preserve">. </w:t>
      </w:r>
      <w:r w:rsidRPr="006C6765">
        <w:t>To recapitulate key points about included subjects: the pooling was of 3 mg/kg chemo</w:t>
      </w:r>
      <w:r w:rsidR="00223033">
        <w:t xml:space="preserve"> naive rather than treatment </w:t>
      </w:r>
      <w:r w:rsidRPr="006C6765">
        <w:t>naïve patients; 78 such subjects were pooled across MDX010-08, MDX010-20, CA184004 and CA184022</w:t>
      </w:r>
      <w:r w:rsidR="001F3382">
        <w:t xml:space="preserve">. </w:t>
      </w:r>
      <w:r w:rsidRPr="006C6765">
        <w:t>Key exclusions varied by study but included ocular or mucosal melanoma and any brain metastases or untreated brain metastases</w:t>
      </w:r>
      <w:r w:rsidR="001F3382">
        <w:t xml:space="preserve">. </w:t>
      </w:r>
      <w:r w:rsidRPr="006C6765">
        <w:t>As noted earlier, only 35</w:t>
      </w:r>
      <w:r w:rsidR="005853BB">
        <w:t xml:space="preserve"> out of </w:t>
      </w:r>
      <w:r w:rsidRPr="006C6765">
        <w:t>78 patients were previously untreated</w:t>
      </w:r>
      <w:r w:rsidR="001F3382">
        <w:t xml:space="preserve">. </w:t>
      </w:r>
      <w:r w:rsidRPr="006C6765">
        <w:t>The efficacy question 1</w:t>
      </w:r>
      <w:r w:rsidR="00223033">
        <w:t xml:space="preserve"> (Section 12 above)</w:t>
      </w:r>
      <w:r w:rsidRPr="006C6765">
        <w:t xml:space="preserve"> is also relevant; the sponsor’s response clarifies that 1</w:t>
      </w:r>
      <w:r w:rsidR="005853BB">
        <w:t xml:space="preserve"> out of </w:t>
      </w:r>
      <w:r w:rsidRPr="006C6765">
        <w:t>35 of these subjects received 1 dose of maintenance treatment.</w:t>
      </w:r>
    </w:p>
    <w:p w:rsidR="006C6765" w:rsidRDefault="006C6765" w:rsidP="006C6765">
      <w:r w:rsidRPr="006C6765">
        <w:t>Across 78 chemo</w:t>
      </w:r>
      <w:r w:rsidR="00223033">
        <w:t xml:space="preserve"> </w:t>
      </w:r>
      <w:r w:rsidRPr="006C6765">
        <w:t>naive subjects, m</w:t>
      </w:r>
      <w:r w:rsidR="00223033">
        <w:t xml:space="preserve">edian OS was 13.5 months, and 1 year survival rate was 54.1% (2 </w:t>
      </w:r>
      <w:r w:rsidRPr="006C6765">
        <w:t>y</w:t>
      </w:r>
      <w:r w:rsidR="00223033">
        <w:t xml:space="preserve">ear survival was 31.6%, and 3 </w:t>
      </w:r>
      <w:r w:rsidRPr="006C6765">
        <w:t>y</w:t>
      </w:r>
      <w:r w:rsidR="00223033">
        <w:t>ea</w:t>
      </w:r>
      <w:r w:rsidRPr="006C6765">
        <w:t>r survival was 23.7%)</w:t>
      </w:r>
      <w:r w:rsidR="001F3382">
        <w:t xml:space="preserve">. </w:t>
      </w:r>
      <w:r w:rsidRPr="006C6765">
        <w:t>The Kaplan-Meier curve o</w:t>
      </w:r>
      <w:r w:rsidR="004F7112">
        <w:t xml:space="preserve">f OS for these subjects is shown in Figure </w:t>
      </w:r>
      <w:r w:rsidR="00F047E2">
        <w:t>9</w:t>
      </w:r>
      <w:r w:rsidR="004F7112">
        <w:t>.</w:t>
      </w:r>
    </w:p>
    <w:p w:rsidR="004F7112" w:rsidRDefault="004F7112" w:rsidP="004F7112">
      <w:pPr>
        <w:pStyle w:val="FigureTitle"/>
        <w:keepNext/>
      </w:pPr>
      <w:r>
        <w:t xml:space="preserve">Figure </w:t>
      </w:r>
      <w:r w:rsidR="00F047E2">
        <w:t>9</w:t>
      </w:r>
      <w:r>
        <w:t>: Kaplan-Meier of overall survival for chemotherapy naïve subjects</w:t>
      </w:r>
    </w:p>
    <w:p w:rsidR="006C6765" w:rsidRDefault="004F7112" w:rsidP="006C6765">
      <w:r>
        <w:rPr>
          <w:noProof/>
          <w:lang w:eastAsia="en-AU"/>
        </w:rPr>
        <w:drawing>
          <wp:inline distT="0" distB="0" distL="0" distR="0" wp14:anchorId="667F60E7" wp14:editId="3FB56B3D">
            <wp:extent cx="5512644" cy="2487168"/>
            <wp:effectExtent l="0" t="0" r="0" b="0"/>
            <wp:docPr id="7177" name="Picture 7177" descr="Figure 9: Kaplan-Meier of overall survival for chemotherapy naï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20436" cy="2490684"/>
                    </a:xfrm>
                    <a:prstGeom prst="rect">
                      <a:avLst/>
                    </a:prstGeom>
                  </pic:spPr>
                </pic:pic>
              </a:graphicData>
            </a:graphic>
          </wp:inline>
        </w:drawing>
      </w:r>
    </w:p>
    <w:p w:rsidR="006C6765" w:rsidRPr="006C6765" w:rsidRDefault="006C6765" w:rsidP="006C6765">
      <w:r w:rsidRPr="006C6765">
        <w:t>Across 35 previously untreated subjects, m</w:t>
      </w:r>
      <w:r w:rsidR="004F7112">
        <w:t xml:space="preserve">edian OS was 13.5 months, and 1 </w:t>
      </w:r>
      <w:r w:rsidRPr="006C6765">
        <w:t>y</w:t>
      </w:r>
      <w:r w:rsidR="004F7112">
        <w:t xml:space="preserve">ear survival was 51.5% (2 </w:t>
      </w:r>
      <w:r w:rsidRPr="006C6765">
        <w:t>y</w:t>
      </w:r>
      <w:r w:rsidR="004F7112">
        <w:t>ea</w:t>
      </w:r>
      <w:r w:rsidRPr="006C6765">
        <w:t>r survival was 24.4%).</w:t>
      </w:r>
    </w:p>
    <w:p w:rsidR="006C6765" w:rsidRPr="006C6765" w:rsidRDefault="006C6765" w:rsidP="004F7112">
      <w:pPr>
        <w:pStyle w:val="Heading5"/>
      </w:pPr>
      <w:r w:rsidRPr="006C6765">
        <w:t>New data from CA184338</w:t>
      </w:r>
    </w:p>
    <w:p w:rsidR="006C6765" w:rsidRPr="006C6765" w:rsidRDefault="006C6765" w:rsidP="006C6765">
      <w:r w:rsidRPr="006C6765">
        <w:t>The final CSR for this study was provided, although it was described as a “final abbreviated summary” and it was noted that subsequent reports are pl</w:t>
      </w:r>
      <w:r w:rsidR="004F7112">
        <w:t xml:space="preserve">anned to describe survival at 2, 3 and 4 </w:t>
      </w:r>
      <w:r w:rsidRPr="006C6765">
        <w:t>year milestones</w:t>
      </w:r>
      <w:r w:rsidR="001F3382">
        <w:t xml:space="preserve">. </w:t>
      </w:r>
      <w:r w:rsidRPr="006C6765">
        <w:t>The report “summar</w:t>
      </w:r>
      <w:r w:rsidR="001A330A">
        <w:t>ise</w:t>
      </w:r>
      <w:r w:rsidRPr="006C6765">
        <w:t>s the analyses on 27</w:t>
      </w:r>
      <w:r w:rsidR="004F7112">
        <w:t>3 patients for whom at least 12 </w:t>
      </w:r>
      <w:r w:rsidRPr="006C6765">
        <w:t>months had elapsed since initiation of ipilimumab 3 mg/kg monotherapy as first line treatment”.</w:t>
      </w:r>
    </w:p>
    <w:p w:rsidR="006C6765" w:rsidRPr="006C6765" w:rsidRDefault="006C6765" w:rsidP="006C6765">
      <w:r w:rsidRPr="006C6765">
        <w:t>Of the 257 patients, 65% were male, 95% were white, and mean age was 63 years at the start of ipilimumab monotherapy</w:t>
      </w:r>
      <w:r w:rsidR="001F3382">
        <w:t xml:space="preserve">. </w:t>
      </w:r>
      <w:r w:rsidRPr="006C6765">
        <w:t>The primary site was cutaneous in 88.3%</w:t>
      </w:r>
      <w:r w:rsidR="001F3382">
        <w:t xml:space="preserve">. </w:t>
      </w:r>
      <w:r w:rsidRPr="006C6765">
        <w:t>At the time of advanced disease diagnosis, 56% were M1c and 12.1% had brain metastases</w:t>
      </w:r>
      <w:r w:rsidR="001F3382">
        <w:t xml:space="preserve">. </w:t>
      </w:r>
      <w:r w:rsidRPr="006C6765">
        <w:t>81% had an ECOG performance status of 0 or 1 (but in a further 10% ECOG status was unknown)</w:t>
      </w:r>
      <w:r w:rsidR="001F3382">
        <w:t xml:space="preserve">. </w:t>
      </w:r>
      <w:r w:rsidRPr="006C6765">
        <w:t xml:space="preserve">Most patients </w:t>
      </w:r>
      <w:r w:rsidRPr="006C6765">
        <w:lastRenderedPageBreak/>
        <w:t>were BRAF wild-type (66.3%; 15.4% were untested)</w:t>
      </w:r>
      <w:r w:rsidR="001F3382">
        <w:t xml:space="preserve">. </w:t>
      </w:r>
      <w:r w:rsidRPr="006C6765">
        <w:t>Median time from initial melanoma diagnosis to advanced melanoma diagnosis was 18.3 months (mean time was 37 months).</w:t>
      </w:r>
    </w:p>
    <w:p w:rsidR="006C6765" w:rsidRPr="006C6765" w:rsidRDefault="006C6765" w:rsidP="006C6765">
      <w:r w:rsidRPr="006C6765">
        <w:t>212</w:t>
      </w:r>
      <w:r w:rsidR="005853BB">
        <w:t xml:space="preserve"> out of </w:t>
      </w:r>
      <w:r w:rsidRPr="006C6765">
        <w:t>273 subjects (78%) received at least 4 induction doses</w:t>
      </w:r>
      <w:r w:rsidR="001F3382">
        <w:t xml:space="preserve">. </w:t>
      </w:r>
      <w:r w:rsidRPr="006C6765">
        <w:t>7% of subjects discontinued due to toxicity.</w:t>
      </w:r>
    </w:p>
    <w:p w:rsidR="006C6765" w:rsidRPr="006C6765" w:rsidRDefault="006C6765" w:rsidP="006C6765">
      <w:r w:rsidRPr="006C6765">
        <w:t>Across 273 previously untreated subjects receiving 3 mg/kg, median OS was 14.5 months, and estimated 1 y</w:t>
      </w:r>
      <w:r w:rsidR="004F7112">
        <w:t>ea</w:t>
      </w:r>
      <w:r w:rsidRPr="006C6765">
        <w:t>r survival rate was 59.2%</w:t>
      </w:r>
      <w:r w:rsidR="001F3382">
        <w:t xml:space="preserve">. </w:t>
      </w:r>
      <w:r w:rsidRPr="006C6765">
        <w:t>For patients without brain metastases, median OS was 17.5 months.</w:t>
      </w:r>
    </w:p>
    <w:p w:rsidR="006C6765" w:rsidRPr="006C6765" w:rsidRDefault="006C6765" w:rsidP="004F7112">
      <w:pPr>
        <w:pStyle w:val="Heading5"/>
      </w:pPr>
      <w:r w:rsidRPr="006C6765">
        <w:t>New data from CA184332</w:t>
      </w:r>
    </w:p>
    <w:p w:rsidR="006C6765" w:rsidRPr="006C6765" w:rsidRDefault="006C6765" w:rsidP="006C6765">
      <w:r w:rsidRPr="006C6765">
        <w:t>The final CSR for this study was provided, although it was described as a “final abbreviated summary” and it was noted that subsequent reports are pl</w:t>
      </w:r>
      <w:r w:rsidR="004F7112">
        <w:t xml:space="preserve">anned to describe survival at 2, 3 and 4 </w:t>
      </w:r>
      <w:r w:rsidRPr="006C6765">
        <w:t>year milestones</w:t>
      </w:r>
      <w:r w:rsidR="001F3382">
        <w:t xml:space="preserve">. </w:t>
      </w:r>
      <w:r w:rsidRPr="006C6765">
        <w:t>The report “summar</w:t>
      </w:r>
      <w:r w:rsidR="001A330A">
        <w:t>ise</w:t>
      </w:r>
      <w:r w:rsidRPr="006C6765">
        <w:t>s the analyses on 15</w:t>
      </w:r>
      <w:r w:rsidR="004F7112">
        <w:t>7 patients for whom at least 12 </w:t>
      </w:r>
      <w:r w:rsidRPr="006C6765">
        <w:t>months had elapsed since initiation of ipilimumab 3 mg/kg monotherapy as first line treatment”.</w:t>
      </w:r>
    </w:p>
    <w:p w:rsidR="006C6765" w:rsidRPr="006C6765" w:rsidRDefault="006C6765" w:rsidP="006C6765">
      <w:r w:rsidRPr="006C6765">
        <w:t>Of the 157 patients, 68% were male, 68% were white, and median age was 66 y</w:t>
      </w:r>
      <w:r w:rsidR="004F7112">
        <w:t>ea</w:t>
      </w:r>
      <w:r w:rsidRPr="006C6765">
        <w:t>rs at the start of ipilimumab monotherapy</w:t>
      </w:r>
      <w:r w:rsidR="001F3382">
        <w:t xml:space="preserve">. </w:t>
      </w:r>
      <w:r w:rsidRPr="006C6765">
        <w:t>The primary site was cutaneous in 90.5%</w:t>
      </w:r>
      <w:r w:rsidR="001F3382">
        <w:t xml:space="preserve">. </w:t>
      </w:r>
      <w:r w:rsidRPr="006C6765">
        <w:t>At the time of advanced disease diagnosis, 54.1% were M1c and 22.1% had brain metastases</w:t>
      </w:r>
      <w:r w:rsidR="001F3382">
        <w:t xml:space="preserve">. </w:t>
      </w:r>
      <w:r w:rsidRPr="006C6765">
        <w:t>81% had an ECOG performance status of 0 or 1 (but in a further 10% ECOG status was unknown)</w:t>
      </w:r>
      <w:r w:rsidR="001F3382">
        <w:t xml:space="preserve">. </w:t>
      </w:r>
      <w:r w:rsidRPr="006C6765">
        <w:t>Most patients were BRAF wild-type (61.8%; 24.8% were untested)</w:t>
      </w:r>
      <w:r w:rsidR="001F3382">
        <w:t xml:space="preserve">. </w:t>
      </w:r>
      <w:r w:rsidRPr="006C6765">
        <w:t>Interestingly, median time from initial melanoma diagnosis to advanced melanoma diagnosis was 8 months (but the mean time was</w:t>
      </w:r>
      <w:r w:rsidR="004F7112">
        <w:t xml:space="preserve"> 26 months, and the range was 0 to </w:t>
      </w:r>
      <w:r w:rsidRPr="006C6765">
        <w:t>352 months, with 24% having &gt;</w:t>
      </w:r>
      <w:r w:rsidR="004F7112">
        <w:t xml:space="preserve"> </w:t>
      </w:r>
      <w:r w:rsidRPr="006C6765">
        <w:t>3 y</w:t>
      </w:r>
      <w:r w:rsidR="004F7112">
        <w:t>ea</w:t>
      </w:r>
      <w:r w:rsidRPr="006C6765">
        <w:t>rs between initial and advanced diagnoses).</w:t>
      </w:r>
    </w:p>
    <w:p w:rsidR="006C6765" w:rsidRPr="006C6765" w:rsidRDefault="006C6765" w:rsidP="006C6765">
      <w:r w:rsidRPr="006C6765">
        <w:t>92</w:t>
      </w:r>
      <w:r w:rsidR="005853BB">
        <w:t xml:space="preserve"> out of </w:t>
      </w:r>
      <w:r w:rsidRPr="006C6765">
        <w:t>142 subjects (65%) received at least 4 induction doses</w:t>
      </w:r>
      <w:r w:rsidR="001F3382">
        <w:t xml:space="preserve">. </w:t>
      </w:r>
      <w:r w:rsidRPr="006C6765">
        <w:t>18% of subjects discontinued due to toxicity.</w:t>
      </w:r>
    </w:p>
    <w:p w:rsidR="006C6765" w:rsidRPr="006C6765" w:rsidRDefault="006C6765" w:rsidP="006C6765">
      <w:r w:rsidRPr="006C6765">
        <w:t>Across 157 previously untreated subjects receiving 3 mg/kg, median OS was 11.5 months, and estimated 1 y</w:t>
      </w:r>
      <w:r w:rsidR="004F7112">
        <w:t>ea</w:t>
      </w:r>
      <w:r w:rsidRPr="006C6765">
        <w:t>r survival rate was 46.7%</w:t>
      </w:r>
      <w:r w:rsidR="001F3382">
        <w:t xml:space="preserve">. </w:t>
      </w:r>
      <w:r w:rsidRPr="006C6765">
        <w:t>Median OS was 7 months in those with brain metastases, and 14.1 months in patients without metastases.</w:t>
      </w:r>
    </w:p>
    <w:p w:rsidR="006C6765" w:rsidRPr="006C6765" w:rsidRDefault="006C6765" w:rsidP="004F7112">
      <w:pPr>
        <w:pStyle w:val="Heading5"/>
      </w:pPr>
      <w:r w:rsidRPr="006C6765">
        <w:t>Korn model</w:t>
      </w:r>
    </w:p>
    <w:p w:rsidR="006C6765" w:rsidRPr="006C6765" w:rsidRDefault="006C6765" w:rsidP="006C6765">
      <w:r w:rsidRPr="006C6765">
        <w:t>This was included in the initial Dossier and re-submitted in the response.</w:t>
      </w:r>
    </w:p>
    <w:p w:rsidR="006C6765" w:rsidRPr="006C6765" w:rsidRDefault="006C6765" w:rsidP="006C6765">
      <w:r w:rsidRPr="006C6765">
        <w:t>The Korn model was “designed to benchmark single arm trials to historical OS by adjusting for key prognostic factors”</w:t>
      </w:r>
      <w:r w:rsidRPr="004F7112">
        <w:rPr>
          <w:vertAlign w:val="superscript"/>
        </w:rPr>
        <w:footnoteReference w:id="7"/>
      </w:r>
      <w:r w:rsidR="001F3382">
        <w:t xml:space="preserve">. </w:t>
      </w:r>
      <w:r w:rsidRPr="006C6765">
        <w:t>The factors were: ECOG PS; visceral disease; gender; and brain metastases.</w:t>
      </w:r>
    </w:p>
    <w:p w:rsidR="006C6765" w:rsidRPr="006C6765" w:rsidRDefault="006C6765" w:rsidP="006C6765">
      <w:r w:rsidRPr="006C6765">
        <w:t>The sponsor applied the model to untreated patients from CA184332 and C</w:t>
      </w:r>
      <w:r w:rsidR="00835684">
        <w:t xml:space="preserve">A184338 and pooled chemotherapy </w:t>
      </w:r>
      <w:r w:rsidRPr="006C6765">
        <w:t>naïve 3 mg/kg patients, and claimed that observed OS was markedly superior to the Korn model-predicted OS of these patients.</w:t>
      </w:r>
    </w:p>
    <w:p w:rsidR="006C6765" w:rsidRPr="006C6765" w:rsidRDefault="006C6765" w:rsidP="006C6765">
      <w:r w:rsidRPr="006C6765">
        <w:t>Evidently this is an indirect approach to establishing efficacy</w:t>
      </w:r>
      <w:r w:rsidR="001F3382">
        <w:t xml:space="preserve">. </w:t>
      </w:r>
      <w:r w:rsidRPr="006C6765">
        <w:t>The indirect nature of this approach is offset to an extent by the large difference in favour of ipilimumab between the observed and Korn-predicted OS outcomes.</w:t>
      </w:r>
    </w:p>
    <w:p w:rsidR="006C6765" w:rsidRPr="006C6765" w:rsidRDefault="006C6765" w:rsidP="00835684">
      <w:pPr>
        <w:pStyle w:val="Heading5"/>
      </w:pPr>
      <w:r w:rsidRPr="006C6765">
        <w:t>CA184045</w:t>
      </w:r>
    </w:p>
    <w:p w:rsidR="006C6765" w:rsidRPr="006C6765" w:rsidRDefault="006C6765" w:rsidP="006C6765">
      <w:r w:rsidRPr="006C6765">
        <w:t xml:space="preserve">The </w:t>
      </w:r>
      <w:r w:rsidR="00835684">
        <w:t>first round</w:t>
      </w:r>
      <w:r w:rsidRPr="006C6765">
        <w:t xml:space="preserve"> </w:t>
      </w:r>
      <w:r w:rsidR="00835684" w:rsidRPr="006C6765">
        <w:t xml:space="preserve">clinical evaluator </w:t>
      </w:r>
      <w:r w:rsidRPr="006C6765">
        <w:t>asked for clinical data from CA184045, for those treated at 3 mg/kg</w:t>
      </w:r>
      <w:r w:rsidR="001F3382">
        <w:t xml:space="preserve">. </w:t>
      </w:r>
      <w:r w:rsidRPr="006C6765">
        <w:t xml:space="preserve">The sponsor has provided additional overall survival data from this expanded access programme, within the CSR for an interim report of safety and efficacy </w:t>
      </w:r>
      <w:r w:rsidR="00835684">
        <w:t>(</w:t>
      </w:r>
      <w:r w:rsidRPr="006C6765">
        <w:t>document dated 20 May 2013)</w:t>
      </w:r>
      <w:r w:rsidR="001F3382">
        <w:t xml:space="preserve">. </w:t>
      </w:r>
      <w:r w:rsidRPr="006C6765">
        <w:t xml:space="preserve">OS data was based on limited follow-up (median 6.1 months), and </w:t>
      </w:r>
      <w:r w:rsidR="00835684">
        <w:t xml:space="preserve">there was a high degree of drop </w:t>
      </w:r>
      <w:r w:rsidRPr="006C6765">
        <w:t>out.</w:t>
      </w:r>
    </w:p>
    <w:p w:rsidR="006C6765" w:rsidRPr="006C6765" w:rsidRDefault="006C6765" w:rsidP="006C6765">
      <w:r w:rsidRPr="006C6765">
        <w:lastRenderedPageBreak/>
        <w:t>A change in protocol dropped the starting dose from 10 mg/kg to 3 mg/kg; and instead of maintenance, a re-induction regime was used</w:t>
      </w:r>
      <w:r w:rsidR="001F3382">
        <w:t xml:space="preserve">. </w:t>
      </w:r>
      <w:r w:rsidRPr="006C6765">
        <w:t>Interim analysis only considered subjects treated with 3 mg/kg</w:t>
      </w:r>
      <w:r w:rsidR="001F3382">
        <w:t xml:space="preserve">. </w:t>
      </w:r>
      <w:r w:rsidRPr="006C6765">
        <w:t>N</w:t>
      </w:r>
      <w:r w:rsidR="00835684">
        <w:t xml:space="preserve"> </w:t>
      </w:r>
      <w:r w:rsidRPr="006C6765">
        <w:t>=</w:t>
      </w:r>
      <w:r w:rsidR="00835684">
        <w:t xml:space="preserve"> </w:t>
      </w:r>
      <w:r w:rsidRPr="006C6765">
        <w:t>2</w:t>
      </w:r>
      <w:r w:rsidR="00835684">
        <w:t>,</w:t>
      </w:r>
      <w:r w:rsidRPr="006C6765">
        <w:t>276 subjects were treated at 3 mg/kg, and 2</w:t>
      </w:r>
      <w:r w:rsidR="00835684">
        <w:t>,</w:t>
      </w:r>
      <w:r w:rsidRPr="006C6765">
        <w:t>155 of these were included in the interim analysis.</w:t>
      </w:r>
    </w:p>
    <w:p w:rsidR="006C6765" w:rsidRPr="006C6765" w:rsidRDefault="006C6765" w:rsidP="006C6765">
      <w:r w:rsidRPr="006C6765">
        <w:t>Median OS was 7.6 months</w:t>
      </w:r>
      <w:r w:rsidR="001F3382">
        <w:t xml:space="preserve">. </w:t>
      </w:r>
      <w:r w:rsidR="00835684">
        <w:t xml:space="preserve">For the entire population, 1 </w:t>
      </w:r>
      <w:r w:rsidRPr="006C6765">
        <w:t>y</w:t>
      </w:r>
      <w:r w:rsidR="00835684">
        <w:t>ea</w:t>
      </w:r>
      <w:r w:rsidRPr="006C6765">
        <w:t>r survival was 38%</w:t>
      </w:r>
      <w:r w:rsidR="001F3382">
        <w:t xml:space="preserve">. </w:t>
      </w:r>
      <w:r w:rsidRPr="006C6765">
        <w:t>For patients without brain metastases, mucosal melanoma or ocular melanoma (n</w:t>
      </w:r>
      <w:r w:rsidR="00835684">
        <w:t xml:space="preserve"> </w:t>
      </w:r>
      <w:r w:rsidRPr="006C6765">
        <w:t>=</w:t>
      </w:r>
      <w:r w:rsidR="00835684">
        <w:t xml:space="preserve"> </w:t>
      </w:r>
      <w:r w:rsidRPr="006C6765">
        <w:t>1</w:t>
      </w:r>
      <w:r w:rsidR="00835684">
        <w:t>,</w:t>
      </w:r>
      <w:r w:rsidRPr="006C6765">
        <w:t xml:space="preserve">240), </w:t>
      </w:r>
      <w:r w:rsidR="00835684">
        <w:t>median OS was 10.2 months and 1 year</w:t>
      </w:r>
      <w:r w:rsidRPr="006C6765">
        <w:t xml:space="preserve"> survival was 45%</w:t>
      </w:r>
      <w:r w:rsidR="001F3382">
        <w:t xml:space="preserve">. </w:t>
      </w:r>
      <w:r w:rsidRPr="006C6765">
        <w:t>The cohort included 33% with brain metastases, 8% with ECOG 2, 6% with ocular melanoma and 6% with mucosal melanoma.</w:t>
      </w:r>
    </w:p>
    <w:p w:rsidR="006C6765" w:rsidRPr="006C6765" w:rsidRDefault="006C6765" w:rsidP="006C6765">
      <w:r w:rsidRPr="006C6765">
        <w:t>The sponsor notes with regard to DTIC monotherapy in untreated advanced melanoma:</w:t>
      </w:r>
    </w:p>
    <w:p w:rsidR="006C6765" w:rsidRPr="00835684" w:rsidRDefault="00835684" w:rsidP="00835684">
      <w:pPr>
        <w:ind w:left="720"/>
        <w:rPr>
          <w:i/>
        </w:rPr>
      </w:pPr>
      <w:r>
        <w:rPr>
          <w:i/>
        </w:rPr>
        <w:t>“</w:t>
      </w:r>
      <w:r w:rsidR="006C6765" w:rsidRPr="00835684">
        <w:rPr>
          <w:i/>
        </w:rPr>
        <w:t>Based on the 5 most recent trials in previously untreated, advanced melanoma, a median OS of approximatel</w:t>
      </w:r>
      <w:r>
        <w:rPr>
          <w:i/>
        </w:rPr>
        <w:t xml:space="preserve">y 9 months and estimated 1 </w:t>
      </w:r>
      <w:r w:rsidR="006C6765" w:rsidRPr="00835684">
        <w:rPr>
          <w:i/>
        </w:rPr>
        <w:t xml:space="preserve">year OS rate of approximately 36% represents an appropriate historical </w:t>
      </w:r>
      <w:r>
        <w:rPr>
          <w:i/>
        </w:rPr>
        <w:t>benchmark for DTIC monotherapy”</w:t>
      </w:r>
    </w:p>
    <w:p w:rsidR="006C6765" w:rsidRPr="006C6765" w:rsidRDefault="006C6765" w:rsidP="006C6765">
      <w:r w:rsidRPr="006C6765">
        <w:t>In three of those five DTIC studies, patients were excluded if brain metastases were present at baseline</w:t>
      </w:r>
      <w:r w:rsidR="001F3382">
        <w:t xml:space="preserve">. </w:t>
      </w:r>
      <w:r w:rsidRPr="006C6765">
        <w:t>In the one study (Avril et al) with a reasonable proportion of such subjects (</w:t>
      </w:r>
      <w:r w:rsidR="0048681A">
        <w:t>that is</w:t>
      </w:r>
      <w:r w:rsidRPr="006C6765">
        <w:t xml:space="preserve"> 19.6% with brain metastases at baseline), median OS was 5.6 months.</w:t>
      </w:r>
    </w:p>
    <w:p w:rsidR="006C6765" w:rsidRPr="006C6765" w:rsidRDefault="006C6765" w:rsidP="006C6765">
      <w:r w:rsidRPr="006C6765">
        <w:t>The study was not designed to answer pre</w:t>
      </w:r>
      <w:r w:rsidR="00835684">
        <w:t xml:space="preserve"> </w:t>
      </w:r>
      <w:r w:rsidRPr="006C6765">
        <w:t>specified safety and efficacy questions, and these results are accordingly difficult to interpret as supportive of the current application.</w:t>
      </w:r>
    </w:p>
    <w:p w:rsidR="006C6765" w:rsidRDefault="006C6765" w:rsidP="00835684">
      <w:pPr>
        <w:pStyle w:val="Heading4"/>
      </w:pPr>
      <w:r w:rsidRPr="006C6765">
        <w:t>New scientific argument regarding efficacy</w:t>
      </w:r>
    </w:p>
    <w:p w:rsidR="006C6765" w:rsidRPr="006C6765" w:rsidRDefault="00835684" w:rsidP="006C6765">
      <w:r>
        <w:t>In</w:t>
      </w:r>
      <w:r w:rsidR="006C6765" w:rsidRPr="006C6765">
        <w:t xml:space="preserve"> the response, in the context of discussion of the observational studies CA184332 and CA184338, the sponsor argues that the potential for bias in observational / single arm studies was minimised, citing the following measures:</w:t>
      </w:r>
    </w:p>
    <w:p w:rsidR="006C6765" w:rsidRPr="006C6765" w:rsidRDefault="006C6765" w:rsidP="00835684">
      <w:pPr>
        <w:pStyle w:val="ListBullet"/>
      </w:pPr>
      <w:r w:rsidRPr="006C6765">
        <w:t>Both observational studies required that all patients who were sequentially treated at the sites during the indicated time period and who met the eligibility were enrolled.</w:t>
      </w:r>
    </w:p>
    <w:p w:rsidR="006C6765" w:rsidRPr="006C6765" w:rsidRDefault="006C6765" w:rsidP="00835684">
      <w:pPr>
        <w:pStyle w:val="ListBullet"/>
      </w:pPr>
      <w:r w:rsidRPr="006C6765">
        <w:t>Both observational studies did not exclude pati</w:t>
      </w:r>
      <w:r w:rsidR="00835684">
        <w:t>ents on performance status, non-</w:t>
      </w:r>
      <w:r w:rsidR="00835684" w:rsidRPr="006C6765">
        <w:t>cutaneous</w:t>
      </w:r>
      <w:r w:rsidRPr="006C6765">
        <w:t xml:space="preserve"> primaries, life expectancy &lt; 4 months, under presence of brain metastasis (all of which are associated with worse outcome).</w:t>
      </w:r>
    </w:p>
    <w:p w:rsidR="006C6765" w:rsidRPr="006C6765" w:rsidRDefault="006C6765" w:rsidP="00835684">
      <w:pPr>
        <w:pStyle w:val="ListBullet"/>
      </w:pPr>
      <w:r w:rsidRPr="006C6765">
        <w:t>Both observational studies used &gt; 25 sites, minimizing the risk for bias occurring at single sites based on unique treatment patterns or a unique patient population.</w:t>
      </w:r>
    </w:p>
    <w:p w:rsidR="006C6765" w:rsidRPr="006C6765" w:rsidRDefault="006C6765" w:rsidP="00835684">
      <w:pPr>
        <w:pStyle w:val="ListBullet"/>
      </w:pPr>
      <w:r w:rsidRPr="006C6765">
        <w:t xml:space="preserve">Furthermore, sites enrolling patients into the two observational studies, as well as the clinical studies included in the pooled </w:t>
      </w:r>
      <w:proofErr w:type="gramStart"/>
      <w:r w:rsidRPr="006C6765">
        <w:t>analysis,</w:t>
      </w:r>
      <w:proofErr w:type="gramEnd"/>
      <w:r w:rsidRPr="006C6765">
        <w:t xml:space="preserve"> included a broad variety of settings, from academic </w:t>
      </w:r>
      <w:r w:rsidR="00835684" w:rsidRPr="006C6765">
        <w:t>centres</w:t>
      </w:r>
      <w:r w:rsidRPr="006C6765">
        <w:t xml:space="preserve"> to community practices, thus reflecting potential variations in local practices.</w:t>
      </w:r>
    </w:p>
    <w:p w:rsidR="006C6765" w:rsidRPr="006C6765" w:rsidRDefault="006C6765" w:rsidP="00835684">
      <w:pPr>
        <w:pStyle w:val="ListBullet"/>
      </w:pPr>
      <w:r w:rsidRPr="006C6765">
        <w:t>The retrospective</w:t>
      </w:r>
      <w:r w:rsidR="00835684">
        <w:t xml:space="preserve"> studies have sufficient follow up, comparable to median follow </w:t>
      </w:r>
      <w:r w:rsidRPr="006C6765">
        <w:t>up for DTIC and have similar sample sizes to the ipilimumab m</w:t>
      </w:r>
      <w:r w:rsidR="00835684">
        <w:t>onotherapy arm of MDX010-020 (N </w:t>
      </w:r>
      <w:r w:rsidRPr="006C6765">
        <w:t>= 137).</w:t>
      </w:r>
    </w:p>
    <w:p w:rsidR="006C6765" w:rsidRPr="006C6765" w:rsidRDefault="006C6765" w:rsidP="006C6765">
      <w:r w:rsidRPr="006C6765">
        <w:t xml:space="preserve">Also </w:t>
      </w:r>
      <w:r w:rsidR="00835684">
        <w:t>in</w:t>
      </w:r>
      <w:r w:rsidRPr="006C6765">
        <w:t xml:space="preserve"> the response, the sponsor draws attention to analyses “performed to demonstrate that a significant bias in these studies is unlikely”.</w:t>
      </w:r>
    </w:p>
    <w:p w:rsidR="006C6765" w:rsidRPr="006C6765" w:rsidRDefault="006C6765" w:rsidP="004F69B4">
      <w:pPr>
        <w:pStyle w:val="ListBullet"/>
      </w:pPr>
      <w:r w:rsidRPr="006C6765">
        <w:t xml:space="preserve">The baseline characteristics in the observational studies were generally comparable to those from the clinical </w:t>
      </w:r>
      <w:r w:rsidR="004F69B4" w:rsidRPr="006C6765">
        <w:t>trials;</w:t>
      </w:r>
      <w:r w:rsidR="004F69B4">
        <w:t xml:space="preserve"> including the chemotherapy </w:t>
      </w:r>
      <w:r w:rsidRPr="006C6765">
        <w:t>naive pooled dataset and CA184024 as acknowledged by the clinical evaluator in the evaluation report.</w:t>
      </w:r>
    </w:p>
    <w:p w:rsidR="006C6765" w:rsidRPr="006C6765" w:rsidRDefault="006C6765" w:rsidP="004F69B4">
      <w:pPr>
        <w:pStyle w:val="ListBullet"/>
      </w:pPr>
      <w:r w:rsidRPr="006C6765">
        <w:t>The OS in each cohort was compared to the one predicted for this cohort by the Korn model, which takes into account known prognostic factors … the observed OS with ipilimumab was consistently above the OS predicted based on the Korn model for all analyses.</w:t>
      </w:r>
    </w:p>
    <w:p w:rsidR="006C6765" w:rsidRPr="006C6765" w:rsidRDefault="004F69B4" w:rsidP="006C6765">
      <w:r>
        <w:t>In</w:t>
      </w:r>
      <w:r w:rsidR="006C6765" w:rsidRPr="006C6765">
        <w:t xml:space="preserve"> the response, the sponsor advances further arguments supporting its application, namely:</w:t>
      </w:r>
    </w:p>
    <w:p w:rsidR="006C6765" w:rsidRPr="006C6765" w:rsidRDefault="006C6765" w:rsidP="004F69B4">
      <w:pPr>
        <w:pStyle w:val="ListBullet"/>
      </w:pPr>
      <w:r w:rsidRPr="006C6765">
        <w:lastRenderedPageBreak/>
        <w:t>The similarity of first- and second-line patients in clinical practice (</w:t>
      </w:r>
      <w:r w:rsidR="002125C0">
        <w:t>for example</w:t>
      </w:r>
      <w:r w:rsidRPr="006C6765">
        <w:t xml:space="preserve"> “…separated from each other often by only a few weeks of DTIC chemotherapy”).</w:t>
      </w:r>
    </w:p>
    <w:p w:rsidR="006C6765" w:rsidRPr="006C6765" w:rsidRDefault="006C6765" w:rsidP="004F69B4">
      <w:pPr>
        <w:pStyle w:val="ListBullet"/>
      </w:pPr>
      <w:r w:rsidRPr="006C6765">
        <w:t xml:space="preserve">Prior treatment is not a prognostic factor for OS in metastatic melanoma (the sponsor refers to a meta-analysis of 42 </w:t>
      </w:r>
      <w:r w:rsidR="00223033">
        <w:t>Phase II</w:t>
      </w:r>
      <w:r w:rsidRPr="006C6765">
        <w:t xml:space="preserve"> studies from 1975 to 2005, allowing comparison of OS in previously untreated and previously treate</w:t>
      </w:r>
      <w:r w:rsidR="004F69B4">
        <w:t xml:space="preserve">d melanoma patients; and to sub </w:t>
      </w:r>
      <w:r w:rsidRPr="006C6765">
        <w:t xml:space="preserve">group analysis in MDX010-020, allowing comparison of OS in patients with 1 </w:t>
      </w:r>
      <w:r w:rsidR="000614E5">
        <w:t>versus</w:t>
      </w:r>
      <w:r w:rsidRPr="006C6765">
        <w:t xml:space="preserve"> 2</w:t>
      </w:r>
      <w:r w:rsidR="004F69B4">
        <w:t xml:space="preserve"> +</w:t>
      </w:r>
      <w:r w:rsidRPr="006C6765">
        <w:t xml:space="preserve"> prior lines of therapy).</w:t>
      </w:r>
    </w:p>
    <w:p w:rsidR="006C6765" w:rsidRPr="006C6765" w:rsidRDefault="006C6765" w:rsidP="004F69B4">
      <w:pPr>
        <w:pStyle w:val="Heading4"/>
      </w:pPr>
      <w:r w:rsidRPr="006C6765">
        <w:t>Efficacy conclusions</w:t>
      </w:r>
    </w:p>
    <w:p w:rsidR="006C6765" w:rsidRPr="006C6765" w:rsidRDefault="006C6765" w:rsidP="006C6765">
      <w:r w:rsidRPr="006C6765">
        <w:t>The sponsor argues that overall survival is ‘improved’ in previo</w:t>
      </w:r>
      <w:r w:rsidR="004F69B4">
        <w:t>usly untreated patients given 3 </w:t>
      </w:r>
      <w:r w:rsidRPr="006C6765">
        <w:t>mg/kg ipilimumab, as follows:</w:t>
      </w:r>
    </w:p>
    <w:p w:rsidR="006C6765" w:rsidRPr="006C6765" w:rsidRDefault="004F69B4" w:rsidP="004F69B4">
      <w:pPr>
        <w:pStyle w:val="ListBullet"/>
      </w:pPr>
      <w:r>
        <w:t xml:space="preserve">Median OS and 1 year OS rates in approximately </w:t>
      </w:r>
      <w:r w:rsidR="006C6765" w:rsidRPr="006C6765">
        <w:t>500 previously untreated patients (</w:t>
      </w:r>
      <w:r w:rsidR="0048681A">
        <w:t>that is</w:t>
      </w:r>
      <w:r w:rsidR="006C6765" w:rsidRPr="006C6765">
        <w:t xml:space="preserve"> across the two observational studies and chemo</w:t>
      </w:r>
      <w:r>
        <w:t xml:space="preserve"> </w:t>
      </w:r>
      <w:r w:rsidR="006C6765" w:rsidRPr="006C6765">
        <w:t xml:space="preserve">naive or previously untreated patients pooled </w:t>
      </w:r>
      <w:r w:rsidR="00223033">
        <w:t>Phase II</w:t>
      </w:r>
      <w:r>
        <w:t>/III</w:t>
      </w:r>
      <w:r w:rsidR="006C6765" w:rsidRPr="006C6765">
        <w:t xml:space="preserve"> data) are numerically superior to outcomes in the DTIC arm of CA184024</w:t>
      </w:r>
    </w:p>
    <w:p w:rsidR="006C6765" w:rsidRPr="006C6765" w:rsidRDefault="006C6765" w:rsidP="004F69B4">
      <w:pPr>
        <w:pStyle w:val="ListBullet"/>
      </w:pPr>
      <w:r w:rsidRPr="006C6765">
        <w:t xml:space="preserve">Median OS and </w:t>
      </w:r>
      <w:r w:rsidR="00AC7AE5">
        <w:t>1 year</w:t>
      </w:r>
      <w:r w:rsidRPr="006C6765">
        <w:t xml:space="preserve"> OS rates in </w:t>
      </w:r>
      <w:r w:rsidR="004F69B4">
        <w:t>approximately</w:t>
      </w:r>
      <w:r w:rsidR="004F69B4" w:rsidRPr="006C6765">
        <w:t xml:space="preserve"> </w:t>
      </w:r>
      <w:r w:rsidRPr="006C6765">
        <w:t>500 previously untreated patients (</w:t>
      </w:r>
      <w:r w:rsidR="0048681A">
        <w:t>that is</w:t>
      </w:r>
      <w:r w:rsidRPr="006C6765">
        <w:t xml:space="preserve"> across the two observational studies and chemo</w:t>
      </w:r>
      <w:r w:rsidR="004F69B4">
        <w:t xml:space="preserve"> </w:t>
      </w:r>
      <w:r w:rsidRPr="006C6765">
        <w:t xml:space="preserve">naive or previously untreated patients pooled </w:t>
      </w:r>
      <w:r w:rsidR="00223033">
        <w:t>Phase II</w:t>
      </w:r>
      <w:r w:rsidR="004F69B4">
        <w:t>/III</w:t>
      </w:r>
      <w:r w:rsidRPr="006C6765">
        <w:t xml:space="preserve"> data) are superior to OS predicted for these cohorts based on historical </w:t>
      </w:r>
      <w:r w:rsidR="00223033">
        <w:t>Phase II</w:t>
      </w:r>
      <w:r w:rsidRPr="006C6765">
        <w:t xml:space="preserve"> OS using the Korn model</w:t>
      </w:r>
      <w:r w:rsidR="004F69B4">
        <w:t>.</w:t>
      </w:r>
    </w:p>
    <w:p w:rsidR="006C6765" w:rsidRPr="006C6765" w:rsidRDefault="006C6765" w:rsidP="006C6765">
      <w:r w:rsidRPr="006C6765">
        <w:t>The sponsor notes</w:t>
      </w:r>
      <w:r w:rsidR="004F69B4">
        <w:t xml:space="preserve"> this improvement is despite 12 to </w:t>
      </w:r>
      <w:r w:rsidRPr="006C6765">
        <w:t>34% of patients in the observational studies having brain metastases at baseline (</w:t>
      </w:r>
      <w:r w:rsidR="00AC7AE5">
        <w:t>compared with</w:t>
      </w:r>
      <w:r w:rsidRPr="006C6765">
        <w:t xml:space="preserve"> &lt;</w:t>
      </w:r>
      <w:r w:rsidR="00AC7AE5">
        <w:t xml:space="preserve"> </w:t>
      </w:r>
      <w:r w:rsidRPr="006C6765">
        <w:t>2% in CA184024).</w:t>
      </w:r>
    </w:p>
    <w:p w:rsidR="006C6765" w:rsidRPr="006C6765" w:rsidRDefault="006C6765" w:rsidP="006C6765">
      <w:r w:rsidRPr="006C6765">
        <w:t>There is no direct comparison of ipilimumab 3 mg / kg with relevant comparators in the target population</w:t>
      </w:r>
      <w:r w:rsidR="001F3382">
        <w:t xml:space="preserve">. </w:t>
      </w:r>
      <w:r w:rsidRPr="006C6765">
        <w:t>The evi</w:t>
      </w:r>
      <w:r w:rsidR="00AC7AE5">
        <w:t xml:space="preserve">dence presented relies on cross </w:t>
      </w:r>
      <w:r w:rsidRPr="006C6765">
        <w:t>study comparison, or modelling.</w:t>
      </w:r>
    </w:p>
    <w:p w:rsidR="006C6765" w:rsidRPr="006C6765" w:rsidRDefault="006C6765" w:rsidP="006C6765">
      <w:r w:rsidRPr="006C6765">
        <w:t>The sponsor does not rely on data from the 10 mg/kg patient pop</w:t>
      </w:r>
      <w:r w:rsidR="00AC7AE5">
        <w:t>ulation to support claims for 3 </w:t>
      </w:r>
      <w:r w:rsidRPr="006C6765">
        <w:t>mg/kg in an untreated population</w:t>
      </w:r>
      <w:r w:rsidR="001F3382">
        <w:t xml:space="preserve">. </w:t>
      </w:r>
      <w:r w:rsidR="00AC7AE5">
        <w:t>The evaluator thinks</w:t>
      </w:r>
      <w:r w:rsidRPr="006C6765">
        <w:t xml:space="preserve"> this is an appropriate position, because the results of CA184024 cannot support the currently sought extension of indication</w:t>
      </w:r>
      <w:r w:rsidR="001F3382">
        <w:t xml:space="preserve">. </w:t>
      </w:r>
      <w:r w:rsidRPr="006C6765">
        <w:t>Evidence from that study is too indirect, because of (1) the 10 mg/kg dose used, and (2) combination with DTIC.</w:t>
      </w:r>
    </w:p>
    <w:p w:rsidR="006C6765" w:rsidRPr="006C6765" w:rsidRDefault="006C6765" w:rsidP="006C6765">
      <w:r w:rsidRPr="006C6765">
        <w:t xml:space="preserve">In </w:t>
      </w:r>
      <w:r w:rsidR="00AC7AE5">
        <w:t>the evaluator’s</w:t>
      </w:r>
      <w:r w:rsidRPr="006C6765">
        <w:t xml:space="preserve"> view, there is a sufficient accumulation of evidence to demonstrate that ipi</w:t>
      </w:r>
      <w:r w:rsidR="00AC7AE5">
        <w:t xml:space="preserve">limumab has efficacy in a first </w:t>
      </w:r>
      <w:r w:rsidRPr="006C6765">
        <w:t>line setting, although it is unfortunate that there is no adequate direct demonstration of this effect.</w:t>
      </w:r>
    </w:p>
    <w:p w:rsidR="006C6765" w:rsidRPr="006C6765" w:rsidRDefault="006C6765" w:rsidP="00AC7AE5">
      <w:pPr>
        <w:pStyle w:val="Heading3"/>
      </w:pPr>
      <w:bookmarkStart w:id="337" w:name="_Toc475616252"/>
      <w:r w:rsidRPr="006C6765">
        <w:t>Evaluation relevant to safety</w:t>
      </w:r>
      <w:bookmarkEnd w:id="337"/>
    </w:p>
    <w:p w:rsidR="006C6765" w:rsidRPr="006C6765" w:rsidRDefault="006C6765" w:rsidP="00AC7AE5">
      <w:pPr>
        <w:pStyle w:val="Heading4"/>
      </w:pPr>
      <w:r w:rsidRPr="006C6765">
        <w:t>Overview</w:t>
      </w:r>
    </w:p>
    <w:p w:rsidR="006C6765" w:rsidRPr="006C6765" w:rsidRDefault="006C6765" w:rsidP="006C6765">
      <w:r w:rsidRPr="006C6765">
        <w:t xml:space="preserve">The sponsor </w:t>
      </w:r>
      <w:r w:rsidR="00AC7AE5">
        <w:t>writes in the response document:</w:t>
      </w:r>
    </w:p>
    <w:p w:rsidR="006C6765" w:rsidRPr="00AC7AE5" w:rsidRDefault="00AC7AE5" w:rsidP="00AC7AE5">
      <w:pPr>
        <w:ind w:left="720"/>
        <w:rPr>
          <w:i/>
        </w:rPr>
      </w:pPr>
      <w:r>
        <w:rPr>
          <w:i/>
        </w:rPr>
        <w:t>“</w:t>
      </w:r>
      <w:r w:rsidR="006C6765" w:rsidRPr="00AC7AE5">
        <w:rPr>
          <w:i/>
        </w:rPr>
        <w:t xml:space="preserve">Safety is supported mainly by analysis of previously untreated patients from pooled </w:t>
      </w:r>
      <w:r>
        <w:rPr>
          <w:i/>
        </w:rPr>
        <w:t>Phase </w:t>
      </w:r>
      <w:r w:rsidR="00223033" w:rsidRPr="00AC7AE5">
        <w:rPr>
          <w:i/>
        </w:rPr>
        <w:t>II</w:t>
      </w:r>
      <w:r w:rsidR="006C6765" w:rsidRPr="00AC7AE5">
        <w:rPr>
          <w:i/>
        </w:rPr>
        <w:t>/</w:t>
      </w:r>
      <w:r>
        <w:rPr>
          <w:i/>
        </w:rPr>
        <w:t>III</w:t>
      </w:r>
      <w:r w:rsidR="006C6765" w:rsidRPr="00AC7AE5">
        <w:rPr>
          <w:i/>
        </w:rPr>
        <w:t xml:space="preserve"> trials, and large observational studies in this setting.</w:t>
      </w:r>
    </w:p>
    <w:p w:rsidR="006C6765" w:rsidRPr="00AC7AE5" w:rsidRDefault="00AC7AE5" w:rsidP="00AC7AE5">
      <w:pPr>
        <w:ind w:left="720"/>
        <w:rPr>
          <w:i/>
        </w:rPr>
      </w:pPr>
      <w:r>
        <w:rPr>
          <w:i/>
        </w:rPr>
        <w:t xml:space="preserve">In addition, first </w:t>
      </w:r>
      <w:r w:rsidR="006C6765" w:rsidRPr="00AC7AE5">
        <w:rPr>
          <w:i/>
        </w:rPr>
        <w:t xml:space="preserve">line use of ipilimumab is supported by a </w:t>
      </w:r>
      <w:r w:rsidR="003A3F78" w:rsidRPr="00AC7AE5">
        <w:rPr>
          <w:i/>
        </w:rPr>
        <w:t>Phase III</w:t>
      </w:r>
      <w:r w:rsidR="006C6765" w:rsidRPr="00AC7AE5">
        <w:rPr>
          <w:i/>
        </w:rPr>
        <w:t xml:space="preserve"> trial demonstrating superior OS with ipilimumab</w:t>
      </w:r>
      <w:r w:rsidRPr="00AC7AE5">
        <w:rPr>
          <w:i/>
        </w:rPr>
        <w:t xml:space="preserve"> </w:t>
      </w:r>
      <w:r w:rsidR="006C6765" w:rsidRPr="00AC7AE5">
        <w:rPr>
          <w:i/>
        </w:rPr>
        <w:t>+</w:t>
      </w:r>
      <w:r w:rsidRPr="00AC7AE5">
        <w:rPr>
          <w:i/>
        </w:rPr>
        <w:t xml:space="preserve"> </w:t>
      </w:r>
      <w:r w:rsidR="006C6765" w:rsidRPr="00AC7AE5">
        <w:rPr>
          <w:i/>
        </w:rPr>
        <w:t>DTIC, versus DTIC, albeit at a different dose.</w:t>
      </w:r>
      <w:r>
        <w:rPr>
          <w:i/>
        </w:rPr>
        <w:t>”</w:t>
      </w:r>
    </w:p>
    <w:p w:rsidR="006C6765" w:rsidRPr="006C6765" w:rsidRDefault="006C6765" w:rsidP="00AC7AE5">
      <w:pPr>
        <w:pStyle w:val="Heading4"/>
      </w:pPr>
      <w:r w:rsidRPr="006C6765">
        <w:t>New data pertaining to safety</w:t>
      </w:r>
    </w:p>
    <w:p w:rsidR="006C6765" w:rsidRPr="006C6765" w:rsidRDefault="006C6765" w:rsidP="00AC7AE5">
      <w:pPr>
        <w:pStyle w:val="Heading5"/>
      </w:pPr>
      <w:r w:rsidRPr="006C6765">
        <w:t>Exposure</w:t>
      </w:r>
    </w:p>
    <w:p w:rsidR="006C6765" w:rsidRDefault="006C6765" w:rsidP="006C6765">
      <w:r w:rsidRPr="006C6765">
        <w:t xml:space="preserve">The sponsor notes that “the majority” of patients (in the pooled </w:t>
      </w:r>
      <w:r w:rsidR="00223033">
        <w:t xml:space="preserve">Phase </w:t>
      </w:r>
      <w:r w:rsidR="00AC7AE5">
        <w:t>II/III</w:t>
      </w:r>
      <w:r w:rsidRPr="006C6765">
        <w:t xml:space="preserve"> cohort and in observational studies) received all 4 induction doses</w:t>
      </w:r>
      <w:r w:rsidR="001F3382">
        <w:t xml:space="preserve">. </w:t>
      </w:r>
      <w:r w:rsidRPr="006C6765">
        <w:t xml:space="preserve">Table </w:t>
      </w:r>
      <w:r w:rsidR="002E3EE6">
        <w:t>43</w:t>
      </w:r>
      <w:r w:rsidRPr="006C6765">
        <w:t xml:space="preserve"> </w:t>
      </w:r>
      <w:r w:rsidR="00AC7AE5">
        <w:t xml:space="preserve">clarifies that 55 to </w:t>
      </w:r>
      <w:r w:rsidRPr="006C6765">
        <w:t>78% of these subjects received all 4 doses.</w:t>
      </w:r>
    </w:p>
    <w:p w:rsidR="00AC7AE5" w:rsidRDefault="00AC7AE5" w:rsidP="00AC7AE5">
      <w:pPr>
        <w:pStyle w:val="Tabletitle"/>
      </w:pPr>
      <w:r>
        <w:lastRenderedPageBreak/>
        <w:t xml:space="preserve">Table </w:t>
      </w:r>
      <w:r w:rsidR="002E3EE6">
        <w:t>43</w:t>
      </w:r>
      <w:r>
        <w:t>:</w:t>
      </w:r>
      <w:r w:rsidRPr="00AC7AE5">
        <w:t xml:space="preserve"> </w:t>
      </w:r>
      <w:r>
        <w:t>Ipilimumab exposure</w:t>
      </w:r>
    </w:p>
    <w:p w:rsidR="00AC7AE5" w:rsidRPr="00AC7AE5" w:rsidRDefault="00AC7AE5" w:rsidP="00AC7AE5">
      <w:r>
        <w:rPr>
          <w:noProof/>
          <w:lang w:eastAsia="en-AU"/>
        </w:rPr>
        <w:drawing>
          <wp:inline distT="0" distB="0" distL="0" distR="0" wp14:anchorId="2DDFDD86" wp14:editId="004239C5">
            <wp:extent cx="5268761" cy="1631290"/>
            <wp:effectExtent l="0" t="0" r="0" b="0"/>
            <wp:docPr id="20" name="Picture 20" descr="Table 43: Ipilimumab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65447" cy="1630264"/>
                    </a:xfrm>
                    <a:prstGeom prst="rect">
                      <a:avLst/>
                    </a:prstGeom>
                  </pic:spPr>
                </pic:pic>
              </a:graphicData>
            </a:graphic>
          </wp:inline>
        </w:drawing>
      </w:r>
    </w:p>
    <w:p w:rsidR="006C6765" w:rsidRPr="006C6765" w:rsidRDefault="006C6765" w:rsidP="00AC7AE5">
      <w:pPr>
        <w:pStyle w:val="Heading5"/>
      </w:pPr>
      <w:r w:rsidRPr="006C6765">
        <w:t>Observational studies</w:t>
      </w:r>
    </w:p>
    <w:p w:rsidR="00AC7AE5" w:rsidRDefault="006C6765" w:rsidP="006C6765">
      <w:r w:rsidRPr="006C6765">
        <w:t>An updated overview of safety in the observational studies</w:t>
      </w:r>
      <w:r w:rsidR="00AC7AE5">
        <w:t xml:space="preserve"> was provided</w:t>
      </w:r>
      <w:r w:rsidRPr="006C6765">
        <w:t xml:space="preserve"> </w:t>
      </w:r>
      <w:r w:rsidR="00AC7AE5">
        <w:t xml:space="preserve">(Table </w:t>
      </w:r>
      <w:r w:rsidR="002E3EE6">
        <w:t>44</w:t>
      </w:r>
      <w:r w:rsidR="00AC7AE5">
        <w:t>)</w:t>
      </w:r>
      <w:r w:rsidR="001F3382">
        <w:t xml:space="preserve">. </w:t>
      </w:r>
      <w:r w:rsidRPr="006C6765">
        <w:t>In the updated safety analysis, the most frequently reported AEs were diarrhoea and rash / pruritus</w:t>
      </w:r>
      <w:r w:rsidR="001F3382">
        <w:t xml:space="preserve">. </w:t>
      </w:r>
      <w:r w:rsidRPr="006C6765">
        <w:t>With regard to immu</w:t>
      </w:r>
      <w:r w:rsidR="00724839">
        <w:t xml:space="preserve">ne </w:t>
      </w:r>
      <w:r w:rsidRPr="006C6765">
        <w:t xml:space="preserve">related AEs (defined as AEs related to ipilimumab by the investigator and consistent with an inflammatory process), </w:t>
      </w:r>
      <w:r w:rsidR="00724839">
        <w:t xml:space="preserve">Table </w:t>
      </w:r>
      <w:r w:rsidR="00B95A18">
        <w:t>4</w:t>
      </w:r>
      <w:r w:rsidR="002E3EE6">
        <w:t>5</w:t>
      </w:r>
      <w:r w:rsidR="00724839">
        <w:t xml:space="preserve"> shows </w:t>
      </w:r>
      <w:r w:rsidRPr="006C6765">
        <w:t>the sponsor’s tabulation of irAEs in CA184338 (the other observational study did not delineate iRAEs from AEs)</w:t>
      </w:r>
      <w:r w:rsidR="001F3382">
        <w:t xml:space="preserve">. </w:t>
      </w:r>
      <w:r w:rsidRPr="006C6765">
        <w:t>Of note, 7% of subjects had grade 3 gastrointestinal irAEs; two grade 4 GI irAEs were reported (colitis and enterocolitis) and one grade 4 report of myasthenia gravis was made</w:t>
      </w:r>
      <w:r w:rsidR="001F3382">
        <w:t xml:space="preserve">. </w:t>
      </w:r>
      <w:r w:rsidRPr="006C6765">
        <w:t>There were no fatal irAEs in CA184338.</w:t>
      </w:r>
    </w:p>
    <w:p w:rsidR="00AC7AE5" w:rsidRDefault="00AC7AE5" w:rsidP="00AC7AE5">
      <w:pPr>
        <w:pStyle w:val="Tabletitle"/>
      </w:pPr>
      <w:r>
        <w:t xml:space="preserve">Table </w:t>
      </w:r>
      <w:r w:rsidR="002E3EE6">
        <w:t>44</w:t>
      </w:r>
      <w:r>
        <w:t xml:space="preserve">: Overall Summary of </w:t>
      </w:r>
      <w:r w:rsidR="00B95A18">
        <w:t>s</w:t>
      </w:r>
      <w:r>
        <w:t>afety (CA184332 and CA184338)</w:t>
      </w:r>
    </w:p>
    <w:p w:rsidR="00AC7AE5" w:rsidRDefault="00AC7AE5" w:rsidP="00AC7AE5">
      <w:r>
        <w:rPr>
          <w:noProof/>
          <w:lang w:eastAsia="en-AU"/>
        </w:rPr>
        <w:drawing>
          <wp:inline distT="0" distB="0" distL="0" distR="0" wp14:anchorId="07AEF71D" wp14:editId="5E4ABE05">
            <wp:extent cx="5071571" cy="4557370"/>
            <wp:effectExtent l="0" t="0" r="0" b="0"/>
            <wp:docPr id="7171" name="Picture 7171" descr="Table 44: Overall Summary of safety (CA184332 and CA1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72061" cy="4557811"/>
                    </a:xfrm>
                    <a:prstGeom prst="rect">
                      <a:avLst/>
                    </a:prstGeom>
                  </pic:spPr>
                </pic:pic>
              </a:graphicData>
            </a:graphic>
          </wp:inline>
        </w:drawing>
      </w:r>
    </w:p>
    <w:p w:rsidR="00724839" w:rsidRPr="00724839" w:rsidRDefault="00724839" w:rsidP="00724839">
      <w:pPr>
        <w:pStyle w:val="Tabletitle"/>
      </w:pPr>
      <w:r w:rsidRPr="00724839">
        <w:lastRenderedPageBreak/>
        <w:t xml:space="preserve">Table </w:t>
      </w:r>
      <w:r w:rsidR="00B95A18">
        <w:t>4</w:t>
      </w:r>
      <w:r w:rsidR="002E3EE6">
        <w:t>5</w:t>
      </w:r>
      <w:r w:rsidR="00B95A18">
        <w:t>:</w:t>
      </w:r>
      <w:r>
        <w:t xml:space="preserve"> </w:t>
      </w:r>
      <w:r w:rsidRPr="00724839">
        <w:t>Summary of immune-related adverse eve</w:t>
      </w:r>
      <w:r w:rsidR="00B95A18">
        <w:t>nts during induction (CA184338)</w:t>
      </w:r>
    </w:p>
    <w:p w:rsidR="00724839" w:rsidRPr="00AC7AE5" w:rsidRDefault="00724839" w:rsidP="00AC7AE5">
      <w:r>
        <w:rPr>
          <w:noProof/>
          <w:lang w:eastAsia="en-AU"/>
        </w:rPr>
        <w:drawing>
          <wp:inline distT="0" distB="0" distL="0" distR="0" wp14:anchorId="7468ADA8" wp14:editId="6EDAED81">
            <wp:extent cx="4895954" cy="3430829"/>
            <wp:effectExtent l="0" t="0" r="0" b="0"/>
            <wp:docPr id="7172" name="Picture 7172" descr="Table 45: Summary of immune-related adverse events during induction (CA1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96317" cy="3431084"/>
                    </a:xfrm>
                    <a:prstGeom prst="rect">
                      <a:avLst/>
                    </a:prstGeom>
                  </pic:spPr>
                </pic:pic>
              </a:graphicData>
            </a:graphic>
          </wp:inline>
        </w:drawing>
      </w:r>
    </w:p>
    <w:p w:rsidR="006C6765" w:rsidRPr="006C6765" w:rsidRDefault="006C6765" w:rsidP="006C6765">
      <w:r w:rsidRPr="006C6765">
        <w:t>Summaries of safety outcomes from the two observational studies follow:</w:t>
      </w:r>
    </w:p>
    <w:p w:rsidR="006C6765" w:rsidRPr="006C6765" w:rsidRDefault="006C6765" w:rsidP="00724839">
      <w:pPr>
        <w:pStyle w:val="Heading5"/>
      </w:pPr>
      <w:r w:rsidRPr="006C6765">
        <w:t>CA184338</w:t>
      </w:r>
    </w:p>
    <w:p w:rsidR="006C6765" w:rsidRPr="006C6765" w:rsidRDefault="006C6765" w:rsidP="006C6765">
      <w:r w:rsidRPr="006C6765">
        <w:t>Summary tables of AEs were limited to events occurring during the induction phase</w:t>
      </w:r>
      <w:r w:rsidR="001F3382">
        <w:t xml:space="preserve">. </w:t>
      </w:r>
      <w:r w:rsidRPr="006C6765">
        <w:t>It was notable that 60.1% of subjects (164</w:t>
      </w:r>
      <w:r w:rsidR="005853BB">
        <w:t xml:space="preserve"> out of </w:t>
      </w:r>
      <w:r w:rsidRPr="006C6765">
        <w:t>273) reported AEs, and 136</w:t>
      </w:r>
      <w:r w:rsidR="005853BB">
        <w:t xml:space="preserve"> out of </w:t>
      </w:r>
      <w:r w:rsidR="00724839">
        <w:t xml:space="preserve">164 AEs were considered immune </w:t>
      </w:r>
      <w:r w:rsidRPr="006C6765">
        <w:t>related</w:t>
      </w:r>
      <w:r w:rsidR="001F3382">
        <w:t xml:space="preserve">. </w:t>
      </w:r>
      <w:r w:rsidRPr="006C6765">
        <w:t>Most frequent events were diarrhoea (15%) and rash (15%); colitis was reported</w:t>
      </w:r>
      <w:r w:rsidR="00724839">
        <w:t xml:space="preserve"> in 7% and enterocolitis in 4%;</w:t>
      </w:r>
      <w:r w:rsidRPr="006C6765">
        <w:t xml:space="preserve"> while subjects may have had more than one event, it seems likely no subject would have a report of colitis and a report of enterocolitis for the same event</w:t>
      </w:r>
      <w:r w:rsidR="001F3382">
        <w:t xml:space="preserve">. </w:t>
      </w:r>
      <w:r w:rsidRPr="006C6765">
        <w:t>Serious AEs plausibly linked to colitis were reported in up to 8% (</w:t>
      </w:r>
      <w:r w:rsidR="0048681A">
        <w:t>that is</w:t>
      </w:r>
      <w:r w:rsidRPr="006C6765">
        <w:t xml:space="preserve"> 4.4% had an SAE of colitis, 2.6% had an SAE of diarrhoea and 1.</w:t>
      </w:r>
      <w:r w:rsidR="00724839">
        <w:t>8% had an SAE of enterocolitis;</w:t>
      </w:r>
      <w:r w:rsidRPr="006C6765">
        <w:t xml:space="preserve"> although subjects may have had &gt;</w:t>
      </w:r>
      <w:r w:rsidR="00724839">
        <w:t xml:space="preserve"> </w:t>
      </w:r>
      <w:r w:rsidRPr="006C6765">
        <w:t>1 event)</w:t>
      </w:r>
      <w:r w:rsidR="001F3382">
        <w:t xml:space="preserve">. </w:t>
      </w:r>
      <w:r w:rsidRPr="006C6765">
        <w:t>Serious AEs were reported in 19% (detection of SAEs may not have been robust</w:t>
      </w:r>
      <w:r w:rsidR="00724839">
        <w:t xml:space="preserve"> given the retrospective, chart </w:t>
      </w:r>
      <w:r w:rsidRPr="006C6765">
        <w:t>review methodology used to find AEs)</w:t>
      </w:r>
      <w:r w:rsidR="001F3382">
        <w:t xml:space="preserve">. </w:t>
      </w:r>
      <w:r w:rsidRPr="006C6765">
        <w:t>There were no deaths linked to drug toxicity.</w:t>
      </w:r>
    </w:p>
    <w:p w:rsidR="006C6765" w:rsidRPr="006C6765" w:rsidRDefault="006C6765" w:rsidP="00724839">
      <w:pPr>
        <w:pStyle w:val="Heading5"/>
      </w:pPr>
      <w:r w:rsidRPr="006C6765">
        <w:t>CA184332</w:t>
      </w:r>
    </w:p>
    <w:p w:rsidR="006C6765" w:rsidRPr="006C6765" w:rsidRDefault="006C6765" w:rsidP="006C6765">
      <w:r w:rsidRPr="006C6765">
        <w:t>Summary tables of AEs were limited to events occurring during the induction phase</w:t>
      </w:r>
      <w:r w:rsidR="001F3382">
        <w:t xml:space="preserve">. </w:t>
      </w:r>
      <w:r w:rsidRPr="006C6765">
        <w:t>Most frequent events were diarrhoea (19.2%) and rash (18%)</w:t>
      </w:r>
      <w:r w:rsidR="001F3382">
        <w:t xml:space="preserve">. </w:t>
      </w:r>
      <w:r w:rsidRPr="006C6765">
        <w:t>Colitis was reported in 5%</w:t>
      </w:r>
      <w:r w:rsidR="001F3382">
        <w:t xml:space="preserve">. </w:t>
      </w:r>
      <w:r w:rsidRPr="006C6765">
        <w:t>Serious AEs were reported in 29.5% (detection of SAEs may not have been robust given the retrospective, chart-review approach to data collection)</w:t>
      </w:r>
      <w:r w:rsidR="001F3382">
        <w:t xml:space="preserve">. </w:t>
      </w:r>
      <w:r w:rsidRPr="006C6765">
        <w:t>There were no deaths linked to drug toxicity.</w:t>
      </w:r>
    </w:p>
    <w:p w:rsidR="006C6765" w:rsidRPr="006C6765" w:rsidRDefault="006C6765" w:rsidP="00724839">
      <w:pPr>
        <w:pStyle w:val="Heading5"/>
      </w:pPr>
      <w:r w:rsidRPr="006C6765">
        <w:t xml:space="preserve">Pooled </w:t>
      </w:r>
      <w:r w:rsidR="00223033">
        <w:t xml:space="preserve">Phase </w:t>
      </w:r>
      <w:r w:rsidR="00AC7AE5">
        <w:t>II/III</w:t>
      </w:r>
      <w:r w:rsidRPr="006C6765">
        <w:t xml:space="preserve"> cohort</w:t>
      </w:r>
    </w:p>
    <w:p w:rsidR="006C6765" w:rsidRPr="006C6765" w:rsidRDefault="006C6765" w:rsidP="006C6765">
      <w:r w:rsidRPr="006C6765">
        <w:t xml:space="preserve">In analysis of the pooled </w:t>
      </w:r>
      <w:r w:rsidR="00223033">
        <w:t xml:space="preserve">Phase </w:t>
      </w:r>
      <w:r w:rsidR="00AC7AE5">
        <w:t>II/III</w:t>
      </w:r>
      <w:r w:rsidRPr="006C6765">
        <w:t xml:space="preserve"> cohort, the sponsor notes key safety parameters were similar for previously untreated (n</w:t>
      </w:r>
      <w:r w:rsidR="00724839">
        <w:t xml:space="preserve"> </w:t>
      </w:r>
      <w:r w:rsidRPr="006C6765">
        <w:t>=</w:t>
      </w:r>
      <w:r w:rsidR="00724839">
        <w:t xml:space="preserve"> </w:t>
      </w:r>
      <w:r w:rsidRPr="006C6765">
        <w:t>55) and previously treated (n</w:t>
      </w:r>
      <w:r w:rsidR="00724839">
        <w:t xml:space="preserve"> </w:t>
      </w:r>
      <w:r w:rsidRPr="006C6765">
        <w:t>=</w:t>
      </w:r>
      <w:r w:rsidR="00724839">
        <w:t xml:space="preserve"> </w:t>
      </w:r>
      <w:r w:rsidRPr="006C6765">
        <w:t>641) subjects.</w:t>
      </w:r>
    </w:p>
    <w:p w:rsidR="006C6765" w:rsidRDefault="00724839" w:rsidP="006C6765">
      <w:r>
        <w:t xml:space="preserve">Drug </w:t>
      </w:r>
      <w:r w:rsidR="006C6765" w:rsidRPr="006C6765">
        <w:t>related deaths were seen in 3</w:t>
      </w:r>
      <w:r w:rsidR="005853BB">
        <w:t xml:space="preserve"> out of </w:t>
      </w:r>
      <w:r w:rsidR="006C6765" w:rsidRPr="006C6765">
        <w:t xml:space="preserve">55 previously untreated subjects (5.5%), </w:t>
      </w:r>
      <w:r w:rsidR="000614E5">
        <w:t>versus</w:t>
      </w:r>
      <w:r w:rsidR="006C6765" w:rsidRPr="006C6765">
        <w:t xml:space="preserve"> 13</w:t>
      </w:r>
      <w:r w:rsidR="005853BB">
        <w:t xml:space="preserve"> out of </w:t>
      </w:r>
      <w:r w:rsidR="006C6765" w:rsidRPr="006C6765">
        <w:t>641 previously treated subjects (2.0%) (</w:t>
      </w:r>
      <w:proofErr w:type="gramStart"/>
      <w:r w:rsidR="006C6765" w:rsidRPr="006C6765">
        <w:t>see</w:t>
      </w:r>
      <w:proofErr w:type="gramEnd"/>
      <w:r w:rsidR="006C6765" w:rsidRPr="006C6765">
        <w:t xml:space="preserve"> </w:t>
      </w:r>
      <w:r>
        <w:t xml:space="preserve">Table </w:t>
      </w:r>
      <w:r w:rsidR="00B95A18">
        <w:t>4</w:t>
      </w:r>
      <w:r w:rsidR="002E3EE6">
        <w:t>6</w:t>
      </w:r>
      <w:r w:rsidR="006C6765" w:rsidRPr="006C6765">
        <w:t>)</w:t>
      </w:r>
      <w:r w:rsidR="001F3382">
        <w:t xml:space="preserve">. </w:t>
      </w:r>
      <w:r w:rsidR="006C6765" w:rsidRPr="006C6765">
        <w:t>The sponsor notes in response: the number of untreated subjects is small; there was no disparity in the chemo</w:t>
      </w:r>
      <w:r>
        <w:t xml:space="preserve"> </w:t>
      </w:r>
      <w:r w:rsidR="006C6765" w:rsidRPr="006C6765">
        <w:t xml:space="preserve">naive </w:t>
      </w:r>
      <w:r w:rsidR="000614E5">
        <w:t>versus</w:t>
      </w:r>
      <w:r>
        <w:t xml:space="preserve"> chemo </w:t>
      </w:r>
      <w:r w:rsidR="006C6765" w:rsidRPr="006C6765">
        <w:t>treated analysis; one death in a previously untreated subject was said to be confounded by disease prog</w:t>
      </w:r>
      <w:r>
        <w:t xml:space="preserve">ression; and there were no drug </w:t>
      </w:r>
      <w:r w:rsidR="006C6765" w:rsidRPr="006C6765">
        <w:t xml:space="preserve">related deaths in 247 previously untreated </w:t>
      </w:r>
      <w:r w:rsidR="006C6765" w:rsidRPr="006C6765">
        <w:lastRenderedPageBreak/>
        <w:t>subjects on 10 mg/kg in CA184024</w:t>
      </w:r>
      <w:r w:rsidR="001F3382">
        <w:t xml:space="preserve">. </w:t>
      </w:r>
      <w:r w:rsidR="006C6765" w:rsidRPr="006C6765">
        <w:t>Also, no deaths in the two observational studies were considered related to ipilimumab.</w:t>
      </w:r>
    </w:p>
    <w:p w:rsidR="00724839" w:rsidRDefault="00B95A18" w:rsidP="00724839">
      <w:pPr>
        <w:pStyle w:val="Tabletitle"/>
      </w:pPr>
      <w:r>
        <w:t>Table 4</w:t>
      </w:r>
      <w:r w:rsidR="002E3EE6">
        <w:t>6</w:t>
      </w:r>
      <w:r>
        <w:t>: Drug-related deaths; 3 mg/kg</w:t>
      </w:r>
      <w:r w:rsidR="00724839">
        <w:t xml:space="preserve"> treated subjects</w:t>
      </w:r>
    </w:p>
    <w:p w:rsidR="00724839" w:rsidRPr="00724839" w:rsidRDefault="00724839" w:rsidP="00724839">
      <w:r>
        <w:rPr>
          <w:noProof/>
          <w:lang w:eastAsia="en-AU"/>
        </w:rPr>
        <w:drawing>
          <wp:inline distT="0" distB="0" distL="0" distR="0" wp14:anchorId="5FD66838" wp14:editId="3F691E03">
            <wp:extent cx="5493715" cy="3543916"/>
            <wp:effectExtent l="0" t="0" r="0" b="0"/>
            <wp:docPr id="7173" name="Picture 7173" descr="Table 46: Drug-related deaths; 3 mg/kg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98382" cy="3546926"/>
                    </a:xfrm>
                    <a:prstGeom prst="rect">
                      <a:avLst/>
                    </a:prstGeom>
                  </pic:spPr>
                </pic:pic>
              </a:graphicData>
            </a:graphic>
          </wp:inline>
        </w:drawing>
      </w:r>
    </w:p>
    <w:p w:rsidR="006C6765" w:rsidRDefault="00724839" w:rsidP="006C6765">
      <w:r>
        <w:t xml:space="preserve">A top </w:t>
      </w:r>
      <w:r w:rsidR="006C6765" w:rsidRPr="006C6765">
        <w:t xml:space="preserve">line summary of safety parameters in the final pooled analysis is </w:t>
      </w:r>
      <w:r>
        <w:t>shown in Table</w:t>
      </w:r>
      <w:r w:rsidR="006C6765" w:rsidRPr="006C6765">
        <w:t xml:space="preserve"> </w:t>
      </w:r>
      <w:r w:rsidR="00486FBC">
        <w:t>48</w:t>
      </w:r>
      <w:r w:rsidR="006C6765" w:rsidRPr="006C6765">
        <w:t>.</w:t>
      </w:r>
    </w:p>
    <w:p w:rsidR="00724839" w:rsidRDefault="00B44B06" w:rsidP="00B44B06">
      <w:pPr>
        <w:pStyle w:val="Tabletitle"/>
      </w:pPr>
      <w:r>
        <w:t xml:space="preserve">Table </w:t>
      </w:r>
      <w:r w:rsidR="002E3EE6">
        <w:t>47</w:t>
      </w:r>
      <w:r w:rsidR="00B95A18">
        <w:t>:</w:t>
      </w:r>
      <w:r>
        <w:t xml:space="preserve"> Key safety parameters by prior treatment status (induction)</w:t>
      </w:r>
    </w:p>
    <w:p w:rsidR="00B44B06" w:rsidRPr="00B44B06" w:rsidRDefault="00B44B06" w:rsidP="00B44B06">
      <w:r>
        <w:rPr>
          <w:noProof/>
          <w:lang w:eastAsia="en-AU"/>
        </w:rPr>
        <w:drawing>
          <wp:inline distT="0" distB="0" distL="0" distR="0" wp14:anchorId="3EB1219F" wp14:editId="2C63A402">
            <wp:extent cx="5315554" cy="3138221"/>
            <wp:effectExtent l="0" t="0" r="0" b="0"/>
            <wp:docPr id="7175" name="Picture 7175" descr="Table 47: Key safety parameters by prior treatment status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322116" cy="3142095"/>
                    </a:xfrm>
                    <a:prstGeom prst="rect">
                      <a:avLst/>
                    </a:prstGeom>
                  </pic:spPr>
                </pic:pic>
              </a:graphicData>
            </a:graphic>
          </wp:inline>
        </w:drawing>
      </w:r>
    </w:p>
    <w:p w:rsidR="006C6765" w:rsidRPr="006C6765" w:rsidRDefault="006C6765" w:rsidP="00B44B06">
      <w:pPr>
        <w:pStyle w:val="Heading5"/>
      </w:pPr>
      <w:r w:rsidRPr="006C6765">
        <w:t>CA184045</w:t>
      </w:r>
    </w:p>
    <w:p w:rsidR="006C6765" w:rsidRDefault="006C6765" w:rsidP="006C6765">
      <w:r w:rsidRPr="006C6765">
        <w:t xml:space="preserve">Overall safety data for the EAP CA184045 are captured </w:t>
      </w:r>
      <w:r w:rsidRPr="002C3A9D">
        <w:t xml:space="preserve">in Table </w:t>
      </w:r>
      <w:r w:rsidR="002E3EE6">
        <w:t>48</w:t>
      </w:r>
      <w:r w:rsidR="001F3382">
        <w:t xml:space="preserve">. </w:t>
      </w:r>
      <w:r w:rsidRPr="006C6765">
        <w:t>Serious AEs were common, as were immune-related AEs; however these data are difficult to interpret given the design of the study.</w:t>
      </w:r>
    </w:p>
    <w:p w:rsidR="002C3A9D" w:rsidRDefault="002E3EE6" w:rsidP="002C3A9D">
      <w:pPr>
        <w:pStyle w:val="Tabletitle"/>
      </w:pPr>
      <w:proofErr w:type="gramStart"/>
      <w:r>
        <w:lastRenderedPageBreak/>
        <w:t>Table 48</w:t>
      </w:r>
      <w:r w:rsidR="002C3A9D">
        <w:t>: Overall summary of safety data; entire study duration.</w:t>
      </w:r>
      <w:proofErr w:type="gramEnd"/>
      <w:r w:rsidR="002C3A9D">
        <w:t xml:space="preserve"> Study </w:t>
      </w:r>
      <w:r w:rsidR="002C3A9D" w:rsidRPr="006C6765">
        <w:t>CA184045</w:t>
      </w:r>
    </w:p>
    <w:p w:rsidR="002C3A9D" w:rsidRPr="002C3A9D" w:rsidRDefault="002C3A9D" w:rsidP="002C3A9D">
      <w:r>
        <w:rPr>
          <w:noProof/>
          <w:lang w:eastAsia="en-AU"/>
        </w:rPr>
        <w:drawing>
          <wp:inline distT="0" distB="0" distL="0" distR="0" wp14:anchorId="0597B300" wp14:editId="27BACB69">
            <wp:extent cx="5444953" cy="2340864"/>
            <wp:effectExtent l="0" t="0" r="0" b="0"/>
            <wp:docPr id="7178" name="Picture 7178" descr="Table 48: Overall summary of safety data; entire study duration. Study CA18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42382" cy="2339759"/>
                    </a:xfrm>
                    <a:prstGeom prst="rect">
                      <a:avLst/>
                    </a:prstGeom>
                  </pic:spPr>
                </pic:pic>
              </a:graphicData>
            </a:graphic>
          </wp:inline>
        </w:drawing>
      </w:r>
    </w:p>
    <w:p w:rsidR="006C6765" w:rsidRPr="006C6765" w:rsidRDefault="006C6765" w:rsidP="0002540E">
      <w:pPr>
        <w:pStyle w:val="Heading4"/>
      </w:pPr>
      <w:r w:rsidRPr="006C6765">
        <w:t>New scientific argument regarding safety</w:t>
      </w:r>
    </w:p>
    <w:p w:rsidR="006C6765" w:rsidRPr="006C6765" w:rsidRDefault="006C6765" w:rsidP="0002540E">
      <w:pPr>
        <w:pStyle w:val="Heading5"/>
      </w:pPr>
      <w:r w:rsidRPr="006C6765">
        <w:t>Methodology</w:t>
      </w:r>
    </w:p>
    <w:p w:rsidR="006C6765" w:rsidRPr="006C6765" w:rsidRDefault="0002540E" w:rsidP="006C6765">
      <w:r>
        <w:t>In</w:t>
      </w:r>
      <w:r w:rsidR="006C6765" w:rsidRPr="006C6765">
        <w:t xml:space="preserve"> the response document, the sponsor considers safety methodology</w:t>
      </w:r>
      <w:r w:rsidR="001F3382">
        <w:t xml:space="preserve">. </w:t>
      </w:r>
      <w:r w:rsidR="006C6765" w:rsidRPr="006C6765">
        <w:t>Differences in safety data collection between observational studies and standard trials are noted.</w:t>
      </w:r>
    </w:p>
    <w:p w:rsidR="006C6765" w:rsidRPr="006C6765" w:rsidRDefault="006C6765" w:rsidP="006C6765">
      <w:r w:rsidRPr="006C6765">
        <w:t xml:space="preserve">The sponsor addresses the </w:t>
      </w:r>
      <w:r w:rsidR="0002540E">
        <w:t>first round</w:t>
      </w:r>
      <w:r w:rsidRPr="006C6765">
        <w:t xml:space="preserve"> </w:t>
      </w:r>
      <w:r w:rsidR="0002540E" w:rsidRPr="006C6765">
        <w:t xml:space="preserve">clinical evaluator’s </w:t>
      </w:r>
      <w:r w:rsidRPr="006C6765">
        <w:t>specific question about exposu</w:t>
      </w:r>
      <w:r w:rsidR="0002540E">
        <w:t xml:space="preserve">re </w:t>
      </w:r>
      <w:r w:rsidRPr="006C6765">
        <w:t>adjusted AEs</w:t>
      </w:r>
      <w:r w:rsidR="001F3382">
        <w:t xml:space="preserve">. </w:t>
      </w:r>
      <w:r w:rsidRPr="006C6765">
        <w:t>The focus of the response was irAEs</w:t>
      </w:r>
      <w:r w:rsidR="001F3382">
        <w:t xml:space="preserve">. </w:t>
      </w:r>
      <w:r w:rsidRPr="006C6765">
        <w:t xml:space="preserve">The same SOC &gt; PT methods were used in these analyses, </w:t>
      </w:r>
      <w:r w:rsidR="0048681A">
        <w:t>that is</w:t>
      </w:r>
      <w:r w:rsidRPr="006C6765">
        <w:t xml:space="preserve"> discrete preferred terms that may reflect the same toxicity were still treated separately, only being grouped at the SOC level</w:t>
      </w:r>
      <w:r w:rsidR="001F3382">
        <w:t xml:space="preserve">. </w:t>
      </w:r>
      <w:r w:rsidRPr="006C6765">
        <w:t xml:space="preserve">For example, pruritus, rash pruritic and pruritus generalised were separate preferred terms, and the SOC term was ‘skin and subcutaneous tissue disorders’ (which captures more than just pruritus, </w:t>
      </w:r>
      <w:r w:rsidR="002125C0">
        <w:t>for example</w:t>
      </w:r>
      <w:r w:rsidR="0002540E">
        <w:t xml:space="preserve"> alopecia, vitiligo</w:t>
      </w:r>
      <w:r w:rsidRPr="006C6765">
        <w:t xml:space="preserve"> </w:t>
      </w:r>
      <w:r w:rsidR="0002540E">
        <w:t>etcetera</w:t>
      </w:r>
      <w:r w:rsidRPr="006C6765">
        <w:t>).</w:t>
      </w:r>
    </w:p>
    <w:p w:rsidR="006C6765" w:rsidRPr="006C6765" w:rsidRDefault="0002540E" w:rsidP="006C6765">
      <w:r>
        <w:t>In the response</w:t>
      </w:r>
      <w:r w:rsidR="006C6765" w:rsidRPr="006C6765">
        <w:t xml:space="preserve"> the sponsor explains further aspects of safety methodology that were used</w:t>
      </w:r>
      <w:r>
        <w:t xml:space="preserve"> in preparation of the initial d</w:t>
      </w:r>
      <w:r w:rsidR="006C6765" w:rsidRPr="006C6765">
        <w:t>ossier</w:t>
      </w:r>
      <w:r w:rsidR="001F3382">
        <w:t xml:space="preserve">. </w:t>
      </w:r>
      <w:r w:rsidR="006C6765" w:rsidRPr="006C6765">
        <w:t>No attempt was made to apply different methodologies, despite the request in “Additional Safety Question 1”.</w:t>
      </w:r>
    </w:p>
    <w:p w:rsidR="006C6765" w:rsidRPr="006C6765" w:rsidRDefault="006C6765" w:rsidP="006C6765">
      <w:r w:rsidRPr="006C6765">
        <w:t xml:space="preserve">Similar notes about methodology where the sponsor clarifies that AE summary tables and analyses are derived from </w:t>
      </w:r>
      <w:r w:rsidR="0002540E" w:rsidRPr="006C6765">
        <w:t>the oracle clinical study databa</w:t>
      </w:r>
      <w:r w:rsidRPr="006C6765">
        <w:t>se, which includes investigator-approved ‘cleaned’ data, but that narratives (</w:t>
      </w:r>
      <w:r w:rsidR="002125C0">
        <w:t>for example</w:t>
      </w:r>
      <w:r w:rsidRPr="006C6765">
        <w:t xml:space="preserve"> for SAEs) are derived from that database but also the sponsor’s pharmacovigilance reporting system and other documents received from the investigator</w:t>
      </w:r>
      <w:r w:rsidR="001F3382">
        <w:t xml:space="preserve">. </w:t>
      </w:r>
      <w:r w:rsidRPr="006C6765">
        <w:t>It could be argued those data sources should be interrogated before comp</w:t>
      </w:r>
      <w:r w:rsidR="0002540E">
        <w:t>iling AE summaries, but a trade-</w:t>
      </w:r>
      <w:r w:rsidR="0002540E" w:rsidRPr="006C6765">
        <w:t>off</w:t>
      </w:r>
      <w:r w:rsidRPr="006C6765">
        <w:t xml:space="preserve"> appears to have been made between feasibility and completeness of reporting.</w:t>
      </w:r>
    </w:p>
    <w:p w:rsidR="006C6765" w:rsidRPr="006C6765" w:rsidRDefault="006C6765" w:rsidP="006C6765">
      <w:r w:rsidRPr="006C6765">
        <w:t xml:space="preserve">Similar notes about methodology are made where the sponsor clarifies that AEs are not changed to grade 5 at the time of a subject’s death, and </w:t>
      </w:r>
      <w:r w:rsidR="0002540E">
        <w:t xml:space="preserve">also that deaths outside the on study window (70 to </w:t>
      </w:r>
      <w:r w:rsidRPr="006C6765">
        <w:t>90 days depending on study) did not trigger narrative writing.</w:t>
      </w:r>
    </w:p>
    <w:p w:rsidR="006C6765" w:rsidRPr="006C6765" w:rsidRDefault="0002540E" w:rsidP="006C6765">
      <w:r>
        <w:t>In</w:t>
      </w:r>
      <w:r w:rsidR="006C6765" w:rsidRPr="006C6765">
        <w:t xml:space="preserve"> the response, the sponsor defines immune mediated adverse reactions (imARs) which shou</w:t>
      </w:r>
      <w:r>
        <w:t xml:space="preserve">ld be distinguished from immune </w:t>
      </w:r>
      <w:r w:rsidR="006C6765" w:rsidRPr="006C6765">
        <w:t xml:space="preserve">related AEs (irAEs) and inflammatory events </w:t>
      </w:r>
      <w:r>
        <w:t>regardless of causality (IERCs).</w:t>
      </w:r>
    </w:p>
    <w:p w:rsidR="006C6765" w:rsidRPr="006C6765" w:rsidRDefault="0002540E" w:rsidP="0002540E">
      <w:pPr>
        <w:pStyle w:val="Heading5"/>
      </w:pPr>
      <w:r>
        <w:t xml:space="preserve">Exposure </w:t>
      </w:r>
      <w:r w:rsidR="006C6765" w:rsidRPr="006C6765">
        <w:t>response modelling</w:t>
      </w:r>
    </w:p>
    <w:p w:rsidR="006C6765" w:rsidRPr="006C6765" w:rsidRDefault="0002540E" w:rsidP="006C6765">
      <w:r>
        <w:t xml:space="preserve">In </w:t>
      </w:r>
      <w:r w:rsidR="006C6765" w:rsidRPr="006C6765">
        <w:t>the response there is discussion of the odds ratio of 0.51 for “</w:t>
      </w:r>
      <w:r w:rsidRPr="006C6765">
        <w:t>any</w:t>
      </w:r>
      <w:r w:rsidR="006C6765" w:rsidRPr="006C6765">
        <w:t xml:space="preserve"> irAE” for previously treated (</w:t>
      </w:r>
      <w:r w:rsidR="000614E5">
        <w:t>versus</w:t>
      </w:r>
      <w:r w:rsidR="006C6765" w:rsidRPr="006C6765">
        <w:t xml:space="preserve"> previously untreated) patients</w:t>
      </w:r>
      <w:r w:rsidR="001F3382">
        <w:t xml:space="preserve">. </w:t>
      </w:r>
      <w:r w:rsidR="006C6765" w:rsidRPr="006C6765">
        <w:t>The sponsor argues this finding may be confounded by prior treatment status and DTIC co-administration (a large proportion of previously untreated patients, 240</w:t>
      </w:r>
      <w:r w:rsidR="005853BB">
        <w:t xml:space="preserve"> out of </w:t>
      </w:r>
      <w:r w:rsidR="006C6765" w:rsidRPr="006C6765">
        <w:t>348, were from CA184024 where DTIC was a concomitant treatment)</w:t>
      </w:r>
      <w:r>
        <w:t>.</w:t>
      </w:r>
    </w:p>
    <w:p w:rsidR="006C6765" w:rsidRPr="006C6765" w:rsidRDefault="006C6765" w:rsidP="0002540E">
      <w:pPr>
        <w:pStyle w:val="Heading5"/>
      </w:pPr>
      <w:r w:rsidRPr="006C6765">
        <w:lastRenderedPageBreak/>
        <w:t>Fatalities</w:t>
      </w:r>
    </w:p>
    <w:p w:rsidR="006C6765" w:rsidRPr="006C6765" w:rsidRDefault="0002540E" w:rsidP="006C6765">
      <w:r>
        <w:t>In</w:t>
      </w:r>
      <w:r w:rsidR="006C6765" w:rsidRPr="006C6765">
        <w:t xml:space="preserve"> the response the sponsor addresses concerns of the </w:t>
      </w:r>
      <w:r>
        <w:t>r</w:t>
      </w:r>
      <w:r w:rsidR="006C6765" w:rsidRPr="006C6765">
        <w:t xml:space="preserve">ound 1 </w:t>
      </w:r>
      <w:r>
        <w:t xml:space="preserve">clinical </w:t>
      </w:r>
      <w:r w:rsidR="006C6765" w:rsidRPr="006C6765">
        <w:t>evaluator about the role of ipilimumab in deaths of specific individuals</w:t>
      </w:r>
      <w:r w:rsidR="001F3382">
        <w:t xml:space="preserve">. </w:t>
      </w:r>
      <w:r w:rsidR="006C6765" w:rsidRPr="006C6765">
        <w:t>Two examples are discussed below, because of the apparently different appr</w:t>
      </w:r>
      <w:r>
        <w:t>oaches taken to ascribing cause.</w:t>
      </w:r>
    </w:p>
    <w:p w:rsidR="006C6765" w:rsidRPr="006C6765" w:rsidRDefault="000311C0" w:rsidP="000311C0">
      <w:pPr>
        <w:pStyle w:val="Numberbullet0"/>
        <w:numPr>
          <w:ilvl w:val="0"/>
          <w:numId w:val="41"/>
        </w:numPr>
      </w:pPr>
      <w:r>
        <w:t>T</w:t>
      </w:r>
      <w:r w:rsidR="006C6765" w:rsidRPr="006C6765">
        <w:t xml:space="preserve">he sponsor addresses concerns held by the </w:t>
      </w:r>
      <w:r>
        <w:t>r</w:t>
      </w:r>
      <w:r w:rsidR="006C6765" w:rsidRPr="006C6765">
        <w:t xml:space="preserve">ound 1 </w:t>
      </w:r>
      <w:r>
        <w:t xml:space="preserve">clinical </w:t>
      </w:r>
      <w:r w:rsidR="006C6765" w:rsidRPr="006C6765">
        <w:t>evaluator about the role of ipilimumab in the death of a patient</w:t>
      </w:r>
      <w:r w:rsidR="001F3382">
        <w:t xml:space="preserve">. </w:t>
      </w:r>
      <w:r w:rsidR="006C6765" w:rsidRPr="006C6765">
        <w:t>A grade 5 SAE of systemic inflammatory response syndrome was considered possibly related while a grade 5 event of pneumonia was considered by the investigator unlikely to be related to ipilimumab</w:t>
      </w:r>
      <w:r w:rsidR="001F3382">
        <w:t xml:space="preserve">. </w:t>
      </w:r>
      <w:r w:rsidR="006C6765" w:rsidRPr="006C6765">
        <w:t>The primary cause of death was stated to be pneumonia, not SIRS</w:t>
      </w:r>
      <w:r w:rsidR="001F3382">
        <w:t xml:space="preserve">. </w:t>
      </w:r>
      <w:r w:rsidR="006C6765" w:rsidRPr="006C6765">
        <w:t>The sponsor’s approach was to accept the investigator’s judgement in this regard.</w:t>
      </w:r>
    </w:p>
    <w:p w:rsidR="006C6765" w:rsidRPr="006C6765" w:rsidRDefault="000311C0" w:rsidP="000311C0">
      <w:pPr>
        <w:pStyle w:val="Numberbullet0"/>
        <w:numPr>
          <w:ilvl w:val="0"/>
          <w:numId w:val="41"/>
        </w:numPr>
      </w:pPr>
      <w:r>
        <w:t>T</w:t>
      </w:r>
      <w:r w:rsidR="006C6765" w:rsidRPr="006C6765">
        <w:t xml:space="preserve">he sponsor addresses concerns held by the </w:t>
      </w:r>
      <w:r>
        <w:t>r</w:t>
      </w:r>
      <w:r w:rsidR="006C6765" w:rsidRPr="006C6765">
        <w:t xml:space="preserve">ound 1 </w:t>
      </w:r>
      <w:r>
        <w:t xml:space="preserve">clinical </w:t>
      </w:r>
      <w:r w:rsidR="006C6765" w:rsidRPr="006C6765">
        <w:t>evaluator about the role of ipilimumab in the death of another patient</w:t>
      </w:r>
      <w:r w:rsidR="001F3382">
        <w:t xml:space="preserve">. </w:t>
      </w:r>
      <w:r w:rsidR="006C6765" w:rsidRPr="006C6765">
        <w:t>Notable was the sponsor’s decision to provide “disease progression” as the reason for death, ahead of the investigator’s decision to assign “cardiac arrest” as the reason</w:t>
      </w:r>
      <w:r w:rsidR="001F3382">
        <w:t xml:space="preserve">. </w:t>
      </w:r>
      <w:r w:rsidR="006C6765" w:rsidRPr="006C6765">
        <w:t>Also, it is not clear from the sponsor’s response why disease progression was assumed at day 114 (the day of the patient’s death)</w:t>
      </w:r>
      <w:r w:rsidR="001F3382">
        <w:t xml:space="preserve">. </w:t>
      </w:r>
      <w:r w:rsidR="006C6765" w:rsidRPr="006C6765">
        <w:t>However, it seems difficult to ascribe cardiac arrest to ipilimumab, even indirectly, in this case.</w:t>
      </w:r>
    </w:p>
    <w:p w:rsidR="006C6765" w:rsidRPr="006C6765" w:rsidRDefault="006C6765" w:rsidP="000311C0">
      <w:pPr>
        <w:pStyle w:val="Heading5"/>
      </w:pPr>
      <w:r w:rsidRPr="006C6765">
        <w:t>Extrapolation from MDX010-020</w:t>
      </w:r>
    </w:p>
    <w:p w:rsidR="006C6765" w:rsidRPr="006C6765" w:rsidRDefault="000311C0" w:rsidP="006C6765">
      <w:r>
        <w:t>In</w:t>
      </w:r>
      <w:r w:rsidR="006C6765" w:rsidRPr="006C6765">
        <w:t xml:space="preserve"> the response, the sponsor notes that in MDX010-020, irAEs were seen at similar frequencies in patients with 1 and &gt;</w:t>
      </w:r>
      <w:r>
        <w:t xml:space="preserve"> </w:t>
      </w:r>
      <w:r w:rsidR="006C6765" w:rsidRPr="006C6765">
        <w:t>1 prior therapie</w:t>
      </w:r>
      <w:r>
        <w:t>s;</w:t>
      </w:r>
      <w:r w:rsidR="006C6765" w:rsidRPr="006C6765">
        <w:t xml:space="preserve"> implying that number of prior th</w:t>
      </w:r>
      <w:r>
        <w:t xml:space="preserve">erapies has no impact on immune </w:t>
      </w:r>
      <w:r w:rsidR="006C6765" w:rsidRPr="006C6765">
        <w:t>related safety</w:t>
      </w:r>
      <w:r w:rsidR="001F3382">
        <w:t xml:space="preserve">. </w:t>
      </w:r>
      <w:r w:rsidR="006C6765" w:rsidRPr="006C6765">
        <w:t>A further implication is that previously untreated patients would have a similar incidence of irAEs.</w:t>
      </w:r>
    </w:p>
    <w:p w:rsidR="006C6765" w:rsidRPr="006C6765" w:rsidRDefault="006C6765" w:rsidP="000311C0">
      <w:pPr>
        <w:pStyle w:val="Heading5"/>
      </w:pPr>
      <w:r w:rsidRPr="006C6765">
        <w:t>Extrapolation from CA184029</w:t>
      </w:r>
    </w:p>
    <w:p w:rsidR="006C6765" w:rsidRPr="006C6765" w:rsidRDefault="000311C0" w:rsidP="006C6765">
      <w:r>
        <w:t>In</w:t>
      </w:r>
      <w:r w:rsidRPr="006C6765">
        <w:t xml:space="preserve"> the response</w:t>
      </w:r>
      <w:r w:rsidR="006C6765" w:rsidRPr="006C6765">
        <w:t xml:space="preserve"> the sponsor considers the relevance of EORTC 1807 / CA184029</w:t>
      </w:r>
      <w:r w:rsidR="001F3382">
        <w:t xml:space="preserve">. </w:t>
      </w:r>
      <w:r w:rsidR="006C6765" w:rsidRPr="006C6765">
        <w:t>This study considered 10 mg/kg in the adjuvant setting</w:t>
      </w:r>
      <w:r w:rsidR="001F3382">
        <w:t xml:space="preserve">. </w:t>
      </w:r>
      <w:r w:rsidR="006C6765" w:rsidRPr="006C6765">
        <w:t>The sponsor argues against relevance to the current application, because of the difference in patient populations (</w:t>
      </w:r>
      <w:r w:rsidR="002125C0">
        <w:t>for example</w:t>
      </w:r>
      <w:r w:rsidR="006C6765" w:rsidRPr="006C6765">
        <w:t xml:space="preserve"> considerable disease burden in advanced melanoma </w:t>
      </w:r>
      <w:r w:rsidR="000614E5">
        <w:t>versus</w:t>
      </w:r>
      <w:r w:rsidR="006C6765" w:rsidRPr="006C6765">
        <w:t xml:space="preserve"> no detectable disease after complete surgical resection in CA184029) and because of the different dose (given that toxicity is known to increase with dose)</w:t>
      </w:r>
      <w:r w:rsidR="001F3382">
        <w:t xml:space="preserve">. </w:t>
      </w:r>
      <w:r w:rsidR="006C6765" w:rsidRPr="006C6765">
        <w:t xml:space="preserve">The sponsor further argues that the safety analysis of deaths (122 in the ipilimumab arm </w:t>
      </w:r>
      <w:r w:rsidR="000614E5">
        <w:t>versus</w:t>
      </w:r>
      <w:r w:rsidR="006C6765" w:rsidRPr="006C6765">
        <w:t xml:space="preserve"> 160 in the placebo arm) suggests no detrimental effect.</w:t>
      </w:r>
    </w:p>
    <w:p w:rsidR="006C6765" w:rsidRPr="006C6765" w:rsidRDefault="006C6765" w:rsidP="000311C0">
      <w:pPr>
        <w:pStyle w:val="Heading5"/>
      </w:pPr>
      <w:r w:rsidRPr="006C6765">
        <w:t>Study CA184024</w:t>
      </w:r>
    </w:p>
    <w:p w:rsidR="006C6765" w:rsidRPr="006C6765" w:rsidRDefault="000311C0" w:rsidP="006C6765">
      <w:r>
        <w:t xml:space="preserve">In the response, </w:t>
      </w:r>
      <w:r w:rsidR="006C6765" w:rsidRPr="006C6765">
        <w:t>the sponsor addresses “selected pertinent safety questions raised through the process of evaluation CA184024”</w:t>
      </w:r>
      <w:r w:rsidR="001F3382">
        <w:t xml:space="preserve">. </w:t>
      </w:r>
      <w:r>
        <w:t>The clinical evaluator</w:t>
      </w:r>
      <w:r w:rsidR="006C6765" w:rsidRPr="006C6765">
        <w:t xml:space="preserve"> only comment</w:t>
      </w:r>
      <w:r>
        <w:t>ed</w:t>
      </w:r>
      <w:r w:rsidR="006C6765" w:rsidRPr="006C6765">
        <w:t xml:space="preserve"> on key issues that </w:t>
      </w:r>
      <w:r>
        <w:t>they</w:t>
      </w:r>
      <w:r w:rsidR="006C6765" w:rsidRPr="006C6765">
        <w:t xml:space="preserve"> identified in reading the response.</w:t>
      </w:r>
    </w:p>
    <w:p w:rsidR="006C6765" w:rsidRPr="006C6765" w:rsidRDefault="000311C0" w:rsidP="006C6765">
      <w:r>
        <w:t xml:space="preserve">In the response, </w:t>
      </w:r>
      <w:r w:rsidR="006C6765" w:rsidRPr="006C6765">
        <w:t>the sponsor notes with regard to grading of diarrhoea AEs that TPN was sometimes used to ‘rest’ the GI tract when oral nutrition would still have been sufficient for the patient</w:t>
      </w:r>
      <w:r w:rsidR="001F3382">
        <w:t xml:space="preserve">. </w:t>
      </w:r>
      <w:r w:rsidR="006C6765" w:rsidRPr="006C6765">
        <w:t>In these cases it seems use of TPN did not qualify the event as grade 3</w:t>
      </w:r>
      <w:r w:rsidR="001F3382">
        <w:t xml:space="preserve">. </w:t>
      </w:r>
      <w:r w:rsidR="006C6765" w:rsidRPr="006C6765">
        <w:t>This approach is debatable; the alternative view is that if GI damage is enough to require the patient not to eat, it should be grade 3+.</w:t>
      </w:r>
    </w:p>
    <w:p w:rsidR="006C6765" w:rsidRPr="006C6765" w:rsidRDefault="000311C0" w:rsidP="006C6765">
      <w:r>
        <w:t xml:space="preserve">In the response </w:t>
      </w:r>
      <w:r w:rsidR="006C6765" w:rsidRPr="006C6765">
        <w:t xml:space="preserve">the sponsor addresses concerns of the </w:t>
      </w:r>
      <w:r>
        <w:t>r</w:t>
      </w:r>
      <w:r w:rsidRPr="006C6765">
        <w:t xml:space="preserve">ound 1 </w:t>
      </w:r>
      <w:r>
        <w:t xml:space="preserve">clinical </w:t>
      </w:r>
      <w:r w:rsidRPr="006C6765">
        <w:t xml:space="preserve">evaluator </w:t>
      </w:r>
      <w:r w:rsidR="006C6765" w:rsidRPr="006C6765">
        <w:t>about lack of attribution of a grade 5 renal event to study drug</w:t>
      </w:r>
      <w:r w:rsidR="001F3382">
        <w:t xml:space="preserve">. </w:t>
      </w:r>
      <w:r>
        <w:t>The clinical evaluator did</w:t>
      </w:r>
      <w:r w:rsidR="006C6765" w:rsidRPr="006C6765">
        <w:t xml:space="preserve"> not see any distinct trend in renal function (</w:t>
      </w:r>
      <w:r w:rsidR="002125C0">
        <w:t>for example</w:t>
      </w:r>
      <w:r w:rsidR="006C6765" w:rsidRPr="006C6765">
        <w:t xml:space="preserve"> decline) prior to study drug use, and </w:t>
      </w:r>
      <w:r>
        <w:t>was</w:t>
      </w:r>
      <w:r w:rsidR="006C6765" w:rsidRPr="006C6765">
        <w:t xml:space="preserve"> concerned that there are insufficient grounds to exclude a link with the study drug.</w:t>
      </w:r>
    </w:p>
    <w:p w:rsidR="006C6765" w:rsidRPr="006C6765" w:rsidRDefault="000311C0" w:rsidP="006C6765">
      <w:r>
        <w:t xml:space="preserve">In the response </w:t>
      </w:r>
      <w:r w:rsidR="006C6765" w:rsidRPr="006C6765">
        <w:t xml:space="preserve">the sponsor addresses concerns of the </w:t>
      </w:r>
      <w:r w:rsidRPr="000311C0">
        <w:t xml:space="preserve">round 1 clinical evaluator </w:t>
      </w:r>
      <w:r w:rsidR="006C6765" w:rsidRPr="006C6765">
        <w:t>about lack of attribution of a grade 4 event of diarrhoea</w:t>
      </w:r>
      <w:r w:rsidR="001F3382">
        <w:t xml:space="preserve">. </w:t>
      </w:r>
      <w:r w:rsidR="006C6765" w:rsidRPr="006C6765">
        <w:t>The event was not considered immune mediated, apparently because a colon biopsy revealed ulcerative colitis and stool culture was positive for E. coli, while diarrhoea and colitis resolved with sulfasalazine and metronidazole</w:t>
      </w:r>
      <w:r w:rsidR="001F3382">
        <w:t xml:space="preserve">. </w:t>
      </w:r>
      <w:r w:rsidR="006C6765" w:rsidRPr="006C6765">
        <w:t>It seems an infectious process could not be excluded on this basis</w:t>
      </w:r>
      <w:r w:rsidR="001F3382">
        <w:t xml:space="preserve">. </w:t>
      </w:r>
      <w:r w:rsidR="006C6765" w:rsidRPr="006C6765">
        <w:t xml:space="preserve">This approach is debatable; in </w:t>
      </w:r>
      <w:r>
        <w:t xml:space="preserve">the evaluator’s view an immune </w:t>
      </w:r>
      <w:r w:rsidR="006C6765" w:rsidRPr="006C6765">
        <w:t>related event is possible.</w:t>
      </w:r>
    </w:p>
    <w:p w:rsidR="006C6765" w:rsidRPr="006C6765" w:rsidRDefault="006C6765" w:rsidP="000311C0">
      <w:pPr>
        <w:pStyle w:val="Heading4"/>
      </w:pPr>
      <w:r w:rsidRPr="006C6765">
        <w:lastRenderedPageBreak/>
        <w:t>Safety conclusions</w:t>
      </w:r>
    </w:p>
    <w:p w:rsidR="006C6765" w:rsidRPr="006C6765" w:rsidRDefault="006C6765" w:rsidP="006C6765">
      <w:r w:rsidRPr="006C6765">
        <w:t xml:space="preserve">The sponsor argues that the safety profile of ipilimumab 3 mg/kg in observational studies and pooled </w:t>
      </w:r>
      <w:r w:rsidR="00223033">
        <w:t xml:space="preserve">Phase </w:t>
      </w:r>
      <w:r w:rsidR="00AC7AE5">
        <w:t>II/III</w:t>
      </w:r>
      <w:r w:rsidRPr="006C6765">
        <w:t xml:space="preserve"> studies in previously untreated patients is consistent with the profile in previously treated patients.</w:t>
      </w:r>
    </w:p>
    <w:p w:rsidR="006C6765" w:rsidRPr="006C6765" w:rsidRDefault="006C6765" w:rsidP="006C6765">
      <w:r w:rsidRPr="006C6765">
        <w:t xml:space="preserve">The </w:t>
      </w:r>
      <w:r w:rsidR="00BA1290">
        <w:t>round 1 clinical evaluator</w:t>
      </w:r>
      <w:r w:rsidR="00BA1290" w:rsidRPr="006C6765">
        <w:t xml:space="preserve"> </w:t>
      </w:r>
      <w:r w:rsidRPr="006C6765">
        <w:t>canvasses various imperfections in safety methodology, which make it more challenging to draw conclusions about the safety analyses presented</w:t>
      </w:r>
      <w:r w:rsidR="001F3382">
        <w:t xml:space="preserve">. </w:t>
      </w:r>
      <w:r w:rsidR="00BA1290">
        <w:t>The clinical evaluator</w:t>
      </w:r>
      <w:r w:rsidRPr="006C6765">
        <w:t xml:space="preserve"> do</w:t>
      </w:r>
      <w:r w:rsidR="00BA1290">
        <w:t>es</w:t>
      </w:r>
      <w:r w:rsidRPr="006C6765">
        <w:t xml:space="preserve"> accept the sponsor’s safety methodology as valid, without necessarily accepting every conclusion drawn by the sponsor, </w:t>
      </w:r>
      <w:r w:rsidR="002125C0">
        <w:t>for example</w:t>
      </w:r>
      <w:r w:rsidRPr="006C6765">
        <w:t xml:space="preserve"> with regard to causality of some AEs.</w:t>
      </w:r>
    </w:p>
    <w:p w:rsidR="006C6765" w:rsidRPr="006C6765" w:rsidRDefault="006C6765" w:rsidP="006C6765">
      <w:r w:rsidRPr="006C6765">
        <w:t>No large, randomised, controlled study directly assesses safety of 3 mg/kg monotherapy in an untreated population, so evidence of safety in this group is again indirect</w:t>
      </w:r>
      <w:r w:rsidR="001F3382">
        <w:t xml:space="preserve">. </w:t>
      </w:r>
      <w:r w:rsidR="00BA1290">
        <w:t>The clinical evaluator</w:t>
      </w:r>
      <w:r w:rsidRPr="006C6765">
        <w:t xml:space="preserve"> do</w:t>
      </w:r>
      <w:r w:rsidR="00BA1290">
        <w:t>es</w:t>
      </w:r>
      <w:r w:rsidRPr="006C6765">
        <w:t xml:space="preserve"> not see any strong sign</w:t>
      </w:r>
      <w:r w:rsidR="00BA1290">
        <w:t xml:space="preserve">al that ipilimumab in the first </w:t>
      </w:r>
      <w:r w:rsidRPr="006C6765">
        <w:t>line setting has worse toxicity than is s</w:t>
      </w:r>
      <w:r w:rsidR="00BA1290">
        <w:t xml:space="preserve">een in the second </w:t>
      </w:r>
      <w:r w:rsidR="00FE2511">
        <w:t>line setting.</w:t>
      </w:r>
    </w:p>
    <w:p w:rsidR="00C618F7" w:rsidRDefault="00C618F7" w:rsidP="00C618F7">
      <w:pPr>
        <w:pStyle w:val="Heading2"/>
      </w:pPr>
      <w:bookmarkStart w:id="338" w:name="_Toc475616253"/>
      <w:r>
        <w:t>Second round benefit-risk assessment</w:t>
      </w:r>
      <w:bookmarkEnd w:id="338"/>
    </w:p>
    <w:p w:rsidR="00FE2511" w:rsidRPr="00FE2511" w:rsidRDefault="00FE2511" w:rsidP="00FE2511">
      <w:pPr>
        <w:pStyle w:val="Heading3"/>
      </w:pPr>
      <w:bookmarkStart w:id="339" w:name="_Toc272414709"/>
      <w:bookmarkStart w:id="340" w:name="_Toc290846349"/>
      <w:bookmarkStart w:id="341" w:name="_Toc390676267"/>
      <w:bookmarkStart w:id="342" w:name="_Toc475616254"/>
      <w:r w:rsidRPr="00FE2511">
        <w:t>Second round assessment of benefits</w:t>
      </w:r>
      <w:bookmarkEnd w:id="339"/>
      <w:bookmarkEnd w:id="340"/>
      <w:bookmarkEnd w:id="341"/>
      <w:bookmarkEnd w:id="342"/>
    </w:p>
    <w:p w:rsidR="00FE2511" w:rsidRPr="00FE2511" w:rsidRDefault="00FE2511" w:rsidP="00FE2511">
      <w:r w:rsidRPr="00FE2511">
        <w:t>The main benefit of ipilimumab 3 mg/kg in the proposed usage is conferral of an overall survival benefit, relative to dacarbazine</w:t>
      </w:r>
      <w:r w:rsidR="001F3382">
        <w:t xml:space="preserve">. </w:t>
      </w:r>
      <w:r w:rsidRPr="00FE2511">
        <w:t>There is a lack of direct evidence for this</w:t>
      </w:r>
      <w:r w:rsidR="001F3382">
        <w:t xml:space="preserve">. </w:t>
      </w:r>
      <w:r w:rsidRPr="00FE2511">
        <w:t xml:space="preserve">There is also a lack of data comparing ipilimumab with more recently approved therapies, </w:t>
      </w:r>
      <w:r w:rsidR="002125C0">
        <w:t>for example</w:t>
      </w:r>
      <w:r w:rsidRPr="00FE2511">
        <w:t xml:space="preserve"> the BRAF and MEK inhibitors in BRAF V600 mutant disease</w:t>
      </w:r>
      <w:r w:rsidR="001F3382">
        <w:t xml:space="preserve">. </w:t>
      </w:r>
      <w:r w:rsidRPr="00FE2511">
        <w:t>There is no information provided about concomitant use with such treatments.</w:t>
      </w:r>
    </w:p>
    <w:p w:rsidR="00FE2511" w:rsidRPr="00FE2511" w:rsidRDefault="00FE2511" w:rsidP="00FE2511">
      <w:pPr>
        <w:pStyle w:val="Heading3"/>
      </w:pPr>
      <w:bookmarkStart w:id="343" w:name="_Toc272414710"/>
      <w:bookmarkStart w:id="344" w:name="_Toc290846350"/>
      <w:bookmarkStart w:id="345" w:name="_Toc390676268"/>
      <w:bookmarkStart w:id="346" w:name="_Toc475616255"/>
      <w:r w:rsidRPr="00FE2511">
        <w:t>Second round assessment of risks</w:t>
      </w:r>
      <w:bookmarkEnd w:id="343"/>
      <w:bookmarkEnd w:id="344"/>
      <w:bookmarkEnd w:id="345"/>
      <w:bookmarkEnd w:id="346"/>
    </w:p>
    <w:p w:rsidR="00FE2511" w:rsidRPr="00FE2511" w:rsidRDefault="00FE2511" w:rsidP="00FE2511">
      <w:r w:rsidRPr="00FE2511">
        <w:t>The main risk of ipilimumab 3 mg/kg in the proposed use is that patients may experience the undoubted toxicities of treatment at an earlier stage of advanced disease.</w:t>
      </w:r>
    </w:p>
    <w:p w:rsidR="00FE2511" w:rsidRPr="00FE2511" w:rsidRDefault="00FE2511" w:rsidP="00FE2511">
      <w:r w:rsidRPr="00FE2511">
        <w:t>There is no sign toxicities will be qualitatively differen</w:t>
      </w:r>
      <w:r w:rsidR="00BA1290">
        <w:t xml:space="preserve">t from those observed in second </w:t>
      </w:r>
      <w:r w:rsidRPr="00FE2511">
        <w:t>line treatment, but there is no direct and robust evidence to inform users ab</w:t>
      </w:r>
      <w:r w:rsidR="00BA1290">
        <w:t xml:space="preserve">out AE frequencies in the first </w:t>
      </w:r>
      <w:r w:rsidRPr="00FE2511">
        <w:t>line setting</w:t>
      </w:r>
      <w:r w:rsidR="001F3382">
        <w:t xml:space="preserve">. </w:t>
      </w:r>
      <w:r w:rsidRPr="00FE2511">
        <w:t>A risk is that AE frequencies may be elevated in this setting, relative to experience with ipilimumab as a second</w:t>
      </w:r>
      <w:r w:rsidR="00BA1290">
        <w:t xml:space="preserve"> </w:t>
      </w:r>
      <w:r w:rsidRPr="00FE2511">
        <w:t>line agent.</w:t>
      </w:r>
    </w:p>
    <w:p w:rsidR="00FE2511" w:rsidRPr="00FE2511" w:rsidRDefault="00FE2511" w:rsidP="00FE2511">
      <w:r w:rsidRPr="00FE2511">
        <w:t>The key reassurance that toxicities of treatment are worth the risk is the indirect evidence of OS benefit</w:t>
      </w:r>
      <w:r w:rsidR="001F3382">
        <w:t xml:space="preserve">. </w:t>
      </w:r>
      <w:r w:rsidRPr="00FE2511">
        <w:t>There is no information provided about impact on quality of life, and one risk is that quality of life may be degraded despite improved OS.</w:t>
      </w:r>
    </w:p>
    <w:p w:rsidR="00FE2511" w:rsidRPr="00FE2511" w:rsidRDefault="00FE2511" w:rsidP="00FE2511">
      <w:pPr>
        <w:pStyle w:val="Heading3"/>
      </w:pPr>
      <w:bookmarkStart w:id="347" w:name="_Toc272414711"/>
      <w:bookmarkStart w:id="348" w:name="_Toc290846351"/>
      <w:bookmarkStart w:id="349" w:name="_Toc390676269"/>
      <w:bookmarkStart w:id="350" w:name="_Toc475616256"/>
      <w:r w:rsidRPr="00FE2511">
        <w:t>Second round assessment of benefit-risk balance</w:t>
      </w:r>
      <w:bookmarkEnd w:id="347"/>
      <w:bookmarkEnd w:id="348"/>
      <w:bookmarkEnd w:id="349"/>
      <w:bookmarkEnd w:id="350"/>
    </w:p>
    <w:p w:rsidR="00FE2511" w:rsidRPr="00FE2511" w:rsidRDefault="00FE2511" w:rsidP="00FE2511">
      <w:r w:rsidRPr="00FE2511">
        <w:t>The benefit-risk balance of ipilimumab 3 mg/kg in patients previously untreated for their advanced melanoma is favourable</w:t>
      </w:r>
      <w:r w:rsidR="001F3382">
        <w:t xml:space="preserve">. </w:t>
      </w:r>
      <w:r w:rsidRPr="00FE2511">
        <w:t>Given the indirect evidence for both efficacy and safety, there is considerable uncertainty attached to this assessment</w:t>
      </w:r>
      <w:r w:rsidR="001F3382">
        <w:t xml:space="preserve">. </w:t>
      </w:r>
      <w:r w:rsidRPr="00FE2511">
        <w:t xml:space="preserve">However, </w:t>
      </w:r>
      <w:r w:rsidR="00BA1290">
        <w:t>the evaluator</w:t>
      </w:r>
      <w:r w:rsidRPr="00FE2511">
        <w:t xml:space="preserve"> consider</w:t>
      </w:r>
      <w:r w:rsidR="00BA1290">
        <w:t>s</w:t>
      </w:r>
      <w:r w:rsidRPr="00FE2511">
        <w:t xml:space="preserve"> that in the circumstances (</w:t>
      </w:r>
      <w:r w:rsidR="0048681A">
        <w:t>that is</w:t>
      </w:r>
      <w:r w:rsidR="00BA1290">
        <w:t xml:space="preserve"> treatment of a life </w:t>
      </w:r>
      <w:r w:rsidRPr="00FE2511">
        <w:t>threatening condition, especially where patients may not have the o</w:t>
      </w:r>
      <w:r w:rsidR="00BA1290">
        <w:t xml:space="preserve">pportunity to commence a second </w:t>
      </w:r>
      <w:r w:rsidRPr="00FE2511">
        <w:t>line agent) the degree of uncertainty is acceptable.</w:t>
      </w:r>
    </w:p>
    <w:p w:rsidR="00C618F7" w:rsidRDefault="00C618F7" w:rsidP="00C618F7">
      <w:pPr>
        <w:pStyle w:val="Heading2"/>
      </w:pPr>
      <w:bookmarkStart w:id="351" w:name="_Toc475616257"/>
      <w:r>
        <w:lastRenderedPageBreak/>
        <w:t>Second round recommendation regarding authorisation</w:t>
      </w:r>
      <w:bookmarkEnd w:id="351"/>
    </w:p>
    <w:p w:rsidR="00FE2511" w:rsidRPr="00FE2511" w:rsidRDefault="00FE2511" w:rsidP="00FE2511">
      <w:r w:rsidRPr="00FE2511">
        <w:t>The proposed change is to include use as first line therapy for patients, so that the formal indication for ipilimumab will read:</w:t>
      </w:r>
    </w:p>
    <w:p w:rsidR="00FE2511" w:rsidRPr="00BA1290" w:rsidRDefault="00BA1290" w:rsidP="00BA1290">
      <w:pPr>
        <w:ind w:left="720"/>
        <w:rPr>
          <w:i/>
        </w:rPr>
      </w:pPr>
      <w:r w:rsidRPr="00BA1290">
        <w:rPr>
          <w:i/>
        </w:rPr>
        <w:t>Yervoy/Winglore</w:t>
      </w:r>
      <w:r w:rsidR="00FE2511" w:rsidRPr="00BA1290">
        <w:rPr>
          <w:i/>
        </w:rPr>
        <w:t>, as monotherapy, is indicated for the treatment of patients with unresectable or metastatic melanoma.</w:t>
      </w:r>
    </w:p>
    <w:p w:rsidR="00FE2511" w:rsidRPr="00FE2511" w:rsidRDefault="00BA1290" w:rsidP="00FE2511">
      <w:r>
        <w:t>The evaluator</w:t>
      </w:r>
      <w:r w:rsidR="00FE2511" w:rsidRPr="00FE2511">
        <w:t xml:space="preserve"> recommend</w:t>
      </w:r>
      <w:r>
        <w:t>s</w:t>
      </w:r>
      <w:r w:rsidR="00FE2511" w:rsidRPr="00FE2511">
        <w:t xml:space="preserve"> this change be authorised.</w:t>
      </w:r>
    </w:p>
    <w:p w:rsidR="00FE2511" w:rsidRPr="00FE2511" w:rsidRDefault="00FE2511" w:rsidP="00FE2511">
      <w:r w:rsidRPr="00FE2511">
        <w:t>This wording does not refer to induction use or maintenance use, and in theory allows both uses</w:t>
      </w:r>
      <w:r w:rsidR="001F3382">
        <w:t xml:space="preserve">. </w:t>
      </w:r>
      <w:r w:rsidRPr="00FE2511">
        <w:t>The PI’s Dosage and Administration section countenances induction and re-induction but not maintenance</w:t>
      </w:r>
      <w:r w:rsidR="001F3382">
        <w:t xml:space="preserve">. </w:t>
      </w:r>
      <w:r w:rsidR="00BA1290">
        <w:t>The evaluator</w:t>
      </w:r>
      <w:r w:rsidRPr="00FE2511">
        <w:t xml:space="preserve"> think</w:t>
      </w:r>
      <w:r w:rsidR="00BA1290">
        <w:t>s</w:t>
      </w:r>
      <w:r w:rsidRPr="00FE2511">
        <w:t xml:space="preserve"> this is a satisfactory approach.</w:t>
      </w:r>
    </w:p>
    <w:p w:rsidR="00BE4457" w:rsidRPr="00BE4457" w:rsidRDefault="00C618F7" w:rsidP="00BE4457">
      <w:pPr>
        <w:pStyle w:val="Heading2"/>
      </w:pPr>
      <w:bookmarkStart w:id="352" w:name="_Toc475616258"/>
      <w:r>
        <w:t>References</w:t>
      </w:r>
      <w:bookmarkEnd w:id="2"/>
      <w:bookmarkEnd w:id="1"/>
      <w:bookmarkEnd w:id="3"/>
      <w:bookmarkEnd w:id="352"/>
    </w:p>
    <w:p w:rsidR="00BE4457" w:rsidRPr="00BE4457" w:rsidRDefault="00BE4457" w:rsidP="00BE4457">
      <w:r w:rsidRPr="00BE4457">
        <w:t xml:space="preserve">Avril MF, Aamdal S, Grob JJ, et al. Fotemustine compared with Dacarbazine in patients with disseminated malignant melanoma: A Phase III study. </w:t>
      </w:r>
      <w:proofErr w:type="gramStart"/>
      <w:r w:rsidRPr="00BA1290">
        <w:rPr>
          <w:i/>
        </w:rPr>
        <w:t>J Clin Oncol</w:t>
      </w:r>
      <w:r w:rsidRPr="00BE4457">
        <w:t>.</w:t>
      </w:r>
      <w:proofErr w:type="gramEnd"/>
      <w:r w:rsidRPr="00BE4457">
        <w:t xml:space="preserve"> </w:t>
      </w:r>
      <w:proofErr w:type="gramStart"/>
      <w:r w:rsidRPr="00BE4457">
        <w:t>2004; 22:1118-</w:t>
      </w:r>
      <w:r w:rsidR="00BA1290">
        <w:t>11</w:t>
      </w:r>
      <w:r w:rsidRPr="00BE4457">
        <w:t>25.</w:t>
      </w:r>
      <w:proofErr w:type="gramEnd"/>
    </w:p>
    <w:p w:rsidR="00BE4457" w:rsidRPr="00BE4457" w:rsidRDefault="00BE4457" w:rsidP="00BE4457">
      <w:r w:rsidRPr="00BE4457">
        <w:t>Chapman PB, et al. Phase III multicentre random</w:t>
      </w:r>
      <w:r w:rsidR="00C91631">
        <w:t>is</w:t>
      </w:r>
      <w:r w:rsidRPr="00BE4457">
        <w:t xml:space="preserve">ed trial of the Dartmouth Regimen versus Dacarbazine in patients with metastatic melanoma. </w:t>
      </w:r>
      <w:proofErr w:type="gramStart"/>
      <w:r w:rsidRPr="00BA1290">
        <w:rPr>
          <w:i/>
        </w:rPr>
        <w:t>J Clin Oncol</w:t>
      </w:r>
      <w:r w:rsidRPr="00BE4457">
        <w:t>.</w:t>
      </w:r>
      <w:proofErr w:type="gramEnd"/>
      <w:r w:rsidRPr="00BE4457">
        <w:t xml:space="preserve"> </w:t>
      </w:r>
      <w:proofErr w:type="gramStart"/>
      <w:r w:rsidRPr="00BE4457">
        <w:t>1999; 17:2745-</w:t>
      </w:r>
      <w:r w:rsidR="00BA1290">
        <w:t>27</w:t>
      </w:r>
      <w:r w:rsidRPr="00BE4457">
        <w:t>51.</w:t>
      </w:r>
      <w:proofErr w:type="gramEnd"/>
    </w:p>
    <w:p w:rsidR="00BE4457" w:rsidRPr="00BE4457" w:rsidRDefault="00BE4457" w:rsidP="00BE4457">
      <w:r w:rsidRPr="00BE4457">
        <w:t xml:space="preserve">Eggermont AM, et al. Ipilimumab versus placebo after complete resection of Stage III melanoma: Initial efficacy and safety results from the EORTC 18071 </w:t>
      </w:r>
      <w:r w:rsidR="00715342">
        <w:t>Phase III</w:t>
      </w:r>
      <w:r w:rsidRPr="00BE4457">
        <w:t xml:space="preserve"> trial. 2014 ASCO Annual Meeting Abstract No: LBA9008. (Please refer to the slides from the oral presentation for discussed information)</w:t>
      </w:r>
    </w:p>
    <w:p w:rsidR="00BE4457" w:rsidRPr="00BE4457" w:rsidRDefault="00BE4457" w:rsidP="00BE4457">
      <w:r w:rsidRPr="00BE4457">
        <w:t>Middleton MR, et al. Random</w:t>
      </w:r>
      <w:r w:rsidR="00C91631">
        <w:t>is</w:t>
      </w:r>
      <w:r w:rsidRPr="00BE4457">
        <w:t xml:space="preserve">ed Phase III study of temozolomide versus Dacarbazine in the treatment of patients with advanced metastatic malignant melanoma. </w:t>
      </w:r>
      <w:proofErr w:type="gramStart"/>
      <w:r w:rsidRPr="00BA1290">
        <w:rPr>
          <w:i/>
        </w:rPr>
        <w:t>J Clin Oncol</w:t>
      </w:r>
      <w:r w:rsidRPr="00BE4457">
        <w:t>.</w:t>
      </w:r>
      <w:proofErr w:type="gramEnd"/>
      <w:r w:rsidRPr="00BE4457">
        <w:t xml:space="preserve"> </w:t>
      </w:r>
      <w:proofErr w:type="gramStart"/>
      <w:r w:rsidRPr="00BE4457">
        <w:t>2000; 18:158-</w:t>
      </w:r>
      <w:r w:rsidR="00BA1290">
        <w:t>1</w:t>
      </w:r>
      <w:r w:rsidRPr="00BE4457">
        <w:t>66.</w:t>
      </w:r>
      <w:proofErr w:type="gramEnd"/>
    </w:p>
    <w:p w:rsidR="00BE4457" w:rsidRPr="00BE4457" w:rsidRDefault="00BE4457" w:rsidP="00BE4457">
      <w:r w:rsidRPr="00BE4457">
        <w:t xml:space="preserve">Patel PM, et al. Extended schedule, escalated dose temozolomide versus Dacarbazine in Stage IV melanoma: final results of a randomised Phase III study (EORTC 18032). </w:t>
      </w:r>
      <w:r w:rsidRPr="00BA1290">
        <w:rPr>
          <w:i/>
        </w:rPr>
        <w:t>Eur J Cancer</w:t>
      </w:r>
      <w:r w:rsidRPr="00BE4457">
        <w:t xml:space="preserve"> 2011; 47:1476</w:t>
      </w:r>
      <w:r w:rsidRPr="00BE4457">
        <w:rPr>
          <w:rFonts w:hint="eastAsia"/>
        </w:rPr>
        <w:t>–</w:t>
      </w:r>
      <w:r w:rsidR="00BA1290">
        <w:t>14</w:t>
      </w:r>
      <w:r w:rsidRPr="00BE4457">
        <w:t>83.</w:t>
      </w:r>
    </w:p>
    <w:p w:rsidR="00BE4457" w:rsidRPr="00BE4457" w:rsidRDefault="00BE4457" w:rsidP="00BE4457">
      <w:r w:rsidRPr="00BE4457">
        <w:t>Shahabi V, et al.</w:t>
      </w:r>
      <w:r w:rsidR="00BA1290">
        <w:t xml:space="preserve"> Assessment of association between BRAF-V600E </w:t>
      </w:r>
      <w:r w:rsidRPr="00BE4457">
        <w:t xml:space="preserve">mutation status in melanomas and clinical response to Ipilimumab. Cancer </w:t>
      </w:r>
      <w:r w:rsidRPr="00BA1290">
        <w:rPr>
          <w:i/>
        </w:rPr>
        <w:t>Immunol Immunother</w:t>
      </w:r>
      <w:r w:rsidRPr="00BE4457">
        <w:t xml:space="preserve"> 2012; 61:733-</w:t>
      </w:r>
      <w:r w:rsidR="00BA1290">
        <w:t>73</w:t>
      </w:r>
      <w:r w:rsidRPr="00BE4457">
        <w:t>7.</w:t>
      </w:r>
    </w:p>
    <w:p w:rsidR="003D1E62" w:rsidRPr="001D043B" w:rsidRDefault="008E7846" w:rsidP="002666AC">
      <w:pPr>
        <w:sectPr w:rsidR="003D1E62" w:rsidRPr="001D043B" w:rsidSect="008D770F">
          <w:headerReference w:type="even" r:id="rId65"/>
          <w:headerReference w:type="default" r:id="rId66"/>
          <w:headerReference w:type="first" r:id="rId67"/>
          <w:footerReference w:type="first" r:id="rId6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56650">
        <w:trPr>
          <w:trHeight w:hRule="exact" w:val="564"/>
        </w:trPr>
        <w:tc>
          <w:tcPr>
            <w:tcW w:w="9175" w:type="dxa"/>
          </w:tcPr>
          <w:p w:rsidR="00B3567E" w:rsidRPr="00487162" w:rsidRDefault="00B3567E" w:rsidP="00E56650">
            <w:pPr>
              <w:pStyle w:val="TGASignoff"/>
            </w:pPr>
            <w:r w:rsidRPr="00487162">
              <w:lastRenderedPageBreak/>
              <w:t>Therapeutic Goods Administration</w:t>
            </w:r>
          </w:p>
        </w:tc>
      </w:tr>
      <w:tr w:rsidR="00B3567E" w:rsidRPr="00487162" w:rsidTr="00E56650">
        <w:trPr>
          <w:trHeight w:val="1221"/>
        </w:trPr>
        <w:tc>
          <w:tcPr>
            <w:tcW w:w="9175" w:type="dxa"/>
            <w:tcMar>
              <w:top w:w="28" w:type="dxa"/>
            </w:tcMar>
          </w:tcPr>
          <w:p w:rsidR="00B3567E" w:rsidRPr="00487162" w:rsidRDefault="00B3567E" w:rsidP="00E56650">
            <w:pPr>
              <w:pStyle w:val="Address"/>
            </w:pPr>
            <w:r w:rsidRPr="00487162">
              <w:t>PO Box 100 Woden ACT 2606 Australia</w:t>
            </w:r>
          </w:p>
          <w:p w:rsidR="00B3567E" w:rsidRPr="00487162" w:rsidRDefault="00B3567E" w:rsidP="00E56650">
            <w:pPr>
              <w:pStyle w:val="Address"/>
            </w:pPr>
            <w:r w:rsidRPr="00487162">
              <w:t xml:space="preserve">Email: </w:t>
            </w:r>
            <w:hyperlink r:id="rId69" w:history="1">
              <w:r w:rsidRPr="008D770F">
                <w:rPr>
                  <w:rStyle w:val="Hyperlink"/>
                </w:rPr>
                <w:t>info@tga.gov.au</w:t>
              </w:r>
            </w:hyperlink>
            <w:r w:rsidR="000E73B0">
              <w:t xml:space="preserve"> </w:t>
            </w:r>
            <w:r w:rsidRPr="00487162">
              <w:t>Phone: 1800 020 653</w:t>
            </w:r>
            <w:r w:rsidR="000E73B0">
              <w:t xml:space="preserve"> </w:t>
            </w:r>
            <w:r w:rsidRPr="00487162">
              <w:t>Fax: 02 6232 8605</w:t>
            </w:r>
          </w:p>
          <w:p w:rsidR="00B3567E" w:rsidRPr="008D770F" w:rsidRDefault="00DC0066" w:rsidP="00E56650">
            <w:pPr>
              <w:pStyle w:val="Address"/>
              <w:spacing w:line="260" w:lineRule="atLeast"/>
              <w:rPr>
                <w:b/>
                <w:color w:val="0000FF"/>
                <w:u w:val="single"/>
              </w:rPr>
            </w:pPr>
            <w:hyperlink r:id="rId7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1"/>
      <w:headerReference w:type="default" r:id="rId72"/>
      <w:footerReference w:type="default" r:id="rId73"/>
      <w:headerReference w:type="first" r:id="rId74"/>
      <w:footerReference w:type="first" r:id="rId7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066" w:rsidRDefault="00DC0066" w:rsidP="00C40A36">
      <w:pPr>
        <w:spacing w:after="0"/>
      </w:pPr>
      <w:r>
        <w:separator/>
      </w:r>
    </w:p>
  </w:endnote>
  <w:endnote w:type="continuationSeparator" w:id="0">
    <w:p w:rsidR="00DC0066" w:rsidRDefault="00DC00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DC0066" w:rsidRPr="00487162" w:rsidTr="00DF1973">
      <w:trPr>
        <w:trHeight w:val="269"/>
      </w:trPr>
      <w:tc>
        <w:tcPr>
          <w:tcW w:w="7513" w:type="dxa"/>
          <w:tcMar>
            <w:top w:w="142" w:type="dxa"/>
            <w:bottom w:w="0" w:type="dxa"/>
          </w:tcMar>
        </w:tcPr>
        <w:p w:rsidR="00DC0066" w:rsidRPr="00487162" w:rsidRDefault="00DC0066" w:rsidP="00BA3B04">
          <w:pPr>
            <w:pStyle w:val="Footer"/>
          </w:pPr>
          <w:r>
            <w:t>Submission</w:t>
          </w:r>
          <w:r w:rsidRPr="00487162">
            <w:t xml:space="preserve"> PM-20</w:t>
          </w:r>
          <w:r>
            <w:t>13-04125-1-4 Extract from the Clinical Evaluation Report for Yervoy / Winglore ipilimumab (rch) FINAL 6 February 2017</w:t>
          </w:r>
        </w:p>
      </w:tc>
      <w:tc>
        <w:tcPr>
          <w:tcW w:w="1348" w:type="dxa"/>
          <w:tcMar>
            <w:top w:w="142" w:type="dxa"/>
            <w:bottom w:w="0" w:type="dxa"/>
          </w:tcMar>
        </w:tcPr>
        <w:p w:rsidR="00DC0066" w:rsidRPr="00981D66" w:rsidRDefault="00DC006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F3779">
            <w:rPr>
              <w:noProof/>
            </w:rPr>
            <w:t>2</w:t>
          </w:r>
          <w:r w:rsidRPr="00981D66">
            <w:fldChar w:fldCharType="end"/>
          </w:r>
          <w:r w:rsidRPr="00981D66">
            <w:t xml:space="preserve"> of </w:t>
          </w:r>
          <w:fldSimple w:instr=" NUMPAGES  \* Arabic  \* MERGEFORMAT ">
            <w:r w:rsidR="002F3779">
              <w:rPr>
                <w:noProof/>
              </w:rPr>
              <w:t>179</w:t>
            </w:r>
          </w:fldSimple>
        </w:p>
      </w:tc>
    </w:tr>
  </w:tbl>
  <w:p w:rsidR="00DC0066" w:rsidRDefault="00DC006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C0066" w:rsidRPr="00487162" w:rsidTr="00E45619">
      <w:trPr>
        <w:trHeight w:val="269"/>
      </w:trPr>
      <w:tc>
        <w:tcPr>
          <w:tcW w:w="4519" w:type="dxa"/>
          <w:tcBorders>
            <w:top w:val="single" w:sz="4" w:space="0" w:color="auto"/>
          </w:tcBorders>
          <w:tcMar>
            <w:top w:w="142" w:type="dxa"/>
            <w:bottom w:w="0" w:type="dxa"/>
          </w:tcMar>
        </w:tcPr>
        <w:p w:rsidR="00DC0066" w:rsidRPr="00487162" w:rsidRDefault="00DC0066" w:rsidP="00FE1DEE">
          <w:pPr>
            <w:pStyle w:val="Footer"/>
          </w:pPr>
          <w:r w:rsidRPr="00487162">
            <w:t>Document title, Part #, Section # - Section title</w:t>
          </w:r>
        </w:p>
        <w:p w:rsidR="00DC0066" w:rsidRPr="00487162" w:rsidRDefault="00DC0066" w:rsidP="00FE1DEE">
          <w:pPr>
            <w:pStyle w:val="Footer"/>
          </w:pPr>
          <w:r w:rsidRPr="00487162">
            <w:t>V1.0 October 2010</w:t>
          </w:r>
        </w:p>
      </w:tc>
      <w:tc>
        <w:tcPr>
          <w:tcW w:w="4342" w:type="dxa"/>
          <w:tcBorders>
            <w:top w:val="single" w:sz="4" w:space="0" w:color="auto"/>
          </w:tcBorders>
          <w:tcMar>
            <w:top w:w="142" w:type="dxa"/>
            <w:bottom w:w="0" w:type="dxa"/>
          </w:tcMar>
        </w:tcPr>
        <w:p w:rsidR="00DC0066" w:rsidRPr="00487162" w:rsidRDefault="00DC00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179</w:t>
          </w:r>
          <w:r>
            <w:rPr>
              <w:noProof/>
            </w:rPr>
            <w:fldChar w:fldCharType="end"/>
          </w:r>
        </w:p>
      </w:tc>
    </w:tr>
  </w:tbl>
  <w:p w:rsidR="00DC0066" w:rsidRDefault="00DC00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C0066" w:rsidTr="0010601F">
      <w:trPr>
        <w:trHeight w:val="108"/>
      </w:trPr>
      <w:tc>
        <w:tcPr>
          <w:tcW w:w="8875" w:type="dxa"/>
          <w:gridSpan w:val="2"/>
          <w:tcBorders>
            <w:bottom w:val="single" w:sz="4" w:space="0" w:color="auto"/>
          </w:tcBorders>
          <w:tcMar>
            <w:right w:w="284" w:type="dxa"/>
          </w:tcMar>
        </w:tcPr>
        <w:p w:rsidR="00DC0066" w:rsidRDefault="00DC0066" w:rsidP="006E08B3">
          <w:pPr>
            <w:pStyle w:val="Heading3"/>
          </w:pPr>
          <w:r>
            <w:t>Copyright</w:t>
          </w:r>
        </w:p>
        <w:p w:rsidR="00DC0066" w:rsidRDefault="00DC0066" w:rsidP="006E08B3">
          <w:r>
            <w:rPr>
              <w:rFonts w:cs="Arial"/>
            </w:rPr>
            <w:t>©</w:t>
          </w:r>
          <w:r>
            <w:t xml:space="preserve"> Commonwealth of Australia [add year)</w:t>
          </w:r>
        </w:p>
        <w:p w:rsidR="00DC0066" w:rsidRDefault="00DC0066" w:rsidP="006E08B3"/>
        <w:p w:rsidR="00DC0066" w:rsidRDefault="00DC00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C0066" w:rsidRDefault="00DC0066" w:rsidP="006E08B3"/>
        <w:p w:rsidR="00DC0066" w:rsidRDefault="00DC0066" w:rsidP="006E08B3">
          <w:pPr>
            <w:pStyle w:val="Heading3"/>
          </w:pPr>
          <w:r>
            <w:t>Confidentiality</w:t>
          </w:r>
        </w:p>
        <w:p w:rsidR="00DC0066" w:rsidRDefault="00DC00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C0066" w:rsidRDefault="00DC0066" w:rsidP="006E08B3"/>
        <w:p w:rsidR="00DC0066" w:rsidRDefault="00DC0066" w:rsidP="006E08B3">
          <w:r>
            <w:t>For submission made by individuals, all personal details, other than your name, will be removed from your submission before it is published on the TGA’s Internet site.</w:t>
          </w:r>
        </w:p>
        <w:p w:rsidR="00DC0066" w:rsidRDefault="00DC0066" w:rsidP="006E08B3"/>
        <w:p w:rsidR="00DC0066" w:rsidRDefault="00DC0066" w:rsidP="006E08B3">
          <w:r>
            <w:t>In addition, a list of parties making submissions will be published. If you do not wish to be identified with your submission you must specifically request this in the space provided ib the submission coversheet.</w:t>
          </w:r>
        </w:p>
      </w:tc>
    </w:tr>
    <w:tr w:rsidR="00DC0066" w:rsidTr="0010601F">
      <w:trPr>
        <w:trHeight w:val="417"/>
      </w:trPr>
      <w:tc>
        <w:tcPr>
          <w:tcW w:w="4519" w:type="dxa"/>
          <w:tcBorders>
            <w:top w:val="single" w:sz="4" w:space="0" w:color="auto"/>
          </w:tcBorders>
          <w:tcMar>
            <w:top w:w="142" w:type="dxa"/>
            <w:bottom w:w="0" w:type="dxa"/>
          </w:tcMar>
        </w:tcPr>
        <w:p w:rsidR="00DC0066" w:rsidRDefault="00DC0066" w:rsidP="006E08B3">
          <w:r>
            <w:t>Document title, Part #, Section # - Section title</w:t>
          </w:r>
        </w:p>
        <w:p w:rsidR="00DC0066" w:rsidRDefault="00DC0066" w:rsidP="006E08B3">
          <w:r>
            <w:t>V1.0 October 2010</w:t>
          </w:r>
        </w:p>
      </w:tc>
      <w:tc>
        <w:tcPr>
          <w:tcW w:w="4356" w:type="dxa"/>
          <w:tcBorders>
            <w:top w:val="single" w:sz="4" w:space="0" w:color="auto"/>
          </w:tcBorders>
          <w:tcMar>
            <w:top w:w="142" w:type="dxa"/>
            <w:bottom w:w="0" w:type="dxa"/>
          </w:tcMar>
        </w:tcPr>
        <w:p w:rsidR="00DC0066" w:rsidRDefault="00DC00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179</w:t>
          </w:r>
          <w:r>
            <w:rPr>
              <w:noProof/>
            </w:rPr>
            <w:fldChar w:fldCharType="end"/>
          </w:r>
          <w:r>
            <w:t xml:space="preserve">  </w:t>
          </w:r>
        </w:p>
      </w:tc>
    </w:tr>
  </w:tbl>
  <w:p w:rsidR="00DC0066" w:rsidRDefault="00DC00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066" w:rsidRDefault="00DC0066" w:rsidP="00C40A36">
      <w:pPr>
        <w:spacing w:after="0"/>
      </w:pPr>
      <w:r>
        <w:separator/>
      </w:r>
    </w:p>
  </w:footnote>
  <w:footnote w:type="continuationSeparator" w:id="0">
    <w:p w:rsidR="00DC0066" w:rsidRDefault="00DC0066" w:rsidP="00C40A36">
      <w:pPr>
        <w:spacing w:after="0"/>
      </w:pPr>
      <w:r>
        <w:continuationSeparator/>
      </w:r>
    </w:p>
  </w:footnote>
  <w:footnote w:id="1">
    <w:p w:rsidR="00DC0066" w:rsidRPr="00061EB3" w:rsidRDefault="00DC0066" w:rsidP="00D367DE">
      <w:pPr>
        <w:pStyle w:val="FootnoteText"/>
        <w:rPr>
          <w:lang w:val="en-US"/>
        </w:rPr>
      </w:pPr>
      <w:r>
        <w:rPr>
          <w:rStyle w:val="FootnoteReference"/>
        </w:rPr>
        <w:footnoteRef/>
      </w:r>
      <w:r>
        <w:t xml:space="preserve"> </w:t>
      </w:r>
      <w:r w:rsidRPr="00061EB3">
        <w:rPr>
          <w:rFonts w:eastAsiaTheme="minorHAnsi"/>
        </w:rPr>
        <w:t>CHMP/EWP/185990/06</w:t>
      </w:r>
      <w:r>
        <w:t xml:space="preserve"> </w:t>
      </w:r>
      <w:r w:rsidRPr="00061EB3">
        <w:rPr>
          <w:rFonts w:eastAsiaTheme="minorHAnsi"/>
        </w:rPr>
        <w:t>Guideline</w:t>
      </w:r>
      <w:r>
        <w:t xml:space="preserve"> </w:t>
      </w:r>
      <w:r w:rsidRPr="00061EB3">
        <w:rPr>
          <w:rFonts w:eastAsiaTheme="minorHAnsi"/>
        </w:rPr>
        <w:t>on</w:t>
      </w:r>
      <w:r>
        <w:t xml:space="preserve"> </w:t>
      </w:r>
      <w:r w:rsidRPr="00061EB3">
        <w:rPr>
          <w:rFonts w:eastAsiaTheme="minorHAnsi"/>
        </w:rPr>
        <w:t>Reporting the Results of Popu</w:t>
      </w:r>
      <w:r>
        <w:t>lation Pharmacokinetic Analyses</w:t>
      </w:r>
    </w:p>
  </w:footnote>
  <w:footnote w:id="2">
    <w:p w:rsidR="00DC0066" w:rsidRPr="00140EA8" w:rsidRDefault="00DC0066" w:rsidP="00D367DE">
      <w:pPr>
        <w:pStyle w:val="FootnoteText"/>
        <w:rPr>
          <w:lang w:val="en-US"/>
        </w:rPr>
      </w:pPr>
      <w:r>
        <w:rPr>
          <w:rStyle w:val="FootnoteReference"/>
        </w:rPr>
        <w:footnoteRef/>
      </w:r>
      <w:r>
        <w:t xml:space="preserve"> BBSA: </w:t>
      </w:r>
      <w:r w:rsidRPr="00140EA8">
        <w:rPr>
          <w:rFonts w:eastAsiaTheme="minorHAnsi"/>
        </w:rPr>
        <w:t>Baseline body surface area</w:t>
      </w:r>
      <w:r>
        <w:rPr>
          <w:rFonts w:eastAsiaTheme="minorHAnsi"/>
        </w:rPr>
        <w:t>;</w:t>
      </w:r>
      <w:r w:rsidRPr="00FA355C">
        <w:t xml:space="preserve"> </w:t>
      </w:r>
      <w:r>
        <w:t xml:space="preserve">BIBW: </w:t>
      </w:r>
      <w:r w:rsidRPr="00140EA8">
        <w:rPr>
          <w:rFonts w:eastAsiaTheme="minorHAnsi"/>
        </w:rPr>
        <w:t>Baseline ideal body weight</w:t>
      </w:r>
      <w:r>
        <w:rPr>
          <w:rFonts w:eastAsiaTheme="minorHAnsi"/>
        </w:rPr>
        <w:t>;</w:t>
      </w:r>
      <w:r w:rsidRPr="00FA355C">
        <w:t xml:space="preserve"> BHT</w:t>
      </w:r>
      <w:r>
        <w:t xml:space="preserve">: </w:t>
      </w:r>
      <w:r w:rsidRPr="00140EA8">
        <w:rPr>
          <w:rFonts w:eastAsiaTheme="minorHAnsi"/>
        </w:rPr>
        <w:t>Baseline height</w:t>
      </w:r>
      <w:r>
        <w:rPr>
          <w:rFonts w:eastAsiaTheme="minorHAnsi"/>
        </w:rPr>
        <w:t>;</w:t>
      </w:r>
      <w:r>
        <w:t xml:space="preserve"> BALB: </w:t>
      </w:r>
      <w:r w:rsidRPr="00140EA8">
        <w:rPr>
          <w:rFonts w:eastAsiaTheme="minorHAnsi"/>
        </w:rPr>
        <w:t>Baseline serum albumin;</w:t>
      </w:r>
      <w:r w:rsidRPr="00140EA8">
        <w:t xml:space="preserve"> BALT: </w:t>
      </w:r>
      <w:r w:rsidRPr="00140EA8">
        <w:rPr>
          <w:rFonts w:eastAsiaTheme="minorHAnsi"/>
        </w:rPr>
        <w:t>Baseline alanine aminotransferase;</w:t>
      </w:r>
      <w:r w:rsidRPr="00140EA8">
        <w:t xml:space="preserve"> RACE: </w:t>
      </w:r>
      <w:r w:rsidRPr="00140EA8">
        <w:rPr>
          <w:rFonts w:eastAsiaTheme="minorHAnsi"/>
        </w:rPr>
        <w:t>Race</w:t>
      </w:r>
      <w:r w:rsidRPr="00140EA8">
        <w:t xml:space="preserve">; BUDEN: </w:t>
      </w:r>
      <w:r w:rsidRPr="00140EA8">
        <w:rPr>
          <w:rFonts w:eastAsiaTheme="minorHAnsi"/>
        </w:rPr>
        <w:t>Concomitant</w:t>
      </w:r>
      <w:r>
        <w:rPr>
          <w:rFonts w:ascii="Arial" w:eastAsiaTheme="minorHAnsi" w:hAnsi="Arial" w:cs="Arial"/>
          <w:sz w:val="24"/>
          <w:szCs w:val="24"/>
        </w:rPr>
        <w:t xml:space="preserve"> </w:t>
      </w:r>
      <w:r w:rsidRPr="00140EA8">
        <w:rPr>
          <w:rFonts w:eastAsiaTheme="minorHAnsi"/>
        </w:rPr>
        <w:t>budesonide</w:t>
      </w:r>
      <w:r>
        <w:rPr>
          <w:rFonts w:eastAsiaTheme="minorHAnsi"/>
        </w:rPr>
        <w:t>.</w:t>
      </w:r>
    </w:p>
  </w:footnote>
  <w:footnote w:id="3">
    <w:p w:rsidR="00DC0066" w:rsidRPr="00140EA8" w:rsidRDefault="00DC0066" w:rsidP="00A05B08">
      <w:pPr>
        <w:spacing w:before="0" w:after="0" w:line="240" w:lineRule="auto"/>
        <w:rPr>
          <w:rFonts w:eastAsiaTheme="minorHAnsi"/>
          <w:kern w:val="16"/>
          <w:sz w:val="20"/>
          <w:szCs w:val="20"/>
        </w:rPr>
      </w:pPr>
      <w:r>
        <w:rPr>
          <w:rStyle w:val="FootnoteReference"/>
        </w:rPr>
        <w:footnoteRef/>
      </w:r>
      <w:r>
        <w:t xml:space="preserve"> </w:t>
      </w:r>
      <w:r w:rsidRPr="00140EA8">
        <w:rPr>
          <w:rFonts w:eastAsiaTheme="minorHAnsi"/>
          <w:kern w:val="16"/>
          <w:sz w:val="20"/>
          <w:szCs w:val="20"/>
        </w:rPr>
        <w:t xml:space="preserve">Bergstrand M, Karlsson MO. </w:t>
      </w:r>
      <w:proofErr w:type="gramStart"/>
      <w:r w:rsidRPr="00140EA8">
        <w:rPr>
          <w:rFonts w:eastAsiaTheme="minorHAnsi"/>
          <w:kern w:val="16"/>
          <w:sz w:val="20"/>
          <w:szCs w:val="20"/>
        </w:rPr>
        <w:t>Handling</w:t>
      </w:r>
      <w:proofErr w:type="gramEnd"/>
      <w:r w:rsidRPr="00140EA8">
        <w:rPr>
          <w:rFonts w:eastAsiaTheme="minorHAnsi"/>
          <w:kern w:val="16"/>
          <w:sz w:val="20"/>
          <w:szCs w:val="20"/>
        </w:rPr>
        <w:t xml:space="preserve"> data below the limit of quantification in mixed effect models. </w:t>
      </w:r>
      <w:proofErr w:type="gramStart"/>
      <w:r w:rsidRPr="00140EA8">
        <w:rPr>
          <w:rFonts w:eastAsiaTheme="minorHAnsi"/>
          <w:i/>
          <w:kern w:val="16"/>
          <w:sz w:val="20"/>
          <w:szCs w:val="20"/>
        </w:rPr>
        <w:t>The AAPS journal</w:t>
      </w:r>
      <w:r w:rsidRPr="00140EA8">
        <w:rPr>
          <w:rFonts w:eastAsiaTheme="minorHAnsi"/>
          <w:kern w:val="16"/>
          <w:sz w:val="20"/>
          <w:szCs w:val="20"/>
        </w:rPr>
        <w:t>.</w:t>
      </w:r>
      <w:proofErr w:type="gramEnd"/>
      <w:r w:rsidRPr="00140EA8">
        <w:rPr>
          <w:rFonts w:eastAsiaTheme="minorHAnsi"/>
          <w:kern w:val="16"/>
          <w:sz w:val="20"/>
          <w:szCs w:val="20"/>
        </w:rPr>
        <w:t xml:space="preserve"> 2009</w:t>
      </w:r>
      <w:proofErr w:type="gramStart"/>
      <w:r w:rsidRPr="00140EA8">
        <w:rPr>
          <w:rFonts w:eastAsiaTheme="minorHAnsi"/>
          <w:kern w:val="16"/>
          <w:sz w:val="20"/>
          <w:szCs w:val="20"/>
        </w:rPr>
        <w:t>;11:371</w:t>
      </w:r>
      <w:proofErr w:type="gramEnd"/>
      <w:r w:rsidRPr="00140EA8">
        <w:rPr>
          <w:rFonts w:eastAsiaTheme="minorHAnsi"/>
          <w:kern w:val="16"/>
          <w:sz w:val="20"/>
          <w:szCs w:val="20"/>
        </w:rPr>
        <w:t>-</w:t>
      </w:r>
      <w:r>
        <w:rPr>
          <w:rFonts w:eastAsiaTheme="minorHAnsi"/>
          <w:kern w:val="16"/>
          <w:sz w:val="20"/>
          <w:szCs w:val="20"/>
        </w:rPr>
        <w:t>3</w:t>
      </w:r>
      <w:r w:rsidRPr="00140EA8">
        <w:rPr>
          <w:rFonts w:eastAsiaTheme="minorHAnsi"/>
          <w:kern w:val="16"/>
          <w:sz w:val="20"/>
          <w:szCs w:val="20"/>
        </w:rPr>
        <w:t>80.</w:t>
      </w:r>
    </w:p>
  </w:footnote>
  <w:footnote w:id="4">
    <w:p w:rsidR="00DC0066" w:rsidRPr="00A05B08" w:rsidRDefault="00DC0066" w:rsidP="00A05B08">
      <w:pPr>
        <w:spacing w:before="0" w:after="0" w:line="240" w:lineRule="auto"/>
      </w:pPr>
      <w:r>
        <w:rPr>
          <w:rStyle w:val="FootnoteReference"/>
        </w:rPr>
        <w:footnoteRef/>
      </w:r>
      <w:r w:rsidRPr="00A05B08">
        <w:rPr>
          <w:rFonts w:eastAsiaTheme="minorHAnsi"/>
          <w:kern w:val="16"/>
          <w:sz w:val="20"/>
          <w:szCs w:val="20"/>
        </w:rPr>
        <w:t>Ahn JE, et al. Likelihood based approaches to handling data below the quantification limit using NONMEM VI</w:t>
      </w:r>
      <w:r w:rsidRPr="00A05B08">
        <w:rPr>
          <w:rFonts w:eastAsiaTheme="minorHAnsi"/>
          <w:i/>
          <w:kern w:val="16"/>
          <w:sz w:val="20"/>
          <w:szCs w:val="20"/>
        </w:rPr>
        <w:t xml:space="preserve">. </w:t>
      </w:r>
      <w:proofErr w:type="gramStart"/>
      <w:r w:rsidRPr="00A05B08">
        <w:rPr>
          <w:rFonts w:eastAsiaTheme="minorHAnsi"/>
          <w:i/>
          <w:kern w:val="16"/>
          <w:sz w:val="20"/>
          <w:szCs w:val="20"/>
        </w:rPr>
        <w:t>J Pharmacokinet Pharmacodyn</w:t>
      </w:r>
      <w:r w:rsidRPr="00A05B08">
        <w:rPr>
          <w:rFonts w:eastAsiaTheme="minorHAnsi"/>
          <w:kern w:val="16"/>
          <w:sz w:val="20"/>
          <w:szCs w:val="20"/>
        </w:rPr>
        <w:t>.</w:t>
      </w:r>
      <w:proofErr w:type="gramEnd"/>
      <w:r w:rsidRPr="00A05B08">
        <w:rPr>
          <w:rFonts w:eastAsiaTheme="minorHAnsi"/>
          <w:kern w:val="16"/>
          <w:sz w:val="20"/>
          <w:szCs w:val="20"/>
        </w:rPr>
        <w:t xml:space="preserve"> 2008</w:t>
      </w:r>
      <w:proofErr w:type="gramStart"/>
      <w:r w:rsidRPr="00A05B08">
        <w:rPr>
          <w:rFonts w:eastAsiaTheme="minorHAnsi"/>
          <w:kern w:val="16"/>
          <w:sz w:val="20"/>
          <w:szCs w:val="20"/>
        </w:rPr>
        <w:t>;35:401</w:t>
      </w:r>
      <w:proofErr w:type="gramEnd"/>
      <w:r w:rsidRPr="00A05B08">
        <w:rPr>
          <w:rFonts w:eastAsiaTheme="minorHAnsi"/>
          <w:kern w:val="16"/>
          <w:sz w:val="20"/>
          <w:szCs w:val="20"/>
        </w:rPr>
        <w:t>-421.</w:t>
      </w:r>
    </w:p>
  </w:footnote>
  <w:footnote w:id="5">
    <w:p w:rsidR="00DC0066" w:rsidRPr="00A05B08" w:rsidRDefault="00DC0066" w:rsidP="00A05B08">
      <w:pPr>
        <w:spacing w:before="0" w:after="0" w:line="240" w:lineRule="auto"/>
        <w:rPr>
          <w:rFonts w:eastAsiaTheme="minorHAnsi"/>
          <w:kern w:val="16"/>
          <w:sz w:val="20"/>
          <w:szCs w:val="20"/>
        </w:rPr>
      </w:pPr>
      <w:r>
        <w:rPr>
          <w:rStyle w:val="FootnoteReference"/>
        </w:rPr>
        <w:footnoteRef/>
      </w:r>
      <w:r>
        <w:t xml:space="preserve"> </w:t>
      </w:r>
      <w:proofErr w:type="gramStart"/>
      <w:r w:rsidRPr="00A05B08">
        <w:rPr>
          <w:rFonts w:eastAsiaTheme="minorHAnsi"/>
          <w:kern w:val="16"/>
          <w:sz w:val="20"/>
          <w:szCs w:val="20"/>
        </w:rPr>
        <w:t>Beal SL. Ways to fit a PK model with some data below the quantification limit.</w:t>
      </w:r>
      <w:proofErr w:type="gramEnd"/>
      <w:r w:rsidRPr="00A05B08">
        <w:rPr>
          <w:rFonts w:eastAsiaTheme="minorHAnsi"/>
          <w:kern w:val="16"/>
          <w:sz w:val="20"/>
          <w:szCs w:val="20"/>
        </w:rPr>
        <w:t xml:space="preserve"> </w:t>
      </w:r>
      <w:proofErr w:type="gramStart"/>
      <w:r w:rsidRPr="00A05B08">
        <w:rPr>
          <w:rFonts w:eastAsiaTheme="minorHAnsi"/>
          <w:i/>
          <w:kern w:val="16"/>
          <w:sz w:val="20"/>
          <w:szCs w:val="20"/>
        </w:rPr>
        <w:t>J Pharmacokinet Pharmacodyn.</w:t>
      </w:r>
      <w:proofErr w:type="gramEnd"/>
      <w:r w:rsidRPr="00A05B08">
        <w:rPr>
          <w:rFonts w:eastAsiaTheme="minorHAnsi"/>
          <w:kern w:val="16"/>
          <w:sz w:val="20"/>
          <w:szCs w:val="20"/>
        </w:rPr>
        <w:t xml:space="preserve"> 2001</w:t>
      </w:r>
      <w:proofErr w:type="gramStart"/>
      <w:r w:rsidRPr="00A05B08">
        <w:rPr>
          <w:rFonts w:eastAsiaTheme="minorHAnsi"/>
          <w:kern w:val="16"/>
          <w:sz w:val="20"/>
          <w:szCs w:val="20"/>
        </w:rPr>
        <w:t>;28:481</w:t>
      </w:r>
      <w:proofErr w:type="gramEnd"/>
      <w:r w:rsidRPr="00A05B08">
        <w:rPr>
          <w:rFonts w:eastAsiaTheme="minorHAnsi"/>
          <w:kern w:val="16"/>
          <w:sz w:val="20"/>
          <w:szCs w:val="20"/>
        </w:rPr>
        <w:t>-504.</w:t>
      </w:r>
    </w:p>
  </w:footnote>
  <w:footnote w:id="6">
    <w:p w:rsidR="00DC0066" w:rsidRPr="00D1636B" w:rsidRDefault="00DC0066" w:rsidP="00D367DE">
      <w:pPr>
        <w:pStyle w:val="FootnoteText"/>
      </w:pPr>
      <w:r>
        <w:rPr>
          <w:rStyle w:val="FootnoteReference"/>
        </w:rPr>
        <w:footnoteRef/>
      </w:r>
      <w:r>
        <w:t xml:space="preserve"> </w:t>
      </w:r>
      <w:proofErr w:type="gramStart"/>
      <w:r w:rsidRPr="00D1636B">
        <w:t>Bristol-Myers Squibb Research and Development Document.</w:t>
      </w:r>
      <w:proofErr w:type="gramEnd"/>
      <w:r w:rsidRPr="00D1636B">
        <w:t xml:space="preserve"> </w:t>
      </w:r>
      <w:proofErr w:type="gramStart"/>
      <w:r w:rsidRPr="00D1636B">
        <w:t>Ipilimumab</w:t>
      </w:r>
      <w:r>
        <w:t xml:space="preserve"> </w:t>
      </w:r>
      <w:r w:rsidRPr="00D1636B">
        <w:t>Population Pharmacokinetics and Exposure-Res</w:t>
      </w:r>
      <w:r>
        <w:t xml:space="preserve">ponse Analyses in Subjects with </w:t>
      </w:r>
      <w:r w:rsidRPr="00D1636B">
        <w:t>Advanced Melanoma (CA184004, CA184007, CA184008, and CA184022).</w:t>
      </w:r>
      <w:proofErr w:type="gramEnd"/>
      <w:r w:rsidRPr="00D1636B">
        <w:t xml:space="preserve"> 2010.</w:t>
      </w:r>
    </w:p>
  </w:footnote>
  <w:footnote w:id="7">
    <w:p w:rsidR="00DC0066" w:rsidRDefault="00DC0066" w:rsidP="006C6765">
      <w:pPr>
        <w:pStyle w:val="FootnoteText"/>
      </w:pPr>
      <w:r>
        <w:rPr>
          <w:rStyle w:val="FootnoteReference"/>
        </w:rPr>
        <w:footnoteRef/>
      </w:r>
      <w:r>
        <w:t xml:space="preserve"> </w:t>
      </w:r>
      <w:proofErr w:type="gramStart"/>
      <w:r>
        <w:t>Korn et al. Meta-analysis of Phase II co-operative group trials in metastatic Stage IV melanoma to determine progression-free and overall survival benchmarks for future Phase II trials</w:t>
      </w:r>
      <w:r w:rsidRPr="004F7112">
        <w:rPr>
          <w:i/>
        </w:rPr>
        <w:t>.</w:t>
      </w:r>
      <w:proofErr w:type="gramEnd"/>
      <w:r w:rsidRPr="004F7112">
        <w:rPr>
          <w:i/>
        </w:rPr>
        <w:t xml:space="preserve"> J Clin Oncol</w:t>
      </w:r>
      <w:r>
        <w:t xml:space="preserve"> 2008; 26: 527-534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pPr>
      <w:rPr>
        <w:noProof/>
        <w:lang w:eastAsia="en-AU"/>
      </w:rPr>
    </w:pPr>
    <w:r w:rsidRPr="002D545C">
      <w:rPr>
        <w:noProof/>
        <w:lang w:eastAsia="en-AU"/>
      </w:rPr>
      <w:drawing>
        <wp:anchor distT="0" distB="0" distL="114300" distR="114300" simplePos="0" relativeHeight="251659264" behindDoc="1" locked="0" layoutInCell="1" allowOverlap="1" wp14:anchorId="146497FD" wp14:editId="7227756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C0066" w:rsidRDefault="00DC0066" w:rsidP="00593AD1">
    <w:pPr>
      <w:pStyle w:val="HeaderNoLine"/>
    </w:pPr>
    <w:r>
      <w:rPr>
        <w:noProof/>
        <w:lang w:eastAsia="en-AU"/>
      </w:rPr>
      <w:drawing>
        <wp:inline distT="0" distB="0" distL="0" distR="0">
          <wp:extent cx="5398770" cy="7637145"/>
          <wp:effectExtent l="0" t="0" r="0" b="1905"/>
          <wp:docPr id="12"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066" w:rsidRDefault="00DC0066" w:rsidP="006E08B3">
    <w:r>
      <w:t>Therapeutic Goods Administration</w:t>
    </w:r>
  </w:p>
  <w:p w:rsidR="00DC0066" w:rsidRDefault="00DC006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974F65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956BC74"/>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4C86260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nsid w:val="6D0B1B75"/>
    <w:multiLevelType w:val="multilevel"/>
    <w:tmpl w:val="51A222D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900"/>
        </w:tabs>
        <w:ind w:left="1900" w:hanging="1191"/>
      </w:pPr>
      <w:rPr>
        <w:rFonts w:hint="default"/>
      </w:rPr>
    </w:lvl>
    <w:lvl w:ilvl="4">
      <w:start w:val="1"/>
      <w:numFmt w:val="decimal"/>
      <w:pStyle w:val="Heading6"/>
      <w:lvlText w:val="%1.%2.%3.%4.%5."/>
      <w:lvlJc w:val="left"/>
      <w:pPr>
        <w:tabs>
          <w:tab w:val="num" w:pos="1701"/>
        </w:tabs>
        <w:ind w:left="1701" w:hanging="141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8733"/>
        </w:tabs>
        <w:ind w:left="8733"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8"/>
  </w:num>
  <w:num w:numId="6">
    <w:abstractNumId w:val="5"/>
  </w:num>
  <w:num w:numId="7">
    <w:abstractNumId w:val="6"/>
  </w:num>
  <w:num w:numId="8">
    <w:abstractNumId w:val="9"/>
  </w:num>
  <w:num w:numId="9">
    <w:abstractNumId w:val="2"/>
  </w:num>
  <w:num w:numId="10">
    <w:abstractNumId w:val="7"/>
  </w:num>
  <w:num w:numId="1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num>
  <w:num w:numId="2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0"/>
  </w:num>
  <w:num w:numId="3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A28"/>
    <w:rsid w:val="00002031"/>
    <w:rsid w:val="000035E3"/>
    <w:rsid w:val="00004734"/>
    <w:rsid w:val="00006B22"/>
    <w:rsid w:val="00010BA1"/>
    <w:rsid w:val="0001276A"/>
    <w:rsid w:val="00015668"/>
    <w:rsid w:val="000246AE"/>
    <w:rsid w:val="0002540E"/>
    <w:rsid w:val="000255EF"/>
    <w:rsid w:val="00025C67"/>
    <w:rsid w:val="00030DA6"/>
    <w:rsid w:val="000311C0"/>
    <w:rsid w:val="00040ACB"/>
    <w:rsid w:val="000435F5"/>
    <w:rsid w:val="00046414"/>
    <w:rsid w:val="00050C3A"/>
    <w:rsid w:val="0005559E"/>
    <w:rsid w:val="000614E5"/>
    <w:rsid w:val="000618B8"/>
    <w:rsid w:val="00066A7E"/>
    <w:rsid w:val="00074504"/>
    <w:rsid w:val="00077775"/>
    <w:rsid w:val="00090471"/>
    <w:rsid w:val="000908B8"/>
    <w:rsid w:val="000952CA"/>
    <w:rsid w:val="000957AE"/>
    <w:rsid w:val="000A3AED"/>
    <w:rsid w:val="000A63AF"/>
    <w:rsid w:val="000B3532"/>
    <w:rsid w:val="000B3A75"/>
    <w:rsid w:val="000C5666"/>
    <w:rsid w:val="000C690F"/>
    <w:rsid w:val="000C6B8C"/>
    <w:rsid w:val="000D1295"/>
    <w:rsid w:val="000D391B"/>
    <w:rsid w:val="000D3D6D"/>
    <w:rsid w:val="000D4FC7"/>
    <w:rsid w:val="000E3C6A"/>
    <w:rsid w:val="000E73B0"/>
    <w:rsid w:val="000F02F9"/>
    <w:rsid w:val="000F4869"/>
    <w:rsid w:val="000F5B42"/>
    <w:rsid w:val="000F6E6F"/>
    <w:rsid w:val="0010193C"/>
    <w:rsid w:val="00104613"/>
    <w:rsid w:val="0010601F"/>
    <w:rsid w:val="0010788A"/>
    <w:rsid w:val="00107A31"/>
    <w:rsid w:val="00110EA5"/>
    <w:rsid w:val="00112F56"/>
    <w:rsid w:val="001167B8"/>
    <w:rsid w:val="00117D51"/>
    <w:rsid w:val="00121E5D"/>
    <w:rsid w:val="00125318"/>
    <w:rsid w:val="001305A2"/>
    <w:rsid w:val="00133238"/>
    <w:rsid w:val="001344EA"/>
    <w:rsid w:val="00140C5E"/>
    <w:rsid w:val="00140EA8"/>
    <w:rsid w:val="0014197B"/>
    <w:rsid w:val="001447CD"/>
    <w:rsid w:val="00147263"/>
    <w:rsid w:val="001516B1"/>
    <w:rsid w:val="00154EBB"/>
    <w:rsid w:val="00156316"/>
    <w:rsid w:val="001620D3"/>
    <w:rsid w:val="00165389"/>
    <w:rsid w:val="0016610F"/>
    <w:rsid w:val="00167572"/>
    <w:rsid w:val="0017078F"/>
    <w:rsid w:val="0017606C"/>
    <w:rsid w:val="0017693F"/>
    <w:rsid w:val="0018110E"/>
    <w:rsid w:val="00181684"/>
    <w:rsid w:val="00182795"/>
    <w:rsid w:val="001843C6"/>
    <w:rsid w:val="001850E0"/>
    <w:rsid w:val="001854AA"/>
    <w:rsid w:val="00190CC2"/>
    <w:rsid w:val="001A0B9E"/>
    <w:rsid w:val="001A2158"/>
    <w:rsid w:val="001A330A"/>
    <w:rsid w:val="001A48E2"/>
    <w:rsid w:val="001A525F"/>
    <w:rsid w:val="001B09F9"/>
    <w:rsid w:val="001B4C5E"/>
    <w:rsid w:val="001B5D98"/>
    <w:rsid w:val="001B6448"/>
    <w:rsid w:val="001C2FCA"/>
    <w:rsid w:val="001C3DB9"/>
    <w:rsid w:val="001D1554"/>
    <w:rsid w:val="001E07CF"/>
    <w:rsid w:val="001E4353"/>
    <w:rsid w:val="001E59F1"/>
    <w:rsid w:val="001F129B"/>
    <w:rsid w:val="001F1413"/>
    <w:rsid w:val="001F3382"/>
    <w:rsid w:val="001F49EB"/>
    <w:rsid w:val="001F6CBA"/>
    <w:rsid w:val="00201D4E"/>
    <w:rsid w:val="002060DA"/>
    <w:rsid w:val="002076C9"/>
    <w:rsid w:val="00207D77"/>
    <w:rsid w:val="002125C0"/>
    <w:rsid w:val="0021451C"/>
    <w:rsid w:val="00216964"/>
    <w:rsid w:val="00220B8A"/>
    <w:rsid w:val="00223033"/>
    <w:rsid w:val="0022412E"/>
    <w:rsid w:val="002257F3"/>
    <w:rsid w:val="00233456"/>
    <w:rsid w:val="002339A5"/>
    <w:rsid w:val="002532FE"/>
    <w:rsid w:val="00255ED1"/>
    <w:rsid w:val="00257848"/>
    <w:rsid w:val="00257ECD"/>
    <w:rsid w:val="0026410F"/>
    <w:rsid w:val="002659D8"/>
    <w:rsid w:val="002666AC"/>
    <w:rsid w:val="0027084A"/>
    <w:rsid w:val="00272530"/>
    <w:rsid w:val="00277C6F"/>
    <w:rsid w:val="0028097A"/>
    <w:rsid w:val="00283032"/>
    <w:rsid w:val="00284E81"/>
    <w:rsid w:val="00285EFE"/>
    <w:rsid w:val="00285FA1"/>
    <w:rsid w:val="00286434"/>
    <w:rsid w:val="00286C59"/>
    <w:rsid w:val="00290C91"/>
    <w:rsid w:val="00292113"/>
    <w:rsid w:val="002942D1"/>
    <w:rsid w:val="0029501A"/>
    <w:rsid w:val="002A0472"/>
    <w:rsid w:val="002A40A6"/>
    <w:rsid w:val="002B1638"/>
    <w:rsid w:val="002C18DF"/>
    <w:rsid w:val="002C3A9D"/>
    <w:rsid w:val="002C63ED"/>
    <w:rsid w:val="002D15E9"/>
    <w:rsid w:val="002D1BCB"/>
    <w:rsid w:val="002D545C"/>
    <w:rsid w:val="002D6161"/>
    <w:rsid w:val="002E3EE6"/>
    <w:rsid w:val="002E4C9A"/>
    <w:rsid w:val="002F11F8"/>
    <w:rsid w:val="002F3779"/>
    <w:rsid w:val="002F3D67"/>
    <w:rsid w:val="002F3F56"/>
    <w:rsid w:val="002F44B5"/>
    <w:rsid w:val="002F6786"/>
    <w:rsid w:val="00307D0C"/>
    <w:rsid w:val="00311AC0"/>
    <w:rsid w:val="00311FB9"/>
    <w:rsid w:val="00315121"/>
    <w:rsid w:val="0032583B"/>
    <w:rsid w:val="00325B80"/>
    <w:rsid w:val="00327883"/>
    <w:rsid w:val="003302A2"/>
    <w:rsid w:val="00335504"/>
    <w:rsid w:val="003362C2"/>
    <w:rsid w:val="0034203C"/>
    <w:rsid w:val="003439B7"/>
    <w:rsid w:val="003521E8"/>
    <w:rsid w:val="003538BC"/>
    <w:rsid w:val="003728F3"/>
    <w:rsid w:val="0037496E"/>
    <w:rsid w:val="0037623D"/>
    <w:rsid w:val="00377E48"/>
    <w:rsid w:val="00383A6F"/>
    <w:rsid w:val="00384589"/>
    <w:rsid w:val="00386150"/>
    <w:rsid w:val="00386E46"/>
    <w:rsid w:val="00387325"/>
    <w:rsid w:val="003874CE"/>
    <w:rsid w:val="00390052"/>
    <w:rsid w:val="0039038B"/>
    <w:rsid w:val="00390900"/>
    <w:rsid w:val="00393145"/>
    <w:rsid w:val="00395D30"/>
    <w:rsid w:val="00396C92"/>
    <w:rsid w:val="003A3F78"/>
    <w:rsid w:val="003A7F6C"/>
    <w:rsid w:val="003B06DF"/>
    <w:rsid w:val="003B1113"/>
    <w:rsid w:val="003B35CB"/>
    <w:rsid w:val="003B4A27"/>
    <w:rsid w:val="003B4D60"/>
    <w:rsid w:val="003B555B"/>
    <w:rsid w:val="003B634F"/>
    <w:rsid w:val="003B7E39"/>
    <w:rsid w:val="003C58DC"/>
    <w:rsid w:val="003D0A3B"/>
    <w:rsid w:val="003D1E62"/>
    <w:rsid w:val="003D3BCB"/>
    <w:rsid w:val="003D5E20"/>
    <w:rsid w:val="003E2486"/>
    <w:rsid w:val="003E3208"/>
    <w:rsid w:val="003E53D0"/>
    <w:rsid w:val="003F0B04"/>
    <w:rsid w:val="003F4591"/>
    <w:rsid w:val="003F7A1B"/>
    <w:rsid w:val="0040134E"/>
    <w:rsid w:val="00401602"/>
    <w:rsid w:val="00414157"/>
    <w:rsid w:val="00415CA2"/>
    <w:rsid w:val="00415D23"/>
    <w:rsid w:val="00415D59"/>
    <w:rsid w:val="00420773"/>
    <w:rsid w:val="00436B2E"/>
    <w:rsid w:val="0043797D"/>
    <w:rsid w:val="00440A2D"/>
    <w:rsid w:val="00441A86"/>
    <w:rsid w:val="00441B13"/>
    <w:rsid w:val="00447A45"/>
    <w:rsid w:val="0045181F"/>
    <w:rsid w:val="004522BB"/>
    <w:rsid w:val="004526FA"/>
    <w:rsid w:val="004564A7"/>
    <w:rsid w:val="004572B9"/>
    <w:rsid w:val="004617BF"/>
    <w:rsid w:val="00463658"/>
    <w:rsid w:val="004658DA"/>
    <w:rsid w:val="004722CC"/>
    <w:rsid w:val="00481235"/>
    <w:rsid w:val="0048681A"/>
    <w:rsid w:val="00486FBC"/>
    <w:rsid w:val="004936E4"/>
    <w:rsid w:val="0049498A"/>
    <w:rsid w:val="00494E60"/>
    <w:rsid w:val="0049742D"/>
    <w:rsid w:val="00497487"/>
    <w:rsid w:val="004A5DFD"/>
    <w:rsid w:val="004A7E13"/>
    <w:rsid w:val="004B7B76"/>
    <w:rsid w:val="004C2DCA"/>
    <w:rsid w:val="004D2D70"/>
    <w:rsid w:val="004D363A"/>
    <w:rsid w:val="004F0F38"/>
    <w:rsid w:val="004F1477"/>
    <w:rsid w:val="004F4AF5"/>
    <w:rsid w:val="004F69B4"/>
    <w:rsid w:val="004F7112"/>
    <w:rsid w:val="005002FB"/>
    <w:rsid w:val="00501921"/>
    <w:rsid w:val="00502AC2"/>
    <w:rsid w:val="00521385"/>
    <w:rsid w:val="00526117"/>
    <w:rsid w:val="00530354"/>
    <w:rsid w:val="0053625B"/>
    <w:rsid w:val="005434C6"/>
    <w:rsid w:val="00543B39"/>
    <w:rsid w:val="00545648"/>
    <w:rsid w:val="00547588"/>
    <w:rsid w:val="005479FC"/>
    <w:rsid w:val="00550096"/>
    <w:rsid w:val="00552E3D"/>
    <w:rsid w:val="005531E1"/>
    <w:rsid w:val="00557FF9"/>
    <w:rsid w:val="005744BA"/>
    <w:rsid w:val="00576378"/>
    <w:rsid w:val="00577945"/>
    <w:rsid w:val="00577E38"/>
    <w:rsid w:val="00585322"/>
    <w:rsid w:val="005853BB"/>
    <w:rsid w:val="005857C6"/>
    <w:rsid w:val="00586F98"/>
    <w:rsid w:val="005920A0"/>
    <w:rsid w:val="00592F6E"/>
    <w:rsid w:val="00593AD1"/>
    <w:rsid w:val="005A16C9"/>
    <w:rsid w:val="005A68B6"/>
    <w:rsid w:val="005B0BBF"/>
    <w:rsid w:val="005B69DD"/>
    <w:rsid w:val="005C0B86"/>
    <w:rsid w:val="005C1FDA"/>
    <w:rsid w:val="005C5570"/>
    <w:rsid w:val="005C79A4"/>
    <w:rsid w:val="005D1DF0"/>
    <w:rsid w:val="005D5442"/>
    <w:rsid w:val="005E62B1"/>
    <w:rsid w:val="005F186B"/>
    <w:rsid w:val="005F5E22"/>
    <w:rsid w:val="00603F32"/>
    <w:rsid w:val="00605937"/>
    <w:rsid w:val="00620406"/>
    <w:rsid w:val="006248AC"/>
    <w:rsid w:val="00627C9A"/>
    <w:rsid w:val="00632398"/>
    <w:rsid w:val="006368C0"/>
    <w:rsid w:val="006401A0"/>
    <w:rsid w:val="00640BF5"/>
    <w:rsid w:val="00640FC3"/>
    <w:rsid w:val="00642020"/>
    <w:rsid w:val="006431DD"/>
    <w:rsid w:val="00646206"/>
    <w:rsid w:val="0065337B"/>
    <w:rsid w:val="0065419D"/>
    <w:rsid w:val="006604D8"/>
    <w:rsid w:val="0066119C"/>
    <w:rsid w:val="00661517"/>
    <w:rsid w:val="00663B36"/>
    <w:rsid w:val="00664861"/>
    <w:rsid w:val="00664A5B"/>
    <w:rsid w:val="006763D2"/>
    <w:rsid w:val="00680C08"/>
    <w:rsid w:val="006931B1"/>
    <w:rsid w:val="00697A79"/>
    <w:rsid w:val="006A15C0"/>
    <w:rsid w:val="006A55B0"/>
    <w:rsid w:val="006B1657"/>
    <w:rsid w:val="006B3543"/>
    <w:rsid w:val="006C130C"/>
    <w:rsid w:val="006C3E2A"/>
    <w:rsid w:val="006C642F"/>
    <w:rsid w:val="006C6765"/>
    <w:rsid w:val="006C6A1F"/>
    <w:rsid w:val="006D03E5"/>
    <w:rsid w:val="006D5D3E"/>
    <w:rsid w:val="006E017A"/>
    <w:rsid w:val="006E08B3"/>
    <w:rsid w:val="006E15A4"/>
    <w:rsid w:val="006E53A5"/>
    <w:rsid w:val="006F17AC"/>
    <w:rsid w:val="006F1D37"/>
    <w:rsid w:val="006F26D0"/>
    <w:rsid w:val="006F2796"/>
    <w:rsid w:val="006F572E"/>
    <w:rsid w:val="00701D85"/>
    <w:rsid w:val="00701D8A"/>
    <w:rsid w:val="007046D6"/>
    <w:rsid w:val="00705DB0"/>
    <w:rsid w:val="00712559"/>
    <w:rsid w:val="0071487D"/>
    <w:rsid w:val="00715342"/>
    <w:rsid w:val="00717AA9"/>
    <w:rsid w:val="007215FD"/>
    <w:rsid w:val="00722B57"/>
    <w:rsid w:val="00724839"/>
    <w:rsid w:val="007375B4"/>
    <w:rsid w:val="0074253D"/>
    <w:rsid w:val="0074429B"/>
    <w:rsid w:val="007513B4"/>
    <w:rsid w:val="007615BC"/>
    <w:rsid w:val="00762F05"/>
    <w:rsid w:val="007652FF"/>
    <w:rsid w:val="007668F4"/>
    <w:rsid w:val="00767064"/>
    <w:rsid w:val="00770DD1"/>
    <w:rsid w:val="00770EF1"/>
    <w:rsid w:val="00773EF7"/>
    <w:rsid w:val="00774E1D"/>
    <w:rsid w:val="0077675A"/>
    <w:rsid w:val="00777745"/>
    <w:rsid w:val="00780355"/>
    <w:rsid w:val="00780411"/>
    <w:rsid w:val="00780A28"/>
    <w:rsid w:val="00785721"/>
    <w:rsid w:val="00786E8B"/>
    <w:rsid w:val="00792F00"/>
    <w:rsid w:val="00793A59"/>
    <w:rsid w:val="00793CCC"/>
    <w:rsid w:val="007948B7"/>
    <w:rsid w:val="007A6B56"/>
    <w:rsid w:val="007B1220"/>
    <w:rsid w:val="007B5C55"/>
    <w:rsid w:val="007B6E9F"/>
    <w:rsid w:val="007C1216"/>
    <w:rsid w:val="007C1AF7"/>
    <w:rsid w:val="007C4059"/>
    <w:rsid w:val="007E6E27"/>
    <w:rsid w:val="007F08C8"/>
    <w:rsid w:val="007F1683"/>
    <w:rsid w:val="00802C4E"/>
    <w:rsid w:val="008039E6"/>
    <w:rsid w:val="00805CA5"/>
    <w:rsid w:val="00805D27"/>
    <w:rsid w:val="00806ABD"/>
    <w:rsid w:val="00806C69"/>
    <w:rsid w:val="00814B2E"/>
    <w:rsid w:val="00814EAC"/>
    <w:rsid w:val="00821776"/>
    <w:rsid w:val="008321F5"/>
    <w:rsid w:val="00832369"/>
    <w:rsid w:val="0083412A"/>
    <w:rsid w:val="00834660"/>
    <w:rsid w:val="00835684"/>
    <w:rsid w:val="00836BC2"/>
    <w:rsid w:val="008414A0"/>
    <w:rsid w:val="00842CE8"/>
    <w:rsid w:val="00851B52"/>
    <w:rsid w:val="0085641B"/>
    <w:rsid w:val="00857136"/>
    <w:rsid w:val="00863038"/>
    <w:rsid w:val="00864309"/>
    <w:rsid w:val="0086487F"/>
    <w:rsid w:val="00866203"/>
    <w:rsid w:val="00870756"/>
    <w:rsid w:val="00875F01"/>
    <w:rsid w:val="00880317"/>
    <w:rsid w:val="0088471D"/>
    <w:rsid w:val="00886D15"/>
    <w:rsid w:val="00887C42"/>
    <w:rsid w:val="00887DD8"/>
    <w:rsid w:val="00896018"/>
    <w:rsid w:val="008960DD"/>
    <w:rsid w:val="0089635C"/>
    <w:rsid w:val="0089761E"/>
    <w:rsid w:val="008A0369"/>
    <w:rsid w:val="008A2B9D"/>
    <w:rsid w:val="008A5E0B"/>
    <w:rsid w:val="008A6D59"/>
    <w:rsid w:val="008B4B03"/>
    <w:rsid w:val="008B596F"/>
    <w:rsid w:val="008B5A3E"/>
    <w:rsid w:val="008C159F"/>
    <w:rsid w:val="008C1623"/>
    <w:rsid w:val="008C1850"/>
    <w:rsid w:val="008C51A9"/>
    <w:rsid w:val="008C7D7D"/>
    <w:rsid w:val="008D770F"/>
    <w:rsid w:val="008E15AF"/>
    <w:rsid w:val="008E1D00"/>
    <w:rsid w:val="008E408F"/>
    <w:rsid w:val="008E5BB4"/>
    <w:rsid w:val="008E7212"/>
    <w:rsid w:val="008E7846"/>
    <w:rsid w:val="008F1786"/>
    <w:rsid w:val="008F1CCC"/>
    <w:rsid w:val="008F2967"/>
    <w:rsid w:val="008F6943"/>
    <w:rsid w:val="00900D64"/>
    <w:rsid w:val="009016C6"/>
    <w:rsid w:val="009022DD"/>
    <w:rsid w:val="00902A21"/>
    <w:rsid w:val="00902DC2"/>
    <w:rsid w:val="00902ECC"/>
    <w:rsid w:val="0091142B"/>
    <w:rsid w:val="00912E7E"/>
    <w:rsid w:val="009175D6"/>
    <w:rsid w:val="00920330"/>
    <w:rsid w:val="009219D7"/>
    <w:rsid w:val="00922D53"/>
    <w:rsid w:val="00923B70"/>
    <w:rsid w:val="00924482"/>
    <w:rsid w:val="00930237"/>
    <w:rsid w:val="009438E8"/>
    <w:rsid w:val="00946EA5"/>
    <w:rsid w:val="0095160F"/>
    <w:rsid w:val="00951A97"/>
    <w:rsid w:val="00963C08"/>
    <w:rsid w:val="009730D1"/>
    <w:rsid w:val="0098018F"/>
    <w:rsid w:val="00981D66"/>
    <w:rsid w:val="0098585A"/>
    <w:rsid w:val="0098669D"/>
    <w:rsid w:val="00994C95"/>
    <w:rsid w:val="009A4CED"/>
    <w:rsid w:val="009A690D"/>
    <w:rsid w:val="009B1D12"/>
    <w:rsid w:val="009B416B"/>
    <w:rsid w:val="009C4BD5"/>
    <w:rsid w:val="009D28A9"/>
    <w:rsid w:val="009D301F"/>
    <w:rsid w:val="009D7B77"/>
    <w:rsid w:val="009E0B79"/>
    <w:rsid w:val="009E0BB0"/>
    <w:rsid w:val="009E3FBB"/>
    <w:rsid w:val="009E58CC"/>
    <w:rsid w:val="009F069A"/>
    <w:rsid w:val="00A057CA"/>
    <w:rsid w:val="00A05B08"/>
    <w:rsid w:val="00A102E4"/>
    <w:rsid w:val="00A12C42"/>
    <w:rsid w:val="00A14DF7"/>
    <w:rsid w:val="00A20998"/>
    <w:rsid w:val="00A212DA"/>
    <w:rsid w:val="00A235D9"/>
    <w:rsid w:val="00A23A4F"/>
    <w:rsid w:val="00A31967"/>
    <w:rsid w:val="00A3246D"/>
    <w:rsid w:val="00A36FA7"/>
    <w:rsid w:val="00A413D2"/>
    <w:rsid w:val="00A45C5E"/>
    <w:rsid w:val="00A475B7"/>
    <w:rsid w:val="00A47AF7"/>
    <w:rsid w:val="00A47C3E"/>
    <w:rsid w:val="00A50226"/>
    <w:rsid w:val="00A50584"/>
    <w:rsid w:val="00A505B5"/>
    <w:rsid w:val="00A60A6A"/>
    <w:rsid w:val="00A60BAD"/>
    <w:rsid w:val="00A71C22"/>
    <w:rsid w:val="00A76575"/>
    <w:rsid w:val="00A76ADF"/>
    <w:rsid w:val="00A76AF8"/>
    <w:rsid w:val="00A77729"/>
    <w:rsid w:val="00A9293B"/>
    <w:rsid w:val="00A9457F"/>
    <w:rsid w:val="00A964D1"/>
    <w:rsid w:val="00AA0ED0"/>
    <w:rsid w:val="00AA3499"/>
    <w:rsid w:val="00AB442E"/>
    <w:rsid w:val="00AC2B40"/>
    <w:rsid w:val="00AC2BB2"/>
    <w:rsid w:val="00AC2C3C"/>
    <w:rsid w:val="00AC512D"/>
    <w:rsid w:val="00AC528F"/>
    <w:rsid w:val="00AC7AE5"/>
    <w:rsid w:val="00AD06A9"/>
    <w:rsid w:val="00AD1647"/>
    <w:rsid w:val="00AD3FFD"/>
    <w:rsid w:val="00AE01C2"/>
    <w:rsid w:val="00AE152F"/>
    <w:rsid w:val="00AE157B"/>
    <w:rsid w:val="00AE2D9F"/>
    <w:rsid w:val="00AE65EB"/>
    <w:rsid w:val="00AE67A7"/>
    <w:rsid w:val="00AF1D94"/>
    <w:rsid w:val="00AF60C5"/>
    <w:rsid w:val="00AF75D7"/>
    <w:rsid w:val="00B009C6"/>
    <w:rsid w:val="00B01548"/>
    <w:rsid w:val="00B02208"/>
    <w:rsid w:val="00B1425E"/>
    <w:rsid w:val="00B21D29"/>
    <w:rsid w:val="00B25034"/>
    <w:rsid w:val="00B32EFF"/>
    <w:rsid w:val="00B33310"/>
    <w:rsid w:val="00B33588"/>
    <w:rsid w:val="00B33863"/>
    <w:rsid w:val="00B3567E"/>
    <w:rsid w:val="00B36D80"/>
    <w:rsid w:val="00B37D17"/>
    <w:rsid w:val="00B4175E"/>
    <w:rsid w:val="00B44B06"/>
    <w:rsid w:val="00B452CE"/>
    <w:rsid w:val="00B54C25"/>
    <w:rsid w:val="00B54D77"/>
    <w:rsid w:val="00B56AB3"/>
    <w:rsid w:val="00B65E50"/>
    <w:rsid w:val="00B76B91"/>
    <w:rsid w:val="00B77EB1"/>
    <w:rsid w:val="00B811C6"/>
    <w:rsid w:val="00B85A87"/>
    <w:rsid w:val="00B91C17"/>
    <w:rsid w:val="00B92E08"/>
    <w:rsid w:val="00B95A18"/>
    <w:rsid w:val="00B96EBE"/>
    <w:rsid w:val="00BA1290"/>
    <w:rsid w:val="00BA1CF5"/>
    <w:rsid w:val="00BA3B04"/>
    <w:rsid w:val="00BB349D"/>
    <w:rsid w:val="00BB7B81"/>
    <w:rsid w:val="00BC2E33"/>
    <w:rsid w:val="00BC622A"/>
    <w:rsid w:val="00BD2A2E"/>
    <w:rsid w:val="00BD45E3"/>
    <w:rsid w:val="00BD57D4"/>
    <w:rsid w:val="00BE0A78"/>
    <w:rsid w:val="00BE32A6"/>
    <w:rsid w:val="00BE4457"/>
    <w:rsid w:val="00BE6252"/>
    <w:rsid w:val="00BE79F0"/>
    <w:rsid w:val="00BF046D"/>
    <w:rsid w:val="00BF0776"/>
    <w:rsid w:val="00BF1190"/>
    <w:rsid w:val="00BF5D04"/>
    <w:rsid w:val="00C018B9"/>
    <w:rsid w:val="00C05E49"/>
    <w:rsid w:val="00C1063B"/>
    <w:rsid w:val="00C108F1"/>
    <w:rsid w:val="00C1164D"/>
    <w:rsid w:val="00C16861"/>
    <w:rsid w:val="00C22678"/>
    <w:rsid w:val="00C22CAE"/>
    <w:rsid w:val="00C3447A"/>
    <w:rsid w:val="00C404A6"/>
    <w:rsid w:val="00C40A36"/>
    <w:rsid w:val="00C43604"/>
    <w:rsid w:val="00C44419"/>
    <w:rsid w:val="00C45E7B"/>
    <w:rsid w:val="00C4625F"/>
    <w:rsid w:val="00C471B1"/>
    <w:rsid w:val="00C618F7"/>
    <w:rsid w:val="00C6316B"/>
    <w:rsid w:val="00C634A9"/>
    <w:rsid w:val="00C64586"/>
    <w:rsid w:val="00C7067E"/>
    <w:rsid w:val="00C70D53"/>
    <w:rsid w:val="00C73D0B"/>
    <w:rsid w:val="00C75881"/>
    <w:rsid w:val="00C772FF"/>
    <w:rsid w:val="00C801AF"/>
    <w:rsid w:val="00C80256"/>
    <w:rsid w:val="00C811C0"/>
    <w:rsid w:val="00C91631"/>
    <w:rsid w:val="00CB0D64"/>
    <w:rsid w:val="00CB6BC0"/>
    <w:rsid w:val="00CC1B7C"/>
    <w:rsid w:val="00CC3488"/>
    <w:rsid w:val="00CC727F"/>
    <w:rsid w:val="00CE5029"/>
    <w:rsid w:val="00CF0E37"/>
    <w:rsid w:val="00CF15C3"/>
    <w:rsid w:val="00CF24F8"/>
    <w:rsid w:val="00CF2B6F"/>
    <w:rsid w:val="00CF58B6"/>
    <w:rsid w:val="00D017ED"/>
    <w:rsid w:val="00D040D3"/>
    <w:rsid w:val="00D04C65"/>
    <w:rsid w:val="00D073FA"/>
    <w:rsid w:val="00D1142A"/>
    <w:rsid w:val="00D1636B"/>
    <w:rsid w:val="00D224FE"/>
    <w:rsid w:val="00D2707F"/>
    <w:rsid w:val="00D342EA"/>
    <w:rsid w:val="00D354F6"/>
    <w:rsid w:val="00D367DE"/>
    <w:rsid w:val="00D46ABD"/>
    <w:rsid w:val="00D53A31"/>
    <w:rsid w:val="00D61A9D"/>
    <w:rsid w:val="00D62BC0"/>
    <w:rsid w:val="00D62FEF"/>
    <w:rsid w:val="00D6493E"/>
    <w:rsid w:val="00D7301E"/>
    <w:rsid w:val="00D83AE1"/>
    <w:rsid w:val="00D855D4"/>
    <w:rsid w:val="00D87961"/>
    <w:rsid w:val="00D87C40"/>
    <w:rsid w:val="00D93466"/>
    <w:rsid w:val="00DA1124"/>
    <w:rsid w:val="00DB75B7"/>
    <w:rsid w:val="00DC0066"/>
    <w:rsid w:val="00DC6E02"/>
    <w:rsid w:val="00DC6ED4"/>
    <w:rsid w:val="00DD14B0"/>
    <w:rsid w:val="00DE02AE"/>
    <w:rsid w:val="00DF1973"/>
    <w:rsid w:val="00DF1D7F"/>
    <w:rsid w:val="00DF4BE4"/>
    <w:rsid w:val="00E02FB4"/>
    <w:rsid w:val="00E05FE6"/>
    <w:rsid w:val="00E07F15"/>
    <w:rsid w:val="00E15BEB"/>
    <w:rsid w:val="00E20571"/>
    <w:rsid w:val="00E235F7"/>
    <w:rsid w:val="00E23659"/>
    <w:rsid w:val="00E239D4"/>
    <w:rsid w:val="00E24E9D"/>
    <w:rsid w:val="00E26130"/>
    <w:rsid w:val="00E2741C"/>
    <w:rsid w:val="00E407DD"/>
    <w:rsid w:val="00E40B22"/>
    <w:rsid w:val="00E429BE"/>
    <w:rsid w:val="00E45619"/>
    <w:rsid w:val="00E4588F"/>
    <w:rsid w:val="00E46DA3"/>
    <w:rsid w:val="00E51BB1"/>
    <w:rsid w:val="00E56650"/>
    <w:rsid w:val="00E624A5"/>
    <w:rsid w:val="00E7344E"/>
    <w:rsid w:val="00E76D14"/>
    <w:rsid w:val="00E91060"/>
    <w:rsid w:val="00E936E3"/>
    <w:rsid w:val="00E979F4"/>
    <w:rsid w:val="00EB0798"/>
    <w:rsid w:val="00EB40AD"/>
    <w:rsid w:val="00EB586E"/>
    <w:rsid w:val="00EB5FC8"/>
    <w:rsid w:val="00EC57CB"/>
    <w:rsid w:val="00ED3CAD"/>
    <w:rsid w:val="00ED5A41"/>
    <w:rsid w:val="00EE1DE8"/>
    <w:rsid w:val="00EE480E"/>
    <w:rsid w:val="00EE74EF"/>
    <w:rsid w:val="00EE7AF7"/>
    <w:rsid w:val="00EF324A"/>
    <w:rsid w:val="00F02419"/>
    <w:rsid w:val="00F02E74"/>
    <w:rsid w:val="00F033EC"/>
    <w:rsid w:val="00F03491"/>
    <w:rsid w:val="00F037A2"/>
    <w:rsid w:val="00F047E2"/>
    <w:rsid w:val="00F04F68"/>
    <w:rsid w:val="00F12670"/>
    <w:rsid w:val="00F13C63"/>
    <w:rsid w:val="00F14B27"/>
    <w:rsid w:val="00F14EF5"/>
    <w:rsid w:val="00F22D76"/>
    <w:rsid w:val="00F3148D"/>
    <w:rsid w:val="00F325C5"/>
    <w:rsid w:val="00F32FE0"/>
    <w:rsid w:val="00F3471F"/>
    <w:rsid w:val="00F35298"/>
    <w:rsid w:val="00F3606A"/>
    <w:rsid w:val="00F37FC0"/>
    <w:rsid w:val="00F415EB"/>
    <w:rsid w:val="00F43184"/>
    <w:rsid w:val="00F47333"/>
    <w:rsid w:val="00F47E37"/>
    <w:rsid w:val="00F53C07"/>
    <w:rsid w:val="00F543D0"/>
    <w:rsid w:val="00F54B65"/>
    <w:rsid w:val="00F640B6"/>
    <w:rsid w:val="00F67CC3"/>
    <w:rsid w:val="00F74C70"/>
    <w:rsid w:val="00F80E40"/>
    <w:rsid w:val="00F826CF"/>
    <w:rsid w:val="00F8271E"/>
    <w:rsid w:val="00F848D9"/>
    <w:rsid w:val="00F86315"/>
    <w:rsid w:val="00F86A56"/>
    <w:rsid w:val="00F966C3"/>
    <w:rsid w:val="00FA355C"/>
    <w:rsid w:val="00FA5B82"/>
    <w:rsid w:val="00FA639E"/>
    <w:rsid w:val="00FB5D0B"/>
    <w:rsid w:val="00FC25E4"/>
    <w:rsid w:val="00FC2F62"/>
    <w:rsid w:val="00FC4EF7"/>
    <w:rsid w:val="00FD3DAA"/>
    <w:rsid w:val="00FD5C8C"/>
    <w:rsid w:val="00FE1DEE"/>
    <w:rsid w:val="00FE2511"/>
    <w:rsid w:val="00FE7676"/>
    <w:rsid w:val="00FF2126"/>
    <w:rsid w:val="00FF39A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86A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102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1900"/>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tabs>
        <w:tab w:val="num" w:pos="1985"/>
      </w:tabs>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435F5"/>
    <w:pPr>
      <w:keepNext/>
      <w:spacing w:before="0" w:line="240" w:lineRule="auto"/>
      <w:outlineLvl w:val="7"/>
    </w:pPr>
    <w:rPr>
      <w:rFonts w:ascii="Arial" w:eastAsia="Times New Roman" w:hAnsi="Arial"/>
      <w:b/>
      <w:i/>
      <w:iCs/>
      <w:kern w:val="16"/>
      <w:szCs w:val="24"/>
    </w:rPr>
  </w:style>
  <w:style w:type="paragraph" w:styleId="Heading9">
    <w:name w:val="heading 9"/>
    <w:basedOn w:val="Normal"/>
    <w:next w:val="Normal"/>
    <w:link w:val="Heading9Char"/>
    <w:qFormat/>
    <w:rsid w:val="000435F5"/>
    <w:pPr>
      <w:keepNext/>
      <w:spacing w:before="0" w:line="240" w:lineRule="auto"/>
      <w:outlineLvl w:val="8"/>
    </w:pPr>
    <w:rPr>
      <w:rFonts w:ascii="Arial" w:eastAsia="Times New Roman" w:hAnsi="Arial" w:cs="Arial"/>
      <w:kern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Abbreviations">
    <w:name w:val="Abbreviations"/>
    <w:basedOn w:val="Normal"/>
    <w:rsid w:val="0078041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rPr>
  </w:style>
  <w:style w:type="paragraph" w:customStyle="1" w:styleId="Comment2">
    <w:name w:val="Comment 2"/>
    <w:basedOn w:val="Normal"/>
    <w:qFormat/>
    <w:rsid w:val="007804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rPr>
  </w:style>
  <w:style w:type="paragraph" w:customStyle="1" w:styleId="Comment1">
    <w:name w:val="Comment 1"/>
    <w:basedOn w:val="Normal"/>
    <w:next w:val="Comment2"/>
    <w:qFormat/>
    <w:rsid w:val="007804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rPr>
  </w:style>
  <w:style w:type="paragraph" w:customStyle="1" w:styleId="Bullet1">
    <w:name w:val="Bullet 1"/>
    <w:basedOn w:val="Normal"/>
    <w:rsid w:val="00C43604"/>
    <w:pPr>
      <w:numPr>
        <w:numId w:val="6"/>
      </w:numPr>
      <w:spacing w:after="0" w:line="240" w:lineRule="auto"/>
    </w:pPr>
    <w:rPr>
      <w:rFonts w:eastAsia="Times New Roman"/>
      <w:kern w:val="24"/>
      <w:szCs w:val="24"/>
    </w:rPr>
  </w:style>
  <w:style w:type="paragraph" w:customStyle="1" w:styleId="Bullet2">
    <w:name w:val="Bullet 2"/>
    <w:basedOn w:val="Bullet1"/>
    <w:rsid w:val="00C43604"/>
    <w:pPr>
      <w:numPr>
        <w:numId w:val="7"/>
      </w:numPr>
    </w:pPr>
  </w:style>
  <w:style w:type="table" w:styleId="LightList-Accent3">
    <w:name w:val="Light List Accent 3"/>
    <w:basedOn w:val="TableNormal"/>
    <w:uiPriority w:val="61"/>
    <w:rsid w:val="00547588"/>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CommentText">
    <w:name w:val="annotation text"/>
    <w:basedOn w:val="Normal"/>
    <w:link w:val="CommentTextChar"/>
    <w:rsid w:val="00E566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CommentTextChar">
    <w:name w:val="Comment Text Char"/>
    <w:basedOn w:val="DefaultParagraphFont"/>
    <w:link w:val="CommentText"/>
    <w:rsid w:val="00E56650"/>
    <w:rPr>
      <w:rFonts w:ascii="Cambria" w:eastAsia="Times New Roman" w:hAnsi="Cambria" w:cs="Times New Roman"/>
      <w:kern w:val="16"/>
      <w:sz w:val="20"/>
      <w:szCs w:val="20"/>
    </w:rPr>
  </w:style>
  <w:style w:type="paragraph" w:styleId="ListParagraph">
    <w:name w:val="List Paragraph"/>
    <w:basedOn w:val="Normal"/>
    <w:uiPriority w:val="34"/>
    <w:qFormat/>
    <w:rsid w:val="00E56650"/>
    <w:pPr>
      <w:ind w:left="720"/>
      <w:contextualSpacing/>
    </w:pPr>
  </w:style>
  <w:style w:type="character" w:customStyle="1" w:styleId="Heading8Char">
    <w:name w:val="Heading 8 Char"/>
    <w:basedOn w:val="DefaultParagraphFont"/>
    <w:link w:val="Heading8"/>
    <w:rsid w:val="000435F5"/>
    <w:rPr>
      <w:rFonts w:ascii="Arial" w:eastAsia="Times New Roman" w:hAnsi="Arial" w:cs="Times New Roman"/>
      <w:b/>
      <w:i/>
      <w:iCs/>
      <w:kern w:val="16"/>
      <w:szCs w:val="24"/>
    </w:rPr>
  </w:style>
  <w:style w:type="character" w:customStyle="1" w:styleId="Heading9Char">
    <w:name w:val="Heading 9 Char"/>
    <w:basedOn w:val="DefaultParagraphFont"/>
    <w:link w:val="Heading9"/>
    <w:rsid w:val="000435F5"/>
    <w:rPr>
      <w:rFonts w:ascii="Arial" w:eastAsia="Times New Roman" w:hAnsi="Arial" w:cs="Arial"/>
      <w:kern w:val="16"/>
      <w:u w:val="single"/>
    </w:rPr>
  </w:style>
  <w:style w:type="paragraph" w:customStyle="1" w:styleId="Heading0inTOC">
    <w:name w:val="Heading 0 (in TOC)"/>
    <w:basedOn w:val="Heading1"/>
    <w:next w:val="Normal"/>
    <w:rsid w:val="000435F5"/>
    <w:pPr>
      <w:keepLines w:val="0"/>
      <w:numPr>
        <w:numId w:val="0"/>
      </w:numPr>
      <w:adjustRightInd/>
      <w:snapToGrid/>
      <w:spacing w:before="0" w:after="120" w:line="240" w:lineRule="auto"/>
    </w:pPr>
    <w:rPr>
      <w:rFonts w:ascii="Arial" w:hAnsi="Arial" w:cs="Times New Roman"/>
      <w:bCs w:val="0"/>
      <w:kern w:val="16"/>
      <w:sz w:val="28"/>
      <w:szCs w:val="24"/>
      <w:lang w:eastAsia="en-US"/>
    </w:rPr>
  </w:style>
  <w:style w:type="character" w:styleId="PageNumber">
    <w:name w:val="page number"/>
    <w:rsid w:val="000435F5"/>
    <w:rPr>
      <w:sz w:val="20"/>
    </w:rPr>
  </w:style>
  <w:style w:type="paragraph" w:customStyle="1" w:styleId="TableBullet">
    <w:name w:val="Table Bullet"/>
    <w:basedOn w:val="Normal"/>
    <w:rsid w:val="000435F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rPr>
  </w:style>
  <w:style w:type="paragraph" w:styleId="TOC4">
    <w:name w:val="toc 4"/>
    <w:basedOn w:val="Normal"/>
    <w:next w:val="Normal"/>
    <w:uiPriority w:val="39"/>
    <w:rsid w:val="000435F5"/>
    <w:pPr>
      <w:tabs>
        <w:tab w:val="left" w:pos="1247"/>
        <w:tab w:val="right" w:leader="dot" w:pos="9356"/>
      </w:tabs>
      <w:spacing w:before="0" w:after="0" w:line="240" w:lineRule="auto"/>
      <w:ind w:left="1247" w:hanging="907"/>
    </w:pPr>
    <w:rPr>
      <w:rFonts w:eastAsia="Times New Roman"/>
      <w:kern w:val="16"/>
      <w:sz w:val="20"/>
      <w:szCs w:val="24"/>
    </w:rPr>
  </w:style>
  <w:style w:type="paragraph" w:styleId="TOC5">
    <w:name w:val="toc 5"/>
    <w:basedOn w:val="Normal"/>
    <w:next w:val="Normal"/>
    <w:uiPriority w:val="39"/>
    <w:rsid w:val="000435F5"/>
    <w:pPr>
      <w:spacing w:before="0" w:after="0" w:line="240" w:lineRule="auto"/>
      <w:ind w:left="454"/>
    </w:pPr>
    <w:rPr>
      <w:rFonts w:eastAsia="Times New Roman"/>
      <w:kern w:val="16"/>
      <w:sz w:val="20"/>
      <w:szCs w:val="24"/>
    </w:rPr>
  </w:style>
  <w:style w:type="paragraph" w:styleId="TOC6">
    <w:name w:val="toc 6"/>
    <w:basedOn w:val="Normal"/>
    <w:next w:val="Normal"/>
    <w:uiPriority w:val="39"/>
    <w:rsid w:val="000435F5"/>
    <w:pPr>
      <w:spacing w:before="0" w:after="0" w:line="240" w:lineRule="auto"/>
      <w:ind w:left="567"/>
    </w:pPr>
    <w:rPr>
      <w:rFonts w:eastAsia="Times New Roman"/>
      <w:kern w:val="16"/>
      <w:sz w:val="20"/>
      <w:szCs w:val="24"/>
    </w:rPr>
  </w:style>
  <w:style w:type="paragraph" w:styleId="TOC7">
    <w:name w:val="toc 7"/>
    <w:basedOn w:val="Normal"/>
    <w:next w:val="Normal"/>
    <w:uiPriority w:val="39"/>
    <w:rsid w:val="000435F5"/>
    <w:pPr>
      <w:spacing w:before="0" w:after="0" w:line="240" w:lineRule="auto"/>
      <w:ind w:left="680"/>
    </w:pPr>
    <w:rPr>
      <w:rFonts w:eastAsia="Times New Roman"/>
      <w:kern w:val="16"/>
      <w:sz w:val="20"/>
      <w:szCs w:val="24"/>
    </w:rPr>
  </w:style>
  <w:style w:type="paragraph" w:styleId="TOC8">
    <w:name w:val="toc 8"/>
    <w:basedOn w:val="Normal"/>
    <w:next w:val="Normal"/>
    <w:uiPriority w:val="39"/>
    <w:rsid w:val="000435F5"/>
    <w:pPr>
      <w:spacing w:before="0" w:after="0" w:line="240" w:lineRule="auto"/>
      <w:ind w:left="907"/>
    </w:pPr>
    <w:rPr>
      <w:rFonts w:eastAsia="Times New Roman"/>
      <w:kern w:val="16"/>
      <w:sz w:val="20"/>
      <w:szCs w:val="24"/>
    </w:rPr>
  </w:style>
  <w:style w:type="paragraph" w:styleId="TOC9">
    <w:name w:val="toc 9"/>
    <w:basedOn w:val="Normal"/>
    <w:next w:val="Normal"/>
    <w:uiPriority w:val="39"/>
    <w:rsid w:val="000435F5"/>
    <w:pPr>
      <w:spacing w:before="0" w:after="0" w:line="240" w:lineRule="auto"/>
      <w:ind w:left="1134"/>
    </w:pPr>
    <w:rPr>
      <w:rFonts w:eastAsia="Times New Roman"/>
      <w:kern w:val="16"/>
      <w:sz w:val="20"/>
      <w:szCs w:val="24"/>
    </w:rPr>
  </w:style>
  <w:style w:type="paragraph" w:styleId="EndnoteText">
    <w:name w:val="endnote text"/>
    <w:basedOn w:val="Normal"/>
    <w:link w:val="EndnoteTextChar"/>
    <w:semiHidden/>
    <w:rsid w:val="000435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EndnoteTextChar">
    <w:name w:val="Endnote Text Char"/>
    <w:basedOn w:val="DefaultParagraphFont"/>
    <w:link w:val="EndnoteText"/>
    <w:semiHidden/>
    <w:rsid w:val="000435F5"/>
    <w:rPr>
      <w:rFonts w:ascii="Cambria" w:eastAsia="Times New Roman" w:hAnsi="Cambria" w:cs="Times New Roman"/>
      <w:kern w:val="16"/>
      <w:sz w:val="20"/>
      <w:szCs w:val="20"/>
    </w:rPr>
  </w:style>
  <w:style w:type="character" w:styleId="EndnoteReference">
    <w:name w:val="endnote reference"/>
    <w:semiHidden/>
    <w:rsid w:val="000435F5"/>
    <w:rPr>
      <w:dstrike w:val="0"/>
      <w:vertAlign w:val="baseline"/>
    </w:rPr>
  </w:style>
  <w:style w:type="paragraph" w:styleId="FootnoteText">
    <w:name w:val="footnote text"/>
    <w:basedOn w:val="Normal"/>
    <w:link w:val="FootnoteTextChar"/>
    <w:uiPriority w:val="99"/>
    <w:rsid w:val="000435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FootnoteTextChar">
    <w:name w:val="Footnote Text Char"/>
    <w:basedOn w:val="DefaultParagraphFont"/>
    <w:link w:val="FootnoteText"/>
    <w:uiPriority w:val="99"/>
    <w:rsid w:val="000435F5"/>
    <w:rPr>
      <w:rFonts w:ascii="Cambria" w:eastAsia="Times New Roman" w:hAnsi="Cambria" w:cs="Times New Roman"/>
      <w:kern w:val="16"/>
      <w:sz w:val="20"/>
      <w:szCs w:val="20"/>
    </w:rPr>
  </w:style>
  <w:style w:type="character" w:styleId="FootnoteReference">
    <w:name w:val="footnote reference"/>
    <w:uiPriority w:val="99"/>
    <w:semiHidden/>
    <w:rsid w:val="000435F5"/>
    <w:rPr>
      <w:vertAlign w:val="superscript"/>
    </w:rPr>
  </w:style>
  <w:style w:type="paragraph" w:styleId="TableofFigures">
    <w:name w:val="table of figures"/>
    <w:basedOn w:val="Normal"/>
    <w:next w:val="Normal"/>
    <w:uiPriority w:val="99"/>
    <w:rsid w:val="000435F5"/>
    <w:pPr>
      <w:spacing w:before="0" w:after="0" w:line="240" w:lineRule="auto"/>
      <w:ind w:left="1134" w:hanging="1134"/>
    </w:pPr>
    <w:rPr>
      <w:rFonts w:eastAsia="Times New Roman" w:cs="Calibri"/>
      <w:kern w:val="16"/>
      <w:szCs w:val="20"/>
    </w:rPr>
  </w:style>
  <w:style w:type="paragraph" w:customStyle="1" w:styleId="CommentDot">
    <w:name w:val="Comment Dot"/>
    <w:basedOn w:val="Comment2"/>
    <w:qFormat/>
    <w:rsid w:val="000435F5"/>
    <w:pPr>
      <w:numPr>
        <w:numId w:val="9"/>
      </w:numPr>
      <w:tabs>
        <w:tab w:val="clear" w:pos="1134"/>
      </w:tabs>
      <w:spacing w:before="120"/>
      <w:ind w:left="1418" w:hanging="284"/>
    </w:pPr>
  </w:style>
  <w:style w:type="paragraph" w:customStyle="1" w:styleId="Instructions1">
    <w:name w:val="Instructions 1"/>
    <w:basedOn w:val="Normal"/>
    <w:qFormat/>
    <w:rsid w:val="000435F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rPr>
  </w:style>
  <w:style w:type="paragraph" w:customStyle="1" w:styleId="Instructions2">
    <w:name w:val="Instructions 2"/>
    <w:basedOn w:val="Normal"/>
    <w:qFormat/>
    <w:rsid w:val="000435F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rPr>
  </w:style>
  <w:style w:type="character" w:styleId="CommentReference">
    <w:name w:val="annotation reference"/>
    <w:rsid w:val="000435F5"/>
    <w:rPr>
      <w:sz w:val="16"/>
      <w:szCs w:val="16"/>
    </w:rPr>
  </w:style>
  <w:style w:type="paragraph" w:styleId="CommentSubject">
    <w:name w:val="annotation subject"/>
    <w:basedOn w:val="CommentText"/>
    <w:next w:val="CommentText"/>
    <w:link w:val="CommentSubjectChar"/>
    <w:rsid w:val="000435F5"/>
    <w:rPr>
      <w:b/>
      <w:bCs/>
    </w:rPr>
  </w:style>
  <w:style w:type="character" w:customStyle="1" w:styleId="CommentSubjectChar">
    <w:name w:val="Comment Subject Char"/>
    <w:basedOn w:val="CommentTextChar"/>
    <w:link w:val="CommentSubject"/>
    <w:rsid w:val="000435F5"/>
    <w:rPr>
      <w:rFonts w:ascii="Cambria" w:eastAsia="Times New Roman" w:hAnsi="Cambria" w:cs="Times New Roman"/>
      <w:b/>
      <w:bCs/>
      <w:kern w:val="16"/>
      <w:sz w:val="20"/>
      <w:szCs w:val="20"/>
    </w:rPr>
  </w:style>
  <w:style w:type="paragraph" w:customStyle="1" w:styleId="Contentslist1">
    <w:name w:val="Contents list 1"/>
    <w:basedOn w:val="Normal"/>
    <w:qFormat/>
    <w:rsid w:val="000435F5"/>
    <w:pPr>
      <w:tabs>
        <w:tab w:val="right" w:leader="dot" w:pos="9356"/>
      </w:tabs>
      <w:spacing w:line="240" w:lineRule="auto"/>
    </w:pPr>
    <w:rPr>
      <w:rFonts w:eastAsia="Times New Roman"/>
      <w:b/>
      <w:kern w:val="16"/>
      <w:sz w:val="20"/>
      <w:szCs w:val="24"/>
    </w:rPr>
  </w:style>
  <w:style w:type="paragraph" w:customStyle="1" w:styleId="Contentslist2">
    <w:name w:val="Contents list 2"/>
    <w:basedOn w:val="Contentslist1"/>
    <w:qFormat/>
    <w:rsid w:val="000435F5"/>
    <w:pPr>
      <w:spacing w:before="0" w:after="0"/>
    </w:pPr>
    <w:rPr>
      <w:b w:val="0"/>
    </w:rPr>
  </w:style>
  <w:style w:type="paragraph" w:customStyle="1" w:styleId="Default">
    <w:name w:val="Default"/>
    <w:rsid w:val="000435F5"/>
    <w:pPr>
      <w:autoSpaceDE w:val="0"/>
      <w:autoSpaceDN w:val="0"/>
      <w:adjustRightInd w:val="0"/>
      <w:spacing w:after="0" w:line="240" w:lineRule="auto"/>
    </w:pPr>
    <w:rPr>
      <w:rFonts w:ascii="Verdana" w:eastAsia="Times New Roman" w:hAnsi="Verdana" w:cs="Verdana"/>
      <w:color w:val="000000"/>
      <w:sz w:val="24"/>
      <w:szCs w:val="24"/>
    </w:rPr>
  </w:style>
  <w:style w:type="paragraph" w:styleId="Revision">
    <w:name w:val="Revision"/>
    <w:hidden/>
    <w:uiPriority w:val="99"/>
    <w:semiHidden/>
    <w:rsid w:val="000435F5"/>
    <w:pPr>
      <w:spacing w:after="0" w:line="240" w:lineRule="auto"/>
    </w:pPr>
    <w:rPr>
      <w:rFonts w:ascii="Cambria" w:eastAsia="Times New Roman" w:hAnsi="Cambria" w:cs="Times New Roman"/>
      <w:kern w:val="16"/>
      <w:szCs w:val="24"/>
    </w:rPr>
  </w:style>
  <w:style w:type="character" w:customStyle="1" w:styleId="apple-converted-space">
    <w:name w:val="apple-converted-space"/>
    <w:basedOn w:val="DefaultParagraphFont"/>
    <w:rsid w:val="000435F5"/>
  </w:style>
  <w:style w:type="character" w:customStyle="1" w:styleId="highlight">
    <w:name w:val="highlight"/>
    <w:basedOn w:val="DefaultParagraphFont"/>
    <w:rsid w:val="000435F5"/>
  </w:style>
  <w:style w:type="character" w:customStyle="1" w:styleId="ui-ncbitoggler-master-text">
    <w:name w:val="ui-ncbitoggler-master-text"/>
    <w:basedOn w:val="DefaultParagraphFont"/>
    <w:rsid w:val="000435F5"/>
  </w:style>
  <w:style w:type="paragraph" w:styleId="NormalWeb">
    <w:name w:val="Normal (Web)"/>
    <w:basedOn w:val="Normal"/>
    <w:uiPriority w:val="99"/>
    <w:unhideWhenUsed/>
    <w:rsid w:val="000435F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ource">
    <w:name w:val="source"/>
    <w:basedOn w:val="DefaultParagraphFont"/>
    <w:rsid w:val="000435F5"/>
  </w:style>
  <w:style w:type="character" w:customStyle="1" w:styleId="jrnl">
    <w:name w:val="jrnl"/>
    <w:basedOn w:val="DefaultParagraphFont"/>
    <w:rsid w:val="000435F5"/>
  </w:style>
  <w:style w:type="paragraph" w:customStyle="1" w:styleId="Title1">
    <w:name w:val="Title1"/>
    <w:basedOn w:val="Normal"/>
    <w:rsid w:val="000435F5"/>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86A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102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1900"/>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tabs>
        <w:tab w:val="num" w:pos="1985"/>
      </w:tabs>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435F5"/>
    <w:pPr>
      <w:keepNext/>
      <w:spacing w:before="0" w:line="240" w:lineRule="auto"/>
      <w:outlineLvl w:val="7"/>
    </w:pPr>
    <w:rPr>
      <w:rFonts w:ascii="Arial" w:eastAsia="Times New Roman" w:hAnsi="Arial"/>
      <w:b/>
      <w:i/>
      <w:iCs/>
      <w:kern w:val="16"/>
      <w:szCs w:val="24"/>
    </w:rPr>
  </w:style>
  <w:style w:type="paragraph" w:styleId="Heading9">
    <w:name w:val="heading 9"/>
    <w:basedOn w:val="Normal"/>
    <w:next w:val="Normal"/>
    <w:link w:val="Heading9Char"/>
    <w:qFormat/>
    <w:rsid w:val="000435F5"/>
    <w:pPr>
      <w:keepNext/>
      <w:spacing w:before="0" w:line="240" w:lineRule="auto"/>
      <w:outlineLvl w:val="8"/>
    </w:pPr>
    <w:rPr>
      <w:rFonts w:ascii="Arial" w:eastAsia="Times New Roman" w:hAnsi="Arial" w:cs="Arial"/>
      <w:kern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Abbreviations">
    <w:name w:val="Abbreviations"/>
    <w:basedOn w:val="Normal"/>
    <w:rsid w:val="0078041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rPr>
  </w:style>
  <w:style w:type="paragraph" w:customStyle="1" w:styleId="Comment2">
    <w:name w:val="Comment 2"/>
    <w:basedOn w:val="Normal"/>
    <w:qFormat/>
    <w:rsid w:val="007804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rPr>
  </w:style>
  <w:style w:type="paragraph" w:customStyle="1" w:styleId="Comment1">
    <w:name w:val="Comment 1"/>
    <w:basedOn w:val="Normal"/>
    <w:next w:val="Comment2"/>
    <w:qFormat/>
    <w:rsid w:val="0078041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rPr>
  </w:style>
  <w:style w:type="paragraph" w:customStyle="1" w:styleId="Bullet1">
    <w:name w:val="Bullet 1"/>
    <w:basedOn w:val="Normal"/>
    <w:rsid w:val="00C43604"/>
    <w:pPr>
      <w:numPr>
        <w:numId w:val="6"/>
      </w:numPr>
      <w:spacing w:after="0" w:line="240" w:lineRule="auto"/>
    </w:pPr>
    <w:rPr>
      <w:rFonts w:eastAsia="Times New Roman"/>
      <w:kern w:val="24"/>
      <w:szCs w:val="24"/>
    </w:rPr>
  </w:style>
  <w:style w:type="paragraph" w:customStyle="1" w:styleId="Bullet2">
    <w:name w:val="Bullet 2"/>
    <w:basedOn w:val="Bullet1"/>
    <w:rsid w:val="00C43604"/>
    <w:pPr>
      <w:numPr>
        <w:numId w:val="7"/>
      </w:numPr>
    </w:pPr>
  </w:style>
  <w:style w:type="table" w:styleId="LightList-Accent3">
    <w:name w:val="Light List Accent 3"/>
    <w:basedOn w:val="TableNormal"/>
    <w:uiPriority w:val="61"/>
    <w:rsid w:val="00547588"/>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CommentText">
    <w:name w:val="annotation text"/>
    <w:basedOn w:val="Normal"/>
    <w:link w:val="CommentTextChar"/>
    <w:rsid w:val="00E566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CommentTextChar">
    <w:name w:val="Comment Text Char"/>
    <w:basedOn w:val="DefaultParagraphFont"/>
    <w:link w:val="CommentText"/>
    <w:rsid w:val="00E56650"/>
    <w:rPr>
      <w:rFonts w:ascii="Cambria" w:eastAsia="Times New Roman" w:hAnsi="Cambria" w:cs="Times New Roman"/>
      <w:kern w:val="16"/>
      <w:sz w:val="20"/>
      <w:szCs w:val="20"/>
    </w:rPr>
  </w:style>
  <w:style w:type="paragraph" w:styleId="ListParagraph">
    <w:name w:val="List Paragraph"/>
    <w:basedOn w:val="Normal"/>
    <w:uiPriority w:val="34"/>
    <w:qFormat/>
    <w:rsid w:val="00E56650"/>
    <w:pPr>
      <w:ind w:left="720"/>
      <w:contextualSpacing/>
    </w:pPr>
  </w:style>
  <w:style w:type="character" w:customStyle="1" w:styleId="Heading8Char">
    <w:name w:val="Heading 8 Char"/>
    <w:basedOn w:val="DefaultParagraphFont"/>
    <w:link w:val="Heading8"/>
    <w:rsid w:val="000435F5"/>
    <w:rPr>
      <w:rFonts w:ascii="Arial" w:eastAsia="Times New Roman" w:hAnsi="Arial" w:cs="Times New Roman"/>
      <w:b/>
      <w:i/>
      <w:iCs/>
      <w:kern w:val="16"/>
      <w:szCs w:val="24"/>
    </w:rPr>
  </w:style>
  <w:style w:type="character" w:customStyle="1" w:styleId="Heading9Char">
    <w:name w:val="Heading 9 Char"/>
    <w:basedOn w:val="DefaultParagraphFont"/>
    <w:link w:val="Heading9"/>
    <w:rsid w:val="000435F5"/>
    <w:rPr>
      <w:rFonts w:ascii="Arial" w:eastAsia="Times New Roman" w:hAnsi="Arial" w:cs="Arial"/>
      <w:kern w:val="16"/>
      <w:u w:val="single"/>
    </w:rPr>
  </w:style>
  <w:style w:type="paragraph" w:customStyle="1" w:styleId="Heading0inTOC">
    <w:name w:val="Heading 0 (in TOC)"/>
    <w:basedOn w:val="Heading1"/>
    <w:next w:val="Normal"/>
    <w:rsid w:val="000435F5"/>
    <w:pPr>
      <w:keepLines w:val="0"/>
      <w:numPr>
        <w:numId w:val="0"/>
      </w:numPr>
      <w:adjustRightInd/>
      <w:snapToGrid/>
      <w:spacing w:before="0" w:after="120" w:line="240" w:lineRule="auto"/>
    </w:pPr>
    <w:rPr>
      <w:rFonts w:ascii="Arial" w:hAnsi="Arial" w:cs="Times New Roman"/>
      <w:bCs w:val="0"/>
      <w:kern w:val="16"/>
      <w:sz w:val="28"/>
      <w:szCs w:val="24"/>
      <w:lang w:eastAsia="en-US"/>
    </w:rPr>
  </w:style>
  <w:style w:type="character" w:styleId="PageNumber">
    <w:name w:val="page number"/>
    <w:rsid w:val="000435F5"/>
    <w:rPr>
      <w:sz w:val="20"/>
    </w:rPr>
  </w:style>
  <w:style w:type="paragraph" w:customStyle="1" w:styleId="TableBullet">
    <w:name w:val="Table Bullet"/>
    <w:basedOn w:val="Normal"/>
    <w:rsid w:val="000435F5"/>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rPr>
  </w:style>
  <w:style w:type="paragraph" w:styleId="TOC4">
    <w:name w:val="toc 4"/>
    <w:basedOn w:val="Normal"/>
    <w:next w:val="Normal"/>
    <w:uiPriority w:val="39"/>
    <w:rsid w:val="000435F5"/>
    <w:pPr>
      <w:tabs>
        <w:tab w:val="left" w:pos="1247"/>
        <w:tab w:val="right" w:leader="dot" w:pos="9356"/>
      </w:tabs>
      <w:spacing w:before="0" w:after="0" w:line="240" w:lineRule="auto"/>
      <w:ind w:left="1247" w:hanging="907"/>
    </w:pPr>
    <w:rPr>
      <w:rFonts w:eastAsia="Times New Roman"/>
      <w:kern w:val="16"/>
      <w:sz w:val="20"/>
      <w:szCs w:val="24"/>
    </w:rPr>
  </w:style>
  <w:style w:type="paragraph" w:styleId="TOC5">
    <w:name w:val="toc 5"/>
    <w:basedOn w:val="Normal"/>
    <w:next w:val="Normal"/>
    <w:uiPriority w:val="39"/>
    <w:rsid w:val="000435F5"/>
    <w:pPr>
      <w:spacing w:before="0" w:after="0" w:line="240" w:lineRule="auto"/>
      <w:ind w:left="454"/>
    </w:pPr>
    <w:rPr>
      <w:rFonts w:eastAsia="Times New Roman"/>
      <w:kern w:val="16"/>
      <w:sz w:val="20"/>
      <w:szCs w:val="24"/>
    </w:rPr>
  </w:style>
  <w:style w:type="paragraph" w:styleId="TOC6">
    <w:name w:val="toc 6"/>
    <w:basedOn w:val="Normal"/>
    <w:next w:val="Normal"/>
    <w:uiPriority w:val="39"/>
    <w:rsid w:val="000435F5"/>
    <w:pPr>
      <w:spacing w:before="0" w:after="0" w:line="240" w:lineRule="auto"/>
      <w:ind w:left="567"/>
    </w:pPr>
    <w:rPr>
      <w:rFonts w:eastAsia="Times New Roman"/>
      <w:kern w:val="16"/>
      <w:sz w:val="20"/>
      <w:szCs w:val="24"/>
    </w:rPr>
  </w:style>
  <w:style w:type="paragraph" w:styleId="TOC7">
    <w:name w:val="toc 7"/>
    <w:basedOn w:val="Normal"/>
    <w:next w:val="Normal"/>
    <w:uiPriority w:val="39"/>
    <w:rsid w:val="000435F5"/>
    <w:pPr>
      <w:spacing w:before="0" w:after="0" w:line="240" w:lineRule="auto"/>
      <w:ind w:left="680"/>
    </w:pPr>
    <w:rPr>
      <w:rFonts w:eastAsia="Times New Roman"/>
      <w:kern w:val="16"/>
      <w:sz w:val="20"/>
      <w:szCs w:val="24"/>
    </w:rPr>
  </w:style>
  <w:style w:type="paragraph" w:styleId="TOC8">
    <w:name w:val="toc 8"/>
    <w:basedOn w:val="Normal"/>
    <w:next w:val="Normal"/>
    <w:uiPriority w:val="39"/>
    <w:rsid w:val="000435F5"/>
    <w:pPr>
      <w:spacing w:before="0" w:after="0" w:line="240" w:lineRule="auto"/>
      <w:ind w:left="907"/>
    </w:pPr>
    <w:rPr>
      <w:rFonts w:eastAsia="Times New Roman"/>
      <w:kern w:val="16"/>
      <w:sz w:val="20"/>
      <w:szCs w:val="24"/>
    </w:rPr>
  </w:style>
  <w:style w:type="paragraph" w:styleId="TOC9">
    <w:name w:val="toc 9"/>
    <w:basedOn w:val="Normal"/>
    <w:next w:val="Normal"/>
    <w:uiPriority w:val="39"/>
    <w:rsid w:val="000435F5"/>
    <w:pPr>
      <w:spacing w:before="0" w:after="0" w:line="240" w:lineRule="auto"/>
      <w:ind w:left="1134"/>
    </w:pPr>
    <w:rPr>
      <w:rFonts w:eastAsia="Times New Roman"/>
      <w:kern w:val="16"/>
      <w:sz w:val="20"/>
      <w:szCs w:val="24"/>
    </w:rPr>
  </w:style>
  <w:style w:type="paragraph" w:styleId="EndnoteText">
    <w:name w:val="endnote text"/>
    <w:basedOn w:val="Normal"/>
    <w:link w:val="EndnoteTextChar"/>
    <w:semiHidden/>
    <w:rsid w:val="000435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EndnoteTextChar">
    <w:name w:val="Endnote Text Char"/>
    <w:basedOn w:val="DefaultParagraphFont"/>
    <w:link w:val="EndnoteText"/>
    <w:semiHidden/>
    <w:rsid w:val="000435F5"/>
    <w:rPr>
      <w:rFonts w:ascii="Cambria" w:eastAsia="Times New Roman" w:hAnsi="Cambria" w:cs="Times New Roman"/>
      <w:kern w:val="16"/>
      <w:sz w:val="20"/>
      <w:szCs w:val="20"/>
    </w:rPr>
  </w:style>
  <w:style w:type="character" w:styleId="EndnoteReference">
    <w:name w:val="endnote reference"/>
    <w:semiHidden/>
    <w:rsid w:val="000435F5"/>
    <w:rPr>
      <w:dstrike w:val="0"/>
      <w:vertAlign w:val="baseline"/>
    </w:rPr>
  </w:style>
  <w:style w:type="paragraph" w:styleId="FootnoteText">
    <w:name w:val="footnote text"/>
    <w:basedOn w:val="Normal"/>
    <w:link w:val="FootnoteTextChar"/>
    <w:uiPriority w:val="99"/>
    <w:rsid w:val="000435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rPr>
  </w:style>
  <w:style w:type="character" w:customStyle="1" w:styleId="FootnoteTextChar">
    <w:name w:val="Footnote Text Char"/>
    <w:basedOn w:val="DefaultParagraphFont"/>
    <w:link w:val="FootnoteText"/>
    <w:uiPriority w:val="99"/>
    <w:rsid w:val="000435F5"/>
    <w:rPr>
      <w:rFonts w:ascii="Cambria" w:eastAsia="Times New Roman" w:hAnsi="Cambria" w:cs="Times New Roman"/>
      <w:kern w:val="16"/>
      <w:sz w:val="20"/>
      <w:szCs w:val="20"/>
    </w:rPr>
  </w:style>
  <w:style w:type="character" w:styleId="FootnoteReference">
    <w:name w:val="footnote reference"/>
    <w:uiPriority w:val="99"/>
    <w:semiHidden/>
    <w:rsid w:val="000435F5"/>
    <w:rPr>
      <w:vertAlign w:val="superscript"/>
    </w:rPr>
  </w:style>
  <w:style w:type="paragraph" w:styleId="TableofFigures">
    <w:name w:val="table of figures"/>
    <w:basedOn w:val="Normal"/>
    <w:next w:val="Normal"/>
    <w:uiPriority w:val="99"/>
    <w:rsid w:val="000435F5"/>
    <w:pPr>
      <w:spacing w:before="0" w:after="0" w:line="240" w:lineRule="auto"/>
      <w:ind w:left="1134" w:hanging="1134"/>
    </w:pPr>
    <w:rPr>
      <w:rFonts w:eastAsia="Times New Roman" w:cs="Calibri"/>
      <w:kern w:val="16"/>
      <w:szCs w:val="20"/>
    </w:rPr>
  </w:style>
  <w:style w:type="paragraph" w:customStyle="1" w:styleId="CommentDot">
    <w:name w:val="Comment Dot"/>
    <w:basedOn w:val="Comment2"/>
    <w:qFormat/>
    <w:rsid w:val="000435F5"/>
    <w:pPr>
      <w:numPr>
        <w:numId w:val="9"/>
      </w:numPr>
      <w:tabs>
        <w:tab w:val="clear" w:pos="1134"/>
      </w:tabs>
      <w:spacing w:before="120"/>
      <w:ind w:left="1418" w:hanging="284"/>
    </w:pPr>
  </w:style>
  <w:style w:type="paragraph" w:customStyle="1" w:styleId="Instructions1">
    <w:name w:val="Instructions 1"/>
    <w:basedOn w:val="Normal"/>
    <w:qFormat/>
    <w:rsid w:val="000435F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rPr>
  </w:style>
  <w:style w:type="paragraph" w:customStyle="1" w:styleId="Instructions2">
    <w:name w:val="Instructions 2"/>
    <w:basedOn w:val="Normal"/>
    <w:qFormat/>
    <w:rsid w:val="000435F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rPr>
  </w:style>
  <w:style w:type="character" w:styleId="CommentReference">
    <w:name w:val="annotation reference"/>
    <w:rsid w:val="000435F5"/>
    <w:rPr>
      <w:sz w:val="16"/>
      <w:szCs w:val="16"/>
    </w:rPr>
  </w:style>
  <w:style w:type="paragraph" w:styleId="CommentSubject">
    <w:name w:val="annotation subject"/>
    <w:basedOn w:val="CommentText"/>
    <w:next w:val="CommentText"/>
    <w:link w:val="CommentSubjectChar"/>
    <w:rsid w:val="000435F5"/>
    <w:rPr>
      <w:b/>
      <w:bCs/>
    </w:rPr>
  </w:style>
  <w:style w:type="character" w:customStyle="1" w:styleId="CommentSubjectChar">
    <w:name w:val="Comment Subject Char"/>
    <w:basedOn w:val="CommentTextChar"/>
    <w:link w:val="CommentSubject"/>
    <w:rsid w:val="000435F5"/>
    <w:rPr>
      <w:rFonts w:ascii="Cambria" w:eastAsia="Times New Roman" w:hAnsi="Cambria" w:cs="Times New Roman"/>
      <w:b/>
      <w:bCs/>
      <w:kern w:val="16"/>
      <w:sz w:val="20"/>
      <w:szCs w:val="20"/>
    </w:rPr>
  </w:style>
  <w:style w:type="paragraph" w:customStyle="1" w:styleId="Contentslist1">
    <w:name w:val="Contents list 1"/>
    <w:basedOn w:val="Normal"/>
    <w:qFormat/>
    <w:rsid w:val="000435F5"/>
    <w:pPr>
      <w:tabs>
        <w:tab w:val="right" w:leader="dot" w:pos="9356"/>
      </w:tabs>
      <w:spacing w:line="240" w:lineRule="auto"/>
    </w:pPr>
    <w:rPr>
      <w:rFonts w:eastAsia="Times New Roman"/>
      <w:b/>
      <w:kern w:val="16"/>
      <w:sz w:val="20"/>
      <w:szCs w:val="24"/>
    </w:rPr>
  </w:style>
  <w:style w:type="paragraph" w:customStyle="1" w:styleId="Contentslist2">
    <w:name w:val="Contents list 2"/>
    <w:basedOn w:val="Contentslist1"/>
    <w:qFormat/>
    <w:rsid w:val="000435F5"/>
    <w:pPr>
      <w:spacing w:before="0" w:after="0"/>
    </w:pPr>
    <w:rPr>
      <w:b w:val="0"/>
    </w:rPr>
  </w:style>
  <w:style w:type="paragraph" w:customStyle="1" w:styleId="Default">
    <w:name w:val="Default"/>
    <w:rsid w:val="000435F5"/>
    <w:pPr>
      <w:autoSpaceDE w:val="0"/>
      <w:autoSpaceDN w:val="0"/>
      <w:adjustRightInd w:val="0"/>
      <w:spacing w:after="0" w:line="240" w:lineRule="auto"/>
    </w:pPr>
    <w:rPr>
      <w:rFonts w:ascii="Verdana" w:eastAsia="Times New Roman" w:hAnsi="Verdana" w:cs="Verdana"/>
      <w:color w:val="000000"/>
      <w:sz w:val="24"/>
      <w:szCs w:val="24"/>
    </w:rPr>
  </w:style>
  <w:style w:type="paragraph" w:styleId="Revision">
    <w:name w:val="Revision"/>
    <w:hidden/>
    <w:uiPriority w:val="99"/>
    <w:semiHidden/>
    <w:rsid w:val="000435F5"/>
    <w:pPr>
      <w:spacing w:after="0" w:line="240" w:lineRule="auto"/>
    </w:pPr>
    <w:rPr>
      <w:rFonts w:ascii="Cambria" w:eastAsia="Times New Roman" w:hAnsi="Cambria" w:cs="Times New Roman"/>
      <w:kern w:val="16"/>
      <w:szCs w:val="24"/>
    </w:rPr>
  </w:style>
  <w:style w:type="character" w:customStyle="1" w:styleId="apple-converted-space">
    <w:name w:val="apple-converted-space"/>
    <w:basedOn w:val="DefaultParagraphFont"/>
    <w:rsid w:val="000435F5"/>
  </w:style>
  <w:style w:type="character" w:customStyle="1" w:styleId="highlight">
    <w:name w:val="highlight"/>
    <w:basedOn w:val="DefaultParagraphFont"/>
    <w:rsid w:val="000435F5"/>
  </w:style>
  <w:style w:type="character" w:customStyle="1" w:styleId="ui-ncbitoggler-master-text">
    <w:name w:val="ui-ncbitoggler-master-text"/>
    <w:basedOn w:val="DefaultParagraphFont"/>
    <w:rsid w:val="000435F5"/>
  </w:style>
  <w:style w:type="paragraph" w:styleId="NormalWeb">
    <w:name w:val="Normal (Web)"/>
    <w:basedOn w:val="Normal"/>
    <w:uiPriority w:val="99"/>
    <w:unhideWhenUsed/>
    <w:rsid w:val="000435F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ource">
    <w:name w:val="source"/>
    <w:basedOn w:val="DefaultParagraphFont"/>
    <w:rsid w:val="000435F5"/>
  </w:style>
  <w:style w:type="character" w:customStyle="1" w:styleId="jrnl">
    <w:name w:val="jrnl"/>
    <w:basedOn w:val="DefaultParagraphFont"/>
    <w:rsid w:val="000435F5"/>
  </w:style>
  <w:style w:type="paragraph" w:customStyle="1" w:styleId="Title1">
    <w:name w:val="Title1"/>
    <w:basedOn w:val="Normal"/>
    <w:rsid w:val="000435F5"/>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3.xm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microsoft.com/office/2007/relationships/hdphoto" Target="media/hdphoto3.wdp"/><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07/relationships/hdphoto" Target="media/hdphoto2.wdp"/><Relationship Id="rId59" Type="http://schemas.openxmlformats.org/officeDocument/2006/relationships/image" Target="media/image44.png"/><Relationship Id="rId6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126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47609-FFF8-4239-9955-ADBBBF81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88</TotalTime>
  <Pages>179</Pages>
  <Words>71052</Words>
  <Characters>405002</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475104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forIpilimumab (rch)</dc:title>
  <dc:subject>prescription medicines</dc:subject>
  <dc:creator>Therapeutic Goods Administration</dc:creator>
  <cp:keywords>AusPARs</cp:keywords>
  <cp:lastModifiedBy>LACK, Janet</cp:lastModifiedBy>
  <cp:revision>4</cp:revision>
  <cp:lastPrinted>2016-12-16T03:04:00Z</cp:lastPrinted>
  <dcterms:created xsi:type="dcterms:W3CDTF">2017-02-14T00:56:00Z</dcterms:created>
  <dcterms:modified xsi:type="dcterms:W3CDTF">2017-02-23T01:29:00Z</dcterms:modified>
</cp:coreProperties>
</file>