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8088796" w14:textId="77777777" w:rsidTr="00BF1190">
        <w:trPr>
          <w:trHeight w:val="1863"/>
        </w:trPr>
        <w:tc>
          <w:tcPr>
            <w:tcW w:w="3652" w:type="dxa"/>
            <w:tcBorders>
              <w:top w:val="nil"/>
              <w:left w:val="nil"/>
              <w:bottom w:val="nil"/>
              <w:right w:val="nil"/>
            </w:tcBorders>
          </w:tcPr>
          <w:p w14:paraId="1C51C53D" w14:textId="77E7CEA2" w:rsidR="008E7846" w:rsidRPr="00096AA7" w:rsidRDefault="0086610F" w:rsidP="00096AA7">
            <w:pPr>
              <w:rPr>
                <w:rFonts w:ascii="Arial" w:hAnsi="Arial" w:cs="Arial"/>
                <w:b/>
                <w:color w:val="002C47"/>
                <w:sz w:val="36"/>
                <w:szCs w:val="36"/>
              </w:rPr>
            </w:pPr>
            <w:r>
              <w:rPr>
                <w:rFonts w:ascii="Arial" w:hAnsi="Arial" w:cs="Arial"/>
                <w:b/>
                <w:color w:val="002C47"/>
                <w:sz w:val="36"/>
                <w:szCs w:val="36"/>
              </w:rPr>
              <w:t>December</w:t>
            </w:r>
            <w:r w:rsidR="00F140D4">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1E4E0B4" w14:textId="77777777" w:rsidTr="0032583B">
        <w:trPr>
          <w:trHeight w:val="868"/>
        </w:trPr>
        <w:tc>
          <w:tcPr>
            <w:tcW w:w="9079" w:type="dxa"/>
          </w:tcPr>
          <w:p w14:paraId="4A46317A" w14:textId="4439F9C5" w:rsidR="0032583B" w:rsidRPr="00A964D1" w:rsidRDefault="0032583B" w:rsidP="00F140D4">
            <w:pPr>
              <w:pStyle w:val="Title"/>
              <w:rPr>
                <w:color w:val="FFFFFF" w:themeColor="background1"/>
              </w:rPr>
            </w:pPr>
            <w:r w:rsidRPr="00A964D1">
              <w:rPr>
                <w:color w:val="FFFFFF" w:themeColor="background1"/>
              </w:rPr>
              <w:t xml:space="preserve">Australian Public Assessment Report for </w:t>
            </w:r>
            <w:r w:rsidR="0086610F">
              <w:rPr>
                <w:color w:val="FFFFFF" w:themeColor="background1"/>
              </w:rPr>
              <w:t>I</w:t>
            </w:r>
            <w:r w:rsidR="00F140D4">
              <w:rPr>
                <w:color w:val="FFFFFF" w:themeColor="background1"/>
              </w:rPr>
              <w:t>odised oil</w:t>
            </w:r>
          </w:p>
        </w:tc>
      </w:tr>
      <w:tr w:rsidR="0032583B" w:rsidRPr="00B64760" w14:paraId="70A6C42B" w14:textId="77777777" w:rsidTr="0032583B">
        <w:tc>
          <w:tcPr>
            <w:tcW w:w="9079" w:type="dxa"/>
          </w:tcPr>
          <w:p w14:paraId="448D0287" w14:textId="77777777" w:rsidR="0032583B" w:rsidRPr="008E7846" w:rsidRDefault="0032583B" w:rsidP="00F140D4">
            <w:pPr>
              <w:pStyle w:val="Subtitle"/>
              <w:rPr>
                <w:color w:val="FFFFFF" w:themeColor="background1"/>
              </w:rPr>
            </w:pPr>
            <w:r w:rsidRPr="008E7846">
              <w:rPr>
                <w:color w:val="FFFFFF" w:themeColor="background1"/>
              </w:rPr>
              <w:t xml:space="preserve">Proprietary Product Name: </w:t>
            </w:r>
            <w:r w:rsidR="00F140D4">
              <w:rPr>
                <w:color w:val="FFFFFF" w:themeColor="background1"/>
              </w:rPr>
              <w:t>Lipiodol</w:t>
            </w:r>
            <w:r w:rsidR="00162282">
              <w:rPr>
                <w:color w:val="FFFFFF" w:themeColor="background1"/>
              </w:rPr>
              <w:t xml:space="preserve"> Ultra Fluid</w:t>
            </w:r>
          </w:p>
        </w:tc>
      </w:tr>
      <w:tr w:rsidR="0032583B" w:rsidRPr="00B64760" w14:paraId="1E452867" w14:textId="77777777" w:rsidTr="0032583B">
        <w:trPr>
          <w:trHeight w:val="486"/>
        </w:trPr>
        <w:tc>
          <w:tcPr>
            <w:tcW w:w="9079" w:type="dxa"/>
          </w:tcPr>
          <w:p w14:paraId="48C08F45" w14:textId="77777777" w:rsidR="0032583B" w:rsidRPr="008E7846" w:rsidRDefault="00460036" w:rsidP="00F140D4">
            <w:pPr>
              <w:pStyle w:val="Subtitle"/>
              <w:rPr>
                <w:color w:val="FFFFFF" w:themeColor="background1"/>
              </w:rPr>
            </w:pPr>
            <w:r>
              <w:rPr>
                <w:color w:val="FFFFFF" w:themeColor="background1"/>
              </w:rPr>
              <w:t xml:space="preserve">Sponsor: </w:t>
            </w:r>
            <w:r w:rsidR="00F140D4">
              <w:rPr>
                <w:color w:val="FFFFFF" w:themeColor="background1"/>
              </w:rPr>
              <w:t>Guerbet Australia</w:t>
            </w:r>
          </w:p>
        </w:tc>
      </w:tr>
    </w:tbl>
    <w:p w14:paraId="5E2BC531" w14:textId="77777777" w:rsidR="008E7846" w:rsidRPr="0085156D" w:rsidRDefault="008E7846" w:rsidP="0085156D">
      <w:r w:rsidRPr="0085156D">
        <w:br w:type="page"/>
      </w:r>
    </w:p>
    <w:p w14:paraId="5038D778" w14:textId="77777777" w:rsidR="008E7846" w:rsidRPr="001F6CBA" w:rsidRDefault="008E7846" w:rsidP="008E7846">
      <w:pPr>
        <w:pStyle w:val="NonTOCHeading2"/>
      </w:pPr>
      <w:r w:rsidRPr="001F6CBA">
        <w:lastRenderedPageBreak/>
        <w:t>About the Therapeutic Goods Administration (TGA)</w:t>
      </w:r>
    </w:p>
    <w:p w14:paraId="2FAEFB4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6EB713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164412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E25132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F5D3EE6" w14:textId="1942F0B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1742D513" w14:textId="77777777" w:rsidR="008E7846" w:rsidRDefault="008E7846" w:rsidP="00875A6B">
      <w:pPr>
        <w:pStyle w:val="NonTOCHeading2"/>
      </w:pPr>
      <w:r>
        <w:t>About AusPARs</w:t>
      </w:r>
    </w:p>
    <w:p w14:paraId="79F4F35E"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5296990" w14:textId="77777777" w:rsidR="008E7846" w:rsidRDefault="008E7846" w:rsidP="008E7846">
      <w:pPr>
        <w:pStyle w:val="ListBullet"/>
        <w:numPr>
          <w:ilvl w:val="0"/>
          <w:numId w:val="3"/>
        </w:numPr>
        <w:ind w:left="357" w:hanging="357"/>
      </w:pPr>
      <w:r>
        <w:t>AusPARs are prepared and published by the TGA.</w:t>
      </w:r>
    </w:p>
    <w:p w14:paraId="60C3A26F"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C3B767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03C4331"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2EA7CBA" w14:textId="77777777" w:rsidR="00924482" w:rsidRPr="00DF1D7F" w:rsidRDefault="00924482" w:rsidP="00F54B65">
      <w:pPr>
        <w:pStyle w:val="LegalSubheading"/>
        <w:spacing w:before="3120"/>
      </w:pPr>
      <w:r w:rsidRPr="00DF1D7F">
        <w:t>Copyright</w:t>
      </w:r>
    </w:p>
    <w:p w14:paraId="38BFC1D0" w14:textId="381999D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2F7B2506"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2483691" w14:textId="77777777" w:rsidR="0089635C" w:rsidRPr="0089635C" w:rsidRDefault="0089635C" w:rsidP="0010788A">
          <w:pPr>
            <w:pStyle w:val="Contents"/>
          </w:pPr>
          <w:r w:rsidRPr="0010788A">
            <w:t>Contents</w:t>
          </w:r>
        </w:p>
        <w:p w14:paraId="776F71B1" w14:textId="6C7EF6EF" w:rsidR="004C2A8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1253613" w:history="1">
            <w:r w:rsidR="004C2A83" w:rsidRPr="00C074F6">
              <w:rPr>
                <w:rStyle w:val="Hyperlink"/>
                <w:noProof/>
              </w:rPr>
              <w:t>Common abbreviations</w:t>
            </w:r>
            <w:r w:rsidR="004C2A83">
              <w:rPr>
                <w:noProof/>
                <w:webHidden/>
              </w:rPr>
              <w:tab/>
            </w:r>
            <w:r w:rsidR="004C2A83">
              <w:rPr>
                <w:noProof/>
                <w:webHidden/>
              </w:rPr>
              <w:fldChar w:fldCharType="begin"/>
            </w:r>
            <w:r w:rsidR="004C2A83">
              <w:rPr>
                <w:noProof/>
                <w:webHidden/>
              </w:rPr>
              <w:instrText xml:space="preserve"> PAGEREF _Toc61253613 \h </w:instrText>
            </w:r>
            <w:r w:rsidR="004C2A83">
              <w:rPr>
                <w:noProof/>
                <w:webHidden/>
              </w:rPr>
            </w:r>
            <w:r w:rsidR="004C2A83">
              <w:rPr>
                <w:noProof/>
                <w:webHidden/>
              </w:rPr>
              <w:fldChar w:fldCharType="separate"/>
            </w:r>
            <w:r w:rsidR="004C2A83">
              <w:rPr>
                <w:noProof/>
                <w:webHidden/>
              </w:rPr>
              <w:t>4</w:t>
            </w:r>
            <w:r w:rsidR="004C2A83">
              <w:rPr>
                <w:noProof/>
                <w:webHidden/>
              </w:rPr>
              <w:fldChar w:fldCharType="end"/>
            </w:r>
          </w:hyperlink>
        </w:p>
        <w:p w14:paraId="096984BF" w14:textId="1252B3B8" w:rsidR="004C2A83" w:rsidRDefault="004C2A83">
          <w:pPr>
            <w:pStyle w:val="TOC1"/>
            <w:rPr>
              <w:rFonts w:asciiTheme="minorHAnsi" w:eastAsiaTheme="minorEastAsia" w:hAnsiTheme="minorHAnsi" w:cstheme="minorBidi"/>
              <w:b w:val="0"/>
              <w:noProof/>
              <w:sz w:val="22"/>
              <w:lang w:eastAsia="en-AU"/>
            </w:rPr>
          </w:pPr>
          <w:hyperlink w:anchor="_Toc61253614" w:history="1">
            <w:r w:rsidRPr="00C074F6">
              <w:rPr>
                <w:rStyle w:val="Hyperlink"/>
                <w:noProof/>
              </w:rPr>
              <w:t>I. Introduction to product submission</w:t>
            </w:r>
            <w:r>
              <w:rPr>
                <w:noProof/>
                <w:webHidden/>
              </w:rPr>
              <w:tab/>
            </w:r>
            <w:r>
              <w:rPr>
                <w:noProof/>
                <w:webHidden/>
              </w:rPr>
              <w:fldChar w:fldCharType="begin"/>
            </w:r>
            <w:r>
              <w:rPr>
                <w:noProof/>
                <w:webHidden/>
              </w:rPr>
              <w:instrText xml:space="preserve"> PAGEREF _Toc61253614 \h </w:instrText>
            </w:r>
            <w:r>
              <w:rPr>
                <w:noProof/>
                <w:webHidden/>
              </w:rPr>
            </w:r>
            <w:r>
              <w:rPr>
                <w:noProof/>
                <w:webHidden/>
              </w:rPr>
              <w:fldChar w:fldCharType="separate"/>
            </w:r>
            <w:r>
              <w:rPr>
                <w:noProof/>
                <w:webHidden/>
              </w:rPr>
              <w:t>5</w:t>
            </w:r>
            <w:r>
              <w:rPr>
                <w:noProof/>
                <w:webHidden/>
              </w:rPr>
              <w:fldChar w:fldCharType="end"/>
            </w:r>
          </w:hyperlink>
        </w:p>
        <w:p w14:paraId="3016472A" w14:textId="6AB65938" w:rsidR="004C2A83" w:rsidRDefault="004C2A83">
          <w:pPr>
            <w:pStyle w:val="TOC2"/>
            <w:rPr>
              <w:rFonts w:asciiTheme="minorHAnsi" w:eastAsiaTheme="minorEastAsia" w:hAnsiTheme="minorHAnsi" w:cstheme="minorBidi"/>
              <w:b w:val="0"/>
              <w:noProof/>
              <w:sz w:val="22"/>
              <w:lang w:eastAsia="en-AU"/>
            </w:rPr>
          </w:pPr>
          <w:hyperlink w:anchor="_Toc61253615" w:history="1">
            <w:r w:rsidRPr="00C074F6">
              <w:rPr>
                <w:rStyle w:val="Hyperlink"/>
                <w:noProof/>
                <w:lang w:eastAsia="en-AU"/>
              </w:rPr>
              <w:t>Submission details</w:t>
            </w:r>
            <w:r>
              <w:rPr>
                <w:noProof/>
                <w:webHidden/>
              </w:rPr>
              <w:tab/>
            </w:r>
            <w:r>
              <w:rPr>
                <w:noProof/>
                <w:webHidden/>
              </w:rPr>
              <w:fldChar w:fldCharType="begin"/>
            </w:r>
            <w:r>
              <w:rPr>
                <w:noProof/>
                <w:webHidden/>
              </w:rPr>
              <w:instrText xml:space="preserve"> PAGEREF _Toc61253615 \h </w:instrText>
            </w:r>
            <w:r>
              <w:rPr>
                <w:noProof/>
                <w:webHidden/>
              </w:rPr>
            </w:r>
            <w:r>
              <w:rPr>
                <w:noProof/>
                <w:webHidden/>
              </w:rPr>
              <w:fldChar w:fldCharType="separate"/>
            </w:r>
            <w:r>
              <w:rPr>
                <w:noProof/>
                <w:webHidden/>
              </w:rPr>
              <w:t>5</w:t>
            </w:r>
            <w:r>
              <w:rPr>
                <w:noProof/>
                <w:webHidden/>
              </w:rPr>
              <w:fldChar w:fldCharType="end"/>
            </w:r>
          </w:hyperlink>
        </w:p>
        <w:p w14:paraId="61B4DD70" w14:textId="005DA848" w:rsidR="004C2A83" w:rsidRDefault="004C2A83">
          <w:pPr>
            <w:pStyle w:val="TOC2"/>
            <w:rPr>
              <w:rFonts w:asciiTheme="minorHAnsi" w:eastAsiaTheme="minorEastAsia" w:hAnsiTheme="minorHAnsi" w:cstheme="minorBidi"/>
              <w:b w:val="0"/>
              <w:noProof/>
              <w:sz w:val="22"/>
              <w:lang w:eastAsia="en-AU"/>
            </w:rPr>
          </w:pPr>
          <w:hyperlink w:anchor="_Toc61253616" w:history="1">
            <w:r w:rsidRPr="00C074F6">
              <w:rPr>
                <w:rStyle w:val="Hyperlink"/>
                <w:noProof/>
              </w:rPr>
              <w:t>Product background</w:t>
            </w:r>
            <w:r>
              <w:rPr>
                <w:noProof/>
                <w:webHidden/>
              </w:rPr>
              <w:tab/>
            </w:r>
            <w:r>
              <w:rPr>
                <w:noProof/>
                <w:webHidden/>
              </w:rPr>
              <w:fldChar w:fldCharType="begin"/>
            </w:r>
            <w:r>
              <w:rPr>
                <w:noProof/>
                <w:webHidden/>
              </w:rPr>
              <w:instrText xml:space="preserve"> PAGEREF _Toc61253616 \h </w:instrText>
            </w:r>
            <w:r>
              <w:rPr>
                <w:noProof/>
                <w:webHidden/>
              </w:rPr>
            </w:r>
            <w:r>
              <w:rPr>
                <w:noProof/>
                <w:webHidden/>
              </w:rPr>
              <w:fldChar w:fldCharType="separate"/>
            </w:r>
            <w:r>
              <w:rPr>
                <w:noProof/>
                <w:webHidden/>
              </w:rPr>
              <w:t>6</w:t>
            </w:r>
            <w:r>
              <w:rPr>
                <w:noProof/>
                <w:webHidden/>
              </w:rPr>
              <w:fldChar w:fldCharType="end"/>
            </w:r>
          </w:hyperlink>
        </w:p>
        <w:p w14:paraId="72A000F4" w14:textId="262669AB" w:rsidR="004C2A83" w:rsidRDefault="004C2A83">
          <w:pPr>
            <w:pStyle w:val="TOC2"/>
            <w:rPr>
              <w:rFonts w:asciiTheme="minorHAnsi" w:eastAsiaTheme="minorEastAsia" w:hAnsiTheme="minorHAnsi" w:cstheme="minorBidi"/>
              <w:b w:val="0"/>
              <w:noProof/>
              <w:sz w:val="22"/>
              <w:lang w:eastAsia="en-AU"/>
            </w:rPr>
          </w:pPr>
          <w:hyperlink w:anchor="_Toc61253617" w:history="1">
            <w:r w:rsidRPr="00C074F6">
              <w:rPr>
                <w:rStyle w:val="Hyperlink"/>
                <w:noProof/>
              </w:rPr>
              <w:t>Regulatory status</w:t>
            </w:r>
            <w:r>
              <w:rPr>
                <w:noProof/>
                <w:webHidden/>
              </w:rPr>
              <w:tab/>
            </w:r>
            <w:r>
              <w:rPr>
                <w:noProof/>
                <w:webHidden/>
              </w:rPr>
              <w:fldChar w:fldCharType="begin"/>
            </w:r>
            <w:r>
              <w:rPr>
                <w:noProof/>
                <w:webHidden/>
              </w:rPr>
              <w:instrText xml:space="preserve"> PAGEREF _Toc61253617 \h </w:instrText>
            </w:r>
            <w:r>
              <w:rPr>
                <w:noProof/>
                <w:webHidden/>
              </w:rPr>
            </w:r>
            <w:r>
              <w:rPr>
                <w:noProof/>
                <w:webHidden/>
              </w:rPr>
              <w:fldChar w:fldCharType="separate"/>
            </w:r>
            <w:r>
              <w:rPr>
                <w:noProof/>
                <w:webHidden/>
              </w:rPr>
              <w:t>7</w:t>
            </w:r>
            <w:r>
              <w:rPr>
                <w:noProof/>
                <w:webHidden/>
              </w:rPr>
              <w:fldChar w:fldCharType="end"/>
            </w:r>
          </w:hyperlink>
        </w:p>
        <w:p w14:paraId="7F5186B9" w14:textId="3F812AF7" w:rsidR="004C2A83" w:rsidRDefault="004C2A83">
          <w:pPr>
            <w:pStyle w:val="TOC2"/>
            <w:rPr>
              <w:rFonts w:asciiTheme="minorHAnsi" w:eastAsiaTheme="minorEastAsia" w:hAnsiTheme="minorHAnsi" w:cstheme="minorBidi"/>
              <w:b w:val="0"/>
              <w:noProof/>
              <w:sz w:val="22"/>
              <w:lang w:eastAsia="en-AU"/>
            </w:rPr>
          </w:pPr>
          <w:hyperlink w:anchor="_Toc61253618" w:history="1">
            <w:r w:rsidRPr="00C074F6">
              <w:rPr>
                <w:rStyle w:val="Hyperlink"/>
                <w:noProof/>
              </w:rPr>
              <w:t>Product Information</w:t>
            </w:r>
            <w:r>
              <w:rPr>
                <w:noProof/>
                <w:webHidden/>
              </w:rPr>
              <w:tab/>
            </w:r>
            <w:r>
              <w:rPr>
                <w:noProof/>
                <w:webHidden/>
              </w:rPr>
              <w:fldChar w:fldCharType="begin"/>
            </w:r>
            <w:r>
              <w:rPr>
                <w:noProof/>
                <w:webHidden/>
              </w:rPr>
              <w:instrText xml:space="preserve"> PAGEREF _Toc61253618 \h </w:instrText>
            </w:r>
            <w:r>
              <w:rPr>
                <w:noProof/>
                <w:webHidden/>
              </w:rPr>
            </w:r>
            <w:r>
              <w:rPr>
                <w:noProof/>
                <w:webHidden/>
              </w:rPr>
              <w:fldChar w:fldCharType="separate"/>
            </w:r>
            <w:r>
              <w:rPr>
                <w:noProof/>
                <w:webHidden/>
              </w:rPr>
              <w:t>8</w:t>
            </w:r>
            <w:r>
              <w:rPr>
                <w:noProof/>
                <w:webHidden/>
              </w:rPr>
              <w:fldChar w:fldCharType="end"/>
            </w:r>
          </w:hyperlink>
        </w:p>
        <w:p w14:paraId="75AA7199" w14:textId="70730388" w:rsidR="004C2A83" w:rsidRDefault="004C2A83">
          <w:pPr>
            <w:pStyle w:val="TOC1"/>
            <w:rPr>
              <w:rFonts w:asciiTheme="minorHAnsi" w:eastAsiaTheme="minorEastAsia" w:hAnsiTheme="minorHAnsi" w:cstheme="minorBidi"/>
              <w:b w:val="0"/>
              <w:noProof/>
              <w:sz w:val="22"/>
              <w:lang w:eastAsia="en-AU"/>
            </w:rPr>
          </w:pPr>
          <w:hyperlink w:anchor="_Toc61253619" w:history="1">
            <w:r w:rsidRPr="00C074F6">
              <w:rPr>
                <w:rStyle w:val="Hyperlink"/>
                <w:noProof/>
              </w:rPr>
              <w:t>II. Registration timeline</w:t>
            </w:r>
            <w:r>
              <w:rPr>
                <w:noProof/>
                <w:webHidden/>
              </w:rPr>
              <w:tab/>
            </w:r>
            <w:r>
              <w:rPr>
                <w:noProof/>
                <w:webHidden/>
              </w:rPr>
              <w:fldChar w:fldCharType="begin"/>
            </w:r>
            <w:r>
              <w:rPr>
                <w:noProof/>
                <w:webHidden/>
              </w:rPr>
              <w:instrText xml:space="preserve"> PAGEREF _Toc61253619 \h </w:instrText>
            </w:r>
            <w:r>
              <w:rPr>
                <w:noProof/>
                <w:webHidden/>
              </w:rPr>
            </w:r>
            <w:r>
              <w:rPr>
                <w:noProof/>
                <w:webHidden/>
              </w:rPr>
              <w:fldChar w:fldCharType="separate"/>
            </w:r>
            <w:r>
              <w:rPr>
                <w:noProof/>
                <w:webHidden/>
              </w:rPr>
              <w:t>8</w:t>
            </w:r>
            <w:r>
              <w:rPr>
                <w:noProof/>
                <w:webHidden/>
              </w:rPr>
              <w:fldChar w:fldCharType="end"/>
            </w:r>
          </w:hyperlink>
        </w:p>
        <w:p w14:paraId="26D4E74E" w14:textId="6D1F4278" w:rsidR="004C2A83" w:rsidRDefault="004C2A83">
          <w:pPr>
            <w:pStyle w:val="TOC1"/>
            <w:rPr>
              <w:rFonts w:asciiTheme="minorHAnsi" w:eastAsiaTheme="minorEastAsia" w:hAnsiTheme="minorHAnsi" w:cstheme="minorBidi"/>
              <w:b w:val="0"/>
              <w:noProof/>
              <w:sz w:val="22"/>
              <w:lang w:eastAsia="en-AU"/>
            </w:rPr>
          </w:pPr>
          <w:hyperlink w:anchor="_Toc61253620" w:history="1">
            <w:r w:rsidRPr="00C074F6">
              <w:rPr>
                <w:rStyle w:val="Hyperlink"/>
                <w:noProof/>
              </w:rPr>
              <w:t>III. Submission overview and risk/benefit assessment</w:t>
            </w:r>
            <w:r>
              <w:rPr>
                <w:noProof/>
                <w:webHidden/>
              </w:rPr>
              <w:tab/>
            </w:r>
            <w:r>
              <w:rPr>
                <w:noProof/>
                <w:webHidden/>
              </w:rPr>
              <w:fldChar w:fldCharType="begin"/>
            </w:r>
            <w:r>
              <w:rPr>
                <w:noProof/>
                <w:webHidden/>
              </w:rPr>
              <w:instrText xml:space="preserve"> PAGEREF _Toc61253620 \h </w:instrText>
            </w:r>
            <w:r>
              <w:rPr>
                <w:noProof/>
                <w:webHidden/>
              </w:rPr>
            </w:r>
            <w:r>
              <w:rPr>
                <w:noProof/>
                <w:webHidden/>
              </w:rPr>
              <w:fldChar w:fldCharType="separate"/>
            </w:r>
            <w:r>
              <w:rPr>
                <w:noProof/>
                <w:webHidden/>
              </w:rPr>
              <w:t>9</w:t>
            </w:r>
            <w:r>
              <w:rPr>
                <w:noProof/>
                <w:webHidden/>
              </w:rPr>
              <w:fldChar w:fldCharType="end"/>
            </w:r>
          </w:hyperlink>
        </w:p>
        <w:p w14:paraId="50BA6464" w14:textId="04CC1FE7" w:rsidR="004C2A83" w:rsidRDefault="004C2A83">
          <w:pPr>
            <w:pStyle w:val="TOC2"/>
            <w:rPr>
              <w:rFonts w:asciiTheme="minorHAnsi" w:eastAsiaTheme="minorEastAsia" w:hAnsiTheme="minorHAnsi" w:cstheme="minorBidi"/>
              <w:b w:val="0"/>
              <w:noProof/>
              <w:sz w:val="22"/>
              <w:lang w:eastAsia="en-AU"/>
            </w:rPr>
          </w:pPr>
          <w:hyperlink w:anchor="_Toc61253621" w:history="1">
            <w:r w:rsidRPr="00C074F6">
              <w:rPr>
                <w:rStyle w:val="Hyperlink"/>
                <w:noProof/>
              </w:rPr>
              <w:t>Quality</w:t>
            </w:r>
            <w:r>
              <w:rPr>
                <w:noProof/>
                <w:webHidden/>
              </w:rPr>
              <w:tab/>
            </w:r>
            <w:r>
              <w:rPr>
                <w:noProof/>
                <w:webHidden/>
              </w:rPr>
              <w:fldChar w:fldCharType="begin"/>
            </w:r>
            <w:r>
              <w:rPr>
                <w:noProof/>
                <w:webHidden/>
              </w:rPr>
              <w:instrText xml:space="preserve"> PAGEREF _Toc61253621 \h </w:instrText>
            </w:r>
            <w:r>
              <w:rPr>
                <w:noProof/>
                <w:webHidden/>
              </w:rPr>
            </w:r>
            <w:r>
              <w:rPr>
                <w:noProof/>
                <w:webHidden/>
              </w:rPr>
              <w:fldChar w:fldCharType="separate"/>
            </w:r>
            <w:r>
              <w:rPr>
                <w:noProof/>
                <w:webHidden/>
              </w:rPr>
              <w:t>9</w:t>
            </w:r>
            <w:r>
              <w:rPr>
                <w:noProof/>
                <w:webHidden/>
              </w:rPr>
              <w:fldChar w:fldCharType="end"/>
            </w:r>
          </w:hyperlink>
        </w:p>
        <w:p w14:paraId="19AA2DFE" w14:textId="780B7D1D" w:rsidR="004C2A83" w:rsidRDefault="004C2A83">
          <w:pPr>
            <w:pStyle w:val="TOC2"/>
            <w:rPr>
              <w:rFonts w:asciiTheme="minorHAnsi" w:eastAsiaTheme="minorEastAsia" w:hAnsiTheme="minorHAnsi" w:cstheme="minorBidi"/>
              <w:b w:val="0"/>
              <w:noProof/>
              <w:sz w:val="22"/>
              <w:lang w:eastAsia="en-AU"/>
            </w:rPr>
          </w:pPr>
          <w:hyperlink w:anchor="_Toc61253622" w:history="1">
            <w:r w:rsidRPr="00C074F6">
              <w:rPr>
                <w:rStyle w:val="Hyperlink"/>
                <w:noProof/>
              </w:rPr>
              <w:t>Nonclinical</w:t>
            </w:r>
            <w:r>
              <w:rPr>
                <w:noProof/>
                <w:webHidden/>
              </w:rPr>
              <w:tab/>
            </w:r>
            <w:r>
              <w:rPr>
                <w:noProof/>
                <w:webHidden/>
              </w:rPr>
              <w:fldChar w:fldCharType="begin"/>
            </w:r>
            <w:r>
              <w:rPr>
                <w:noProof/>
                <w:webHidden/>
              </w:rPr>
              <w:instrText xml:space="preserve"> PAGEREF _Toc61253622 \h </w:instrText>
            </w:r>
            <w:r>
              <w:rPr>
                <w:noProof/>
                <w:webHidden/>
              </w:rPr>
            </w:r>
            <w:r>
              <w:rPr>
                <w:noProof/>
                <w:webHidden/>
              </w:rPr>
              <w:fldChar w:fldCharType="separate"/>
            </w:r>
            <w:r>
              <w:rPr>
                <w:noProof/>
                <w:webHidden/>
              </w:rPr>
              <w:t>9</w:t>
            </w:r>
            <w:r>
              <w:rPr>
                <w:noProof/>
                <w:webHidden/>
              </w:rPr>
              <w:fldChar w:fldCharType="end"/>
            </w:r>
          </w:hyperlink>
        </w:p>
        <w:p w14:paraId="30B31EB3" w14:textId="0CBF6591" w:rsidR="004C2A83" w:rsidRDefault="004C2A83">
          <w:pPr>
            <w:pStyle w:val="TOC2"/>
            <w:rPr>
              <w:rFonts w:asciiTheme="minorHAnsi" w:eastAsiaTheme="minorEastAsia" w:hAnsiTheme="minorHAnsi" w:cstheme="minorBidi"/>
              <w:b w:val="0"/>
              <w:noProof/>
              <w:sz w:val="22"/>
              <w:lang w:eastAsia="en-AU"/>
            </w:rPr>
          </w:pPr>
          <w:hyperlink w:anchor="_Toc61253623" w:history="1">
            <w:r w:rsidRPr="00C074F6">
              <w:rPr>
                <w:rStyle w:val="Hyperlink"/>
                <w:noProof/>
              </w:rPr>
              <w:t>Clinical</w:t>
            </w:r>
            <w:r>
              <w:rPr>
                <w:noProof/>
                <w:webHidden/>
              </w:rPr>
              <w:tab/>
            </w:r>
            <w:r>
              <w:rPr>
                <w:noProof/>
                <w:webHidden/>
              </w:rPr>
              <w:fldChar w:fldCharType="begin"/>
            </w:r>
            <w:r>
              <w:rPr>
                <w:noProof/>
                <w:webHidden/>
              </w:rPr>
              <w:instrText xml:space="preserve"> PAGEREF _Toc61253623 \h </w:instrText>
            </w:r>
            <w:r>
              <w:rPr>
                <w:noProof/>
                <w:webHidden/>
              </w:rPr>
            </w:r>
            <w:r>
              <w:rPr>
                <w:noProof/>
                <w:webHidden/>
              </w:rPr>
              <w:fldChar w:fldCharType="separate"/>
            </w:r>
            <w:r>
              <w:rPr>
                <w:noProof/>
                <w:webHidden/>
              </w:rPr>
              <w:t>10</w:t>
            </w:r>
            <w:r>
              <w:rPr>
                <w:noProof/>
                <w:webHidden/>
              </w:rPr>
              <w:fldChar w:fldCharType="end"/>
            </w:r>
          </w:hyperlink>
        </w:p>
        <w:p w14:paraId="62AD800F" w14:textId="178F2202" w:rsidR="004C2A83" w:rsidRDefault="004C2A83">
          <w:pPr>
            <w:pStyle w:val="TOC2"/>
            <w:rPr>
              <w:rFonts w:asciiTheme="minorHAnsi" w:eastAsiaTheme="minorEastAsia" w:hAnsiTheme="minorHAnsi" w:cstheme="minorBidi"/>
              <w:b w:val="0"/>
              <w:noProof/>
              <w:sz w:val="22"/>
              <w:lang w:eastAsia="en-AU"/>
            </w:rPr>
          </w:pPr>
          <w:hyperlink w:anchor="_Toc61253624" w:history="1">
            <w:r w:rsidRPr="00C074F6">
              <w:rPr>
                <w:rStyle w:val="Hyperlink"/>
                <w:noProof/>
                <w:lang w:eastAsia="en-AU"/>
              </w:rPr>
              <w:t>Risk management plan</w:t>
            </w:r>
            <w:r>
              <w:rPr>
                <w:noProof/>
                <w:webHidden/>
              </w:rPr>
              <w:tab/>
            </w:r>
            <w:r>
              <w:rPr>
                <w:noProof/>
                <w:webHidden/>
              </w:rPr>
              <w:fldChar w:fldCharType="begin"/>
            </w:r>
            <w:r>
              <w:rPr>
                <w:noProof/>
                <w:webHidden/>
              </w:rPr>
              <w:instrText xml:space="preserve"> PAGEREF _Toc61253624 \h </w:instrText>
            </w:r>
            <w:r>
              <w:rPr>
                <w:noProof/>
                <w:webHidden/>
              </w:rPr>
            </w:r>
            <w:r>
              <w:rPr>
                <w:noProof/>
                <w:webHidden/>
              </w:rPr>
              <w:fldChar w:fldCharType="separate"/>
            </w:r>
            <w:r>
              <w:rPr>
                <w:noProof/>
                <w:webHidden/>
              </w:rPr>
              <w:t>18</w:t>
            </w:r>
            <w:r>
              <w:rPr>
                <w:noProof/>
                <w:webHidden/>
              </w:rPr>
              <w:fldChar w:fldCharType="end"/>
            </w:r>
          </w:hyperlink>
        </w:p>
        <w:p w14:paraId="3516A0C8" w14:textId="5E4F147D" w:rsidR="004C2A83" w:rsidRDefault="004C2A83">
          <w:pPr>
            <w:pStyle w:val="TOC2"/>
            <w:rPr>
              <w:rFonts w:asciiTheme="minorHAnsi" w:eastAsiaTheme="minorEastAsia" w:hAnsiTheme="minorHAnsi" w:cstheme="minorBidi"/>
              <w:b w:val="0"/>
              <w:noProof/>
              <w:sz w:val="22"/>
              <w:lang w:eastAsia="en-AU"/>
            </w:rPr>
          </w:pPr>
          <w:hyperlink w:anchor="_Toc61253625" w:history="1">
            <w:r w:rsidRPr="00C074F6">
              <w:rPr>
                <w:rStyle w:val="Hyperlink"/>
                <w:noProof/>
              </w:rPr>
              <w:t>Risk-benefit analysis</w:t>
            </w:r>
            <w:r>
              <w:rPr>
                <w:noProof/>
                <w:webHidden/>
              </w:rPr>
              <w:tab/>
            </w:r>
            <w:r>
              <w:rPr>
                <w:noProof/>
                <w:webHidden/>
              </w:rPr>
              <w:fldChar w:fldCharType="begin"/>
            </w:r>
            <w:r>
              <w:rPr>
                <w:noProof/>
                <w:webHidden/>
              </w:rPr>
              <w:instrText xml:space="preserve"> PAGEREF _Toc61253625 \h </w:instrText>
            </w:r>
            <w:r>
              <w:rPr>
                <w:noProof/>
                <w:webHidden/>
              </w:rPr>
            </w:r>
            <w:r>
              <w:rPr>
                <w:noProof/>
                <w:webHidden/>
              </w:rPr>
              <w:fldChar w:fldCharType="separate"/>
            </w:r>
            <w:r>
              <w:rPr>
                <w:noProof/>
                <w:webHidden/>
              </w:rPr>
              <w:t>19</w:t>
            </w:r>
            <w:r>
              <w:rPr>
                <w:noProof/>
                <w:webHidden/>
              </w:rPr>
              <w:fldChar w:fldCharType="end"/>
            </w:r>
          </w:hyperlink>
        </w:p>
        <w:p w14:paraId="4022F09F" w14:textId="6946EDCF" w:rsidR="004C2A83" w:rsidRDefault="004C2A83">
          <w:pPr>
            <w:pStyle w:val="TOC2"/>
            <w:rPr>
              <w:rFonts w:asciiTheme="minorHAnsi" w:eastAsiaTheme="minorEastAsia" w:hAnsiTheme="minorHAnsi" w:cstheme="minorBidi"/>
              <w:b w:val="0"/>
              <w:noProof/>
              <w:sz w:val="22"/>
              <w:lang w:eastAsia="en-AU"/>
            </w:rPr>
          </w:pPr>
          <w:hyperlink w:anchor="_Toc61253626" w:history="1">
            <w:r w:rsidRPr="00C074F6">
              <w:rPr>
                <w:rStyle w:val="Hyperlink"/>
                <w:noProof/>
              </w:rPr>
              <w:t>Outcome</w:t>
            </w:r>
            <w:r>
              <w:rPr>
                <w:noProof/>
                <w:webHidden/>
              </w:rPr>
              <w:tab/>
            </w:r>
            <w:r>
              <w:rPr>
                <w:noProof/>
                <w:webHidden/>
              </w:rPr>
              <w:fldChar w:fldCharType="begin"/>
            </w:r>
            <w:r>
              <w:rPr>
                <w:noProof/>
                <w:webHidden/>
              </w:rPr>
              <w:instrText xml:space="preserve"> PAGEREF _Toc61253626 \h </w:instrText>
            </w:r>
            <w:r>
              <w:rPr>
                <w:noProof/>
                <w:webHidden/>
              </w:rPr>
            </w:r>
            <w:r>
              <w:rPr>
                <w:noProof/>
                <w:webHidden/>
              </w:rPr>
              <w:fldChar w:fldCharType="separate"/>
            </w:r>
            <w:r>
              <w:rPr>
                <w:noProof/>
                <w:webHidden/>
              </w:rPr>
              <w:t>22</w:t>
            </w:r>
            <w:r>
              <w:rPr>
                <w:noProof/>
                <w:webHidden/>
              </w:rPr>
              <w:fldChar w:fldCharType="end"/>
            </w:r>
          </w:hyperlink>
        </w:p>
        <w:p w14:paraId="1775E70B" w14:textId="0E5CD11F" w:rsidR="004C2A83" w:rsidRDefault="004C2A83">
          <w:pPr>
            <w:pStyle w:val="TOC1"/>
            <w:rPr>
              <w:rFonts w:asciiTheme="minorHAnsi" w:eastAsiaTheme="minorEastAsia" w:hAnsiTheme="minorHAnsi" w:cstheme="minorBidi"/>
              <w:b w:val="0"/>
              <w:noProof/>
              <w:sz w:val="22"/>
              <w:lang w:eastAsia="en-AU"/>
            </w:rPr>
          </w:pPr>
          <w:hyperlink w:anchor="_Toc61253627" w:history="1">
            <w:r w:rsidRPr="00C074F6">
              <w:rPr>
                <w:rStyle w:val="Hyperlink"/>
                <w:noProof/>
              </w:rPr>
              <w:t>Attachment 1. Product Information</w:t>
            </w:r>
            <w:r>
              <w:rPr>
                <w:noProof/>
                <w:webHidden/>
              </w:rPr>
              <w:tab/>
            </w:r>
            <w:r>
              <w:rPr>
                <w:noProof/>
                <w:webHidden/>
              </w:rPr>
              <w:fldChar w:fldCharType="begin"/>
            </w:r>
            <w:r>
              <w:rPr>
                <w:noProof/>
                <w:webHidden/>
              </w:rPr>
              <w:instrText xml:space="preserve"> PAGEREF _Toc61253627 \h </w:instrText>
            </w:r>
            <w:r>
              <w:rPr>
                <w:noProof/>
                <w:webHidden/>
              </w:rPr>
            </w:r>
            <w:r>
              <w:rPr>
                <w:noProof/>
                <w:webHidden/>
              </w:rPr>
              <w:fldChar w:fldCharType="separate"/>
            </w:r>
            <w:r>
              <w:rPr>
                <w:noProof/>
                <w:webHidden/>
              </w:rPr>
              <w:t>22</w:t>
            </w:r>
            <w:r>
              <w:rPr>
                <w:noProof/>
                <w:webHidden/>
              </w:rPr>
              <w:fldChar w:fldCharType="end"/>
            </w:r>
          </w:hyperlink>
        </w:p>
        <w:p w14:paraId="748D7195" w14:textId="69839170" w:rsidR="003A7F6C" w:rsidRPr="00B811C6" w:rsidRDefault="00C525A2" w:rsidP="00B811C6">
          <w:pPr>
            <w:pStyle w:val="TOC2"/>
          </w:pPr>
          <w:r>
            <w:fldChar w:fldCharType="end"/>
          </w:r>
        </w:p>
      </w:sdtContent>
    </w:sdt>
    <w:bookmarkStart w:id="2" w:name="_Toc314842482" w:displacedByCustomXml="prev"/>
    <w:p w14:paraId="714B46F4" w14:textId="77777777" w:rsidR="00FD119B" w:rsidRDefault="00FD119B">
      <w:pPr>
        <w:spacing w:before="0" w:after="200" w:line="0" w:lineRule="auto"/>
      </w:pPr>
      <w:r>
        <w:br w:type="page"/>
      </w:r>
    </w:p>
    <w:p w14:paraId="6FEDF925" w14:textId="77777777" w:rsidR="00C52E24" w:rsidRPr="00C52E24" w:rsidRDefault="00441C3F" w:rsidP="00F140D4">
      <w:pPr>
        <w:pStyle w:val="Heading2"/>
      </w:pPr>
      <w:bookmarkStart w:id="3" w:name="_Toc351716269"/>
      <w:bookmarkStart w:id="4" w:name="_Toc351718881"/>
      <w:bookmarkStart w:id="5" w:name="_Toc355338616"/>
      <w:bookmarkStart w:id="6" w:name="_Toc356306144"/>
      <w:bookmarkStart w:id="7" w:name="_Toc61253613"/>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8"/>
        <w:gridCol w:w="6696"/>
      </w:tblGrid>
      <w:tr w:rsidR="00FD119B" w:rsidRPr="00FD119B" w14:paraId="1495702C" w14:textId="77777777" w:rsidTr="005C312E">
        <w:trPr>
          <w:cnfStyle w:val="100000000000" w:firstRow="1" w:lastRow="0" w:firstColumn="0" w:lastColumn="0" w:oddVBand="0" w:evenVBand="0" w:oddHBand="0" w:evenHBand="0" w:firstRowFirstColumn="0" w:firstRowLastColumn="0" w:lastRowFirstColumn="0" w:lastRowLastColumn="0"/>
        </w:trPr>
        <w:tc>
          <w:tcPr>
            <w:tcW w:w="1798" w:type="dxa"/>
            <w:tcBorders>
              <w:top w:val="single" w:sz="4" w:space="0" w:color="auto"/>
              <w:left w:val="single" w:sz="4" w:space="0" w:color="auto"/>
              <w:bottom w:val="single" w:sz="4" w:space="0" w:color="auto"/>
              <w:right w:val="single" w:sz="4" w:space="0" w:color="auto"/>
            </w:tcBorders>
          </w:tcPr>
          <w:p w14:paraId="177C000C" w14:textId="77777777" w:rsidR="00FD119B" w:rsidRPr="00FD119B" w:rsidRDefault="00FD119B" w:rsidP="00CF5DAD">
            <w:pPr>
              <w:keepNext w:val="0"/>
              <w:ind w:left="0" w:right="0"/>
              <w:rPr>
                <w:szCs w:val="22"/>
                <w:lang w:eastAsia="en-US"/>
              </w:rPr>
            </w:pPr>
            <w:r w:rsidRPr="00FD119B">
              <w:rPr>
                <w:szCs w:val="22"/>
                <w:lang w:eastAsia="en-US"/>
              </w:rPr>
              <w:t>Abbreviation</w:t>
            </w:r>
          </w:p>
        </w:tc>
        <w:tc>
          <w:tcPr>
            <w:tcW w:w="6696" w:type="dxa"/>
            <w:tcBorders>
              <w:top w:val="single" w:sz="4" w:space="0" w:color="auto"/>
              <w:left w:val="single" w:sz="4" w:space="0" w:color="auto"/>
              <w:bottom w:val="single" w:sz="4" w:space="0" w:color="auto"/>
              <w:right w:val="single" w:sz="4" w:space="0" w:color="auto"/>
            </w:tcBorders>
          </w:tcPr>
          <w:p w14:paraId="0B1A8CBA" w14:textId="77777777" w:rsidR="00FD119B" w:rsidRPr="00FD119B" w:rsidRDefault="00FD119B" w:rsidP="00CF5DAD">
            <w:pPr>
              <w:keepNext w:val="0"/>
              <w:ind w:left="0" w:right="0"/>
              <w:rPr>
                <w:szCs w:val="22"/>
                <w:lang w:eastAsia="en-US"/>
              </w:rPr>
            </w:pPr>
            <w:r w:rsidRPr="00FD119B">
              <w:rPr>
                <w:szCs w:val="22"/>
                <w:lang w:eastAsia="en-US"/>
              </w:rPr>
              <w:t>Meaning</w:t>
            </w:r>
          </w:p>
        </w:tc>
      </w:tr>
      <w:tr w:rsidR="00460036" w:rsidRPr="00FD119B" w14:paraId="443679E0" w14:textId="77777777" w:rsidTr="005C312E">
        <w:tc>
          <w:tcPr>
            <w:tcW w:w="1798" w:type="dxa"/>
            <w:tcBorders>
              <w:top w:val="single" w:sz="4" w:space="0" w:color="auto"/>
            </w:tcBorders>
          </w:tcPr>
          <w:p w14:paraId="43FD0F17" w14:textId="77777777" w:rsidR="00460036" w:rsidRPr="00FD119B" w:rsidRDefault="00460036" w:rsidP="00EF5BEA">
            <w:r>
              <w:t>ACM</w:t>
            </w:r>
          </w:p>
        </w:tc>
        <w:tc>
          <w:tcPr>
            <w:tcW w:w="6696" w:type="dxa"/>
            <w:tcBorders>
              <w:top w:val="single" w:sz="4" w:space="0" w:color="auto"/>
            </w:tcBorders>
          </w:tcPr>
          <w:p w14:paraId="5E38CDA7" w14:textId="77777777" w:rsidR="00460036" w:rsidRPr="00FD119B" w:rsidRDefault="00460036" w:rsidP="00EF5BEA">
            <w:r w:rsidRPr="00460036">
              <w:t>Advisory Committee on Medicines</w:t>
            </w:r>
          </w:p>
        </w:tc>
      </w:tr>
      <w:tr w:rsidR="00855D1B" w:rsidRPr="00FD119B" w14:paraId="657EAF71" w14:textId="77777777" w:rsidTr="005C312E">
        <w:tc>
          <w:tcPr>
            <w:tcW w:w="1798" w:type="dxa"/>
            <w:tcBorders>
              <w:top w:val="single" w:sz="4" w:space="0" w:color="auto"/>
            </w:tcBorders>
          </w:tcPr>
          <w:p w14:paraId="258F8676" w14:textId="58E61DF0" w:rsidR="00855D1B" w:rsidRDefault="00855D1B" w:rsidP="00EF5BEA">
            <w:r>
              <w:t>AE</w:t>
            </w:r>
          </w:p>
        </w:tc>
        <w:tc>
          <w:tcPr>
            <w:tcW w:w="6696" w:type="dxa"/>
            <w:tcBorders>
              <w:top w:val="single" w:sz="4" w:space="0" w:color="auto"/>
            </w:tcBorders>
          </w:tcPr>
          <w:p w14:paraId="0E26119F" w14:textId="45CE71EC" w:rsidR="00855D1B" w:rsidRPr="00460036" w:rsidRDefault="00855D1B" w:rsidP="00EF5BEA">
            <w:r>
              <w:t>Adverse event</w:t>
            </w:r>
          </w:p>
        </w:tc>
      </w:tr>
      <w:tr w:rsidR="00460036" w:rsidRPr="00FD119B" w14:paraId="1017E2D0" w14:textId="77777777" w:rsidTr="005C312E">
        <w:tc>
          <w:tcPr>
            <w:tcW w:w="1798" w:type="dxa"/>
          </w:tcPr>
          <w:p w14:paraId="78EE6A07" w14:textId="77777777" w:rsidR="00460036" w:rsidRPr="00FD119B" w:rsidRDefault="00460036" w:rsidP="00EF5BEA">
            <w:r>
              <w:t>ARTG</w:t>
            </w:r>
          </w:p>
        </w:tc>
        <w:tc>
          <w:tcPr>
            <w:tcW w:w="6696" w:type="dxa"/>
          </w:tcPr>
          <w:p w14:paraId="6D667EB5" w14:textId="77777777" w:rsidR="00460036" w:rsidRPr="00FD119B" w:rsidRDefault="00460036" w:rsidP="00EF5BEA">
            <w:r w:rsidRPr="00460036">
              <w:t>Australian Register of Therapeutic Goods</w:t>
            </w:r>
          </w:p>
        </w:tc>
      </w:tr>
      <w:tr w:rsidR="00EF5BEA" w:rsidRPr="00FD119B" w14:paraId="32E223E7" w14:textId="77777777" w:rsidTr="005C312E">
        <w:tc>
          <w:tcPr>
            <w:tcW w:w="1798" w:type="dxa"/>
          </w:tcPr>
          <w:p w14:paraId="6215F8F9" w14:textId="4D8E10F4" w:rsidR="00EF5BEA" w:rsidRDefault="00EF5BEA" w:rsidP="00EF5BEA">
            <w:r>
              <w:t>BCLC B</w:t>
            </w:r>
          </w:p>
        </w:tc>
        <w:tc>
          <w:tcPr>
            <w:tcW w:w="6696" w:type="dxa"/>
          </w:tcPr>
          <w:p w14:paraId="7FFD48E3" w14:textId="518AB3B7" w:rsidR="00EF5BEA" w:rsidRPr="00460036" w:rsidRDefault="00EF5BEA" w:rsidP="00D17FD8">
            <w:r w:rsidRPr="00910972">
              <w:t>Barc</w:t>
            </w:r>
            <w:r>
              <w:t>elona Clinic Liver Cancer</w:t>
            </w:r>
            <w:r w:rsidRPr="00910972">
              <w:t xml:space="preserve"> stage</w:t>
            </w:r>
            <w:r w:rsidR="00D17FD8">
              <w:t xml:space="preserve"> B (intermediate)</w:t>
            </w:r>
          </w:p>
        </w:tc>
      </w:tr>
      <w:tr w:rsidR="002D42A7" w:rsidRPr="00FD119B" w14:paraId="0E2897F8" w14:textId="77777777" w:rsidTr="005C312E">
        <w:tc>
          <w:tcPr>
            <w:tcW w:w="1798" w:type="dxa"/>
          </w:tcPr>
          <w:p w14:paraId="102B98B0" w14:textId="1E071E1E" w:rsidR="002D42A7" w:rsidRDefault="002D42A7" w:rsidP="00EF5BEA">
            <w:r>
              <w:t>CI</w:t>
            </w:r>
          </w:p>
        </w:tc>
        <w:tc>
          <w:tcPr>
            <w:tcW w:w="6696" w:type="dxa"/>
          </w:tcPr>
          <w:p w14:paraId="738D48A3" w14:textId="2F7BC08F" w:rsidR="002D42A7" w:rsidRPr="00910972" w:rsidRDefault="002D42A7" w:rsidP="00EF5BEA">
            <w:r>
              <w:t>Confidence interval</w:t>
            </w:r>
          </w:p>
        </w:tc>
      </w:tr>
      <w:tr w:rsidR="00AA46C1" w:rsidRPr="00FD119B" w14:paraId="4453CE01" w14:textId="77777777" w:rsidTr="005C312E">
        <w:tc>
          <w:tcPr>
            <w:tcW w:w="1798" w:type="dxa"/>
          </w:tcPr>
          <w:p w14:paraId="5A517894" w14:textId="12D2F897" w:rsidR="00AA46C1" w:rsidRDefault="00AA46C1" w:rsidP="00EF5BEA">
            <w:r>
              <w:t>CMI</w:t>
            </w:r>
          </w:p>
        </w:tc>
        <w:tc>
          <w:tcPr>
            <w:tcW w:w="6696" w:type="dxa"/>
          </w:tcPr>
          <w:p w14:paraId="028BB2B7" w14:textId="19481407" w:rsidR="00AA46C1" w:rsidRDefault="00AA46C1" w:rsidP="00EF5BEA">
            <w:r>
              <w:t>Consumer Medicines Information</w:t>
            </w:r>
          </w:p>
        </w:tc>
      </w:tr>
      <w:tr w:rsidR="0045457C" w:rsidRPr="00FD119B" w14:paraId="52855F00" w14:textId="77777777" w:rsidTr="005C312E">
        <w:tc>
          <w:tcPr>
            <w:tcW w:w="1798" w:type="dxa"/>
          </w:tcPr>
          <w:p w14:paraId="00799E15" w14:textId="35768A2B" w:rsidR="0045457C" w:rsidRDefault="0045457C" w:rsidP="00EF5BEA">
            <w:r>
              <w:t>CT</w:t>
            </w:r>
          </w:p>
        </w:tc>
        <w:tc>
          <w:tcPr>
            <w:tcW w:w="6696" w:type="dxa"/>
          </w:tcPr>
          <w:p w14:paraId="54B22D6C" w14:textId="0BF811D0" w:rsidR="0045457C" w:rsidRDefault="0045457C" w:rsidP="00EF5BEA">
            <w:r>
              <w:t>Computed tomography</w:t>
            </w:r>
          </w:p>
        </w:tc>
      </w:tr>
      <w:tr w:rsidR="00D360FE" w:rsidRPr="00FD119B" w14:paraId="112B4283" w14:textId="77777777" w:rsidTr="005C312E">
        <w:tc>
          <w:tcPr>
            <w:tcW w:w="1798" w:type="dxa"/>
          </w:tcPr>
          <w:p w14:paraId="6A7CBB6F" w14:textId="40CC21D5" w:rsidR="00D360FE" w:rsidRDefault="00D360FE" w:rsidP="00EF5BEA">
            <w:proofErr w:type="spellStart"/>
            <w:r w:rsidRPr="009C52CC">
              <w:rPr>
                <w:lang w:eastAsia="ja-JP"/>
              </w:rPr>
              <w:t>cTACE</w:t>
            </w:r>
            <w:proofErr w:type="spellEnd"/>
          </w:p>
        </w:tc>
        <w:tc>
          <w:tcPr>
            <w:tcW w:w="6696" w:type="dxa"/>
          </w:tcPr>
          <w:p w14:paraId="4E2F8C6E" w14:textId="4F1535A5" w:rsidR="003F2447" w:rsidRDefault="00D360FE" w:rsidP="001D5977">
            <w:pPr>
              <w:rPr>
                <w:lang w:eastAsia="ja-JP"/>
              </w:rPr>
            </w:pPr>
            <w:r w:rsidRPr="00FA3C2E">
              <w:rPr>
                <w:lang w:eastAsia="ja-JP"/>
              </w:rPr>
              <w:t xml:space="preserve">Conventional trans-arterial </w:t>
            </w:r>
            <w:proofErr w:type="spellStart"/>
            <w:r w:rsidRPr="00FA3C2E">
              <w:rPr>
                <w:lang w:eastAsia="ja-JP"/>
              </w:rPr>
              <w:t>chemoembolisation</w:t>
            </w:r>
            <w:proofErr w:type="spellEnd"/>
          </w:p>
        </w:tc>
      </w:tr>
      <w:tr w:rsidR="0089330C" w:rsidRPr="00FD119B" w14:paraId="239265A7" w14:textId="77777777" w:rsidTr="005C312E">
        <w:tc>
          <w:tcPr>
            <w:tcW w:w="1798" w:type="dxa"/>
          </w:tcPr>
          <w:p w14:paraId="58024A50" w14:textId="179A01A4" w:rsidR="0089330C" w:rsidRDefault="0089330C" w:rsidP="00EF5BEA">
            <w:r>
              <w:t>DEB-TACE</w:t>
            </w:r>
          </w:p>
        </w:tc>
        <w:tc>
          <w:tcPr>
            <w:tcW w:w="6696" w:type="dxa"/>
          </w:tcPr>
          <w:p w14:paraId="6AE9BA06" w14:textId="0470A6A3" w:rsidR="0089330C" w:rsidRDefault="0089330C" w:rsidP="0089330C">
            <w:r>
              <w:rPr>
                <w:rFonts w:asciiTheme="minorHAnsi" w:hAnsiTheme="minorHAnsi"/>
              </w:rPr>
              <w:t>Drug-eluting be</w:t>
            </w:r>
            <w:r w:rsidR="00823234">
              <w:rPr>
                <w:rFonts w:asciiTheme="minorHAnsi" w:hAnsiTheme="minorHAnsi"/>
              </w:rPr>
              <w:t xml:space="preserve">ad </w:t>
            </w:r>
            <w:r w:rsidR="007015FC">
              <w:rPr>
                <w:rFonts w:asciiTheme="minorHAnsi" w:hAnsiTheme="minorHAnsi"/>
              </w:rPr>
              <w:t>trans-arterial chemo-embolisation</w:t>
            </w:r>
          </w:p>
        </w:tc>
      </w:tr>
      <w:tr w:rsidR="00FD119B" w:rsidRPr="00FD119B" w14:paraId="3AFC62C3" w14:textId="77777777" w:rsidTr="005C312E">
        <w:tc>
          <w:tcPr>
            <w:tcW w:w="1798" w:type="dxa"/>
          </w:tcPr>
          <w:p w14:paraId="7F64FF2E" w14:textId="588CB8F4" w:rsidR="00FD119B" w:rsidRPr="00FD119B" w:rsidRDefault="00EF5BEA" w:rsidP="00EF5BEA">
            <w:pPr>
              <w:rPr>
                <w:color w:val="auto"/>
                <w:szCs w:val="22"/>
                <w:lang w:eastAsia="en-US"/>
              </w:rPr>
            </w:pPr>
            <w:r>
              <w:rPr>
                <w:color w:val="auto"/>
                <w:szCs w:val="22"/>
                <w:lang w:eastAsia="en-US"/>
              </w:rPr>
              <w:t>HCC</w:t>
            </w:r>
          </w:p>
        </w:tc>
        <w:tc>
          <w:tcPr>
            <w:tcW w:w="6696" w:type="dxa"/>
          </w:tcPr>
          <w:p w14:paraId="609E7BB3" w14:textId="2AA62FF0" w:rsidR="00FD119B" w:rsidRPr="00FD119B" w:rsidRDefault="00EF5BEA" w:rsidP="00EF5BEA">
            <w:pPr>
              <w:rPr>
                <w:color w:val="auto"/>
                <w:szCs w:val="22"/>
                <w:lang w:eastAsia="en-US"/>
              </w:rPr>
            </w:pPr>
            <w:r>
              <w:rPr>
                <w:rFonts w:asciiTheme="minorHAnsi" w:hAnsiTheme="minorHAnsi"/>
              </w:rPr>
              <w:t>H</w:t>
            </w:r>
            <w:r w:rsidRPr="00A073F9">
              <w:rPr>
                <w:rFonts w:asciiTheme="minorHAnsi" w:hAnsiTheme="minorHAnsi"/>
              </w:rPr>
              <w:t>epatocellular carcinoma</w:t>
            </w:r>
          </w:p>
        </w:tc>
      </w:tr>
      <w:tr w:rsidR="002D42A7" w:rsidRPr="00FD119B" w14:paraId="7E9189E7" w14:textId="77777777" w:rsidTr="005C312E">
        <w:tc>
          <w:tcPr>
            <w:tcW w:w="1798" w:type="dxa"/>
          </w:tcPr>
          <w:p w14:paraId="4B70BAC5" w14:textId="01037210" w:rsidR="002D42A7" w:rsidRDefault="002D42A7" w:rsidP="00EF5BEA">
            <w:r>
              <w:t>HR</w:t>
            </w:r>
          </w:p>
        </w:tc>
        <w:tc>
          <w:tcPr>
            <w:tcW w:w="6696" w:type="dxa"/>
          </w:tcPr>
          <w:p w14:paraId="3EB9F24F" w14:textId="72C88C9E" w:rsidR="002D42A7" w:rsidRDefault="002D42A7" w:rsidP="00EF5BEA">
            <w:pPr>
              <w:rPr>
                <w:rFonts w:asciiTheme="minorHAnsi" w:hAnsiTheme="minorHAnsi"/>
              </w:rPr>
            </w:pPr>
            <w:r>
              <w:rPr>
                <w:rFonts w:asciiTheme="minorHAnsi" w:hAnsiTheme="minorHAnsi"/>
              </w:rPr>
              <w:t>Hazard ratio</w:t>
            </w:r>
          </w:p>
        </w:tc>
      </w:tr>
      <w:tr w:rsidR="00797231" w:rsidRPr="00FD119B" w14:paraId="1E3F4350" w14:textId="77777777" w:rsidTr="005C312E">
        <w:tc>
          <w:tcPr>
            <w:tcW w:w="1798" w:type="dxa"/>
          </w:tcPr>
          <w:p w14:paraId="363911F0" w14:textId="2CD4C0FB" w:rsidR="00797231" w:rsidRDefault="00797231" w:rsidP="00EF5BEA">
            <w:r>
              <w:t>ORR</w:t>
            </w:r>
          </w:p>
        </w:tc>
        <w:tc>
          <w:tcPr>
            <w:tcW w:w="6696" w:type="dxa"/>
          </w:tcPr>
          <w:p w14:paraId="4671FE8D" w14:textId="069C7C98" w:rsidR="00797231" w:rsidRDefault="00797231" w:rsidP="00EF5BEA">
            <w:pPr>
              <w:rPr>
                <w:rFonts w:asciiTheme="minorHAnsi" w:hAnsiTheme="minorHAnsi"/>
              </w:rPr>
            </w:pPr>
            <w:r>
              <w:rPr>
                <w:rFonts w:asciiTheme="minorHAnsi" w:hAnsiTheme="minorHAnsi"/>
              </w:rPr>
              <w:t>Objective response rate</w:t>
            </w:r>
          </w:p>
        </w:tc>
      </w:tr>
      <w:tr w:rsidR="002D42A7" w:rsidRPr="00FD119B" w14:paraId="2A55A457" w14:textId="77777777" w:rsidTr="005C312E">
        <w:tc>
          <w:tcPr>
            <w:tcW w:w="1798" w:type="dxa"/>
          </w:tcPr>
          <w:p w14:paraId="7BE71D65" w14:textId="619EB8DF" w:rsidR="002D42A7" w:rsidRDefault="002D42A7" w:rsidP="00EF5BEA">
            <w:r>
              <w:t>OS</w:t>
            </w:r>
          </w:p>
        </w:tc>
        <w:tc>
          <w:tcPr>
            <w:tcW w:w="6696" w:type="dxa"/>
          </w:tcPr>
          <w:p w14:paraId="6C5F97F6" w14:textId="241CCB81" w:rsidR="002D42A7" w:rsidRDefault="002D42A7" w:rsidP="00EF5BEA">
            <w:pPr>
              <w:rPr>
                <w:rFonts w:asciiTheme="minorHAnsi" w:hAnsiTheme="minorHAnsi"/>
              </w:rPr>
            </w:pPr>
            <w:r>
              <w:rPr>
                <w:rFonts w:asciiTheme="minorHAnsi" w:hAnsiTheme="minorHAnsi"/>
              </w:rPr>
              <w:t>Overall survival</w:t>
            </w:r>
          </w:p>
        </w:tc>
      </w:tr>
      <w:tr w:rsidR="00B11840" w:rsidRPr="00FD119B" w14:paraId="79CF361F" w14:textId="77777777" w:rsidTr="005C312E">
        <w:tc>
          <w:tcPr>
            <w:tcW w:w="1798" w:type="dxa"/>
          </w:tcPr>
          <w:p w14:paraId="787C7004" w14:textId="098C1A60" w:rsidR="00B11840" w:rsidRDefault="00B11840" w:rsidP="00EF5BEA">
            <w:r>
              <w:t>PI</w:t>
            </w:r>
          </w:p>
        </w:tc>
        <w:tc>
          <w:tcPr>
            <w:tcW w:w="6696" w:type="dxa"/>
          </w:tcPr>
          <w:p w14:paraId="58E239C6" w14:textId="09408D04" w:rsidR="00B11840" w:rsidRDefault="00B11840" w:rsidP="00EF5BEA">
            <w:pPr>
              <w:rPr>
                <w:rFonts w:asciiTheme="minorHAnsi" w:hAnsiTheme="minorHAnsi"/>
              </w:rPr>
            </w:pPr>
            <w:r>
              <w:rPr>
                <w:rFonts w:asciiTheme="minorHAnsi" w:hAnsiTheme="minorHAnsi"/>
              </w:rPr>
              <w:t>Product Information</w:t>
            </w:r>
          </w:p>
        </w:tc>
      </w:tr>
      <w:tr w:rsidR="002D42A7" w:rsidRPr="00FD119B" w14:paraId="06CF6755" w14:textId="77777777" w:rsidTr="005C312E">
        <w:tc>
          <w:tcPr>
            <w:tcW w:w="1798" w:type="dxa"/>
          </w:tcPr>
          <w:p w14:paraId="72CA058D" w14:textId="23439780" w:rsidR="002D42A7" w:rsidRDefault="002D42A7" w:rsidP="00EF5BEA">
            <w:r>
              <w:t>RCT</w:t>
            </w:r>
          </w:p>
        </w:tc>
        <w:tc>
          <w:tcPr>
            <w:tcW w:w="6696" w:type="dxa"/>
          </w:tcPr>
          <w:p w14:paraId="4B43E5B0" w14:textId="681C1D91" w:rsidR="002D42A7" w:rsidRDefault="002D42A7" w:rsidP="00EF5BEA">
            <w:pPr>
              <w:rPr>
                <w:rFonts w:asciiTheme="minorHAnsi" w:hAnsiTheme="minorHAnsi"/>
              </w:rPr>
            </w:pPr>
            <w:r>
              <w:rPr>
                <w:rFonts w:asciiTheme="minorHAnsi" w:hAnsiTheme="minorHAnsi"/>
              </w:rPr>
              <w:t>Randomised controlled trial</w:t>
            </w:r>
          </w:p>
        </w:tc>
      </w:tr>
      <w:tr w:rsidR="00695622" w:rsidRPr="00FD119B" w14:paraId="76F116DA" w14:textId="77777777" w:rsidTr="005C312E">
        <w:tc>
          <w:tcPr>
            <w:tcW w:w="1798" w:type="dxa"/>
          </w:tcPr>
          <w:p w14:paraId="1703A122" w14:textId="112E10EE" w:rsidR="00695622" w:rsidRDefault="00695622" w:rsidP="00EF5BEA">
            <w:r>
              <w:t>RMP</w:t>
            </w:r>
          </w:p>
        </w:tc>
        <w:tc>
          <w:tcPr>
            <w:tcW w:w="6696" w:type="dxa"/>
          </w:tcPr>
          <w:p w14:paraId="01495FE9" w14:textId="7F36AAC2" w:rsidR="00695622" w:rsidRDefault="00695622" w:rsidP="00EF5BEA">
            <w:pPr>
              <w:rPr>
                <w:rFonts w:asciiTheme="minorHAnsi" w:hAnsiTheme="minorHAnsi"/>
              </w:rPr>
            </w:pPr>
            <w:r>
              <w:rPr>
                <w:rFonts w:asciiTheme="minorHAnsi" w:hAnsiTheme="minorHAnsi"/>
              </w:rPr>
              <w:t>Risk management plan</w:t>
            </w:r>
          </w:p>
        </w:tc>
      </w:tr>
      <w:tr w:rsidR="00AA46C1" w:rsidRPr="00FD119B" w14:paraId="45021E54" w14:textId="77777777" w:rsidTr="005C312E">
        <w:tc>
          <w:tcPr>
            <w:tcW w:w="1798" w:type="dxa"/>
          </w:tcPr>
          <w:p w14:paraId="48BE52B8" w14:textId="20AFE38F" w:rsidR="00AA46C1" w:rsidRDefault="00AA46C1" w:rsidP="00EF5BEA">
            <w:r>
              <w:t>SI</w:t>
            </w:r>
          </w:p>
        </w:tc>
        <w:tc>
          <w:tcPr>
            <w:tcW w:w="6696" w:type="dxa"/>
          </w:tcPr>
          <w:p w14:paraId="48782A78" w14:textId="21AFDBE4" w:rsidR="00AA46C1" w:rsidRDefault="00AA46C1" w:rsidP="00EF5BEA">
            <w:pPr>
              <w:rPr>
                <w:rFonts w:asciiTheme="minorHAnsi" w:hAnsiTheme="minorHAnsi"/>
              </w:rPr>
            </w:pPr>
            <w:r>
              <w:rPr>
                <w:rFonts w:asciiTheme="minorHAnsi" w:hAnsiTheme="minorHAnsi"/>
              </w:rPr>
              <w:t>Standard units</w:t>
            </w:r>
          </w:p>
        </w:tc>
      </w:tr>
      <w:tr w:rsidR="006800CF" w:rsidRPr="00FD119B" w14:paraId="54F13C81" w14:textId="77777777" w:rsidTr="005C312E">
        <w:tc>
          <w:tcPr>
            <w:tcW w:w="1798" w:type="dxa"/>
          </w:tcPr>
          <w:p w14:paraId="31892DEA" w14:textId="45BBE7C8" w:rsidR="006800CF" w:rsidRDefault="006800CF" w:rsidP="00EF5BEA">
            <w:r>
              <w:t>SUSMP</w:t>
            </w:r>
          </w:p>
        </w:tc>
        <w:tc>
          <w:tcPr>
            <w:tcW w:w="6696" w:type="dxa"/>
          </w:tcPr>
          <w:p w14:paraId="76B33B27" w14:textId="68D8DA19" w:rsidR="006800CF" w:rsidRDefault="006800CF" w:rsidP="00EF5BEA">
            <w:pPr>
              <w:rPr>
                <w:rFonts w:asciiTheme="minorHAnsi" w:hAnsiTheme="minorHAnsi"/>
              </w:rPr>
            </w:pPr>
            <w:r>
              <w:rPr>
                <w:rFonts w:asciiTheme="minorHAnsi" w:hAnsiTheme="minorHAnsi"/>
              </w:rPr>
              <w:t>Standard for the Uniform Scheduling of Medicines and Poisons (the Poisons Standard)</w:t>
            </w:r>
          </w:p>
        </w:tc>
      </w:tr>
      <w:tr w:rsidR="00FD119B" w:rsidRPr="00FD119B" w14:paraId="744749AA" w14:textId="77777777" w:rsidTr="005C312E">
        <w:tc>
          <w:tcPr>
            <w:tcW w:w="1798" w:type="dxa"/>
          </w:tcPr>
          <w:p w14:paraId="7F65996B" w14:textId="042FEED1" w:rsidR="00FD119B" w:rsidRPr="00FD119B" w:rsidRDefault="00EF5BEA" w:rsidP="00EF5BEA">
            <w:pPr>
              <w:rPr>
                <w:color w:val="auto"/>
                <w:szCs w:val="22"/>
                <w:lang w:eastAsia="en-US"/>
              </w:rPr>
            </w:pPr>
            <w:r>
              <w:rPr>
                <w:color w:val="auto"/>
                <w:szCs w:val="22"/>
                <w:lang w:eastAsia="en-US"/>
              </w:rPr>
              <w:t>TACE</w:t>
            </w:r>
          </w:p>
        </w:tc>
        <w:tc>
          <w:tcPr>
            <w:tcW w:w="6696" w:type="dxa"/>
          </w:tcPr>
          <w:p w14:paraId="77BBA21E" w14:textId="442B3CA4" w:rsidR="00FD119B" w:rsidRPr="00FD119B" w:rsidRDefault="00823234" w:rsidP="00EF5BEA">
            <w:pPr>
              <w:rPr>
                <w:color w:val="auto"/>
                <w:szCs w:val="22"/>
                <w:lang w:eastAsia="en-US"/>
              </w:rPr>
            </w:pPr>
            <w:r>
              <w:rPr>
                <w:rFonts w:asciiTheme="minorHAnsi" w:hAnsiTheme="minorHAnsi"/>
              </w:rPr>
              <w:t>Trans-</w:t>
            </w:r>
            <w:r w:rsidR="007015FC">
              <w:rPr>
                <w:rFonts w:asciiTheme="minorHAnsi" w:hAnsiTheme="minorHAnsi"/>
              </w:rPr>
              <w:t>arterial chemo-embolisation</w:t>
            </w:r>
          </w:p>
        </w:tc>
      </w:tr>
      <w:tr w:rsidR="00C06492" w:rsidRPr="00FD119B" w14:paraId="74EB7047" w14:textId="77777777" w:rsidTr="005C312E">
        <w:tc>
          <w:tcPr>
            <w:tcW w:w="1798" w:type="dxa"/>
          </w:tcPr>
          <w:p w14:paraId="46CCFFF2" w14:textId="4E4DBD66" w:rsidR="00C06492" w:rsidRDefault="00C06492" w:rsidP="00EF5BEA">
            <w:r>
              <w:t>US</w:t>
            </w:r>
          </w:p>
        </w:tc>
        <w:tc>
          <w:tcPr>
            <w:tcW w:w="6696" w:type="dxa"/>
          </w:tcPr>
          <w:p w14:paraId="4183B60A" w14:textId="5C399BD8" w:rsidR="00C06492" w:rsidRDefault="00C06492" w:rsidP="00EF5BEA">
            <w:pPr>
              <w:rPr>
                <w:rFonts w:asciiTheme="minorHAnsi" w:hAnsiTheme="minorHAnsi"/>
              </w:rPr>
            </w:pPr>
            <w:r>
              <w:rPr>
                <w:rFonts w:asciiTheme="minorHAnsi" w:hAnsiTheme="minorHAnsi"/>
              </w:rPr>
              <w:t>United States</w:t>
            </w:r>
          </w:p>
        </w:tc>
      </w:tr>
    </w:tbl>
    <w:p w14:paraId="6DE1E6D5" w14:textId="77777777" w:rsidR="00FD119B" w:rsidRDefault="00FD119B" w:rsidP="00FD119B"/>
    <w:p w14:paraId="0E615EC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87D092D" w14:textId="77777777" w:rsidR="008E7846" w:rsidRDefault="00F53C07" w:rsidP="008E7846">
      <w:pPr>
        <w:pStyle w:val="Heading2"/>
      </w:pPr>
      <w:bookmarkStart w:id="8" w:name="_Toc61253614"/>
      <w:r>
        <w:lastRenderedPageBreak/>
        <w:t>I.</w:t>
      </w:r>
      <w:r w:rsidR="008E7846">
        <w:t xml:space="preserve"> Introduction to product submission</w:t>
      </w:r>
      <w:bookmarkEnd w:id="2"/>
      <w:bookmarkEnd w:id="0"/>
      <w:bookmarkEnd w:id="8"/>
    </w:p>
    <w:p w14:paraId="7FD5CEDF" w14:textId="77777777" w:rsidR="008E7846" w:rsidRDefault="008E7846" w:rsidP="008E7846">
      <w:pPr>
        <w:pStyle w:val="Heading3"/>
        <w:rPr>
          <w:lang w:eastAsia="en-AU"/>
        </w:rPr>
      </w:pPr>
      <w:bookmarkStart w:id="9" w:name="_Toc247691502"/>
      <w:bookmarkStart w:id="10" w:name="_Toc314842483"/>
      <w:bookmarkStart w:id="11" w:name="_Toc61253615"/>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02CB16AF" w14:textId="77777777" w:rsidTr="003735BC">
        <w:tc>
          <w:tcPr>
            <w:tcW w:w="2907" w:type="dxa"/>
          </w:tcPr>
          <w:p w14:paraId="486E44C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952A685" w14:textId="77777777" w:rsidR="008E7846" w:rsidRPr="003D1E62" w:rsidRDefault="00162282" w:rsidP="00162282">
            <w:r>
              <w:t>Extension of indications</w:t>
            </w:r>
          </w:p>
        </w:tc>
      </w:tr>
      <w:tr w:rsidR="00460036" w:rsidRPr="003D1E62" w14:paraId="478232CE" w14:textId="77777777" w:rsidTr="003735BC">
        <w:tc>
          <w:tcPr>
            <w:tcW w:w="2907" w:type="dxa"/>
          </w:tcPr>
          <w:p w14:paraId="4431ED4C" w14:textId="77777777" w:rsidR="00460036" w:rsidRPr="003D1E62" w:rsidRDefault="00460036">
            <w:pPr>
              <w:rPr>
                <w:i/>
              </w:rPr>
            </w:pPr>
            <w:r w:rsidRPr="00460036">
              <w:rPr>
                <w:i/>
              </w:rPr>
              <w:t>Product name:</w:t>
            </w:r>
          </w:p>
        </w:tc>
        <w:tc>
          <w:tcPr>
            <w:tcW w:w="6307" w:type="dxa"/>
          </w:tcPr>
          <w:p w14:paraId="4A695F84" w14:textId="77777777" w:rsidR="00460036" w:rsidRPr="003D1E62" w:rsidRDefault="00162282" w:rsidP="001B5C90">
            <w:r>
              <w:t>Lipiodol Ultra Fluid</w:t>
            </w:r>
          </w:p>
        </w:tc>
      </w:tr>
      <w:tr w:rsidR="00460036" w:rsidRPr="003D1E62" w14:paraId="2886217C" w14:textId="77777777" w:rsidTr="003735BC">
        <w:tc>
          <w:tcPr>
            <w:tcW w:w="2907" w:type="dxa"/>
          </w:tcPr>
          <w:p w14:paraId="68E3D93B" w14:textId="77777777" w:rsidR="00460036" w:rsidRPr="003D1E62" w:rsidRDefault="00460036" w:rsidP="005B7D93">
            <w:pPr>
              <w:rPr>
                <w:i/>
              </w:rPr>
            </w:pPr>
            <w:r w:rsidRPr="00460036">
              <w:rPr>
                <w:i/>
              </w:rPr>
              <w:t>Active ingredient:</w:t>
            </w:r>
          </w:p>
        </w:tc>
        <w:tc>
          <w:tcPr>
            <w:tcW w:w="6307" w:type="dxa"/>
          </w:tcPr>
          <w:p w14:paraId="0811A8D1" w14:textId="77777777" w:rsidR="00460036" w:rsidRPr="003D1E62" w:rsidRDefault="005B7D93" w:rsidP="001B5C90">
            <w:r>
              <w:t>Iodised oil</w:t>
            </w:r>
          </w:p>
        </w:tc>
      </w:tr>
      <w:tr w:rsidR="008E7846" w:rsidRPr="003D1E62" w14:paraId="2F0CECF4" w14:textId="77777777" w:rsidTr="003735BC">
        <w:tc>
          <w:tcPr>
            <w:tcW w:w="2907" w:type="dxa"/>
          </w:tcPr>
          <w:p w14:paraId="3CBF576E" w14:textId="77777777" w:rsidR="008E7846" w:rsidRPr="003D1E62" w:rsidRDefault="008E7846" w:rsidP="003D1E62">
            <w:r w:rsidRPr="003D1E62">
              <w:rPr>
                <w:i/>
              </w:rPr>
              <w:t>Decision</w:t>
            </w:r>
            <w:r w:rsidRPr="003D1E62">
              <w:t>:</w:t>
            </w:r>
          </w:p>
        </w:tc>
        <w:tc>
          <w:tcPr>
            <w:tcW w:w="6307" w:type="dxa"/>
          </w:tcPr>
          <w:p w14:paraId="1389F872" w14:textId="77777777" w:rsidR="008E7846" w:rsidRPr="003D1E62" w:rsidRDefault="00460036" w:rsidP="00667A8A">
            <w:r w:rsidRPr="00460036">
              <w:t>Approved</w:t>
            </w:r>
          </w:p>
        </w:tc>
      </w:tr>
      <w:tr w:rsidR="008E7846" w:rsidRPr="003D1E62" w14:paraId="700A30B2" w14:textId="77777777" w:rsidTr="003735BC">
        <w:tc>
          <w:tcPr>
            <w:tcW w:w="2907" w:type="dxa"/>
          </w:tcPr>
          <w:p w14:paraId="1DEB27A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615E0C49" w14:textId="77777777" w:rsidR="008E7846" w:rsidRPr="003D1E62" w:rsidRDefault="00667A8A" w:rsidP="001B5C90">
            <w:r>
              <w:t>14 May 2020</w:t>
            </w:r>
          </w:p>
        </w:tc>
      </w:tr>
      <w:tr w:rsidR="00ED2922" w:rsidRPr="003D1E62" w14:paraId="294F1761" w14:textId="77777777" w:rsidTr="003735BC">
        <w:tc>
          <w:tcPr>
            <w:tcW w:w="2907" w:type="dxa"/>
          </w:tcPr>
          <w:p w14:paraId="51FB173F" w14:textId="77777777" w:rsidR="00ED2922" w:rsidRPr="00441C3F" w:rsidRDefault="00ED2922" w:rsidP="001B5C90">
            <w:pPr>
              <w:rPr>
                <w:i/>
              </w:rPr>
            </w:pPr>
            <w:r w:rsidRPr="00441C3F">
              <w:rPr>
                <w:i/>
              </w:rPr>
              <w:t>Date of entry onto ARTG</w:t>
            </w:r>
            <w:r w:rsidR="00500337">
              <w:rPr>
                <w:i/>
              </w:rPr>
              <w:t>:</w:t>
            </w:r>
          </w:p>
        </w:tc>
        <w:tc>
          <w:tcPr>
            <w:tcW w:w="6307" w:type="dxa"/>
          </w:tcPr>
          <w:p w14:paraId="28B7AC05" w14:textId="5024941F" w:rsidR="00ED2922" w:rsidRPr="00441C3F" w:rsidRDefault="00823234" w:rsidP="00D153D8">
            <w:pPr>
              <w:rPr>
                <w:i/>
              </w:rPr>
            </w:pPr>
            <w:r>
              <w:t>18</w:t>
            </w:r>
            <w:r w:rsidR="00667A8A">
              <w:t xml:space="preserve"> May 2020</w:t>
            </w:r>
          </w:p>
        </w:tc>
      </w:tr>
      <w:tr w:rsidR="00500337" w:rsidRPr="003D1E62" w14:paraId="72F71C8B" w14:textId="77777777" w:rsidTr="003735BC">
        <w:tc>
          <w:tcPr>
            <w:tcW w:w="2907" w:type="dxa"/>
          </w:tcPr>
          <w:p w14:paraId="5A40BCBA" w14:textId="77777777" w:rsidR="00500337" w:rsidRPr="00441C3F" w:rsidRDefault="00500337" w:rsidP="00667A8A">
            <w:pPr>
              <w:rPr>
                <w:i/>
              </w:rPr>
            </w:pPr>
            <w:r>
              <w:rPr>
                <w:i/>
              </w:rPr>
              <w:t>ARTG number:</w:t>
            </w:r>
          </w:p>
        </w:tc>
        <w:tc>
          <w:tcPr>
            <w:tcW w:w="6307" w:type="dxa"/>
          </w:tcPr>
          <w:p w14:paraId="00951945" w14:textId="77777777" w:rsidR="00500337" w:rsidRPr="00441C3F" w:rsidRDefault="00667A8A" w:rsidP="00EC463D">
            <w:r>
              <w:t>34371</w:t>
            </w:r>
          </w:p>
        </w:tc>
      </w:tr>
      <w:tr w:rsidR="003735BC" w:rsidRPr="003D1E62" w14:paraId="2704954A" w14:textId="77777777" w:rsidTr="003735BC">
        <w:tc>
          <w:tcPr>
            <w:tcW w:w="2907" w:type="dxa"/>
          </w:tcPr>
          <w:p w14:paraId="0D0EEE5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10DA6FED" w14:textId="77777777" w:rsidR="003735BC" w:rsidRPr="00487162" w:rsidRDefault="00667A8A" w:rsidP="003735BC">
            <w:r>
              <w:t>No</w:t>
            </w:r>
          </w:p>
        </w:tc>
      </w:tr>
      <w:tr w:rsidR="008E7846" w:rsidRPr="00487162" w14:paraId="465D92B7" w14:textId="77777777" w:rsidTr="00BF1190">
        <w:tc>
          <w:tcPr>
            <w:tcW w:w="2907" w:type="dxa"/>
          </w:tcPr>
          <w:p w14:paraId="75E0089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EB607A8" w14:textId="77777777" w:rsidR="008E7846" w:rsidRDefault="00667A8A" w:rsidP="00E45619">
            <w:r>
              <w:t>Guerbet Australia Pty Ltd</w:t>
            </w:r>
          </w:p>
          <w:p w14:paraId="18509578" w14:textId="599B2139" w:rsidR="00667A8A" w:rsidRDefault="00667A8A" w:rsidP="00E45619">
            <w:r>
              <w:t>166 Epping Road</w:t>
            </w:r>
            <w:r w:rsidR="00823234">
              <w:t>, Level 2 South,</w:t>
            </w:r>
          </w:p>
          <w:p w14:paraId="6682E379" w14:textId="77777777" w:rsidR="00667A8A" w:rsidRPr="00487162" w:rsidRDefault="00667A8A" w:rsidP="00E45619">
            <w:r>
              <w:t>Lane Cove West, NSW, 2066</w:t>
            </w:r>
          </w:p>
        </w:tc>
      </w:tr>
      <w:tr w:rsidR="008E7846" w:rsidRPr="00487162" w14:paraId="62D14FF6" w14:textId="77777777" w:rsidTr="00BF1190">
        <w:tc>
          <w:tcPr>
            <w:tcW w:w="2907" w:type="dxa"/>
          </w:tcPr>
          <w:p w14:paraId="0ED256B1" w14:textId="77777777" w:rsidR="008E7846" w:rsidRPr="00487162" w:rsidRDefault="002734C5" w:rsidP="00E45619">
            <w:pPr>
              <w:rPr>
                <w:i/>
              </w:rPr>
            </w:pPr>
            <w:r>
              <w:rPr>
                <w:i/>
              </w:rPr>
              <w:t>Dose form</w:t>
            </w:r>
            <w:r w:rsidR="001B5C90">
              <w:rPr>
                <w:i/>
              </w:rPr>
              <w:t>:</w:t>
            </w:r>
          </w:p>
        </w:tc>
        <w:tc>
          <w:tcPr>
            <w:tcW w:w="6307" w:type="dxa"/>
          </w:tcPr>
          <w:p w14:paraId="36548078" w14:textId="77777777" w:rsidR="008E7846" w:rsidRPr="00487162" w:rsidRDefault="002734C5" w:rsidP="00E45619">
            <w:r>
              <w:t>Solution for injection</w:t>
            </w:r>
          </w:p>
        </w:tc>
      </w:tr>
      <w:tr w:rsidR="008E7846" w:rsidRPr="00487162" w14:paraId="7CBCBFF6" w14:textId="77777777" w:rsidTr="00BF1190">
        <w:tc>
          <w:tcPr>
            <w:tcW w:w="2907" w:type="dxa"/>
          </w:tcPr>
          <w:p w14:paraId="12F57E71" w14:textId="4CED1541" w:rsidR="008E7846" w:rsidRPr="00487162" w:rsidRDefault="00823234" w:rsidP="002734C5">
            <w:pPr>
              <w:rPr>
                <w:i/>
              </w:rPr>
            </w:pPr>
            <w:r>
              <w:rPr>
                <w:i/>
              </w:rPr>
              <w:t>Strength:</w:t>
            </w:r>
          </w:p>
        </w:tc>
        <w:tc>
          <w:tcPr>
            <w:tcW w:w="6307" w:type="dxa"/>
          </w:tcPr>
          <w:p w14:paraId="6F006201" w14:textId="77777777" w:rsidR="008E7846" w:rsidRPr="00487162" w:rsidRDefault="002734C5" w:rsidP="000E12EB">
            <w:r>
              <w:t>1 mg/mL</w:t>
            </w:r>
          </w:p>
        </w:tc>
      </w:tr>
      <w:tr w:rsidR="008E7846" w:rsidRPr="00487162" w14:paraId="13B80EA6" w14:textId="77777777" w:rsidTr="00BF1190">
        <w:tc>
          <w:tcPr>
            <w:tcW w:w="2907" w:type="dxa"/>
          </w:tcPr>
          <w:p w14:paraId="701D4D74" w14:textId="77777777" w:rsidR="008E7846" w:rsidRPr="00487162" w:rsidRDefault="008E7846" w:rsidP="002734C5">
            <w:pPr>
              <w:rPr>
                <w:i/>
              </w:rPr>
            </w:pPr>
            <w:r w:rsidRPr="00487162">
              <w:rPr>
                <w:i/>
              </w:rPr>
              <w:t>Container:</w:t>
            </w:r>
          </w:p>
        </w:tc>
        <w:tc>
          <w:tcPr>
            <w:tcW w:w="6307" w:type="dxa"/>
          </w:tcPr>
          <w:p w14:paraId="2F315C8B" w14:textId="7730EFCD" w:rsidR="008E7846" w:rsidRPr="00487162" w:rsidRDefault="00823234" w:rsidP="00FC7138">
            <w:r>
              <w:t>A</w:t>
            </w:r>
            <w:r w:rsidR="002734C5">
              <w:t>mpoule</w:t>
            </w:r>
          </w:p>
        </w:tc>
      </w:tr>
      <w:tr w:rsidR="008E7846" w:rsidRPr="00487162" w14:paraId="47BA0FA6" w14:textId="77777777" w:rsidTr="00BF1190">
        <w:tc>
          <w:tcPr>
            <w:tcW w:w="2907" w:type="dxa"/>
          </w:tcPr>
          <w:p w14:paraId="1716BB17" w14:textId="77777777" w:rsidR="008E7846" w:rsidRPr="00487162" w:rsidRDefault="008E7846" w:rsidP="002734C5">
            <w:pPr>
              <w:rPr>
                <w:i/>
              </w:rPr>
            </w:pPr>
            <w:r w:rsidRPr="00487162">
              <w:rPr>
                <w:i/>
              </w:rPr>
              <w:t>Pack size:</w:t>
            </w:r>
          </w:p>
        </w:tc>
        <w:tc>
          <w:tcPr>
            <w:tcW w:w="6307" w:type="dxa"/>
          </w:tcPr>
          <w:p w14:paraId="5E143174" w14:textId="210A83B1" w:rsidR="008E7846" w:rsidRPr="00487162" w:rsidRDefault="00823234" w:rsidP="00FC7138">
            <w:r>
              <w:t>1</w:t>
            </w:r>
          </w:p>
        </w:tc>
      </w:tr>
      <w:tr w:rsidR="008E7846" w:rsidRPr="00487162" w14:paraId="7B9D8087" w14:textId="77777777" w:rsidTr="00BF1190">
        <w:tc>
          <w:tcPr>
            <w:tcW w:w="2907" w:type="dxa"/>
          </w:tcPr>
          <w:p w14:paraId="47F72B5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046B937" w14:textId="77777777" w:rsidR="008E7846" w:rsidRPr="0086610F" w:rsidRDefault="002734C5" w:rsidP="00E45619">
            <w:pPr>
              <w:rPr>
                <w:i/>
              </w:rPr>
            </w:pPr>
            <w:r w:rsidRPr="0086610F">
              <w:rPr>
                <w:i/>
              </w:rPr>
              <w:t>In interventional radiology:</w:t>
            </w:r>
          </w:p>
          <w:p w14:paraId="643C628C" w14:textId="77777777" w:rsidR="002734C5" w:rsidRPr="00487162" w:rsidRDefault="002734C5" w:rsidP="002734C5">
            <w:pPr>
              <w:rPr>
                <w:rFonts w:eastAsia="MS Mincho"/>
                <w:lang w:eastAsia="ja-JP"/>
              </w:rPr>
            </w:pPr>
            <w:r w:rsidRPr="002734C5">
              <w:rPr>
                <w:i/>
              </w:rPr>
              <w:t>As an imaging agent for visualisation and localisation during Trans-Arterial Chemo-Embolisation (TACE) of hepatocellular carcinoma (HCC) at int</w:t>
            </w:r>
            <w:r>
              <w:rPr>
                <w:i/>
              </w:rPr>
              <w:t>ermediate stage in adults (see S</w:t>
            </w:r>
            <w:r w:rsidRPr="002734C5">
              <w:rPr>
                <w:i/>
              </w:rPr>
              <w:t>ection 4.3 Contraindications and Section 4.4 Special Warnings and Precautions for Use)</w:t>
            </w:r>
          </w:p>
        </w:tc>
      </w:tr>
      <w:tr w:rsidR="008E7846" w:rsidRPr="00487162" w14:paraId="6B231886" w14:textId="77777777" w:rsidTr="00BF1190">
        <w:tc>
          <w:tcPr>
            <w:tcW w:w="2907" w:type="dxa"/>
          </w:tcPr>
          <w:p w14:paraId="6458BBEB" w14:textId="77777777" w:rsidR="008E7846" w:rsidRPr="00487162" w:rsidRDefault="002734C5" w:rsidP="002734C5">
            <w:pPr>
              <w:rPr>
                <w:i/>
              </w:rPr>
            </w:pPr>
            <w:r>
              <w:rPr>
                <w:i/>
              </w:rPr>
              <w:t>Route</w:t>
            </w:r>
            <w:r w:rsidR="008E7846" w:rsidRPr="00487162">
              <w:rPr>
                <w:i/>
              </w:rPr>
              <w:t>s of administration:</w:t>
            </w:r>
          </w:p>
        </w:tc>
        <w:tc>
          <w:tcPr>
            <w:tcW w:w="6307" w:type="dxa"/>
          </w:tcPr>
          <w:p w14:paraId="04CDEDA9" w14:textId="077B2CB2" w:rsidR="002734C5" w:rsidRPr="00487162" w:rsidRDefault="002734C5" w:rsidP="007015FC">
            <w:proofErr w:type="spellStart"/>
            <w:r>
              <w:t>Intraarterial</w:t>
            </w:r>
            <w:proofErr w:type="spellEnd"/>
            <w:r w:rsidR="007015FC">
              <w:t xml:space="preserve"> (i</w:t>
            </w:r>
            <w:r w:rsidR="007015FC" w:rsidRPr="007015FC">
              <w:t>n interventional radiology)</w:t>
            </w:r>
          </w:p>
        </w:tc>
      </w:tr>
      <w:tr w:rsidR="008E7846" w:rsidRPr="00487162" w14:paraId="33FCFF7C" w14:textId="77777777" w:rsidTr="00BF1190">
        <w:tc>
          <w:tcPr>
            <w:tcW w:w="2907" w:type="dxa"/>
          </w:tcPr>
          <w:p w14:paraId="3C70CC5C" w14:textId="77777777" w:rsidR="008E7846" w:rsidRPr="00487162" w:rsidRDefault="008E7846" w:rsidP="00E45619">
            <w:pPr>
              <w:rPr>
                <w:i/>
              </w:rPr>
            </w:pPr>
            <w:r w:rsidRPr="00487162">
              <w:rPr>
                <w:i/>
              </w:rPr>
              <w:t>Dosage:</w:t>
            </w:r>
          </w:p>
        </w:tc>
        <w:tc>
          <w:tcPr>
            <w:tcW w:w="6307" w:type="dxa"/>
          </w:tcPr>
          <w:p w14:paraId="4E5CACAE" w14:textId="7CA479A5" w:rsidR="008E7846" w:rsidRPr="00FC7138" w:rsidRDefault="0086610F" w:rsidP="00E45619">
            <w:pPr>
              <w:rPr>
                <w:i/>
              </w:rPr>
            </w:pPr>
            <w:r>
              <w:rPr>
                <w:i/>
              </w:rPr>
              <w:t>In interventional radiology</w:t>
            </w:r>
            <w:r w:rsidR="00823234">
              <w:rPr>
                <w:i/>
              </w:rPr>
              <w:t xml:space="preserve">: </w:t>
            </w:r>
            <w:r w:rsidR="00823234" w:rsidRPr="00823234">
              <w:rPr>
                <w:i/>
              </w:rPr>
              <w:t>Trans-Arterial Chemo-Embolisation (TACE)</w:t>
            </w:r>
          </w:p>
          <w:p w14:paraId="54595F15" w14:textId="77777777" w:rsidR="00FC7138" w:rsidRDefault="00FC7138" w:rsidP="00E45619">
            <w:r>
              <w:t>The dose of Lipiodol Ultra Fluid depends on the extent of the lesion but should usually not exceed a total dose of 15 mL in adults.</w:t>
            </w:r>
          </w:p>
          <w:p w14:paraId="03A19A99" w14:textId="77777777" w:rsidR="00FC7138" w:rsidRDefault="00FC7138" w:rsidP="00E45619">
            <w:r>
              <w:lastRenderedPageBreak/>
              <w:t>Procedures involving the use of Lipiodol Ultra Fluid in HCC patients should be conducted by interventional radiologists with prerequisite training and a thorough knowledge of the procedure to be performed.</w:t>
            </w:r>
          </w:p>
          <w:p w14:paraId="69B49D9F" w14:textId="77777777" w:rsidR="00FC7138" w:rsidRDefault="00FC7138" w:rsidP="00E45619">
            <w:r>
              <w:t>The administration is by selective intra-arterial catheterisation of the hepatic artery. The procedure should be performed within a typical interventional radiology setting with the appropriate equipment.</w:t>
            </w:r>
          </w:p>
          <w:p w14:paraId="510FC5E3" w14:textId="77777777" w:rsidR="00FC7138" w:rsidRDefault="00FC7138" w:rsidP="00E45619">
            <w:r>
              <w:t>Lipiodol Ultra Fluid for TACE can be mixed with anticancer medications for HCC in accordance with the applicable clinical guidelines.</w:t>
            </w:r>
          </w:p>
          <w:p w14:paraId="6527693C" w14:textId="77777777" w:rsidR="00460036" w:rsidRPr="00487162" w:rsidRDefault="00460036" w:rsidP="00E45619">
            <w:r w:rsidRPr="00460036">
              <w:t>For further information regarding dosage, refer to the Product Information.</w:t>
            </w:r>
          </w:p>
        </w:tc>
      </w:tr>
      <w:tr w:rsidR="00460036" w:rsidRPr="00487162" w14:paraId="21173A18" w14:textId="77777777" w:rsidTr="00BF1190">
        <w:tc>
          <w:tcPr>
            <w:tcW w:w="2907" w:type="dxa"/>
          </w:tcPr>
          <w:p w14:paraId="0BE205FA" w14:textId="77777777" w:rsidR="00460036" w:rsidRPr="00487162" w:rsidRDefault="00460036" w:rsidP="00E45619">
            <w:pPr>
              <w:rPr>
                <w:i/>
              </w:rPr>
            </w:pPr>
            <w:r w:rsidRPr="00460036">
              <w:rPr>
                <w:i/>
              </w:rPr>
              <w:lastRenderedPageBreak/>
              <w:t>Pregnancy category</w:t>
            </w:r>
            <w:r>
              <w:rPr>
                <w:i/>
              </w:rPr>
              <w:t>:</w:t>
            </w:r>
          </w:p>
        </w:tc>
        <w:tc>
          <w:tcPr>
            <w:tcW w:w="6307" w:type="dxa"/>
          </w:tcPr>
          <w:p w14:paraId="790BF7B2" w14:textId="77777777" w:rsidR="00FC7138" w:rsidRDefault="00FC7138" w:rsidP="00FC7138">
            <w:r>
              <w:t>C</w:t>
            </w:r>
          </w:p>
          <w:p w14:paraId="5B2A6A7D" w14:textId="77777777" w:rsidR="00FC7138" w:rsidRDefault="00FC7138" w:rsidP="00FC7138">
            <w:r w:rsidRPr="00FC7138">
              <w:t xml:space="preserve">Drugs which, owing to their pharmacological effects, have caused or may be suspected of causing, harmful effects on the human </w:t>
            </w:r>
            <w:proofErr w:type="spellStart"/>
            <w:r w:rsidRPr="00FC7138">
              <w:t>fetus</w:t>
            </w:r>
            <w:proofErr w:type="spellEnd"/>
            <w:r w:rsidRPr="00FC7138">
              <w:t xml:space="preserve"> or neonate without causing malformations. These effects may be reversible. Accompanying texts should be consulted for further details.</w:t>
            </w:r>
          </w:p>
          <w:p w14:paraId="05441CF3" w14:textId="77777777" w:rsidR="00460036" w:rsidRPr="00487162" w:rsidRDefault="00460036" w:rsidP="00FC7138">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31C7DD1" w14:textId="77777777" w:rsidR="008E7846" w:rsidRDefault="008E7846" w:rsidP="008E7846">
      <w:pPr>
        <w:pStyle w:val="Heading3"/>
      </w:pPr>
      <w:bookmarkStart w:id="12" w:name="_Toc247691503"/>
      <w:bookmarkStart w:id="13" w:name="_Toc314842484"/>
      <w:bookmarkStart w:id="14" w:name="_Toc61253616"/>
      <w:r>
        <w:t>Product background</w:t>
      </w:r>
      <w:bookmarkEnd w:id="12"/>
      <w:bookmarkEnd w:id="13"/>
      <w:bookmarkEnd w:id="14"/>
    </w:p>
    <w:p w14:paraId="47137F43" w14:textId="77777777" w:rsidR="008E7846" w:rsidRDefault="00250271" w:rsidP="00940A89">
      <w:r w:rsidRPr="00250271">
        <w:t xml:space="preserve">This AusPAR describes the application by </w:t>
      </w:r>
      <w:r w:rsidR="000E12EB">
        <w:t>Guerbet Australia</w:t>
      </w:r>
      <w:r w:rsidRPr="00250271">
        <w:t xml:space="preserve"> (the sponsor) to register </w:t>
      </w:r>
      <w:r w:rsidR="000E12EB">
        <w:t>Lipiodol Ultra Fluid</w:t>
      </w:r>
      <w:r w:rsidRPr="00250271">
        <w:t xml:space="preserve"> (</w:t>
      </w:r>
      <w:r w:rsidR="000E12EB">
        <w:t>iodised oil</w:t>
      </w:r>
      <w:r w:rsidRPr="00250271">
        <w:t xml:space="preserve">) </w:t>
      </w:r>
      <w:r w:rsidR="000E12EB">
        <w:t>10 mL injection solution ampoule</w:t>
      </w:r>
      <w:r w:rsidRPr="00250271">
        <w:t xml:space="preserve"> for the following extension of indications</w:t>
      </w:r>
      <w:r w:rsidR="00CF5DAD">
        <w:t>:</w:t>
      </w:r>
    </w:p>
    <w:p w14:paraId="3C2A9742" w14:textId="77777777" w:rsidR="007015FC" w:rsidRPr="007015FC" w:rsidRDefault="007015FC" w:rsidP="007015FC">
      <w:pPr>
        <w:ind w:left="720"/>
        <w:rPr>
          <w:i/>
        </w:rPr>
      </w:pPr>
      <w:r w:rsidRPr="007015FC">
        <w:rPr>
          <w:i/>
        </w:rPr>
        <w:t>In interventional radiology:</w:t>
      </w:r>
    </w:p>
    <w:p w14:paraId="4A545825" w14:textId="48F9A5C7" w:rsidR="000E12EB" w:rsidRDefault="007015FC" w:rsidP="007015FC">
      <w:pPr>
        <w:ind w:left="720"/>
      </w:pPr>
      <w:r w:rsidRPr="007015FC">
        <w:rPr>
          <w:i/>
        </w:rPr>
        <w:t>Visualisation and localisation during Trans-Arterial Chemo-Embolisation (TACE) of hepatocellular carcinoma (HCC) at intermediate stage in adults.</w:t>
      </w:r>
    </w:p>
    <w:p w14:paraId="20C6593D" w14:textId="35A432E1" w:rsidR="000E12EB" w:rsidRDefault="000E12EB" w:rsidP="001F7068">
      <w:pPr>
        <w:rPr>
          <w:rFonts w:asciiTheme="minorHAnsi" w:hAnsiTheme="minorHAnsi"/>
        </w:rPr>
      </w:pPr>
      <w:bookmarkStart w:id="15" w:name="_Toc314842485"/>
      <w:bookmarkStart w:id="16" w:name="_Toc247691504"/>
      <w:r>
        <w:rPr>
          <w:rFonts w:asciiTheme="minorHAnsi" w:hAnsiTheme="minorHAnsi"/>
        </w:rPr>
        <w:t xml:space="preserve">Iodised oil </w:t>
      </w:r>
      <w:r>
        <w:t xml:space="preserve">is an emulsion of active </w:t>
      </w:r>
      <w:r w:rsidRPr="00A073F9">
        <w:rPr>
          <w:rFonts w:asciiTheme="minorHAnsi" w:hAnsiTheme="minorHAnsi"/>
        </w:rPr>
        <w:t>ethyl esters of iodised fatty acids o</w:t>
      </w:r>
      <w:r>
        <w:rPr>
          <w:rFonts w:asciiTheme="minorHAnsi" w:hAnsiTheme="minorHAnsi"/>
        </w:rPr>
        <w:t>f poppy seed oil</w:t>
      </w:r>
      <w:r>
        <w:t xml:space="preserve"> (1</w:t>
      </w:r>
      <w:r w:rsidR="00D17FD8">
        <w:t> </w:t>
      </w:r>
      <w:r>
        <w:t xml:space="preserve">mg/mL) presented in 10mL glass ampoules, currently approved </w:t>
      </w:r>
      <w:r w:rsidR="007015FC">
        <w:t xml:space="preserve">in Australia </w:t>
      </w:r>
      <w:r>
        <w:t xml:space="preserve">as a contrast agent for imaging such as </w:t>
      </w:r>
      <w:r w:rsidRPr="00E53E7E">
        <w:t xml:space="preserve">lymphangiography </w:t>
      </w:r>
      <w:r>
        <w:t>and hysterosalpingography.</w:t>
      </w:r>
    </w:p>
    <w:p w14:paraId="424F9C4F" w14:textId="1D925D66" w:rsidR="000E12EB" w:rsidRPr="00201CF4" w:rsidRDefault="000E12EB" w:rsidP="001F7068">
      <w:pPr>
        <w:rPr>
          <w:rFonts w:cstheme="minorHAnsi"/>
        </w:rPr>
      </w:pPr>
      <w:r>
        <w:rPr>
          <w:rFonts w:asciiTheme="minorHAnsi" w:hAnsiTheme="minorHAnsi"/>
        </w:rPr>
        <w:t xml:space="preserve">The </w:t>
      </w:r>
      <w:r w:rsidR="007015FC">
        <w:rPr>
          <w:rFonts w:asciiTheme="minorHAnsi" w:hAnsiTheme="minorHAnsi"/>
        </w:rPr>
        <w:t>submission described in this AusPAR was</w:t>
      </w:r>
      <w:r>
        <w:rPr>
          <w:rFonts w:asciiTheme="minorHAnsi" w:hAnsiTheme="minorHAnsi"/>
        </w:rPr>
        <w:t xml:space="preserve"> seeking approval of Lipiodol Ultra Fluid for its</w:t>
      </w:r>
      <w:r w:rsidRPr="00A073F9">
        <w:rPr>
          <w:rFonts w:asciiTheme="minorHAnsi" w:hAnsiTheme="minorHAnsi"/>
        </w:rPr>
        <w:t xml:space="preserve"> </w:t>
      </w:r>
      <w:r>
        <w:rPr>
          <w:rFonts w:asciiTheme="minorHAnsi" w:hAnsiTheme="minorHAnsi"/>
        </w:rPr>
        <w:t xml:space="preserve">prevailing </w:t>
      </w:r>
      <w:r w:rsidRPr="00A073F9">
        <w:rPr>
          <w:rFonts w:asciiTheme="minorHAnsi" w:hAnsiTheme="minorHAnsi"/>
        </w:rPr>
        <w:t xml:space="preserve">off-label </w:t>
      </w:r>
      <w:r w:rsidR="007015FC">
        <w:rPr>
          <w:rFonts w:asciiTheme="minorHAnsi" w:hAnsiTheme="minorHAnsi"/>
        </w:rPr>
        <w:t>use;</w:t>
      </w:r>
      <w:r>
        <w:rPr>
          <w:rFonts w:asciiTheme="minorHAnsi" w:hAnsiTheme="minorHAnsi"/>
        </w:rPr>
        <w:t xml:space="preserve"> in</w:t>
      </w:r>
      <w:r w:rsidRPr="00A073F9">
        <w:rPr>
          <w:rFonts w:asciiTheme="minorHAnsi" w:hAnsiTheme="minorHAnsi"/>
        </w:rPr>
        <w:t xml:space="preserve"> </w:t>
      </w:r>
      <w:r w:rsidR="007015FC">
        <w:rPr>
          <w:rFonts w:asciiTheme="minorHAnsi" w:hAnsiTheme="minorHAnsi"/>
        </w:rPr>
        <w:t>trans-arterial chemo-embolisation</w:t>
      </w:r>
      <w:r w:rsidR="007015FC" w:rsidRPr="00A073F9">
        <w:rPr>
          <w:rFonts w:asciiTheme="minorHAnsi" w:hAnsiTheme="minorHAnsi"/>
        </w:rPr>
        <w:t xml:space="preserve"> </w:t>
      </w:r>
      <w:r w:rsidRPr="00A073F9">
        <w:rPr>
          <w:rFonts w:asciiTheme="minorHAnsi" w:hAnsiTheme="minorHAnsi"/>
        </w:rPr>
        <w:t>(TACE) of hepatocellular carcinoma (HCC)</w:t>
      </w:r>
      <w:r>
        <w:rPr>
          <w:rFonts w:asciiTheme="minorHAnsi" w:hAnsiTheme="minorHAnsi"/>
        </w:rPr>
        <w:t>, specifically</w:t>
      </w:r>
      <w:r w:rsidRPr="00A073F9">
        <w:rPr>
          <w:rFonts w:asciiTheme="minorHAnsi" w:hAnsiTheme="minorHAnsi"/>
        </w:rPr>
        <w:t xml:space="preserve"> at intermediate stage in adults</w:t>
      </w:r>
      <w:r>
        <w:rPr>
          <w:rFonts w:asciiTheme="minorHAnsi" w:hAnsiTheme="minorHAnsi"/>
        </w:rPr>
        <w:t>.</w:t>
      </w:r>
      <w:r>
        <w:rPr>
          <w:rStyle w:val="FootnoteReference"/>
          <w:rFonts w:asciiTheme="minorHAnsi" w:hAnsiTheme="minorHAnsi"/>
        </w:rPr>
        <w:footnoteReference w:id="2"/>
      </w:r>
      <w:r>
        <w:rPr>
          <w:rFonts w:asciiTheme="minorHAnsi" w:hAnsiTheme="minorHAnsi"/>
        </w:rPr>
        <w:t xml:space="preserve"> </w:t>
      </w:r>
      <w:r>
        <w:rPr>
          <w:rFonts w:cstheme="minorHAnsi"/>
        </w:rPr>
        <w:t xml:space="preserve">Intermediate HCC (BCLC-B) comprises heterogeneous group with unresectable HCC without </w:t>
      </w:r>
      <w:r w:rsidRPr="00120167">
        <w:rPr>
          <w:rFonts w:cstheme="minorHAnsi"/>
        </w:rPr>
        <w:t>vascular i</w:t>
      </w:r>
      <w:r>
        <w:rPr>
          <w:rFonts w:cstheme="minorHAnsi"/>
        </w:rPr>
        <w:t xml:space="preserve">nvasion or extrahepatic spread </w:t>
      </w:r>
      <w:r w:rsidRPr="00120167">
        <w:rPr>
          <w:rFonts w:cstheme="minorHAnsi"/>
        </w:rPr>
        <w:t>b</w:t>
      </w:r>
      <w:r>
        <w:rPr>
          <w:rFonts w:cstheme="minorHAnsi"/>
        </w:rPr>
        <w:t>ut with sufficiently preserved hepatic</w:t>
      </w:r>
      <w:r w:rsidRPr="00120167">
        <w:rPr>
          <w:rFonts w:cstheme="minorHAnsi"/>
        </w:rPr>
        <w:t xml:space="preserve"> function</w:t>
      </w:r>
      <w:r>
        <w:rPr>
          <w:rFonts w:cstheme="minorHAnsi"/>
        </w:rPr>
        <w:t xml:space="preserve">. </w:t>
      </w:r>
      <w:r w:rsidRPr="00A073F9">
        <w:rPr>
          <w:rFonts w:asciiTheme="minorHAnsi" w:hAnsiTheme="minorHAnsi"/>
        </w:rPr>
        <w:t xml:space="preserve">The proposed maximum dose </w:t>
      </w:r>
      <w:r>
        <w:rPr>
          <w:rFonts w:asciiTheme="minorHAnsi" w:hAnsiTheme="minorHAnsi"/>
        </w:rPr>
        <w:t xml:space="preserve">in </w:t>
      </w:r>
      <w:r w:rsidR="00D17FD8">
        <w:rPr>
          <w:rFonts w:asciiTheme="minorHAnsi" w:hAnsiTheme="minorHAnsi"/>
        </w:rPr>
        <w:t xml:space="preserve">the </w:t>
      </w:r>
      <w:r>
        <w:rPr>
          <w:rFonts w:asciiTheme="minorHAnsi" w:hAnsiTheme="minorHAnsi"/>
        </w:rPr>
        <w:t xml:space="preserve">TACE </w:t>
      </w:r>
      <w:r w:rsidR="00D17FD8">
        <w:rPr>
          <w:rFonts w:asciiTheme="minorHAnsi" w:hAnsiTheme="minorHAnsi"/>
        </w:rPr>
        <w:t xml:space="preserve">procedure </w:t>
      </w:r>
      <w:r>
        <w:rPr>
          <w:rFonts w:asciiTheme="minorHAnsi" w:hAnsiTheme="minorHAnsi"/>
        </w:rPr>
        <w:t>is 15</w:t>
      </w:r>
      <w:r w:rsidR="00D17FD8">
        <w:rPr>
          <w:rFonts w:asciiTheme="minorHAnsi" w:hAnsiTheme="minorHAnsi"/>
        </w:rPr>
        <w:t> </w:t>
      </w:r>
      <w:proofErr w:type="spellStart"/>
      <w:r>
        <w:rPr>
          <w:rFonts w:asciiTheme="minorHAnsi" w:hAnsiTheme="minorHAnsi"/>
        </w:rPr>
        <w:t>mL.</w:t>
      </w:r>
      <w:proofErr w:type="spellEnd"/>
    </w:p>
    <w:p w14:paraId="032C6323" w14:textId="0B9289E8" w:rsidR="000E12EB" w:rsidRDefault="000E12EB" w:rsidP="001F7068">
      <w:pPr>
        <w:rPr>
          <w:rFonts w:asciiTheme="minorHAnsi" w:hAnsiTheme="minorHAnsi"/>
        </w:rPr>
      </w:pPr>
      <w:r>
        <w:rPr>
          <w:rFonts w:asciiTheme="minorHAnsi" w:hAnsiTheme="minorHAnsi"/>
        </w:rPr>
        <w:lastRenderedPageBreak/>
        <w:t>TACE is performed by interventional radiologists.</w:t>
      </w:r>
      <w:r w:rsidRPr="002C45D9">
        <w:rPr>
          <w:rFonts w:asciiTheme="minorHAnsi" w:hAnsiTheme="minorHAnsi"/>
        </w:rPr>
        <w:t xml:space="preserve"> </w:t>
      </w:r>
      <w:r w:rsidR="007015FC">
        <w:rPr>
          <w:rFonts w:asciiTheme="minorHAnsi" w:hAnsiTheme="minorHAnsi"/>
        </w:rPr>
        <w:t>The h</w:t>
      </w:r>
      <w:r>
        <w:rPr>
          <w:rFonts w:asciiTheme="minorHAnsi" w:hAnsiTheme="minorHAnsi"/>
        </w:rPr>
        <w:t>epatic artery</w:t>
      </w:r>
      <w:r w:rsidRPr="00A073F9">
        <w:rPr>
          <w:rFonts w:asciiTheme="minorHAnsi" w:hAnsiTheme="minorHAnsi"/>
        </w:rPr>
        <w:t xml:space="preserve"> </w:t>
      </w:r>
      <w:r>
        <w:rPr>
          <w:rFonts w:asciiTheme="minorHAnsi" w:hAnsiTheme="minorHAnsi"/>
        </w:rPr>
        <w:t xml:space="preserve">is typically accessed via </w:t>
      </w:r>
      <w:r w:rsidR="007015FC">
        <w:rPr>
          <w:rFonts w:asciiTheme="minorHAnsi" w:hAnsiTheme="minorHAnsi"/>
        </w:rPr>
        <w:t xml:space="preserve">the </w:t>
      </w:r>
      <w:r>
        <w:rPr>
          <w:rFonts w:asciiTheme="minorHAnsi" w:hAnsiTheme="minorHAnsi"/>
        </w:rPr>
        <w:t>femoral artery (under fluoroscopic guidance with water-soluble contrast) to administer Lipiodol</w:t>
      </w:r>
      <w:r w:rsidR="001D5977">
        <w:rPr>
          <w:rFonts w:asciiTheme="minorHAnsi" w:hAnsiTheme="minorHAnsi"/>
        </w:rPr>
        <w:t xml:space="preserve"> Ultra Fluid</w:t>
      </w:r>
      <w:r>
        <w:rPr>
          <w:rFonts w:asciiTheme="minorHAnsi" w:hAnsiTheme="minorHAnsi"/>
        </w:rPr>
        <w:t>-TACE for HCC.</w:t>
      </w:r>
    </w:p>
    <w:p w14:paraId="58E3E06C" w14:textId="77777777" w:rsidR="000E12EB" w:rsidRDefault="000E12EB" w:rsidP="001F7068">
      <w:pPr>
        <w:rPr>
          <w:rFonts w:asciiTheme="minorHAnsi" w:hAnsiTheme="minorHAnsi"/>
        </w:rPr>
      </w:pPr>
      <w:r>
        <w:rPr>
          <w:rFonts w:asciiTheme="minorHAnsi" w:hAnsiTheme="minorHAnsi"/>
        </w:rPr>
        <w:t xml:space="preserve">In TACE, </w:t>
      </w:r>
      <w:r w:rsidR="00B9065E">
        <w:rPr>
          <w:rFonts w:asciiTheme="minorHAnsi" w:hAnsiTheme="minorHAnsi"/>
        </w:rPr>
        <w:t>Lipiodol Ultra Fluid</w:t>
      </w:r>
      <w:r>
        <w:rPr>
          <w:rFonts w:asciiTheme="minorHAnsi" w:hAnsiTheme="minorHAnsi"/>
        </w:rPr>
        <w:t xml:space="preserve"> is</w:t>
      </w:r>
      <w:r w:rsidRPr="00A073F9">
        <w:rPr>
          <w:rFonts w:asciiTheme="minorHAnsi" w:hAnsiTheme="minorHAnsi"/>
        </w:rPr>
        <w:t xml:space="preserve"> </w:t>
      </w:r>
      <w:r>
        <w:rPr>
          <w:rFonts w:asciiTheme="minorHAnsi" w:hAnsiTheme="minorHAnsi"/>
        </w:rPr>
        <w:t xml:space="preserve">given </w:t>
      </w:r>
      <w:r w:rsidRPr="00A073F9">
        <w:rPr>
          <w:rFonts w:asciiTheme="minorHAnsi" w:hAnsiTheme="minorHAnsi"/>
        </w:rPr>
        <w:t xml:space="preserve">in combination </w:t>
      </w:r>
      <w:r>
        <w:rPr>
          <w:rFonts w:asciiTheme="minorHAnsi" w:hAnsiTheme="minorHAnsi"/>
        </w:rPr>
        <w:t>with old generation cytotoxic agents</w:t>
      </w:r>
      <w:r w:rsidRPr="00A073F9">
        <w:rPr>
          <w:rFonts w:asciiTheme="minorHAnsi" w:hAnsiTheme="minorHAnsi"/>
        </w:rPr>
        <w:t xml:space="preserve"> such as doxorubicin</w:t>
      </w:r>
      <w:r>
        <w:rPr>
          <w:rFonts w:asciiTheme="minorHAnsi" w:hAnsiTheme="minorHAnsi"/>
        </w:rPr>
        <w:t>,</w:t>
      </w:r>
      <w:r w:rsidRPr="00A073F9">
        <w:rPr>
          <w:rFonts w:asciiTheme="minorHAnsi" w:hAnsiTheme="minorHAnsi"/>
        </w:rPr>
        <w:t xml:space="preserve"> cisplatin, epirubicin and </w:t>
      </w:r>
      <w:r>
        <w:rPr>
          <w:rFonts w:asciiTheme="minorHAnsi" w:hAnsiTheme="minorHAnsi"/>
        </w:rPr>
        <w:t>mitomycin. The procedure may</w:t>
      </w:r>
      <w:r w:rsidRPr="00A073F9">
        <w:rPr>
          <w:rFonts w:asciiTheme="minorHAnsi" w:hAnsiTheme="minorHAnsi"/>
        </w:rPr>
        <w:t xml:space="preserve"> be repeated every six to eight weeks</w:t>
      </w:r>
      <w:r>
        <w:rPr>
          <w:rFonts w:asciiTheme="minorHAnsi" w:hAnsiTheme="minorHAnsi"/>
        </w:rPr>
        <w:t xml:space="preserve"> according to the patient/disease progress. The intended registration of this agent is as an imaging agent, and not as a therapeutic agent.</w:t>
      </w:r>
    </w:p>
    <w:p w14:paraId="72C6F51C" w14:textId="12A0CF54" w:rsidR="000E12EB" w:rsidRPr="00A073F9" w:rsidRDefault="007015FC" w:rsidP="001F7068">
      <w:pPr>
        <w:rPr>
          <w:rFonts w:asciiTheme="minorHAnsi" w:hAnsiTheme="minorHAnsi"/>
        </w:rPr>
      </w:pPr>
      <w:r>
        <w:rPr>
          <w:rFonts w:asciiTheme="minorHAnsi" w:hAnsiTheme="minorHAnsi"/>
        </w:rPr>
        <w:t xml:space="preserve">The </w:t>
      </w:r>
      <w:r w:rsidR="00C06492">
        <w:rPr>
          <w:rFonts w:asciiTheme="minorHAnsi" w:hAnsiTheme="minorHAnsi"/>
        </w:rPr>
        <w:t>submission</w:t>
      </w:r>
      <w:r>
        <w:rPr>
          <w:rFonts w:asciiTheme="minorHAnsi" w:hAnsiTheme="minorHAnsi"/>
        </w:rPr>
        <w:t xml:space="preserve"> </w:t>
      </w:r>
      <w:r w:rsidR="000E12EB">
        <w:rPr>
          <w:rFonts w:asciiTheme="minorHAnsi" w:hAnsiTheme="minorHAnsi"/>
        </w:rPr>
        <w:t xml:space="preserve">was literature-based, </w:t>
      </w:r>
      <w:r>
        <w:rPr>
          <w:rFonts w:asciiTheme="minorHAnsi" w:hAnsiTheme="minorHAnsi"/>
        </w:rPr>
        <w:t>as agreed with the TGA.</w:t>
      </w:r>
    </w:p>
    <w:p w14:paraId="55B62D4E" w14:textId="77777777" w:rsidR="008E7846" w:rsidRPr="003F31A2" w:rsidRDefault="00386150" w:rsidP="008E7846">
      <w:pPr>
        <w:pStyle w:val="Heading3"/>
      </w:pPr>
      <w:bookmarkStart w:id="17" w:name="_Toc61253617"/>
      <w:r>
        <w:t>Regulatory s</w:t>
      </w:r>
      <w:r w:rsidR="008E7846">
        <w:t>tatus</w:t>
      </w:r>
      <w:bookmarkEnd w:id="15"/>
      <w:bookmarkEnd w:id="16"/>
      <w:bookmarkEnd w:id="17"/>
    </w:p>
    <w:p w14:paraId="302E851B" w14:textId="42491BA4" w:rsidR="003509C8" w:rsidRDefault="00006FAB" w:rsidP="007015FC">
      <w:bookmarkStart w:id="18" w:name="_Toc247691505"/>
      <w:bookmarkStart w:id="19" w:name="_Toc314842486"/>
      <w:r>
        <w:t>The product received initial registration on the Australian Register of Therapeutic Goods (ARTG) on</w:t>
      </w:r>
      <w:r w:rsidR="003509C8">
        <w:t xml:space="preserve"> 18 December 1991</w:t>
      </w:r>
      <w:r w:rsidR="007015FC">
        <w:t xml:space="preserve"> for use in diagnostic radiology</w:t>
      </w:r>
      <w:r w:rsidR="003509C8">
        <w:t xml:space="preserve">. Iodised oil has been a known </w:t>
      </w:r>
      <w:r w:rsidR="003509C8" w:rsidRPr="00A073F9">
        <w:t>con</w:t>
      </w:r>
      <w:r w:rsidR="003509C8">
        <w:t>trast agent for over 70 years, and was grandfathered i</w:t>
      </w:r>
      <w:r w:rsidR="003509C8" w:rsidRPr="00A073F9">
        <w:t xml:space="preserve">nto the </w:t>
      </w:r>
      <w:r w:rsidR="003509C8">
        <w:t>ARTG ‘as existing in clinical practice’.</w:t>
      </w:r>
    </w:p>
    <w:p w14:paraId="72745BA9" w14:textId="42B86DA4" w:rsidR="00940A89" w:rsidRDefault="00006FAB" w:rsidP="007015FC">
      <w:r>
        <w:t>At the time the TGA considered this application, similar application</w:t>
      </w:r>
      <w:r w:rsidR="00165E3F">
        <w:t>s</w:t>
      </w:r>
      <w:r>
        <w:t xml:space="preserve"> had been approved </w:t>
      </w:r>
      <w:r w:rsidR="00165E3F">
        <w:t xml:space="preserve">in the </w:t>
      </w:r>
      <w:r w:rsidR="007015FC">
        <w:t>United States (</w:t>
      </w:r>
      <w:r w:rsidR="00165E3F">
        <w:t>US</w:t>
      </w:r>
      <w:r w:rsidR="007015FC">
        <w:t>)</w:t>
      </w:r>
      <w:r w:rsidR="00165E3F">
        <w:t>, Canada, New Zealand, and a number of European nations</w:t>
      </w:r>
      <w:r w:rsidR="007015FC">
        <w:t xml:space="preserve">, </w:t>
      </w:r>
      <w:r w:rsidR="00D17FD8">
        <w:t>as outlined in</w:t>
      </w:r>
      <w:r w:rsidR="007015FC">
        <w:t xml:space="preserve"> </w:t>
      </w:r>
      <w:r w:rsidR="007015FC">
        <w:fldChar w:fldCharType="begin"/>
      </w:r>
      <w:r w:rsidR="007015FC">
        <w:instrText xml:space="preserve"> REF _Ref57960623 \h  \* MERGEFORMAT </w:instrText>
      </w:r>
      <w:r w:rsidR="007015FC">
        <w:fldChar w:fldCharType="separate"/>
      </w:r>
      <w:r w:rsidR="00920707">
        <w:t xml:space="preserve">Table </w:t>
      </w:r>
      <w:r w:rsidR="00920707">
        <w:rPr>
          <w:noProof/>
        </w:rPr>
        <w:t>1</w:t>
      </w:r>
      <w:r w:rsidR="007015FC">
        <w:fldChar w:fldCharType="end"/>
      </w:r>
      <w:r w:rsidR="007015FC">
        <w:t xml:space="preserve"> below.</w:t>
      </w:r>
    </w:p>
    <w:p w14:paraId="4E2F2279" w14:textId="2DB7FE25" w:rsidR="007015FC" w:rsidRDefault="007015FC" w:rsidP="007015FC">
      <w:r>
        <w:t xml:space="preserve">In the </w:t>
      </w:r>
      <w:r w:rsidRPr="00B9065E">
        <w:t>US</w:t>
      </w:r>
      <w:r w:rsidRPr="00596AD5">
        <w:rPr>
          <w:b/>
        </w:rPr>
        <w:t xml:space="preserve"> </w:t>
      </w:r>
      <w:r w:rsidRPr="00B53EB6">
        <w:t>and</w:t>
      </w:r>
      <w:r w:rsidRPr="00596AD5">
        <w:rPr>
          <w:b/>
        </w:rPr>
        <w:t xml:space="preserve"> </w:t>
      </w:r>
      <w:r w:rsidRPr="00B9065E">
        <w:t>Canada</w:t>
      </w:r>
      <w:r>
        <w:t>, as with Germany, indications focus on its imaging functions exclusively and disregard co-administration with cytotoxic agents in TACE for HCC.</w:t>
      </w:r>
    </w:p>
    <w:p w14:paraId="1B4EFEC1" w14:textId="3617E367" w:rsidR="007015FC" w:rsidRDefault="007015FC" w:rsidP="007015FC">
      <w:r>
        <w:t xml:space="preserve">The indication approved in </w:t>
      </w:r>
      <w:r w:rsidRPr="00B9065E">
        <w:t>New Zealand</w:t>
      </w:r>
      <w:r>
        <w:t xml:space="preserve"> is the same indication proposed for Australia.</w:t>
      </w:r>
    </w:p>
    <w:p w14:paraId="4F2B1398" w14:textId="61EDE022" w:rsidR="007015FC" w:rsidRPr="007015FC" w:rsidRDefault="007015FC" w:rsidP="007015FC">
      <w:pPr>
        <w:pStyle w:val="TableTitle"/>
      </w:pPr>
      <w:bookmarkStart w:id="20" w:name="_Ref57960623"/>
      <w:r>
        <w:t xml:space="preserve">Table </w:t>
      </w:r>
      <w:fldSimple w:instr=" SEQ Table \* ARABIC ">
        <w:r w:rsidR="00920707">
          <w:rPr>
            <w:noProof/>
          </w:rPr>
          <w:t>1</w:t>
        </w:r>
      </w:fldSimple>
      <w:bookmarkEnd w:id="20"/>
      <w:r>
        <w:t>: International regulatory status</w:t>
      </w:r>
    </w:p>
    <w:tbl>
      <w:tblPr>
        <w:tblStyle w:val="TableTGAblue"/>
        <w:tblW w:w="8905" w:type="dxa"/>
        <w:tblLook w:val="04A0" w:firstRow="1" w:lastRow="0" w:firstColumn="1" w:lastColumn="0" w:noHBand="0" w:noVBand="1"/>
      </w:tblPr>
      <w:tblGrid>
        <w:gridCol w:w="1525"/>
        <w:gridCol w:w="1890"/>
        <w:gridCol w:w="1825"/>
        <w:gridCol w:w="3665"/>
      </w:tblGrid>
      <w:tr w:rsidR="00006FAB" w14:paraId="6291306F" w14:textId="77777777" w:rsidTr="00920707">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74ED6810" w14:textId="77777777" w:rsidR="00006FAB" w:rsidRDefault="00006FAB" w:rsidP="00C06492">
            <w:pPr>
              <w:ind w:left="0" w:right="0"/>
            </w:pPr>
            <w:r>
              <w:t>Region</w:t>
            </w:r>
          </w:p>
        </w:tc>
        <w:tc>
          <w:tcPr>
            <w:tcW w:w="1890" w:type="dxa"/>
            <w:tcBorders>
              <w:top w:val="single" w:sz="4" w:space="0" w:color="auto"/>
              <w:left w:val="single" w:sz="4" w:space="0" w:color="auto"/>
              <w:bottom w:val="single" w:sz="4" w:space="0" w:color="auto"/>
              <w:right w:val="single" w:sz="4" w:space="0" w:color="auto"/>
            </w:tcBorders>
          </w:tcPr>
          <w:p w14:paraId="52BE2FD0" w14:textId="77777777" w:rsidR="00006FAB" w:rsidRDefault="00006FAB" w:rsidP="00C06492">
            <w:pPr>
              <w:ind w:left="0" w:right="0"/>
            </w:pPr>
            <w:r>
              <w:t>Submission date</w:t>
            </w:r>
          </w:p>
        </w:tc>
        <w:tc>
          <w:tcPr>
            <w:tcW w:w="1825" w:type="dxa"/>
            <w:tcBorders>
              <w:top w:val="single" w:sz="4" w:space="0" w:color="auto"/>
              <w:left w:val="single" w:sz="4" w:space="0" w:color="auto"/>
              <w:bottom w:val="single" w:sz="4" w:space="0" w:color="auto"/>
              <w:right w:val="single" w:sz="4" w:space="0" w:color="auto"/>
            </w:tcBorders>
          </w:tcPr>
          <w:p w14:paraId="653D1E18" w14:textId="77777777" w:rsidR="00006FAB" w:rsidRDefault="00006FAB" w:rsidP="00C06492">
            <w:pPr>
              <w:ind w:left="0" w:right="0"/>
            </w:pPr>
            <w:r>
              <w:t>Status</w:t>
            </w:r>
          </w:p>
        </w:tc>
        <w:tc>
          <w:tcPr>
            <w:tcW w:w="3665" w:type="dxa"/>
            <w:tcBorders>
              <w:top w:val="single" w:sz="4" w:space="0" w:color="auto"/>
              <w:left w:val="single" w:sz="4" w:space="0" w:color="auto"/>
              <w:bottom w:val="single" w:sz="4" w:space="0" w:color="auto"/>
              <w:right w:val="single" w:sz="4" w:space="0" w:color="auto"/>
            </w:tcBorders>
          </w:tcPr>
          <w:p w14:paraId="74B86F42" w14:textId="77777777" w:rsidR="00006FAB" w:rsidRDefault="00006FAB" w:rsidP="00C06492">
            <w:pPr>
              <w:ind w:left="0" w:right="0"/>
            </w:pPr>
            <w:r>
              <w:t>Approved indications</w:t>
            </w:r>
          </w:p>
        </w:tc>
      </w:tr>
      <w:tr w:rsidR="00006FAB" w14:paraId="04432462" w14:textId="77777777" w:rsidTr="00920707">
        <w:tc>
          <w:tcPr>
            <w:tcW w:w="1525" w:type="dxa"/>
            <w:tcBorders>
              <w:top w:val="single" w:sz="4" w:space="0" w:color="auto"/>
            </w:tcBorders>
          </w:tcPr>
          <w:p w14:paraId="76FBFD18" w14:textId="5D112CE5" w:rsidR="00006FAB" w:rsidRDefault="00165E3F" w:rsidP="00C06492">
            <w:pPr>
              <w:ind w:left="0" w:right="0"/>
            </w:pPr>
            <w:r>
              <w:t>United States</w:t>
            </w:r>
          </w:p>
        </w:tc>
        <w:tc>
          <w:tcPr>
            <w:tcW w:w="1890" w:type="dxa"/>
            <w:tcBorders>
              <w:top w:val="single" w:sz="4" w:space="0" w:color="auto"/>
            </w:tcBorders>
          </w:tcPr>
          <w:p w14:paraId="3C297BB4" w14:textId="1CE89296" w:rsidR="00006FAB" w:rsidRDefault="00165E3F" w:rsidP="00C06492">
            <w:pPr>
              <w:ind w:left="0" w:right="0"/>
            </w:pPr>
            <w:r>
              <w:t>4 June 2013</w:t>
            </w:r>
          </w:p>
        </w:tc>
        <w:tc>
          <w:tcPr>
            <w:tcW w:w="1825" w:type="dxa"/>
            <w:tcBorders>
              <w:top w:val="single" w:sz="4" w:space="0" w:color="auto"/>
            </w:tcBorders>
          </w:tcPr>
          <w:p w14:paraId="1E7B7725" w14:textId="16A1AE96" w:rsidR="00006FAB" w:rsidRDefault="00006FAB" w:rsidP="00C06492">
            <w:pPr>
              <w:ind w:left="0" w:right="0"/>
            </w:pPr>
            <w:r w:rsidRPr="00006FAB">
              <w:t xml:space="preserve">Approved on </w:t>
            </w:r>
            <w:r w:rsidR="00165E3F">
              <w:t>4</w:t>
            </w:r>
            <w:r w:rsidR="000C4036">
              <w:t> </w:t>
            </w:r>
            <w:r w:rsidR="00165E3F">
              <w:t>April 2014</w:t>
            </w:r>
          </w:p>
        </w:tc>
        <w:tc>
          <w:tcPr>
            <w:tcW w:w="3665" w:type="dxa"/>
            <w:tcBorders>
              <w:top w:val="single" w:sz="4" w:space="0" w:color="auto"/>
            </w:tcBorders>
          </w:tcPr>
          <w:p w14:paraId="01967640" w14:textId="6772011F" w:rsidR="00006FAB" w:rsidRPr="00165E3F" w:rsidRDefault="00165E3F" w:rsidP="00C06492">
            <w:pPr>
              <w:ind w:left="0" w:right="0"/>
              <w:rPr>
                <w:i/>
              </w:rPr>
            </w:pPr>
            <w:r w:rsidRPr="00165E3F">
              <w:rPr>
                <w:i/>
              </w:rPr>
              <w:t xml:space="preserve">Selective hepatic intra-arterial use for imaging </w:t>
            </w:r>
            <w:proofErr w:type="spellStart"/>
            <w:r w:rsidRPr="00165E3F">
              <w:rPr>
                <w:i/>
              </w:rPr>
              <w:t>tumors</w:t>
            </w:r>
            <w:proofErr w:type="spellEnd"/>
            <w:r w:rsidRPr="00165E3F">
              <w:rPr>
                <w:i/>
              </w:rPr>
              <w:t xml:space="preserve"> in adults with known hepatocellular carcinoma (HCC)</w:t>
            </w:r>
          </w:p>
        </w:tc>
      </w:tr>
      <w:tr w:rsidR="00006FAB" w14:paraId="6010C6F2" w14:textId="77777777" w:rsidTr="00920707">
        <w:tc>
          <w:tcPr>
            <w:tcW w:w="1525" w:type="dxa"/>
          </w:tcPr>
          <w:p w14:paraId="1ED780BF" w14:textId="3ED41C24" w:rsidR="00006FAB" w:rsidRDefault="001960D3" w:rsidP="00C06492">
            <w:pPr>
              <w:ind w:left="0" w:right="0"/>
            </w:pPr>
            <w:r>
              <w:t>Canada</w:t>
            </w:r>
          </w:p>
        </w:tc>
        <w:tc>
          <w:tcPr>
            <w:tcW w:w="1890" w:type="dxa"/>
          </w:tcPr>
          <w:p w14:paraId="4C72E6C0" w14:textId="3A212999" w:rsidR="00006FAB" w:rsidRDefault="001960D3" w:rsidP="00C06492">
            <w:pPr>
              <w:ind w:left="0" w:right="0"/>
            </w:pPr>
            <w:r>
              <w:t>17 June 2016</w:t>
            </w:r>
          </w:p>
        </w:tc>
        <w:tc>
          <w:tcPr>
            <w:tcW w:w="1825" w:type="dxa"/>
          </w:tcPr>
          <w:p w14:paraId="6F0B399D" w14:textId="244AD70D" w:rsidR="00006FAB" w:rsidRDefault="001960D3" w:rsidP="00C06492">
            <w:pPr>
              <w:ind w:left="0" w:right="0"/>
            </w:pPr>
            <w:r>
              <w:t>Approved on 13</w:t>
            </w:r>
            <w:r w:rsidR="000C4036">
              <w:t> </w:t>
            </w:r>
            <w:r>
              <w:t>July 2017</w:t>
            </w:r>
          </w:p>
        </w:tc>
        <w:tc>
          <w:tcPr>
            <w:tcW w:w="3665" w:type="dxa"/>
          </w:tcPr>
          <w:p w14:paraId="1CAE26BC" w14:textId="530B8B96" w:rsidR="00006FAB" w:rsidRPr="001960D3" w:rsidRDefault="001960D3" w:rsidP="00C06492">
            <w:pPr>
              <w:ind w:left="0" w:right="0"/>
              <w:rPr>
                <w:i/>
              </w:rPr>
            </w:pPr>
            <w:r w:rsidRPr="001960D3">
              <w:rPr>
                <w:i/>
              </w:rPr>
              <w:t xml:space="preserve">Selective hepatic intra-arterial use for imaging </w:t>
            </w:r>
            <w:proofErr w:type="spellStart"/>
            <w:r w:rsidRPr="001960D3">
              <w:rPr>
                <w:i/>
              </w:rPr>
              <w:t>tumors</w:t>
            </w:r>
            <w:proofErr w:type="spellEnd"/>
            <w:r w:rsidRPr="001960D3">
              <w:rPr>
                <w:i/>
              </w:rPr>
              <w:t xml:space="preserve"> in adults with known hepatocellular carcinoma (HCC)</w:t>
            </w:r>
          </w:p>
        </w:tc>
      </w:tr>
      <w:tr w:rsidR="001960D3" w14:paraId="7BF21F8A" w14:textId="77777777" w:rsidTr="00920707">
        <w:tc>
          <w:tcPr>
            <w:tcW w:w="1525" w:type="dxa"/>
          </w:tcPr>
          <w:p w14:paraId="3C26445D" w14:textId="5DF32A5A" w:rsidR="001960D3" w:rsidRDefault="001960D3" w:rsidP="00C06492">
            <w:pPr>
              <w:ind w:left="0"/>
            </w:pPr>
            <w:r>
              <w:t>New Zealand</w:t>
            </w:r>
          </w:p>
        </w:tc>
        <w:tc>
          <w:tcPr>
            <w:tcW w:w="1890" w:type="dxa"/>
          </w:tcPr>
          <w:p w14:paraId="23198378" w14:textId="6074BDF0" w:rsidR="001960D3" w:rsidRDefault="001960D3" w:rsidP="00C06492">
            <w:pPr>
              <w:ind w:left="0"/>
            </w:pPr>
            <w:r>
              <w:t>4 August 2016</w:t>
            </w:r>
          </w:p>
        </w:tc>
        <w:tc>
          <w:tcPr>
            <w:tcW w:w="1825" w:type="dxa"/>
          </w:tcPr>
          <w:p w14:paraId="24D56AB6" w14:textId="42A9DA2A" w:rsidR="001960D3" w:rsidRDefault="001960D3" w:rsidP="00C06492">
            <w:pPr>
              <w:ind w:left="0"/>
            </w:pPr>
            <w:r>
              <w:t>Approved on 22</w:t>
            </w:r>
            <w:r w:rsidR="000C4036">
              <w:t> </w:t>
            </w:r>
            <w:r>
              <w:t>February 2018</w:t>
            </w:r>
          </w:p>
        </w:tc>
        <w:tc>
          <w:tcPr>
            <w:tcW w:w="3665" w:type="dxa"/>
          </w:tcPr>
          <w:p w14:paraId="2A6B92F9" w14:textId="23436416" w:rsidR="001960D3" w:rsidRPr="001960D3" w:rsidRDefault="001960D3" w:rsidP="00C06492">
            <w:pPr>
              <w:ind w:left="0"/>
              <w:rPr>
                <w:i/>
              </w:rPr>
            </w:pPr>
            <w:r>
              <w:rPr>
                <w:i/>
              </w:rPr>
              <w:t>Visualisation, localisation during trans-arterial chemo-embolisation of hepatocellular carcinoma at intermediate stage, in adults</w:t>
            </w:r>
          </w:p>
        </w:tc>
      </w:tr>
      <w:tr w:rsidR="001960D3" w14:paraId="075B69B3" w14:textId="77777777" w:rsidTr="00920707">
        <w:tc>
          <w:tcPr>
            <w:tcW w:w="1525" w:type="dxa"/>
          </w:tcPr>
          <w:p w14:paraId="14BB305D" w14:textId="79FCAC76" w:rsidR="001960D3" w:rsidRDefault="001960D3" w:rsidP="00C06492">
            <w:pPr>
              <w:ind w:left="0"/>
            </w:pPr>
            <w:r>
              <w:t>Germany</w:t>
            </w:r>
          </w:p>
        </w:tc>
        <w:tc>
          <w:tcPr>
            <w:tcW w:w="1890" w:type="dxa"/>
          </w:tcPr>
          <w:p w14:paraId="6C3B2145" w14:textId="544E8611" w:rsidR="001960D3" w:rsidRDefault="001960D3" w:rsidP="00C06492">
            <w:pPr>
              <w:ind w:left="0"/>
            </w:pPr>
            <w:r>
              <w:t>20 March 2014</w:t>
            </w:r>
          </w:p>
        </w:tc>
        <w:tc>
          <w:tcPr>
            <w:tcW w:w="1825" w:type="dxa"/>
          </w:tcPr>
          <w:p w14:paraId="33784AD4" w14:textId="0832BE2B" w:rsidR="001960D3" w:rsidRDefault="001960D3" w:rsidP="00C06492">
            <w:pPr>
              <w:ind w:left="0"/>
            </w:pPr>
            <w:r>
              <w:t>Approved on 31</w:t>
            </w:r>
            <w:r w:rsidR="000C4036">
              <w:t> </w:t>
            </w:r>
            <w:r>
              <w:t>March 2017</w:t>
            </w:r>
          </w:p>
        </w:tc>
        <w:tc>
          <w:tcPr>
            <w:tcW w:w="3665" w:type="dxa"/>
          </w:tcPr>
          <w:p w14:paraId="28DB7D1C" w14:textId="246396FB" w:rsidR="001960D3" w:rsidRDefault="001960D3" w:rsidP="00C06492">
            <w:pPr>
              <w:ind w:left="0"/>
              <w:rPr>
                <w:i/>
              </w:rPr>
            </w:pPr>
            <w:r>
              <w:rPr>
                <w:i/>
              </w:rPr>
              <w:t>Visualisation and localisation of hepatocellular carcinoma at intermediate stage, in adults</w:t>
            </w:r>
          </w:p>
        </w:tc>
      </w:tr>
      <w:tr w:rsidR="001960D3" w14:paraId="764DF678" w14:textId="77777777" w:rsidTr="00920707">
        <w:tc>
          <w:tcPr>
            <w:tcW w:w="1525" w:type="dxa"/>
          </w:tcPr>
          <w:p w14:paraId="131896E9" w14:textId="69FAFB38" w:rsidR="001960D3" w:rsidRDefault="001960D3" w:rsidP="00C06492">
            <w:pPr>
              <w:ind w:left="0"/>
            </w:pPr>
            <w:r>
              <w:t>France</w:t>
            </w:r>
          </w:p>
        </w:tc>
        <w:tc>
          <w:tcPr>
            <w:tcW w:w="1890" w:type="dxa"/>
          </w:tcPr>
          <w:p w14:paraId="31621886" w14:textId="75E1780D" w:rsidR="001960D3" w:rsidRDefault="001960D3" w:rsidP="00C06492">
            <w:pPr>
              <w:ind w:left="0"/>
            </w:pPr>
            <w:r>
              <w:t>5 March 2014</w:t>
            </w:r>
          </w:p>
        </w:tc>
        <w:tc>
          <w:tcPr>
            <w:tcW w:w="1825" w:type="dxa"/>
          </w:tcPr>
          <w:p w14:paraId="1B53A925" w14:textId="73471A47" w:rsidR="001960D3" w:rsidRDefault="001960D3" w:rsidP="00C06492">
            <w:pPr>
              <w:ind w:left="0"/>
            </w:pPr>
            <w:r>
              <w:t>Approved on 7</w:t>
            </w:r>
            <w:r w:rsidR="000C4036">
              <w:t> </w:t>
            </w:r>
            <w:r>
              <w:t>August 2014</w:t>
            </w:r>
          </w:p>
        </w:tc>
        <w:tc>
          <w:tcPr>
            <w:tcW w:w="3665" w:type="dxa"/>
          </w:tcPr>
          <w:p w14:paraId="738CA976" w14:textId="707F3230" w:rsidR="001960D3" w:rsidRDefault="001960D3" w:rsidP="00C06492">
            <w:pPr>
              <w:ind w:left="0"/>
              <w:rPr>
                <w:i/>
              </w:rPr>
            </w:pPr>
            <w:r>
              <w:rPr>
                <w:i/>
              </w:rPr>
              <w:t>Visualisation, localisation and vectorisation during trans-arterial chemo-embolisation of hepatocellular carcinoma at intermediate stage, in adults</w:t>
            </w:r>
          </w:p>
        </w:tc>
      </w:tr>
      <w:tr w:rsidR="001960D3" w14:paraId="5EE9A84A" w14:textId="77777777" w:rsidTr="00920707">
        <w:tc>
          <w:tcPr>
            <w:tcW w:w="1525" w:type="dxa"/>
          </w:tcPr>
          <w:p w14:paraId="5C92C6AD" w14:textId="52F5CBA1" w:rsidR="001960D3" w:rsidRDefault="001960D3" w:rsidP="00C06492">
            <w:pPr>
              <w:ind w:left="0"/>
            </w:pPr>
            <w:r>
              <w:lastRenderedPageBreak/>
              <w:t>Ireland</w:t>
            </w:r>
          </w:p>
        </w:tc>
        <w:tc>
          <w:tcPr>
            <w:tcW w:w="1890" w:type="dxa"/>
          </w:tcPr>
          <w:p w14:paraId="05DCB0B8" w14:textId="196CCA8D" w:rsidR="001960D3" w:rsidRDefault="001960D3" w:rsidP="00C06492">
            <w:pPr>
              <w:ind w:left="0"/>
            </w:pPr>
            <w:r>
              <w:t>14 April 2014</w:t>
            </w:r>
          </w:p>
        </w:tc>
        <w:tc>
          <w:tcPr>
            <w:tcW w:w="1825" w:type="dxa"/>
          </w:tcPr>
          <w:p w14:paraId="7E743C76" w14:textId="62C6AA0E" w:rsidR="001960D3" w:rsidRDefault="001960D3" w:rsidP="00C06492">
            <w:pPr>
              <w:ind w:left="0"/>
            </w:pPr>
            <w:r>
              <w:t>Approved on 31</w:t>
            </w:r>
            <w:r w:rsidR="000C4036">
              <w:t> </w:t>
            </w:r>
            <w:r>
              <w:t>May 2018</w:t>
            </w:r>
          </w:p>
        </w:tc>
        <w:tc>
          <w:tcPr>
            <w:tcW w:w="3665" w:type="dxa"/>
          </w:tcPr>
          <w:p w14:paraId="4C406EDB" w14:textId="4E1608FD" w:rsidR="001960D3" w:rsidRDefault="001960D3" w:rsidP="00C06492">
            <w:pPr>
              <w:ind w:left="0"/>
              <w:rPr>
                <w:i/>
              </w:rPr>
            </w:pPr>
            <w:r>
              <w:rPr>
                <w:i/>
              </w:rPr>
              <w:t>Visualisation, localisation and carrier of cytotoxic medicine during Trans-Arterial Chemo-Embolisation (TACE) of HCC at intermediate stage, in adults</w:t>
            </w:r>
          </w:p>
        </w:tc>
      </w:tr>
    </w:tbl>
    <w:p w14:paraId="7EAD2B25" w14:textId="77777777" w:rsidR="008E7846" w:rsidRDefault="008E7846" w:rsidP="00940A89">
      <w:pPr>
        <w:pStyle w:val="Heading3"/>
      </w:pPr>
      <w:bookmarkStart w:id="21" w:name="_Toc61253618"/>
      <w:r>
        <w:t>Product Information</w:t>
      </w:r>
      <w:bookmarkEnd w:id="18"/>
      <w:bookmarkEnd w:id="19"/>
      <w:bookmarkEnd w:id="21"/>
    </w:p>
    <w:p w14:paraId="545D2699" w14:textId="3852FA21"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22BA6334" w14:textId="77777777" w:rsidR="00500337" w:rsidRDefault="00500337" w:rsidP="00500337">
      <w:pPr>
        <w:pStyle w:val="Heading2"/>
      </w:pPr>
      <w:bookmarkStart w:id="24" w:name="_Toc504480011"/>
      <w:bookmarkStart w:id="25" w:name="_Toc61253619"/>
      <w:r>
        <w:t>II. Registration timeline</w:t>
      </w:r>
      <w:bookmarkEnd w:id="24"/>
      <w:bookmarkEnd w:id="25"/>
    </w:p>
    <w:p w14:paraId="637C77C3" w14:textId="77777777" w:rsidR="00500337" w:rsidRDefault="00500337" w:rsidP="00500337">
      <w:r>
        <w:t>The following table captures the key steps and dates for this application and which are detailed and discussed in this AusPAR.</w:t>
      </w:r>
    </w:p>
    <w:p w14:paraId="1150FCEE" w14:textId="4F87A08A" w:rsidR="00500337" w:rsidRPr="00377BD4" w:rsidRDefault="00C06492" w:rsidP="00C06492">
      <w:pPr>
        <w:pStyle w:val="TableTitle"/>
      </w:pPr>
      <w:r>
        <w:t xml:space="preserve">Table </w:t>
      </w:r>
      <w:fldSimple w:instr=" SEQ Table \* ARABIC ">
        <w:r w:rsidR="00920707">
          <w:rPr>
            <w:noProof/>
          </w:rPr>
          <w:t>2</w:t>
        </w:r>
      </w:fldSimple>
      <w:r w:rsidR="00006FAB">
        <w:t>:</w:t>
      </w:r>
      <w:r w:rsidR="006A58A8" w:rsidRPr="006A58A8">
        <w:t xml:space="preserve"> Timeline for Submission PM-201</w:t>
      </w:r>
      <w:r w:rsidR="00F40456">
        <w:t>8</w:t>
      </w:r>
      <w:r w:rsidR="006A58A8" w:rsidRPr="006A58A8">
        <w:t>-</w:t>
      </w:r>
      <w:r w:rsidR="00F40456">
        <w:t>05773</w:t>
      </w:r>
      <w:r w:rsidR="006A58A8" w:rsidRPr="006A58A8">
        <w:t>-1-</w:t>
      </w:r>
      <w:r w:rsidR="00F40456">
        <w:t>2</w:t>
      </w:r>
    </w:p>
    <w:tbl>
      <w:tblPr>
        <w:tblStyle w:val="TableTGAblue"/>
        <w:tblW w:w="0" w:type="auto"/>
        <w:tblLook w:val="04A0" w:firstRow="1" w:lastRow="0" w:firstColumn="1" w:lastColumn="0" w:noHBand="0" w:noVBand="1"/>
      </w:tblPr>
      <w:tblGrid>
        <w:gridCol w:w="6091"/>
        <w:gridCol w:w="2403"/>
      </w:tblGrid>
      <w:tr w:rsidR="00500337" w14:paraId="46C4E385" w14:textId="77777777" w:rsidTr="008C18C7">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6B03DE3F" w14:textId="77777777" w:rsidR="00500337" w:rsidRDefault="00500337" w:rsidP="00500337">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0E72020A" w14:textId="77777777" w:rsidR="00500337" w:rsidRDefault="00500337" w:rsidP="00500337">
            <w:pPr>
              <w:ind w:left="0" w:right="0"/>
            </w:pPr>
            <w:r>
              <w:t>Date</w:t>
            </w:r>
          </w:p>
        </w:tc>
      </w:tr>
      <w:tr w:rsidR="00500337" w14:paraId="292FA332" w14:textId="77777777" w:rsidTr="008C18C7">
        <w:tc>
          <w:tcPr>
            <w:tcW w:w="6091" w:type="dxa"/>
            <w:tcBorders>
              <w:top w:val="single" w:sz="4" w:space="0" w:color="auto"/>
            </w:tcBorders>
          </w:tcPr>
          <w:p w14:paraId="0A592D67" w14:textId="77777777" w:rsidR="00500337" w:rsidRDefault="00500337" w:rsidP="00500337">
            <w:pPr>
              <w:ind w:left="0" w:right="0"/>
            </w:pPr>
            <w:r>
              <w:t>Submission dossier accepted and first round evaluation commenced</w:t>
            </w:r>
          </w:p>
        </w:tc>
        <w:tc>
          <w:tcPr>
            <w:tcW w:w="2403" w:type="dxa"/>
            <w:tcBorders>
              <w:top w:val="single" w:sz="4" w:space="0" w:color="auto"/>
            </w:tcBorders>
          </w:tcPr>
          <w:p w14:paraId="1A2F71DB" w14:textId="1699EDC6" w:rsidR="00500337" w:rsidRDefault="00F40456" w:rsidP="00500337">
            <w:pPr>
              <w:ind w:left="0" w:right="0"/>
            </w:pPr>
            <w:r>
              <w:t>30 April 2019</w:t>
            </w:r>
          </w:p>
        </w:tc>
      </w:tr>
      <w:tr w:rsidR="00500337" w14:paraId="0AE0DC37" w14:textId="77777777" w:rsidTr="008C18C7">
        <w:tc>
          <w:tcPr>
            <w:tcW w:w="6091" w:type="dxa"/>
          </w:tcPr>
          <w:p w14:paraId="23947754" w14:textId="77777777" w:rsidR="00500337" w:rsidRDefault="00500337" w:rsidP="00500337">
            <w:pPr>
              <w:ind w:left="0" w:right="0"/>
            </w:pPr>
            <w:r>
              <w:t>First round evaluation completed</w:t>
            </w:r>
          </w:p>
        </w:tc>
        <w:tc>
          <w:tcPr>
            <w:tcW w:w="2403" w:type="dxa"/>
          </w:tcPr>
          <w:p w14:paraId="11B293E8" w14:textId="263138ED" w:rsidR="00500337" w:rsidRDefault="00F40456" w:rsidP="00500337">
            <w:pPr>
              <w:ind w:left="0" w:right="0"/>
            </w:pPr>
            <w:r>
              <w:t>22 October 2019</w:t>
            </w:r>
          </w:p>
        </w:tc>
      </w:tr>
      <w:tr w:rsidR="00500337" w14:paraId="7C5C7E91" w14:textId="77777777" w:rsidTr="008C18C7">
        <w:tc>
          <w:tcPr>
            <w:tcW w:w="6091" w:type="dxa"/>
          </w:tcPr>
          <w:p w14:paraId="6F6CCE8B" w14:textId="77777777" w:rsidR="00500337" w:rsidRDefault="00500337" w:rsidP="00500337">
            <w:pPr>
              <w:ind w:left="0" w:right="0"/>
            </w:pPr>
            <w:r>
              <w:t>Sponsor provides responses on questions raised in first round evaluation</w:t>
            </w:r>
          </w:p>
        </w:tc>
        <w:tc>
          <w:tcPr>
            <w:tcW w:w="2403" w:type="dxa"/>
          </w:tcPr>
          <w:p w14:paraId="3C3C9CEA" w14:textId="1A212D7D" w:rsidR="00500337" w:rsidRDefault="00F40456" w:rsidP="00500337">
            <w:pPr>
              <w:ind w:left="0" w:right="0"/>
            </w:pPr>
            <w:r>
              <w:t>23 December 2019</w:t>
            </w:r>
          </w:p>
        </w:tc>
      </w:tr>
      <w:tr w:rsidR="00500337" w14:paraId="6E20F3E2" w14:textId="77777777" w:rsidTr="008C18C7">
        <w:tc>
          <w:tcPr>
            <w:tcW w:w="6091" w:type="dxa"/>
          </w:tcPr>
          <w:p w14:paraId="03707E69" w14:textId="77777777" w:rsidR="00500337" w:rsidRDefault="00500337" w:rsidP="00500337">
            <w:pPr>
              <w:ind w:left="0" w:right="0"/>
            </w:pPr>
            <w:r>
              <w:t>Second round evaluation completed</w:t>
            </w:r>
          </w:p>
        </w:tc>
        <w:tc>
          <w:tcPr>
            <w:tcW w:w="2403" w:type="dxa"/>
          </w:tcPr>
          <w:p w14:paraId="0DAE2DD5" w14:textId="07FAC6DD" w:rsidR="00500337" w:rsidRDefault="00F40456" w:rsidP="00500337">
            <w:pPr>
              <w:ind w:left="0" w:right="0"/>
            </w:pPr>
            <w:r>
              <w:t>18 February 2020</w:t>
            </w:r>
          </w:p>
        </w:tc>
      </w:tr>
      <w:tr w:rsidR="00500337" w14:paraId="1D2C7001" w14:textId="77777777" w:rsidTr="008C18C7">
        <w:tc>
          <w:tcPr>
            <w:tcW w:w="6091" w:type="dxa"/>
          </w:tcPr>
          <w:p w14:paraId="01390517" w14:textId="77777777" w:rsidR="00500337" w:rsidRDefault="00500337" w:rsidP="00500337">
            <w:pPr>
              <w:ind w:left="0" w:right="0"/>
            </w:pPr>
            <w:r>
              <w:t>Delegate’s Overall benefit-risk assessment and request for Advisory Committee advice</w:t>
            </w:r>
          </w:p>
        </w:tc>
        <w:tc>
          <w:tcPr>
            <w:tcW w:w="2403" w:type="dxa"/>
          </w:tcPr>
          <w:p w14:paraId="0384EAB2" w14:textId="0E10CCC0" w:rsidR="00500337" w:rsidRDefault="00F40456" w:rsidP="00500337">
            <w:pPr>
              <w:ind w:left="0" w:right="0"/>
            </w:pPr>
            <w:r>
              <w:t>2 March 2020</w:t>
            </w:r>
          </w:p>
        </w:tc>
      </w:tr>
      <w:tr w:rsidR="00500337" w14:paraId="22DCC967" w14:textId="77777777" w:rsidTr="008C18C7">
        <w:tc>
          <w:tcPr>
            <w:tcW w:w="6091" w:type="dxa"/>
          </w:tcPr>
          <w:p w14:paraId="4CD1A452" w14:textId="77777777" w:rsidR="00500337" w:rsidRDefault="00500337" w:rsidP="00500337">
            <w:pPr>
              <w:ind w:left="0" w:right="0"/>
            </w:pPr>
            <w:r>
              <w:t>Sponsor’s pre-Advisory Committee response</w:t>
            </w:r>
          </w:p>
        </w:tc>
        <w:tc>
          <w:tcPr>
            <w:tcW w:w="2403" w:type="dxa"/>
          </w:tcPr>
          <w:p w14:paraId="2199C30F" w14:textId="16093C17" w:rsidR="00500337" w:rsidRDefault="000F5492" w:rsidP="00500337">
            <w:pPr>
              <w:ind w:left="0" w:right="0"/>
            </w:pPr>
            <w:r>
              <w:t>16 March 2020</w:t>
            </w:r>
          </w:p>
        </w:tc>
      </w:tr>
      <w:tr w:rsidR="00500337" w14:paraId="757F23CF" w14:textId="77777777" w:rsidTr="008C18C7">
        <w:tc>
          <w:tcPr>
            <w:tcW w:w="6091" w:type="dxa"/>
          </w:tcPr>
          <w:p w14:paraId="0B273BAE" w14:textId="77777777" w:rsidR="00500337" w:rsidRDefault="00500337" w:rsidP="00500337">
            <w:pPr>
              <w:ind w:left="0" w:right="0"/>
            </w:pPr>
            <w:r>
              <w:t>Advisory Committee meeting</w:t>
            </w:r>
          </w:p>
        </w:tc>
        <w:tc>
          <w:tcPr>
            <w:tcW w:w="2403" w:type="dxa"/>
          </w:tcPr>
          <w:p w14:paraId="7B292BB8" w14:textId="36FD080B" w:rsidR="00500337" w:rsidRDefault="00F40456" w:rsidP="00500337">
            <w:pPr>
              <w:ind w:left="0" w:right="0"/>
            </w:pPr>
            <w:r>
              <w:t>3 April 2020</w:t>
            </w:r>
          </w:p>
        </w:tc>
      </w:tr>
      <w:tr w:rsidR="00500337" w14:paraId="4C4C5912" w14:textId="77777777" w:rsidTr="008C18C7">
        <w:tc>
          <w:tcPr>
            <w:tcW w:w="6091" w:type="dxa"/>
          </w:tcPr>
          <w:p w14:paraId="298DA0AE" w14:textId="77777777" w:rsidR="00500337" w:rsidRDefault="00500337" w:rsidP="00500337">
            <w:pPr>
              <w:ind w:left="0" w:right="0"/>
            </w:pPr>
            <w:r>
              <w:t>Registration decision (Outcome)</w:t>
            </w:r>
          </w:p>
        </w:tc>
        <w:tc>
          <w:tcPr>
            <w:tcW w:w="2403" w:type="dxa"/>
          </w:tcPr>
          <w:p w14:paraId="3959FD04" w14:textId="6B4E7D5A" w:rsidR="00500337" w:rsidRDefault="00F40456" w:rsidP="00500337">
            <w:pPr>
              <w:ind w:left="0" w:right="0"/>
            </w:pPr>
            <w:r>
              <w:t>14 May 2020</w:t>
            </w:r>
          </w:p>
        </w:tc>
      </w:tr>
      <w:tr w:rsidR="00500337" w14:paraId="03C5285A" w14:textId="77777777" w:rsidTr="008C18C7">
        <w:tc>
          <w:tcPr>
            <w:tcW w:w="6091" w:type="dxa"/>
          </w:tcPr>
          <w:p w14:paraId="2801E07B" w14:textId="77777777" w:rsidR="00500337" w:rsidRDefault="00500337" w:rsidP="00500337">
            <w:pPr>
              <w:ind w:left="0" w:right="0"/>
            </w:pPr>
            <w:r>
              <w:t xml:space="preserve">Completion of administrative activities and registration on </w:t>
            </w:r>
            <w:r w:rsidR="00006FAB">
              <w:t xml:space="preserve">the </w:t>
            </w:r>
            <w:r>
              <w:t>ARTG</w:t>
            </w:r>
          </w:p>
        </w:tc>
        <w:tc>
          <w:tcPr>
            <w:tcW w:w="2403" w:type="dxa"/>
          </w:tcPr>
          <w:p w14:paraId="6B0D9976" w14:textId="341D5224" w:rsidR="00500337" w:rsidRDefault="00F40456" w:rsidP="00500337">
            <w:pPr>
              <w:ind w:left="0" w:right="0"/>
            </w:pPr>
            <w:r>
              <w:t>18 May 2020</w:t>
            </w:r>
          </w:p>
        </w:tc>
      </w:tr>
      <w:tr w:rsidR="00500337" w14:paraId="23061ED2" w14:textId="77777777" w:rsidTr="008C18C7">
        <w:tc>
          <w:tcPr>
            <w:tcW w:w="6091" w:type="dxa"/>
          </w:tcPr>
          <w:p w14:paraId="3DA9A823" w14:textId="77777777" w:rsidR="00500337" w:rsidRDefault="00500337" w:rsidP="00500337">
            <w:pPr>
              <w:ind w:left="0" w:right="0"/>
            </w:pPr>
            <w:r>
              <w:t>Number of working days from submission dossier acceptance to registration decision*</w:t>
            </w:r>
          </w:p>
        </w:tc>
        <w:tc>
          <w:tcPr>
            <w:tcW w:w="2403" w:type="dxa"/>
          </w:tcPr>
          <w:p w14:paraId="30A41D55" w14:textId="0B2A36FE" w:rsidR="00500337" w:rsidRDefault="00F40456" w:rsidP="00500337">
            <w:pPr>
              <w:ind w:left="0" w:right="0"/>
            </w:pPr>
            <w:r>
              <w:t>208</w:t>
            </w:r>
          </w:p>
        </w:tc>
      </w:tr>
    </w:tbl>
    <w:p w14:paraId="3CD92911"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2C10CB4"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61253620"/>
      <w:bookmarkEnd w:id="22"/>
      <w:bookmarkEnd w:id="23"/>
      <w:bookmarkEnd w:id="1"/>
      <w:r>
        <w:lastRenderedPageBreak/>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031122CC" w14:textId="77777777" w:rsidR="00006FAB" w:rsidRDefault="00006FAB" w:rsidP="00006FAB">
      <w:bookmarkStart w:id="31" w:name="_Toc247691528"/>
      <w:r>
        <w:t>The submission was summarised in the following Delegate’s overview and recommendations.</w:t>
      </w:r>
    </w:p>
    <w:p w14:paraId="3F24674B" w14:textId="77777777" w:rsidR="008E7846" w:rsidRDefault="008E7846" w:rsidP="008E7846">
      <w:pPr>
        <w:pStyle w:val="Heading3"/>
      </w:pPr>
      <w:bookmarkStart w:id="32" w:name="_Toc314842511"/>
      <w:bookmarkStart w:id="33" w:name="_Toc61253621"/>
      <w:r>
        <w:t>Quality</w:t>
      </w:r>
      <w:bookmarkEnd w:id="31"/>
      <w:bookmarkEnd w:id="32"/>
      <w:bookmarkEnd w:id="33"/>
    </w:p>
    <w:p w14:paraId="4F2A2ABB" w14:textId="6CDBCEA8" w:rsidR="00B709DA" w:rsidRDefault="00B709DA" w:rsidP="005C312E">
      <w:bookmarkStart w:id="34" w:name="_Toc314842512"/>
      <w:r>
        <w:t xml:space="preserve">There are no changes to the currently approved </w:t>
      </w:r>
      <w:r w:rsidR="005C312E">
        <w:t>Lipiodol Ultra Fluid</w:t>
      </w:r>
      <w:r>
        <w:t xml:space="preserve"> formulation, manufacturing, specifications or finished product details. The </w:t>
      </w:r>
      <w:r w:rsidR="005C312E">
        <w:t>p</w:t>
      </w:r>
      <w:r>
        <w:t>harmaceutical dossier was mainly evaluated w</w:t>
      </w:r>
      <w:r w:rsidR="00C06492">
        <w:t>ith respect to the preparation and</w:t>
      </w:r>
      <w:r>
        <w:t xml:space="preserve"> administration directions to be added to the PI for use in TACE.</w:t>
      </w:r>
    </w:p>
    <w:p w14:paraId="1FB62D9D" w14:textId="483FEA15" w:rsidR="00B709DA" w:rsidRDefault="00B709DA" w:rsidP="008C18C7">
      <w:r>
        <w:t xml:space="preserve">The </w:t>
      </w:r>
      <w:r w:rsidR="00C06492">
        <w:t>quality</w:t>
      </w:r>
      <w:r>
        <w:t xml:space="preserve"> area recommends approval but has notified as follows:</w:t>
      </w:r>
    </w:p>
    <w:p w14:paraId="2B00A62B" w14:textId="27E90625" w:rsidR="00B709DA" w:rsidRPr="008C18C7" w:rsidRDefault="00B709DA" w:rsidP="008C18C7">
      <w:pPr>
        <w:pStyle w:val="ListBullet"/>
      </w:pPr>
      <w:r>
        <w:t xml:space="preserve">Compatibility </w:t>
      </w:r>
      <w:r w:rsidRPr="007372F2">
        <w:t xml:space="preserve">studies </w:t>
      </w:r>
      <w:r>
        <w:t xml:space="preserve">of </w:t>
      </w:r>
      <w:r w:rsidR="005C312E">
        <w:t>Lipiodol</w:t>
      </w:r>
      <w:r w:rsidR="00EE74CE">
        <w:t xml:space="preserve"> Ultra Fluid </w:t>
      </w:r>
      <w:r>
        <w:t xml:space="preserve">were satisfactorily </w:t>
      </w:r>
      <w:r w:rsidRPr="007372F2">
        <w:t xml:space="preserve">with </w:t>
      </w:r>
      <w:r>
        <w:t>respect to mixing w</w:t>
      </w:r>
      <w:r w:rsidRPr="008C18C7">
        <w:t>ith 3 of the 4 anticancer agents</w:t>
      </w:r>
      <w:r w:rsidR="005C312E" w:rsidRPr="008C18C7">
        <w:t>:</w:t>
      </w:r>
      <w:r w:rsidRPr="008C18C7">
        <w:t xml:space="preserve"> doxorubicin, epirubicin and mitomycin. When combined with cisplatin, </w:t>
      </w:r>
      <w:r w:rsidR="0052363E" w:rsidRPr="008C18C7">
        <w:t>Lipiodol Ultra Fluid</w:t>
      </w:r>
      <w:r w:rsidRPr="008C18C7">
        <w:t xml:space="preserve"> remained chemically stable, but total cisplatin impurities increased significantly from 0.3% to 3.5% after 3 hours.</w:t>
      </w:r>
    </w:p>
    <w:p w14:paraId="52F39A0F" w14:textId="44099994" w:rsidR="00B709DA" w:rsidRPr="008C18C7" w:rsidRDefault="005C312E" w:rsidP="008C18C7">
      <w:pPr>
        <w:pStyle w:val="ListBullet"/>
      </w:pPr>
      <w:r w:rsidRPr="008C18C7">
        <w:t>The s</w:t>
      </w:r>
      <w:r w:rsidR="00B709DA" w:rsidRPr="008C18C7">
        <w:t>ponsor was asked to confirm whether this complied with the B</w:t>
      </w:r>
      <w:r w:rsidR="000C4036" w:rsidRPr="008C18C7">
        <w:t>ritish Pharmacopoeia</w:t>
      </w:r>
      <w:r w:rsidR="00B709DA" w:rsidRPr="008C18C7">
        <w:t xml:space="preserve"> Monograph. However, the </w:t>
      </w:r>
      <w:r w:rsidRPr="008C18C7">
        <w:t>s</w:t>
      </w:r>
      <w:r w:rsidR="00B709DA" w:rsidRPr="008C18C7">
        <w:t xml:space="preserve">ponsor was unable to confirm or identify these impurities and has proposed to delete reference to cisplatin in the PI. The </w:t>
      </w:r>
      <w:r w:rsidR="00A6162C" w:rsidRPr="008C18C7">
        <w:t>nonclinical</w:t>
      </w:r>
      <w:r w:rsidR="00B709DA" w:rsidRPr="008C18C7">
        <w:t xml:space="preserve"> area was not able to qualify as these impurities are unknown (unidentified). Furthermore, only limited nonclinical data were available on TACE with cisplatin-</w:t>
      </w:r>
      <w:r w:rsidRPr="008C18C7">
        <w:t xml:space="preserve"> Lipiodol Ultra Fluid</w:t>
      </w:r>
      <w:r w:rsidR="00B709DA" w:rsidRPr="008C18C7">
        <w:t xml:space="preserve"> in healthy pigs</w:t>
      </w:r>
      <w:r w:rsidR="00A6162C" w:rsidRPr="008C18C7">
        <w:t>,</w:t>
      </w:r>
      <w:r w:rsidR="00A6162C" w:rsidRPr="004C2A83">
        <w:rPr>
          <w:rStyle w:val="FootnoteReference"/>
        </w:rPr>
        <w:footnoteReference w:id="3"/>
      </w:r>
      <w:r w:rsidR="00B709DA" w:rsidRPr="008C18C7">
        <w:t xml:space="preserve"> and following intra-umbilical arterial administration</w:t>
      </w:r>
      <w:r w:rsidRPr="008C18C7">
        <w:t>,</w:t>
      </w:r>
      <w:r w:rsidR="00B709DA" w:rsidRPr="008C18C7">
        <w:t xml:space="preserve"> to anaesthetised rabbits.</w:t>
      </w:r>
      <w:r w:rsidR="00A6162C" w:rsidRPr="004C2A83">
        <w:rPr>
          <w:rStyle w:val="FootnoteReference"/>
        </w:rPr>
        <w:footnoteReference w:id="4"/>
      </w:r>
      <w:r w:rsidR="00B709DA" w:rsidRPr="008C18C7">
        <w:t xml:space="preserve"> These studies do not provide any information relevant to the quality/safety concerns.</w:t>
      </w:r>
    </w:p>
    <w:p w14:paraId="666A1481" w14:textId="4CE73B7E" w:rsidR="00B709DA" w:rsidRPr="008C18C7" w:rsidRDefault="00B709DA" w:rsidP="008C18C7">
      <w:pPr>
        <w:pStyle w:val="ListBullet"/>
      </w:pPr>
      <w:r w:rsidRPr="008C18C7">
        <w:t xml:space="preserve">The </w:t>
      </w:r>
      <w:r w:rsidR="00C06492" w:rsidRPr="008C18C7">
        <w:t xml:space="preserve">quality </w:t>
      </w:r>
      <w:r w:rsidRPr="008C18C7">
        <w:t xml:space="preserve">area has no objection to approval on chemistry grounds and advise consideration of clinical information. Alternatively, inclusion of a statement alerting health professionals to the observed cisplatin degradation with the advice that the mixture should be used as soon as feasible due to observed degradation of cisplatin or inclusion of a condition of registration for the </w:t>
      </w:r>
      <w:r w:rsidR="005C312E" w:rsidRPr="008C18C7">
        <w:t>s</w:t>
      </w:r>
      <w:r w:rsidRPr="008C18C7">
        <w:t>ponsor to conduct additional studies examining cisplatin degradation is proposed.</w:t>
      </w:r>
    </w:p>
    <w:p w14:paraId="0EA177A7" w14:textId="52654A97" w:rsidR="00B709DA" w:rsidRPr="008C18C7" w:rsidRDefault="00B709DA" w:rsidP="008C18C7">
      <w:pPr>
        <w:pStyle w:val="ListBullet"/>
      </w:pPr>
      <w:r w:rsidRPr="008C18C7">
        <w:t xml:space="preserve">The proposed PI includes reference to devices that have been tested for administration of </w:t>
      </w:r>
      <w:r w:rsidR="005C312E" w:rsidRPr="008C18C7">
        <w:t>Lipiodol Ultra Fluid</w:t>
      </w:r>
      <w:r w:rsidRPr="008C18C7">
        <w:t xml:space="preserve"> in TACE</w:t>
      </w:r>
      <w:r w:rsidR="005C312E" w:rsidRPr="008C18C7">
        <w:t xml:space="preserve">. </w:t>
      </w:r>
      <w:r w:rsidRPr="008C18C7">
        <w:t xml:space="preserve">No such device is currently available, although a separate device submission has been made to the relevant TGA area. The </w:t>
      </w:r>
      <w:r w:rsidR="00A6162C" w:rsidRPr="008C18C7">
        <w:t>quality</w:t>
      </w:r>
      <w:r w:rsidRPr="008C18C7">
        <w:t xml:space="preserve"> area has drawn the clinical delegate’s attention to the suitability of reference to any such device in the PI.</w:t>
      </w:r>
    </w:p>
    <w:p w14:paraId="6377EC86" w14:textId="0075A8F5" w:rsidR="00B709DA" w:rsidRPr="003A5C68" w:rsidRDefault="00B709DA" w:rsidP="005C312E">
      <w:r>
        <w:t xml:space="preserve">Otherwise, there are no outstanding </w:t>
      </w:r>
      <w:r w:rsidR="005C312E">
        <w:t>quality-related</w:t>
      </w:r>
      <w:r>
        <w:t xml:space="preserve"> matters.</w:t>
      </w:r>
    </w:p>
    <w:p w14:paraId="7D489103" w14:textId="77777777" w:rsidR="008E7846" w:rsidRDefault="008E7846" w:rsidP="008E7846">
      <w:pPr>
        <w:pStyle w:val="Heading3"/>
      </w:pPr>
      <w:bookmarkStart w:id="35" w:name="_Toc61253622"/>
      <w:r>
        <w:t>Nonclinical</w:t>
      </w:r>
      <w:bookmarkEnd w:id="34"/>
      <w:bookmarkEnd w:id="35"/>
    </w:p>
    <w:p w14:paraId="4E271469" w14:textId="55BA7273" w:rsidR="00B709DA" w:rsidRDefault="00B709DA" w:rsidP="005C312E">
      <w:bookmarkStart w:id="36" w:name="_Toc247691530"/>
      <w:bookmarkStart w:id="37" w:name="_Toc314842513"/>
      <w:r w:rsidRPr="00B42AF2">
        <w:t xml:space="preserve">Following </w:t>
      </w:r>
      <w:r>
        <w:t xml:space="preserve">selective </w:t>
      </w:r>
      <w:r w:rsidRPr="00B42AF2">
        <w:t xml:space="preserve">injection of </w:t>
      </w:r>
      <w:r w:rsidR="0052363E">
        <w:t>Lipiodol Ultra Fluid</w:t>
      </w:r>
      <w:r w:rsidR="005C312E" w:rsidRPr="00B42AF2">
        <w:t xml:space="preserve"> </w:t>
      </w:r>
      <w:r w:rsidRPr="00B42AF2">
        <w:t>into the hepatic artery</w:t>
      </w:r>
      <w:r>
        <w:t>,</w:t>
      </w:r>
      <w:r w:rsidRPr="00B42AF2">
        <w:t xml:space="preserve"> it is distributed </w:t>
      </w:r>
      <w:r>
        <w:t xml:space="preserve">throughout the liver. It </w:t>
      </w:r>
      <w:r w:rsidRPr="00B42AF2">
        <w:t>is cle</w:t>
      </w:r>
      <w:r>
        <w:t xml:space="preserve">ared </w:t>
      </w:r>
      <w:r w:rsidRPr="00B42AF2">
        <w:t>by phagocytosis and via</w:t>
      </w:r>
      <w:r>
        <w:t xml:space="preserve"> lymphatic </w:t>
      </w:r>
      <w:r w:rsidR="00A6162C">
        <w:t xml:space="preserve">drainage in 2 to </w:t>
      </w:r>
      <w:r>
        <w:t>4</w:t>
      </w:r>
      <w:r w:rsidR="00AB17AD">
        <w:t> </w:t>
      </w:r>
      <w:r w:rsidRPr="00B42AF2">
        <w:t>w</w:t>
      </w:r>
      <w:r>
        <w:t>eeks. Iodised oil is</w:t>
      </w:r>
      <w:r w:rsidRPr="00B42AF2">
        <w:t xml:space="preserve"> distribute</w:t>
      </w:r>
      <w:r>
        <w:t>d</w:t>
      </w:r>
      <w:r w:rsidRPr="00B42AF2">
        <w:t xml:space="preserve"> preferentially to HCC</w:t>
      </w:r>
      <w:r>
        <w:t xml:space="preserve"> nodules likely due to</w:t>
      </w:r>
      <w:r w:rsidRPr="00B42AF2">
        <w:t xml:space="preserve"> </w:t>
      </w:r>
      <w:proofErr w:type="spellStart"/>
      <w:r w:rsidRPr="00B42AF2">
        <w:t>hypervascul</w:t>
      </w:r>
      <w:r>
        <w:t>arisation</w:t>
      </w:r>
      <w:proofErr w:type="spellEnd"/>
      <w:r>
        <w:t>, and is</w:t>
      </w:r>
      <w:r w:rsidRPr="00B42AF2">
        <w:t xml:space="preserve"> retained th</w:t>
      </w:r>
      <w:r>
        <w:t>ere for several months to years</w:t>
      </w:r>
      <w:r w:rsidRPr="00B42AF2">
        <w:t xml:space="preserve"> partly due to the lack of lymphatic vessels draining the HCC nodules.</w:t>
      </w:r>
      <w:r>
        <w:t xml:space="preserve"> </w:t>
      </w:r>
      <w:r w:rsidRPr="00772547">
        <w:t>The metabolism of iodised oil following selective intra-arterial injection for TACE has not been specifically studied.</w:t>
      </w:r>
    </w:p>
    <w:p w14:paraId="4C46E7D8" w14:textId="77777777" w:rsidR="00B709DA" w:rsidRDefault="00B709DA" w:rsidP="005C312E">
      <w:r w:rsidRPr="00B42AF2">
        <w:lastRenderedPageBreak/>
        <w:t xml:space="preserve">The rationale behind the </w:t>
      </w:r>
      <w:r>
        <w:t xml:space="preserve">TACE </w:t>
      </w:r>
      <w:r w:rsidRPr="00B42AF2">
        <w:t>procedure relies on the observation</w:t>
      </w:r>
      <w:r>
        <w:t xml:space="preserve"> that approximately 95% of liver</w:t>
      </w:r>
      <w:r w:rsidRPr="00B42AF2">
        <w:t xml:space="preserve"> tumour blood supply is de</w:t>
      </w:r>
      <w:r>
        <w:t>rived from the hepatic artery in contrast to</w:t>
      </w:r>
      <w:r w:rsidRPr="00B42AF2">
        <w:t xml:space="preserve"> the healthy </w:t>
      </w:r>
      <w:r>
        <w:t xml:space="preserve">liver </w:t>
      </w:r>
      <w:r w:rsidRPr="00B42AF2">
        <w:t xml:space="preserve">parenchyma </w:t>
      </w:r>
      <w:r>
        <w:t xml:space="preserve">which </w:t>
      </w:r>
      <w:r w:rsidRPr="00B42AF2">
        <w:t>receives 75% of its bl</w:t>
      </w:r>
      <w:r>
        <w:t xml:space="preserve">ood supply from the portal vein and </w:t>
      </w:r>
      <w:r w:rsidRPr="00B42AF2">
        <w:t>25% from the hepatic artery</w:t>
      </w:r>
      <w:r>
        <w:t>.</w:t>
      </w:r>
    </w:p>
    <w:p w14:paraId="5739324B" w14:textId="5D6CC392" w:rsidR="00B709DA" w:rsidRDefault="00B709DA" w:rsidP="00A6162C">
      <w:r w:rsidRPr="00772547">
        <w:t xml:space="preserve">The clearance of </w:t>
      </w:r>
      <w:r w:rsidR="0052363E">
        <w:t>Lipiodol Ultra Fluid</w:t>
      </w:r>
      <w:r w:rsidR="005C312E">
        <w:t xml:space="preserve"> </w:t>
      </w:r>
      <w:r w:rsidR="00C06492">
        <w:t xml:space="preserve">from the liver was slow with approximately </w:t>
      </w:r>
      <w:r w:rsidRPr="00772547">
        <w:t>20% of the adm</w:t>
      </w:r>
      <w:r>
        <w:t>inistered radioactivity persisting</w:t>
      </w:r>
      <w:r w:rsidRPr="00772547">
        <w:t xml:space="preserve"> 30 days post-dose. In tumour bearing animals, concentrations of radioactivi</w:t>
      </w:r>
      <w:r w:rsidR="00AB17AD">
        <w:t xml:space="preserve">ty in the tumour were up to ten </w:t>
      </w:r>
      <w:r w:rsidRPr="00772547">
        <w:t>fold higher than th</w:t>
      </w:r>
      <w:r>
        <w:t>at in</w:t>
      </w:r>
      <w:r w:rsidR="00AB17AD">
        <w:t xml:space="preserve"> healthy parenchyma 2 days post </w:t>
      </w:r>
      <w:r>
        <w:t>dose.</w:t>
      </w:r>
    </w:p>
    <w:p w14:paraId="484B4581" w14:textId="3DED2141" w:rsidR="00B709DA" w:rsidRDefault="00B709DA" w:rsidP="00A6162C">
      <w:r w:rsidRPr="00772547">
        <w:t xml:space="preserve">The main target organs for </w:t>
      </w:r>
      <w:r w:rsidR="0052363E">
        <w:t>Lipiodol Ultra Fluid</w:t>
      </w:r>
      <w:r w:rsidR="005C312E" w:rsidRPr="00772547">
        <w:t xml:space="preserve"> </w:t>
      </w:r>
      <w:r w:rsidRPr="00772547">
        <w:t>toxicity following selective intra</w:t>
      </w:r>
      <w:r w:rsidR="000C4036">
        <w:noBreakHyphen/>
      </w:r>
      <w:r w:rsidRPr="00772547">
        <w:t>arterial administration</w:t>
      </w:r>
      <w:r>
        <w:t xml:space="preserve">, in a dog study using the clinical route, were lungs, </w:t>
      </w:r>
      <w:r w:rsidR="005C312E">
        <w:t>central nervous system</w:t>
      </w:r>
      <w:r w:rsidRPr="00772547">
        <w:t>, liver and thyroid gland.</w:t>
      </w:r>
      <w:r>
        <w:t xml:space="preserve"> </w:t>
      </w:r>
      <w:r w:rsidRPr="00624107">
        <w:t>Effects on pancreas and oil droplets in brain and kidneys were also observed.</w:t>
      </w:r>
      <w:r>
        <w:t xml:space="preserve"> In </w:t>
      </w:r>
      <w:r w:rsidRPr="00624107">
        <w:t xml:space="preserve">liver, intrahepatic arterial administration occludes hepatic capillaries, resulting in a localised </w:t>
      </w:r>
      <w:proofErr w:type="spellStart"/>
      <w:r w:rsidRPr="00624107">
        <w:t>ischaemia</w:t>
      </w:r>
      <w:proofErr w:type="spellEnd"/>
      <w:r w:rsidRPr="00624107">
        <w:t>, inhibition of hepatic metabolism and hepatic dysfunction and necrosis.</w:t>
      </w:r>
    </w:p>
    <w:p w14:paraId="0AB6530A" w14:textId="5F270397" w:rsidR="00B709DA" w:rsidRDefault="00B709DA" w:rsidP="00A6162C">
      <w:pPr>
        <w:rPr>
          <w:rFonts w:asciiTheme="minorHAnsi" w:hAnsiTheme="minorHAnsi"/>
        </w:rPr>
      </w:pPr>
      <w:r>
        <w:rPr>
          <w:rFonts w:asciiTheme="minorHAnsi" w:hAnsiTheme="minorHAnsi"/>
        </w:rPr>
        <w:t xml:space="preserve">Testing indicated that </w:t>
      </w:r>
      <w:r w:rsidR="0052363E">
        <w:t>Lipiodol Ultra Fluid</w:t>
      </w:r>
      <w:r w:rsidR="005C312E">
        <w:rPr>
          <w:rFonts w:asciiTheme="minorHAnsi" w:hAnsiTheme="minorHAnsi"/>
        </w:rPr>
        <w:t xml:space="preserve"> </w:t>
      </w:r>
      <w:r>
        <w:rPr>
          <w:rFonts w:asciiTheme="minorHAnsi" w:hAnsiTheme="minorHAnsi"/>
        </w:rPr>
        <w:t xml:space="preserve">is </w:t>
      </w:r>
      <w:r w:rsidRPr="00624107">
        <w:rPr>
          <w:rFonts w:asciiTheme="minorHAnsi" w:hAnsiTheme="minorHAnsi"/>
        </w:rPr>
        <w:t>non-genotox</w:t>
      </w:r>
      <w:r>
        <w:rPr>
          <w:rFonts w:asciiTheme="minorHAnsi" w:hAnsiTheme="minorHAnsi"/>
        </w:rPr>
        <w:t xml:space="preserve">ic. </w:t>
      </w:r>
      <w:r w:rsidRPr="00624107">
        <w:rPr>
          <w:rFonts w:asciiTheme="minorHAnsi" w:hAnsiTheme="minorHAnsi"/>
        </w:rPr>
        <w:t>Carc</w:t>
      </w:r>
      <w:r>
        <w:rPr>
          <w:rFonts w:asciiTheme="minorHAnsi" w:hAnsiTheme="minorHAnsi"/>
        </w:rPr>
        <w:t xml:space="preserve">inogenicity testing was not required. The </w:t>
      </w:r>
      <w:r w:rsidR="00015A00">
        <w:rPr>
          <w:rFonts w:asciiTheme="minorHAnsi" w:hAnsiTheme="minorHAnsi"/>
        </w:rPr>
        <w:t>nonclinical</w:t>
      </w:r>
      <w:r>
        <w:rPr>
          <w:rFonts w:asciiTheme="minorHAnsi" w:hAnsiTheme="minorHAnsi"/>
        </w:rPr>
        <w:t xml:space="preserve"> evaluators concluded that</w:t>
      </w:r>
      <w:r w:rsidRPr="00624107">
        <w:rPr>
          <w:rFonts w:asciiTheme="minorHAnsi" w:hAnsiTheme="minorHAnsi"/>
        </w:rPr>
        <w:t xml:space="preserve"> </w:t>
      </w:r>
      <w:r>
        <w:rPr>
          <w:rFonts w:asciiTheme="minorHAnsi" w:hAnsiTheme="minorHAnsi"/>
        </w:rPr>
        <w:t>nonclinical data were</w:t>
      </w:r>
      <w:r w:rsidRPr="00624107">
        <w:rPr>
          <w:rFonts w:asciiTheme="minorHAnsi" w:hAnsiTheme="minorHAnsi"/>
        </w:rPr>
        <w:t xml:space="preserve"> generally suppo</w:t>
      </w:r>
      <w:r>
        <w:rPr>
          <w:rFonts w:asciiTheme="minorHAnsi" w:hAnsiTheme="minorHAnsi"/>
        </w:rPr>
        <w:t>rtive of the proposed use</w:t>
      </w:r>
      <w:r w:rsidRPr="00624107">
        <w:rPr>
          <w:rFonts w:asciiTheme="minorHAnsi" w:hAnsiTheme="minorHAnsi"/>
        </w:rPr>
        <w:t>,</w:t>
      </w:r>
      <w:r>
        <w:rPr>
          <w:rFonts w:asciiTheme="minorHAnsi" w:hAnsiTheme="minorHAnsi"/>
        </w:rPr>
        <w:t xml:space="preserve"> but that</w:t>
      </w:r>
      <w:r w:rsidRPr="00624107">
        <w:rPr>
          <w:rFonts w:asciiTheme="minorHAnsi" w:hAnsiTheme="minorHAnsi"/>
        </w:rPr>
        <w:t xml:space="preserve"> clinical data </w:t>
      </w:r>
      <w:r>
        <w:rPr>
          <w:rFonts w:asciiTheme="minorHAnsi" w:hAnsiTheme="minorHAnsi"/>
        </w:rPr>
        <w:t>were</w:t>
      </w:r>
      <w:r w:rsidRPr="00624107">
        <w:rPr>
          <w:rFonts w:asciiTheme="minorHAnsi" w:hAnsiTheme="minorHAnsi"/>
        </w:rPr>
        <w:t xml:space="preserve"> likely to provide more relevant information.</w:t>
      </w:r>
    </w:p>
    <w:p w14:paraId="0F9C4CB3" w14:textId="44079E19" w:rsidR="00B709DA" w:rsidRPr="00A073F9" w:rsidRDefault="00B709DA" w:rsidP="00A6162C">
      <w:pPr>
        <w:rPr>
          <w:rFonts w:asciiTheme="minorHAnsi" w:hAnsiTheme="minorHAnsi"/>
        </w:rPr>
      </w:pPr>
      <w:r>
        <w:rPr>
          <w:rFonts w:asciiTheme="minorHAnsi" w:hAnsiTheme="minorHAnsi"/>
        </w:rPr>
        <w:t xml:space="preserve">At present, no formal </w:t>
      </w:r>
      <w:r w:rsidRPr="00B62827">
        <w:rPr>
          <w:rFonts w:asciiTheme="minorHAnsi" w:hAnsiTheme="minorHAnsi"/>
        </w:rPr>
        <w:t>Pre</w:t>
      </w:r>
      <w:r>
        <w:rPr>
          <w:rFonts w:asciiTheme="minorHAnsi" w:hAnsiTheme="minorHAnsi"/>
        </w:rPr>
        <w:t xml:space="preserve">gnancy Category classification is applied to </w:t>
      </w:r>
      <w:r w:rsidR="0052363E">
        <w:t>Lipiodol Ultra Fluid</w:t>
      </w:r>
      <w:r w:rsidR="005C312E">
        <w:rPr>
          <w:rFonts w:asciiTheme="minorHAnsi" w:hAnsiTheme="minorHAnsi"/>
        </w:rPr>
        <w:t xml:space="preserve"> </w:t>
      </w:r>
      <w:r>
        <w:rPr>
          <w:rFonts w:asciiTheme="minorHAnsi" w:hAnsiTheme="minorHAnsi"/>
        </w:rPr>
        <w:t>in the approve</w:t>
      </w:r>
      <w:r w:rsidR="00A6162C">
        <w:rPr>
          <w:rFonts w:asciiTheme="minorHAnsi" w:hAnsiTheme="minorHAnsi"/>
        </w:rPr>
        <w:t xml:space="preserve">d Australian PI. The nonclinical </w:t>
      </w:r>
      <w:r>
        <w:rPr>
          <w:rFonts w:asciiTheme="minorHAnsi" w:hAnsiTheme="minorHAnsi"/>
        </w:rPr>
        <w:t xml:space="preserve">area recommends </w:t>
      </w:r>
      <w:r w:rsidR="000C4036">
        <w:rPr>
          <w:rFonts w:asciiTheme="minorHAnsi" w:hAnsiTheme="minorHAnsi"/>
        </w:rPr>
        <w:t xml:space="preserve">Pregnancy </w:t>
      </w:r>
      <w:r>
        <w:rPr>
          <w:rFonts w:asciiTheme="minorHAnsi" w:hAnsiTheme="minorHAnsi"/>
        </w:rPr>
        <w:t>Category C,</w:t>
      </w:r>
      <w:r w:rsidR="00A6162C">
        <w:rPr>
          <w:rStyle w:val="FootnoteReference"/>
          <w:rFonts w:asciiTheme="minorHAnsi" w:hAnsiTheme="minorHAnsi"/>
        </w:rPr>
        <w:footnoteReference w:id="5"/>
      </w:r>
      <w:r>
        <w:rPr>
          <w:rFonts w:asciiTheme="minorHAnsi" w:hAnsiTheme="minorHAnsi"/>
        </w:rPr>
        <w:t xml:space="preserve"> mainly due to</w:t>
      </w:r>
      <w:r w:rsidRPr="00B62827">
        <w:rPr>
          <w:rFonts w:asciiTheme="minorHAnsi" w:hAnsiTheme="minorHAnsi"/>
        </w:rPr>
        <w:t xml:space="preserve"> of the risk of thyroid </w:t>
      </w:r>
      <w:r>
        <w:rPr>
          <w:rFonts w:asciiTheme="minorHAnsi" w:hAnsiTheme="minorHAnsi"/>
        </w:rPr>
        <w:t xml:space="preserve">function </w:t>
      </w:r>
      <w:r w:rsidRPr="00B62827">
        <w:rPr>
          <w:rFonts w:asciiTheme="minorHAnsi" w:hAnsiTheme="minorHAnsi"/>
        </w:rPr>
        <w:t>dist</w:t>
      </w:r>
      <w:r>
        <w:rPr>
          <w:rFonts w:asciiTheme="minorHAnsi" w:hAnsiTheme="minorHAnsi"/>
        </w:rPr>
        <w:t>urbance in neonates from exposure to iodine (adult dose of 15</w:t>
      </w:r>
      <w:r w:rsidR="00A6162C">
        <w:rPr>
          <w:rFonts w:asciiTheme="minorHAnsi" w:hAnsiTheme="minorHAnsi"/>
        </w:rPr>
        <w:t> </w:t>
      </w:r>
      <w:r>
        <w:rPr>
          <w:rFonts w:asciiTheme="minorHAnsi" w:hAnsiTheme="minorHAnsi"/>
        </w:rPr>
        <w:t xml:space="preserve">mL would deliver </w:t>
      </w:r>
      <w:r>
        <w:t>7200</w:t>
      </w:r>
      <w:r w:rsidR="005C312E">
        <w:t xml:space="preserve"> </w:t>
      </w:r>
      <w:r>
        <w:t>mg iodine).</w:t>
      </w:r>
      <w:r>
        <w:rPr>
          <w:rFonts w:asciiTheme="minorHAnsi" w:hAnsiTheme="minorHAnsi"/>
        </w:rPr>
        <w:t xml:space="preserve"> Note</w:t>
      </w:r>
      <w:r w:rsidRPr="00FE39FE">
        <w:t xml:space="preserve"> </w:t>
      </w:r>
      <w:r w:rsidR="00015A00">
        <w:t xml:space="preserve">that </w:t>
      </w:r>
      <w:r>
        <w:t xml:space="preserve">iodised oil is an unscheduled substance (Poisons </w:t>
      </w:r>
      <w:r w:rsidR="000C4036">
        <w:t xml:space="preserve">Standard </w:t>
      </w:r>
      <w:r>
        <w:t>No 27, 2020).</w:t>
      </w:r>
      <w:r w:rsidR="000C4036">
        <w:rPr>
          <w:rStyle w:val="FootnoteReference"/>
        </w:rPr>
        <w:footnoteReference w:id="6"/>
      </w:r>
    </w:p>
    <w:p w14:paraId="5234BCED" w14:textId="5EA7151B" w:rsidR="008E7846" w:rsidRDefault="008E7846" w:rsidP="008E7846">
      <w:pPr>
        <w:pStyle w:val="Heading3"/>
      </w:pPr>
      <w:bookmarkStart w:id="38" w:name="_Toc61253623"/>
      <w:r>
        <w:t>Clinical</w:t>
      </w:r>
      <w:bookmarkEnd w:id="36"/>
      <w:bookmarkEnd w:id="37"/>
      <w:bookmarkEnd w:id="38"/>
    </w:p>
    <w:p w14:paraId="7131E309" w14:textId="6E998BAB" w:rsidR="00B709DA" w:rsidRDefault="00B709DA" w:rsidP="00C733F5">
      <w:bookmarkStart w:id="39" w:name="_Toc314842514"/>
      <w:r w:rsidRPr="00120167">
        <w:t xml:space="preserve">The clinical evidence for </w:t>
      </w:r>
      <w:r w:rsidR="0052363E">
        <w:t>Lipiodol Ultra Fluid</w:t>
      </w:r>
      <w:r w:rsidR="005C312E">
        <w:t xml:space="preserve"> </w:t>
      </w:r>
      <w:r>
        <w:t>in HCC is derived from</w:t>
      </w:r>
      <w:r w:rsidRPr="00120167">
        <w:t xml:space="preserve"> 190 studies publ</w:t>
      </w:r>
      <w:r>
        <w:t xml:space="preserve">ished </w:t>
      </w:r>
      <w:r w:rsidR="00AA77B8">
        <w:t xml:space="preserve">between the </w:t>
      </w:r>
      <w:r>
        <w:t xml:space="preserve">early 1980s </w:t>
      </w:r>
      <w:r w:rsidR="00AA77B8">
        <w:t xml:space="preserve">and </w:t>
      </w:r>
      <w:r>
        <w:t xml:space="preserve">2017. </w:t>
      </w:r>
      <w:r>
        <w:rPr>
          <w:rFonts w:eastAsiaTheme="minorHAnsi"/>
          <w:color w:val="000000"/>
        </w:rPr>
        <w:t xml:space="preserve">Of these, </w:t>
      </w:r>
      <w:r>
        <w:t>49 were prospective</w:t>
      </w:r>
      <w:r w:rsidRPr="00120167">
        <w:t>,</w:t>
      </w:r>
      <w:r>
        <w:t xml:space="preserve"> 129 were retrospective, and the</w:t>
      </w:r>
      <w:r w:rsidRPr="00120167">
        <w:t xml:space="preserve"> de</w:t>
      </w:r>
      <w:r>
        <w:t xml:space="preserve">sign was not defined in </w:t>
      </w:r>
      <w:r w:rsidRPr="00120167">
        <w:t>12 studies.</w:t>
      </w:r>
      <w:r>
        <w:t xml:space="preserve"> </w:t>
      </w:r>
      <w:r w:rsidR="00C733F5">
        <w:t>The m</w:t>
      </w:r>
      <w:r>
        <w:t>ajority (</w:t>
      </w:r>
      <w:r w:rsidRPr="00120167">
        <w:t>108</w:t>
      </w:r>
      <w:r>
        <w:t>)</w:t>
      </w:r>
      <w:r w:rsidRPr="00120167">
        <w:t xml:space="preserve"> were conducted in Asia</w:t>
      </w:r>
      <w:r>
        <w:t>, 50 were</w:t>
      </w:r>
      <w:r w:rsidRPr="00120167">
        <w:t xml:space="preserve"> in Europe and 23 </w:t>
      </w:r>
      <w:r>
        <w:t xml:space="preserve">were </w:t>
      </w:r>
      <w:r w:rsidRPr="00120167">
        <w:t>in the US</w:t>
      </w:r>
      <w:r w:rsidRPr="00120167">
        <w:rPr>
          <w:b/>
        </w:rPr>
        <w:t>.</w:t>
      </w:r>
      <w:r>
        <w:t xml:space="preserve"> A</w:t>
      </w:r>
      <w:r w:rsidR="00C733F5">
        <w:t>n a</w:t>
      </w:r>
      <w:r>
        <w:t xml:space="preserve">dditional 15 </w:t>
      </w:r>
      <w:r w:rsidRPr="00120167">
        <w:t xml:space="preserve">studies </w:t>
      </w:r>
      <w:r w:rsidR="00AB17AD">
        <w:t>(6 prospective, 9 </w:t>
      </w:r>
      <w:r>
        <w:t xml:space="preserve">retrospective) were identified during a </w:t>
      </w:r>
      <w:r w:rsidR="00C733F5">
        <w:t>second</w:t>
      </w:r>
      <w:r w:rsidRPr="00120167">
        <w:t xml:space="preserve"> literature search, </w:t>
      </w:r>
      <w:r>
        <w:t xml:space="preserve">of which </w:t>
      </w:r>
      <w:r w:rsidRPr="00120167">
        <w:t>13 were in Asia</w:t>
      </w:r>
      <w:r w:rsidR="00C733F5">
        <w:t>, with</w:t>
      </w:r>
      <w:r>
        <w:t xml:space="preserve"> one each in Germany and </w:t>
      </w:r>
      <w:r w:rsidRPr="001D5977">
        <w:t xml:space="preserve">the US. </w:t>
      </w:r>
      <w:r w:rsidRPr="001D5977">
        <w:rPr>
          <w:rFonts w:eastAsiaTheme="minorHAnsi"/>
          <w:color w:val="000000"/>
        </w:rPr>
        <w:t>The</w:t>
      </w:r>
      <w:r w:rsidRPr="00120167">
        <w:rPr>
          <w:rFonts w:eastAsiaTheme="minorHAnsi"/>
          <w:color w:val="000000"/>
        </w:rPr>
        <w:t xml:space="preserve"> embolic agent was mainly </w:t>
      </w:r>
      <w:proofErr w:type="spellStart"/>
      <w:r w:rsidRPr="00120167">
        <w:rPr>
          <w:rFonts w:eastAsiaTheme="minorHAnsi"/>
          <w:color w:val="000000"/>
        </w:rPr>
        <w:t>gela</w:t>
      </w:r>
      <w:r>
        <w:rPr>
          <w:rFonts w:eastAsiaTheme="minorHAnsi"/>
          <w:color w:val="000000"/>
        </w:rPr>
        <w:t>tin</w:t>
      </w:r>
      <w:proofErr w:type="spellEnd"/>
      <w:r w:rsidRPr="00120167">
        <w:rPr>
          <w:rFonts w:eastAsiaTheme="minorHAnsi"/>
          <w:color w:val="000000"/>
        </w:rPr>
        <w:t xml:space="preserve"> sponge </w:t>
      </w:r>
      <w:r>
        <w:rPr>
          <w:rFonts w:eastAsiaTheme="minorHAnsi"/>
          <w:color w:val="000000"/>
        </w:rPr>
        <w:t xml:space="preserve">particles. Other embolic agents included </w:t>
      </w:r>
      <w:r w:rsidR="00A35A0C">
        <w:rPr>
          <w:rFonts w:eastAsiaTheme="minorHAnsi"/>
          <w:color w:val="000000"/>
        </w:rPr>
        <w:t>polyvinyl alcohol</w:t>
      </w:r>
      <w:r>
        <w:rPr>
          <w:rFonts w:eastAsiaTheme="minorHAnsi"/>
          <w:color w:val="000000"/>
        </w:rPr>
        <w:t xml:space="preserve"> and microspheres.</w:t>
      </w:r>
    </w:p>
    <w:p w14:paraId="21DFBCD8" w14:textId="481D5F91" w:rsidR="00B709DA" w:rsidRPr="004C5E56" w:rsidRDefault="00B709DA" w:rsidP="00C733F5">
      <w:r>
        <w:rPr>
          <w:rFonts w:asciiTheme="minorHAnsi" w:hAnsiTheme="minorHAnsi"/>
        </w:rPr>
        <w:t xml:space="preserve">Please note that clinical outcomes, in place of indices of diagnostic test performance, were used to assess </w:t>
      </w:r>
      <w:r w:rsidR="0052363E">
        <w:rPr>
          <w:rFonts w:asciiTheme="minorHAnsi" w:hAnsiTheme="minorHAnsi"/>
        </w:rPr>
        <w:t>Lipiodol Ultra Fluid</w:t>
      </w:r>
      <w:r>
        <w:rPr>
          <w:rFonts w:asciiTheme="minorHAnsi" w:hAnsiTheme="minorHAnsi"/>
        </w:rPr>
        <w:t>. However, t</w:t>
      </w:r>
      <w:r>
        <w:rPr>
          <w:rFonts w:asciiTheme="minorHAnsi" w:hAnsiTheme="minorHAnsi"/>
          <w:lang w:val="en-US"/>
        </w:rPr>
        <w:t>he intention is</w:t>
      </w:r>
      <w:r w:rsidRPr="00BA12AB">
        <w:rPr>
          <w:rFonts w:asciiTheme="minorHAnsi" w:hAnsiTheme="minorHAnsi"/>
          <w:lang w:val="en-US"/>
        </w:rPr>
        <w:t xml:space="preserve"> not to</w:t>
      </w:r>
      <w:r>
        <w:rPr>
          <w:rFonts w:asciiTheme="minorHAnsi" w:hAnsiTheme="minorHAnsi"/>
          <w:lang w:val="en-US"/>
        </w:rPr>
        <w:t xml:space="preserve"> establish a treatment</w:t>
      </w:r>
      <w:r w:rsidRPr="00BA12AB">
        <w:rPr>
          <w:rFonts w:asciiTheme="minorHAnsi" w:hAnsiTheme="minorHAnsi"/>
          <w:lang w:val="en-US"/>
        </w:rPr>
        <w:t xml:space="preserve"> effect of </w:t>
      </w:r>
      <w:r w:rsidR="0052363E">
        <w:rPr>
          <w:rFonts w:asciiTheme="minorHAnsi" w:hAnsiTheme="minorHAnsi"/>
          <w:lang w:val="en-US"/>
        </w:rPr>
        <w:t>Lipiodol Ultra Fluid</w:t>
      </w:r>
      <w:r w:rsidRPr="00BA12AB">
        <w:rPr>
          <w:rFonts w:asciiTheme="minorHAnsi" w:hAnsiTheme="minorHAnsi"/>
          <w:lang w:val="en-US"/>
        </w:rPr>
        <w:t xml:space="preserve"> </w:t>
      </w:r>
      <w:r>
        <w:rPr>
          <w:rFonts w:asciiTheme="minorHAnsi" w:hAnsiTheme="minorHAnsi"/>
          <w:lang w:val="en-US"/>
        </w:rPr>
        <w:t>on HCC (co</w:t>
      </w:r>
      <w:r w:rsidR="00AB17AD">
        <w:rPr>
          <w:rFonts w:asciiTheme="minorHAnsi" w:hAnsiTheme="minorHAnsi"/>
          <w:lang w:val="en-US"/>
        </w:rPr>
        <w:t>-</w:t>
      </w:r>
      <w:r>
        <w:rPr>
          <w:rFonts w:asciiTheme="minorHAnsi" w:hAnsiTheme="minorHAnsi"/>
          <w:lang w:val="en-US"/>
        </w:rPr>
        <w:t xml:space="preserve">administered with chemotherapy) </w:t>
      </w:r>
      <w:r w:rsidRPr="00BA12AB">
        <w:rPr>
          <w:rFonts w:asciiTheme="minorHAnsi" w:hAnsiTheme="minorHAnsi"/>
          <w:lang w:val="en-US"/>
        </w:rPr>
        <w:t>or to dif</w:t>
      </w:r>
      <w:r>
        <w:rPr>
          <w:rFonts w:asciiTheme="minorHAnsi" w:hAnsiTheme="minorHAnsi"/>
          <w:lang w:val="en-US"/>
        </w:rPr>
        <w:t xml:space="preserve">ferentiate clinical outcomes </w:t>
      </w:r>
      <w:r w:rsidRPr="00BA12AB">
        <w:rPr>
          <w:rFonts w:asciiTheme="minorHAnsi" w:hAnsiTheme="minorHAnsi"/>
          <w:lang w:val="en-US"/>
        </w:rPr>
        <w:t xml:space="preserve">due to </w:t>
      </w:r>
      <w:r w:rsidR="0052363E">
        <w:rPr>
          <w:rFonts w:asciiTheme="minorHAnsi" w:hAnsiTheme="minorHAnsi"/>
          <w:lang w:val="en-US"/>
        </w:rPr>
        <w:t>Lipiodol Ultra Fluid</w:t>
      </w:r>
      <w:r w:rsidR="00C733F5">
        <w:rPr>
          <w:rFonts w:asciiTheme="minorHAnsi" w:hAnsiTheme="minorHAnsi"/>
          <w:lang w:val="en-US"/>
        </w:rPr>
        <w:t>,</w:t>
      </w:r>
      <w:r>
        <w:rPr>
          <w:rFonts w:asciiTheme="minorHAnsi" w:hAnsiTheme="minorHAnsi"/>
          <w:lang w:val="en-US"/>
        </w:rPr>
        <w:t xml:space="preserve"> but to demonstrate indirectly its diagnostic and prognostic ability/utility in the TACE for HCC procedure.</w:t>
      </w:r>
    </w:p>
    <w:p w14:paraId="1F5C6597" w14:textId="008B1022" w:rsidR="00B709DA" w:rsidRPr="00953F1C" w:rsidRDefault="00B709DA" w:rsidP="00C733F5">
      <w:pPr>
        <w:rPr>
          <w:rFonts w:asciiTheme="minorHAnsi" w:hAnsiTheme="minorHAnsi"/>
          <w:lang w:val="en-US"/>
        </w:rPr>
      </w:pPr>
      <w:r>
        <w:rPr>
          <w:rFonts w:eastAsiaTheme="minorHAnsi"/>
          <w:color w:val="000000"/>
        </w:rPr>
        <w:t>Multiple analyses of various combinations of studies were included.</w:t>
      </w:r>
    </w:p>
    <w:p w14:paraId="36B21165" w14:textId="71255046" w:rsidR="00B709DA" w:rsidRPr="00015A00" w:rsidRDefault="00B709DA" w:rsidP="00015A00">
      <w:pPr>
        <w:pStyle w:val="Heading4"/>
      </w:pPr>
      <w:r w:rsidRPr="00015A00">
        <w:lastRenderedPageBreak/>
        <w:t>Pharmacology</w:t>
      </w:r>
    </w:p>
    <w:p w14:paraId="68522ABA" w14:textId="62E68645" w:rsidR="00B709DA" w:rsidRDefault="00B709DA" w:rsidP="00A35A0C">
      <w:r w:rsidRPr="00BA12AB">
        <w:t xml:space="preserve">After </w:t>
      </w:r>
      <w:r>
        <w:t xml:space="preserve">selective </w:t>
      </w:r>
      <w:r w:rsidRPr="00BA12AB">
        <w:t>trans</w:t>
      </w:r>
      <w:r>
        <w:t>-arterial injection of the hepatic artery in</w:t>
      </w:r>
      <w:r w:rsidRPr="00BA12AB">
        <w:t xml:space="preserve"> HCC patients, </w:t>
      </w:r>
      <w:r w:rsidR="0052363E">
        <w:rPr>
          <w:lang w:val="en-US"/>
        </w:rPr>
        <w:t>Lipiodol Ultra Fluid</w:t>
      </w:r>
      <w:r w:rsidR="00A35A0C">
        <w:t xml:space="preserve"> </w:t>
      </w:r>
      <w:r>
        <w:t xml:space="preserve">is distributed to </w:t>
      </w:r>
      <w:r w:rsidRPr="00BA12AB">
        <w:t xml:space="preserve">the healthy liver </w:t>
      </w:r>
      <w:r>
        <w:t xml:space="preserve">parenchyma and the HCC nodules, </w:t>
      </w:r>
      <w:r w:rsidRPr="00BA12AB">
        <w:t>with prefere</w:t>
      </w:r>
      <w:r>
        <w:t>ntial accumulation in the HCC nodules likely due to hyper-vascu</w:t>
      </w:r>
      <w:r w:rsidR="00AB17AD">
        <w:t>larity in the tumour formations (</w:t>
      </w:r>
      <w:r w:rsidR="0045457C">
        <w:t xml:space="preserve">see </w:t>
      </w:r>
      <w:r w:rsidR="00AB17AD">
        <w:fldChar w:fldCharType="begin"/>
      </w:r>
      <w:r w:rsidR="00AB17AD">
        <w:instrText xml:space="preserve"> REF _Ref58399092 \h </w:instrText>
      </w:r>
      <w:r w:rsidR="00AB17AD">
        <w:fldChar w:fldCharType="separate"/>
      </w:r>
      <w:r w:rsidR="00920707">
        <w:t xml:space="preserve">Table </w:t>
      </w:r>
      <w:r w:rsidR="00920707">
        <w:rPr>
          <w:noProof/>
        </w:rPr>
        <w:t>3</w:t>
      </w:r>
      <w:r w:rsidR="00AB17AD">
        <w:fldChar w:fldCharType="end"/>
      </w:r>
      <w:r w:rsidR="00AB17AD">
        <w:t>).</w:t>
      </w:r>
    </w:p>
    <w:p w14:paraId="600875B2" w14:textId="7FA82F13" w:rsidR="00A35A0C" w:rsidRDefault="00015A00" w:rsidP="00015A00">
      <w:pPr>
        <w:pStyle w:val="TableTitle"/>
      </w:pPr>
      <w:bookmarkStart w:id="40" w:name="_Ref58399092"/>
      <w:r>
        <w:t xml:space="preserve">Table </w:t>
      </w:r>
      <w:fldSimple w:instr=" SEQ Table \* ARABIC ">
        <w:r w:rsidR="00920707">
          <w:rPr>
            <w:noProof/>
          </w:rPr>
          <w:t>3</w:t>
        </w:r>
      </w:fldSimple>
      <w:bookmarkEnd w:id="40"/>
      <w:r>
        <w:t>:</w:t>
      </w:r>
      <w:r w:rsidR="00A35A0C">
        <w:t xml:space="preserve"> </w:t>
      </w:r>
      <w:proofErr w:type="spellStart"/>
      <w:r w:rsidR="00A35A0C">
        <w:t>Biodistribution</w:t>
      </w:r>
      <w:proofErr w:type="spellEnd"/>
      <w:r w:rsidR="00A35A0C">
        <w:t xml:space="preserve"> of </w:t>
      </w:r>
      <w:r w:rsidR="0052363E">
        <w:t>Lipiodol Ultra Fluid</w:t>
      </w:r>
      <w:r w:rsidR="00A35A0C">
        <w:t xml:space="preserve"> after </w:t>
      </w:r>
      <w:r>
        <w:t>administration into the hepatic artery</w:t>
      </w:r>
    </w:p>
    <w:p w14:paraId="333E1603" w14:textId="1A715AF3" w:rsidR="00B709DA" w:rsidRDefault="00015A00" w:rsidP="00B709DA">
      <w:pPr>
        <w:spacing w:line="240" w:lineRule="auto"/>
        <w:jc w:val="center"/>
        <w:rPr>
          <w:rFonts w:asciiTheme="minorHAnsi" w:hAnsiTheme="minorHAnsi"/>
        </w:rPr>
      </w:pPr>
      <w:r>
        <w:rPr>
          <w:noProof/>
          <w:lang w:eastAsia="en-AU"/>
        </w:rPr>
        <w:drawing>
          <wp:inline distT="0" distB="0" distL="0" distR="0" wp14:anchorId="09BAD47A" wp14:editId="61EDD2A5">
            <wp:extent cx="5400040" cy="915670"/>
            <wp:effectExtent l="0" t="0" r="0" b="0"/>
            <wp:docPr id="1" name="Picture 1" descr="Biodistribution of Lipiodol after administration into the hepatic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915670"/>
                    </a:xfrm>
                    <a:prstGeom prst="rect">
                      <a:avLst/>
                    </a:prstGeom>
                  </pic:spPr>
                </pic:pic>
              </a:graphicData>
            </a:graphic>
          </wp:inline>
        </w:drawing>
      </w:r>
    </w:p>
    <w:p w14:paraId="6FDF2EE7" w14:textId="4C119DF7" w:rsidR="00B709DA" w:rsidRPr="00305A61" w:rsidRDefault="00015A00" w:rsidP="00A35A0C">
      <w:pPr>
        <w:rPr>
          <w:lang w:val="en-US"/>
        </w:rPr>
      </w:pPr>
      <w:r>
        <w:rPr>
          <w:lang w:val="en-US"/>
        </w:rPr>
        <w:t xml:space="preserve">Following injection of 5 to </w:t>
      </w:r>
      <w:r w:rsidR="00B709DA">
        <w:rPr>
          <w:lang w:val="en-US"/>
        </w:rPr>
        <w:t>20</w:t>
      </w:r>
      <w:r w:rsidR="00A35A0C">
        <w:rPr>
          <w:lang w:val="en-US"/>
        </w:rPr>
        <w:t xml:space="preserve"> </w:t>
      </w:r>
      <w:r w:rsidR="00B709DA">
        <w:rPr>
          <w:lang w:val="en-US"/>
        </w:rPr>
        <w:t>mL</w:t>
      </w:r>
      <w:r w:rsidR="00B709DA" w:rsidRPr="00BA12AB">
        <w:rPr>
          <w:lang w:val="en-US"/>
        </w:rPr>
        <w:t xml:space="preserve"> into the hepatic artery of HCC patients, </w:t>
      </w:r>
      <w:r w:rsidR="0052363E">
        <w:rPr>
          <w:lang w:val="en-US"/>
        </w:rPr>
        <w:t>Lipiodol Ultra Fluid</w:t>
      </w:r>
      <w:r w:rsidR="002D42A7">
        <w:t xml:space="preserve"> </w:t>
      </w:r>
      <w:r w:rsidR="00B709DA" w:rsidRPr="00BA12AB">
        <w:rPr>
          <w:lang w:val="en-US"/>
        </w:rPr>
        <w:t>was cleared from the liver parenchyma gradu</w:t>
      </w:r>
      <w:r w:rsidR="00B709DA">
        <w:rPr>
          <w:lang w:val="en-US"/>
        </w:rPr>
        <w:t xml:space="preserve">ally over </w:t>
      </w:r>
      <w:r w:rsidR="00B709DA" w:rsidRPr="00BA12AB">
        <w:rPr>
          <w:lang w:val="en-US"/>
        </w:rPr>
        <w:t xml:space="preserve">3 to 7 </w:t>
      </w:r>
      <w:r w:rsidR="00B709DA">
        <w:rPr>
          <w:lang w:val="en-US"/>
        </w:rPr>
        <w:t xml:space="preserve">days </w:t>
      </w:r>
      <w:r w:rsidR="00B709DA" w:rsidRPr="00BA12AB">
        <w:rPr>
          <w:lang w:val="en-US"/>
        </w:rPr>
        <w:t>and sel</w:t>
      </w:r>
      <w:r w:rsidR="00B709DA">
        <w:rPr>
          <w:lang w:val="en-US"/>
        </w:rPr>
        <w:t>ectively retained in the tumor nodules</w:t>
      </w:r>
      <w:r w:rsidR="00B709DA" w:rsidRPr="00BA12AB">
        <w:rPr>
          <w:lang w:val="en-US"/>
        </w:rPr>
        <w:t xml:space="preserve"> for up to 16 months</w:t>
      </w:r>
      <w:r w:rsidR="00B709DA">
        <w:rPr>
          <w:lang w:val="en-US"/>
        </w:rPr>
        <w:t xml:space="preserve">. The confirmation of retention of </w:t>
      </w:r>
      <w:r w:rsidR="0052363E">
        <w:rPr>
          <w:lang w:val="en-US"/>
        </w:rPr>
        <w:t>Lipiodol Ultra Fluid</w:t>
      </w:r>
      <w:r w:rsidR="002D42A7">
        <w:t xml:space="preserve"> </w:t>
      </w:r>
      <w:r w:rsidR="00B709DA">
        <w:rPr>
          <w:lang w:val="en-US"/>
        </w:rPr>
        <w:t xml:space="preserve">within HCC nodules was obtained on </w:t>
      </w:r>
      <w:r w:rsidR="00B709DA" w:rsidRPr="00BA12AB">
        <w:rPr>
          <w:lang w:val="en-US"/>
        </w:rPr>
        <w:t>report</w:t>
      </w:r>
      <w:r w:rsidR="00B709DA">
        <w:rPr>
          <w:lang w:val="en-US"/>
        </w:rPr>
        <w:t>s indicating that</w:t>
      </w:r>
      <w:r w:rsidR="00B709DA" w:rsidRPr="00BA12AB">
        <w:rPr>
          <w:lang w:val="en-US"/>
        </w:rPr>
        <w:t xml:space="preserve"> </w:t>
      </w:r>
      <w:r w:rsidR="00B709DA">
        <w:rPr>
          <w:lang w:val="en-US"/>
        </w:rPr>
        <w:t xml:space="preserve">the </w:t>
      </w:r>
      <w:r w:rsidR="00B709DA" w:rsidRPr="00BA12AB">
        <w:rPr>
          <w:lang w:val="en-US"/>
        </w:rPr>
        <w:t xml:space="preserve">close-arterial injection </w:t>
      </w:r>
      <w:r w:rsidR="00B709DA">
        <w:rPr>
          <w:lang w:val="en-US"/>
        </w:rPr>
        <w:t>in</w:t>
      </w:r>
      <w:r w:rsidR="00B709DA" w:rsidRPr="00BA12AB">
        <w:rPr>
          <w:lang w:val="en-US"/>
        </w:rPr>
        <w:t>to the</w:t>
      </w:r>
      <w:r w:rsidR="00B709DA">
        <w:rPr>
          <w:lang w:val="en-US"/>
        </w:rPr>
        <w:t xml:space="preserve"> hepatic artery allowed visualisation on </w:t>
      </w:r>
      <w:r w:rsidR="0045457C">
        <w:rPr>
          <w:lang w:val="en-US"/>
        </w:rPr>
        <w:t>computed tomography (</w:t>
      </w:r>
      <w:r w:rsidR="00B709DA">
        <w:rPr>
          <w:lang w:val="en-US"/>
        </w:rPr>
        <w:t>CT</w:t>
      </w:r>
      <w:r w:rsidR="0045457C">
        <w:rPr>
          <w:lang w:val="en-US"/>
        </w:rPr>
        <w:t>)</w:t>
      </w:r>
      <w:r>
        <w:rPr>
          <w:lang w:val="en-US"/>
        </w:rPr>
        <w:t xml:space="preserve"> scans for up to 6 to </w:t>
      </w:r>
      <w:r w:rsidR="00B709DA" w:rsidRPr="00BA12AB">
        <w:rPr>
          <w:lang w:val="en-US"/>
        </w:rPr>
        <w:t>12 months</w:t>
      </w:r>
      <w:r w:rsidR="00B709DA">
        <w:rPr>
          <w:lang w:val="en-US"/>
        </w:rPr>
        <w:t xml:space="preserve"> after the procedure.</w:t>
      </w:r>
    </w:p>
    <w:p w14:paraId="60174E80" w14:textId="199D6BE5" w:rsidR="00B709DA" w:rsidRPr="00A1488F" w:rsidRDefault="00B709DA" w:rsidP="00855D1B">
      <w:pPr>
        <w:pStyle w:val="Heading4"/>
      </w:pPr>
      <w:r w:rsidRPr="00A1488F">
        <w:t>Efficacy</w:t>
      </w:r>
    </w:p>
    <w:p w14:paraId="792B64A1" w14:textId="7ECF0294" w:rsidR="00B709DA" w:rsidRPr="00F731DE" w:rsidRDefault="00B709DA" w:rsidP="002D42A7">
      <w:r>
        <w:t xml:space="preserve">The primary outcome of interest was </w:t>
      </w:r>
      <w:r w:rsidR="00015A00">
        <w:t>overall survival</w:t>
      </w:r>
      <w:r>
        <w:t xml:space="preserve"> (OS)</w:t>
      </w:r>
      <w:r w:rsidR="002D42A7">
        <w:t>, measuring the</w:t>
      </w:r>
      <w:r>
        <w:t xml:space="preserve"> </w:t>
      </w:r>
      <w:r w:rsidRPr="00006A76">
        <w:rPr>
          <w:lang w:val="en-US"/>
        </w:rPr>
        <w:t xml:space="preserve">time from the first </w:t>
      </w:r>
      <w:r>
        <w:rPr>
          <w:lang w:val="en-US"/>
        </w:rPr>
        <w:t xml:space="preserve">TACE </w:t>
      </w:r>
      <w:r w:rsidRPr="00006A76">
        <w:rPr>
          <w:lang w:val="en-US"/>
        </w:rPr>
        <w:t>procedure to death from any cause</w:t>
      </w:r>
      <w:r>
        <w:t>. The OS was analysed using</w:t>
      </w:r>
      <w:r w:rsidRPr="00A70213">
        <w:t xml:space="preserve"> </w:t>
      </w:r>
      <w:r>
        <w:t xml:space="preserve">meta-analysis methodology with </w:t>
      </w:r>
      <w:r w:rsidRPr="00A70213">
        <w:t>random effects model</w:t>
      </w:r>
      <w:r>
        <w:t>,</w:t>
      </w:r>
      <w:r w:rsidR="00015A00">
        <w:t xml:space="preserve"> combining h</w:t>
      </w:r>
      <w:r w:rsidRPr="00A70213">
        <w:t>azar</w:t>
      </w:r>
      <w:r w:rsidR="00015A00">
        <w:t>d r</w:t>
      </w:r>
      <w:r>
        <w:t>atios (HR</w:t>
      </w:r>
      <w:r w:rsidR="00015A00">
        <w:t>s</w:t>
      </w:r>
      <w:r>
        <w:t xml:space="preserve">) of OS from the </w:t>
      </w:r>
      <w:r w:rsidR="002D42A7">
        <w:t>randomised controlled trials (</w:t>
      </w:r>
      <w:r>
        <w:t>RCTs</w:t>
      </w:r>
      <w:r w:rsidR="002D42A7">
        <w:t>)</w:t>
      </w:r>
      <w:r>
        <w:t>. The HRs, corresponding variances and 95%</w:t>
      </w:r>
      <w:r w:rsidR="002D42A7">
        <w:t xml:space="preserve"> confidence intervals (</w:t>
      </w:r>
      <w:r>
        <w:t>C</w:t>
      </w:r>
      <w:r w:rsidR="002D42A7">
        <w:t>I</w:t>
      </w:r>
      <w:r>
        <w:t>s</w:t>
      </w:r>
      <w:r w:rsidR="002D42A7">
        <w:t>)</w:t>
      </w:r>
      <w:r>
        <w:t xml:space="preserve"> were </w:t>
      </w:r>
      <w:r w:rsidRPr="00A70213">
        <w:t xml:space="preserve">taken </w:t>
      </w:r>
      <w:r>
        <w:t>directly from the published papers. Where HR was not available, it was derived from</w:t>
      </w:r>
      <w:r w:rsidRPr="00A70213">
        <w:t xml:space="preserve"> median survival times or survival rate at </w:t>
      </w:r>
      <w:r>
        <w:t xml:space="preserve">a </w:t>
      </w:r>
      <w:proofErr w:type="spellStart"/>
      <w:r>
        <w:t>timepoint</w:t>
      </w:r>
      <w:proofErr w:type="spellEnd"/>
      <w:r>
        <w:t xml:space="preserve">. </w:t>
      </w:r>
      <w:r w:rsidRPr="00A70213">
        <w:rPr>
          <w:color w:val="231F20"/>
          <w:lang w:val="en-US"/>
        </w:rPr>
        <w:t>Bayesian sensitivity analy</w:t>
      </w:r>
      <w:r>
        <w:rPr>
          <w:color w:val="231F20"/>
          <w:lang w:val="en-US"/>
        </w:rPr>
        <w:t>ses were performed to assess</w:t>
      </w:r>
      <w:r w:rsidRPr="00A70213">
        <w:rPr>
          <w:color w:val="231F20"/>
          <w:lang w:val="en-US"/>
        </w:rPr>
        <w:t xml:space="preserve"> robustness of the primary analysis of OS</w:t>
      </w:r>
      <w:r>
        <w:rPr>
          <w:color w:val="231F20"/>
          <w:lang w:val="en-US"/>
        </w:rPr>
        <w:t>.</w:t>
      </w:r>
    </w:p>
    <w:p w14:paraId="10C0766B" w14:textId="2F1D7D99" w:rsidR="00B709DA" w:rsidRDefault="00B709DA" w:rsidP="002D42A7">
      <w:r>
        <w:t xml:space="preserve">Published reports of 3 RCTs were available for comparison of </w:t>
      </w:r>
      <w:proofErr w:type="spellStart"/>
      <w:r>
        <w:t>cTACE</w:t>
      </w:r>
      <w:proofErr w:type="spellEnd"/>
      <w:r w:rsidR="00835027">
        <w:t>;</w:t>
      </w:r>
      <w:r>
        <w:rPr>
          <w:rStyle w:val="FootnoteReference"/>
          <w:rFonts w:asciiTheme="minorHAnsi" w:hAnsiTheme="minorHAnsi"/>
        </w:rPr>
        <w:footnoteReference w:id="7"/>
      </w:r>
      <w:r>
        <w:t xml:space="preserve"> in HCC with conservative treatment (</w:t>
      </w:r>
      <w:r>
        <w:rPr>
          <w:lang w:val="en-US"/>
        </w:rPr>
        <w:t>non-active treatment/best supportive/</w:t>
      </w:r>
      <w:r w:rsidRPr="00250BC4">
        <w:rPr>
          <w:lang w:val="en-US"/>
        </w:rPr>
        <w:t>sym</w:t>
      </w:r>
      <w:r>
        <w:rPr>
          <w:lang w:val="en-US"/>
        </w:rPr>
        <w:t>ptomatic treatment).</w:t>
      </w:r>
      <w:r>
        <w:t xml:space="preserve"> The 3 trial populations and baseline disease </w:t>
      </w:r>
      <w:r w:rsidR="00A92AE1">
        <w:t>classification were as follows</w:t>
      </w:r>
      <w:r w:rsidR="00AB17AD">
        <w:t xml:space="preserve"> in </w:t>
      </w:r>
      <w:r w:rsidR="00AB17AD">
        <w:fldChar w:fldCharType="begin"/>
      </w:r>
      <w:r w:rsidR="00AB17AD">
        <w:instrText xml:space="preserve"> REF _Ref58399134 \h </w:instrText>
      </w:r>
      <w:r w:rsidR="00AB17AD">
        <w:fldChar w:fldCharType="separate"/>
      </w:r>
      <w:r w:rsidR="00920707">
        <w:t xml:space="preserve">Table </w:t>
      </w:r>
      <w:r w:rsidR="00920707">
        <w:rPr>
          <w:noProof/>
        </w:rPr>
        <w:t>4</w:t>
      </w:r>
      <w:r w:rsidR="00AB17AD">
        <w:fldChar w:fldCharType="end"/>
      </w:r>
      <w:r w:rsidR="00A92AE1">
        <w:t>.</w:t>
      </w:r>
    </w:p>
    <w:p w14:paraId="539E259E" w14:textId="4A865B12" w:rsidR="002D42A7" w:rsidRDefault="00A92AE1" w:rsidP="00AB17AD">
      <w:pPr>
        <w:pStyle w:val="TableTitle"/>
      </w:pPr>
      <w:bookmarkStart w:id="41" w:name="_Ref58399134"/>
      <w:r>
        <w:lastRenderedPageBreak/>
        <w:t xml:space="preserve">Table </w:t>
      </w:r>
      <w:fldSimple w:instr=" SEQ Table \* ARABIC ">
        <w:r w:rsidR="00920707">
          <w:rPr>
            <w:noProof/>
          </w:rPr>
          <w:t>4</w:t>
        </w:r>
      </w:fldSimple>
      <w:bookmarkEnd w:id="41"/>
      <w:r w:rsidR="00823252">
        <w:t>:</w:t>
      </w:r>
      <w:r w:rsidR="002D42A7">
        <w:t xml:space="preserve"> Summary of study population included in the prima</w:t>
      </w:r>
      <w:r w:rsidR="00823252">
        <w:t>ry analysis of overall survival,</w:t>
      </w:r>
      <w:r w:rsidR="002D42A7">
        <w:t xml:space="preserve"> </w:t>
      </w:r>
      <w:proofErr w:type="spellStart"/>
      <w:r w:rsidR="002D42A7">
        <w:t>cTACE</w:t>
      </w:r>
      <w:proofErr w:type="spellEnd"/>
      <w:r w:rsidR="002D42A7">
        <w:t xml:space="preserve"> versu</w:t>
      </w:r>
      <w:r w:rsidR="00015A00">
        <w:t>s conservative treatment (3 randomised controlled trials</w:t>
      </w:r>
      <w:r w:rsidR="002D42A7">
        <w:t>)</w:t>
      </w:r>
    </w:p>
    <w:p w14:paraId="428B9926" w14:textId="35FB2F0E" w:rsidR="00B709DA" w:rsidRDefault="00015A00" w:rsidP="008C18C7">
      <w:pPr>
        <w:rPr>
          <w:rFonts w:asciiTheme="minorHAnsi" w:hAnsiTheme="minorHAnsi"/>
        </w:rPr>
      </w:pPr>
      <w:r>
        <w:rPr>
          <w:noProof/>
          <w:lang w:eastAsia="en-AU"/>
        </w:rPr>
        <w:drawing>
          <wp:inline distT="0" distB="0" distL="0" distR="0" wp14:anchorId="0CBA5B8B" wp14:editId="383A0EBD">
            <wp:extent cx="5400040" cy="2774315"/>
            <wp:effectExtent l="0" t="0" r="0" b="6985"/>
            <wp:docPr id="15" name="Picture 15" descr="Summary of study population included in the primary analysis of overall survival, cTACE versus conservative treatment (3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blip>
                    <a:stretch>
                      <a:fillRect/>
                    </a:stretch>
                  </pic:blipFill>
                  <pic:spPr>
                    <a:xfrm>
                      <a:off x="0" y="0"/>
                      <a:ext cx="5400040" cy="2774315"/>
                    </a:xfrm>
                    <a:prstGeom prst="rect">
                      <a:avLst/>
                    </a:prstGeom>
                  </pic:spPr>
                </pic:pic>
              </a:graphicData>
            </a:graphic>
          </wp:inline>
        </w:drawing>
      </w:r>
    </w:p>
    <w:p w14:paraId="00490D46" w14:textId="640B1E04" w:rsidR="00015A00" w:rsidRDefault="00015A00" w:rsidP="00AB17AD">
      <w:pPr>
        <w:pStyle w:val="TableDescription"/>
        <w:keepNext/>
      </w:pPr>
      <w:r>
        <w:t>Papers referenced in this table:</w:t>
      </w:r>
      <w:r w:rsidR="00823252">
        <w:t xml:space="preserve"> GETCH (1995),</w:t>
      </w:r>
      <w:bookmarkStart w:id="42" w:name="_Ref58355909"/>
      <w:r w:rsidR="00D26535">
        <w:rPr>
          <w:rStyle w:val="FootnoteReference"/>
        </w:rPr>
        <w:footnoteReference w:id="8"/>
      </w:r>
      <w:bookmarkEnd w:id="42"/>
      <w:r w:rsidR="00D26535">
        <w:t xml:space="preserve"> </w:t>
      </w:r>
      <w:bookmarkStart w:id="43" w:name="_Ref57963390"/>
      <w:proofErr w:type="spellStart"/>
      <w:r w:rsidR="00823252">
        <w:t>Llovet</w:t>
      </w:r>
      <w:proofErr w:type="spellEnd"/>
      <w:r w:rsidR="00823252">
        <w:t xml:space="preserve"> (2002),</w:t>
      </w:r>
      <w:bookmarkStart w:id="44" w:name="_Ref58355916"/>
      <w:r w:rsidR="00D26535">
        <w:rPr>
          <w:rStyle w:val="FootnoteReference"/>
        </w:rPr>
        <w:footnoteReference w:id="9"/>
      </w:r>
      <w:bookmarkEnd w:id="43"/>
      <w:bookmarkEnd w:id="44"/>
      <w:r w:rsidR="00823252">
        <w:t xml:space="preserve"> Lo (2002).</w:t>
      </w:r>
      <w:bookmarkStart w:id="45" w:name="_Ref58355920"/>
      <w:r w:rsidR="00A92AE1">
        <w:rPr>
          <w:rStyle w:val="FootnoteReference"/>
        </w:rPr>
        <w:footnoteReference w:id="10"/>
      </w:r>
      <w:bookmarkEnd w:id="45"/>
    </w:p>
    <w:p w14:paraId="007F1C14" w14:textId="18F6DB2E" w:rsidR="00B709DA" w:rsidRDefault="00B709DA" w:rsidP="00797231">
      <w:r>
        <w:t xml:space="preserve">The results were indicative of overall benefit on OS gained with </w:t>
      </w:r>
      <w:proofErr w:type="spellStart"/>
      <w:r>
        <w:t>cTACE</w:t>
      </w:r>
      <w:proofErr w:type="spellEnd"/>
      <w:r>
        <w:t xml:space="preserve"> (HR 0.57; 95%</w:t>
      </w:r>
      <w:r w:rsidR="0045457C">
        <w:t> </w:t>
      </w:r>
      <w:r>
        <w:t xml:space="preserve">CI 0.41, 0.8) compared to the conservative treatment. Among the 3 studies, </w:t>
      </w:r>
      <w:proofErr w:type="spellStart"/>
      <w:r>
        <w:t>Llovet</w:t>
      </w:r>
      <w:proofErr w:type="spellEnd"/>
      <w:r w:rsidR="001D5977">
        <w:t xml:space="preserve"> et al.</w:t>
      </w:r>
      <w:r>
        <w:t xml:space="preserve"> </w:t>
      </w:r>
      <w:r w:rsidR="0045457C">
        <w:t>(</w:t>
      </w:r>
      <w:r>
        <w:t>2002</w:t>
      </w:r>
      <w:r w:rsidR="0045457C">
        <w:t>)</w:t>
      </w:r>
      <w:r w:rsidR="00A92AE1">
        <w:rPr>
          <w:rFonts w:asciiTheme="minorHAnsi" w:hAnsiTheme="minorHAnsi"/>
        </w:rPr>
        <w:t>;</w:t>
      </w:r>
      <w:r w:rsidR="00A92AE1">
        <w:rPr>
          <w:rFonts w:asciiTheme="minorHAnsi" w:hAnsiTheme="minorHAnsi"/>
        </w:rPr>
        <w:fldChar w:fldCharType="begin"/>
      </w:r>
      <w:r w:rsidR="00A92AE1">
        <w:rPr>
          <w:rFonts w:asciiTheme="minorHAnsi" w:hAnsiTheme="minorHAnsi"/>
        </w:rPr>
        <w:instrText xml:space="preserve"> NOTEREF _Ref57963390 \f \h </w:instrText>
      </w:r>
      <w:r w:rsidR="00A92AE1">
        <w:rPr>
          <w:rFonts w:asciiTheme="minorHAnsi" w:hAnsiTheme="minorHAnsi"/>
        </w:rPr>
      </w:r>
      <w:r w:rsidR="00A92AE1">
        <w:rPr>
          <w:rFonts w:asciiTheme="minorHAnsi" w:hAnsiTheme="minorHAnsi"/>
        </w:rPr>
        <w:fldChar w:fldCharType="separate"/>
      </w:r>
      <w:r w:rsidR="00920707" w:rsidRPr="00920707">
        <w:rPr>
          <w:rStyle w:val="FootnoteReference"/>
        </w:rPr>
        <w:t>9</w:t>
      </w:r>
      <w:r w:rsidR="00A92AE1">
        <w:rPr>
          <w:rFonts w:asciiTheme="minorHAnsi" w:hAnsiTheme="minorHAnsi"/>
        </w:rPr>
        <w:fldChar w:fldCharType="end"/>
      </w:r>
      <w:r>
        <w:t xml:space="preserve"> may be taken as a pivotal (</w:t>
      </w:r>
      <w:r w:rsidR="00823252">
        <w:t xml:space="preserve">it is </w:t>
      </w:r>
      <w:r>
        <w:t xml:space="preserve">more recent and </w:t>
      </w:r>
      <w:r w:rsidR="00823252">
        <w:t xml:space="preserve">has </w:t>
      </w:r>
      <w:r>
        <w:t>baseline BCLC available) and its individual results were consi</w:t>
      </w:r>
      <w:r w:rsidR="00F7142D">
        <w:t>stent with the overall estimate (</w:t>
      </w:r>
      <w:r w:rsidR="0045457C">
        <w:t xml:space="preserve">see </w:t>
      </w:r>
      <w:r w:rsidR="00F7142D">
        <w:fldChar w:fldCharType="begin"/>
      </w:r>
      <w:r w:rsidR="00F7142D">
        <w:instrText xml:space="preserve"> REF _Ref58356144 \h </w:instrText>
      </w:r>
      <w:r w:rsidR="00F7142D">
        <w:fldChar w:fldCharType="separate"/>
      </w:r>
      <w:r w:rsidR="00920707">
        <w:t xml:space="preserve">Figure </w:t>
      </w:r>
      <w:r w:rsidR="00920707">
        <w:rPr>
          <w:noProof/>
        </w:rPr>
        <w:t>1</w:t>
      </w:r>
      <w:r w:rsidR="00F7142D">
        <w:fldChar w:fldCharType="end"/>
      </w:r>
      <w:r w:rsidR="00F7142D">
        <w:t>).</w:t>
      </w:r>
    </w:p>
    <w:p w14:paraId="58D46EF7" w14:textId="34ADC7B8" w:rsidR="00797231" w:rsidRDefault="00797231" w:rsidP="00797231">
      <w:pPr>
        <w:pStyle w:val="TableTitle"/>
      </w:pPr>
      <w:bookmarkStart w:id="46" w:name="_Ref58356144"/>
      <w:r>
        <w:t xml:space="preserve">Figure </w:t>
      </w:r>
      <w:fldSimple w:instr=" SEQ Figure \* ARABIC ">
        <w:r w:rsidR="00920707">
          <w:rPr>
            <w:noProof/>
          </w:rPr>
          <w:t>1</w:t>
        </w:r>
      </w:fldSimple>
      <w:bookmarkEnd w:id="46"/>
      <w:r w:rsidR="00A92AE1">
        <w:t>: Overall s</w:t>
      </w:r>
      <w:r>
        <w:t xml:space="preserve">urvival in </w:t>
      </w:r>
      <w:r w:rsidR="00823252">
        <w:t>randomised controlled trials</w:t>
      </w:r>
      <w:r>
        <w:t xml:space="preserve"> comparing </w:t>
      </w:r>
      <w:proofErr w:type="spellStart"/>
      <w:r>
        <w:t>cTACE</w:t>
      </w:r>
      <w:proofErr w:type="spellEnd"/>
      <w:r>
        <w:t xml:space="preserve"> to conservative treatment - hazard ratios for </w:t>
      </w:r>
      <w:proofErr w:type="spellStart"/>
      <w:r>
        <w:t>cTACE</w:t>
      </w:r>
      <w:proofErr w:type="spellEnd"/>
      <w:r>
        <w:t xml:space="preserve"> (n</w:t>
      </w:r>
      <w:r w:rsidR="00823252">
        <w:t xml:space="preserve"> </w:t>
      </w:r>
      <w:r>
        <w:t>=</w:t>
      </w:r>
      <w:r w:rsidR="00823252">
        <w:t xml:space="preserve"> </w:t>
      </w:r>
      <w:r>
        <w:t>130) versus conservative treatment (n</w:t>
      </w:r>
      <w:r w:rsidR="00823252">
        <w:t xml:space="preserve"> </w:t>
      </w:r>
      <w:r>
        <w:t>=</w:t>
      </w:r>
      <w:r w:rsidR="00823252">
        <w:t xml:space="preserve"> </w:t>
      </w:r>
      <w:r>
        <w:t>120) frequentist random-eff</w:t>
      </w:r>
      <w:r w:rsidR="00823252">
        <w:t>ects model - Forest-plot (3 randomised controlled trials</w:t>
      </w:r>
      <w:r>
        <w:t>)</w:t>
      </w:r>
    </w:p>
    <w:p w14:paraId="2764D381" w14:textId="226F253A" w:rsidR="00B709DA" w:rsidRDefault="00823252" w:rsidP="00823252">
      <w:r>
        <w:rPr>
          <w:noProof/>
          <w:lang w:eastAsia="en-AU"/>
        </w:rPr>
        <w:drawing>
          <wp:inline distT="0" distB="0" distL="0" distR="0" wp14:anchorId="1DC4309D" wp14:editId="63046845">
            <wp:extent cx="5400040" cy="2357120"/>
            <wp:effectExtent l="0" t="0" r="0" b="5080"/>
            <wp:docPr id="2" name="Picture 2" descr="Overall survival in randomised controlled trials comparing cTACE to conservative treatment - hazard ratios for cTACE (n = 130) versus conservative treatment (n = 120) frequentist random-effects model - Forest-plot (3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357120"/>
                    </a:xfrm>
                    <a:prstGeom prst="rect">
                      <a:avLst/>
                    </a:prstGeom>
                  </pic:spPr>
                </pic:pic>
              </a:graphicData>
            </a:graphic>
          </wp:inline>
        </w:drawing>
      </w:r>
    </w:p>
    <w:p w14:paraId="1CF3DF84" w14:textId="27659026" w:rsidR="00F7142D" w:rsidRDefault="00F7142D" w:rsidP="00F7142D">
      <w:pPr>
        <w:pStyle w:val="TableDescription"/>
      </w:pPr>
      <w:r>
        <w:t>Papers referenced in this figure: GETCH (1995)</w:t>
      </w:r>
      <w:r w:rsidR="0045457C">
        <w:t>;</w:t>
      </w:r>
      <w:r>
        <w:fldChar w:fldCharType="begin"/>
      </w:r>
      <w:r>
        <w:instrText xml:space="preserve"> NOTEREF _Ref58355909 \f \h </w:instrText>
      </w:r>
      <w:r>
        <w:fldChar w:fldCharType="separate"/>
      </w:r>
      <w:r w:rsidR="00920707" w:rsidRPr="00920707">
        <w:rPr>
          <w:rStyle w:val="FootnoteReference"/>
        </w:rPr>
        <w:t>8</w:t>
      </w:r>
      <w:r>
        <w:fldChar w:fldCharType="end"/>
      </w:r>
      <w:r>
        <w:t xml:space="preserve"> </w:t>
      </w:r>
      <w:proofErr w:type="spellStart"/>
      <w:r>
        <w:t>Llovet</w:t>
      </w:r>
      <w:proofErr w:type="spellEnd"/>
      <w:r w:rsidR="0045457C">
        <w:t xml:space="preserve"> et al.,</w:t>
      </w:r>
      <w:r>
        <w:t xml:space="preserve"> (2002)</w:t>
      </w:r>
      <w:r w:rsidR="0045457C">
        <w:t>;</w:t>
      </w:r>
      <w:r>
        <w:fldChar w:fldCharType="begin"/>
      </w:r>
      <w:r>
        <w:instrText xml:space="preserve"> NOTEREF _Ref58355916 \f \h </w:instrText>
      </w:r>
      <w:r>
        <w:fldChar w:fldCharType="separate"/>
      </w:r>
      <w:r w:rsidR="00920707" w:rsidRPr="00920707">
        <w:rPr>
          <w:rStyle w:val="FootnoteReference"/>
        </w:rPr>
        <w:t>9</w:t>
      </w:r>
      <w:r>
        <w:fldChar w:fldCharType="end"/>
      </w:r>
      <w:r>
        <w:t xml:space="preserve"> Lo </w:t>
      </w:r>
      <w:r w:rsidR="0045457C">
        <w:t xml:space="preserve">et al., </w:t>
      </w:r>
      <w:r>
        <w:t>(2002).</w:t>
      </w:r>
      <w:r>
        <w:fldChar w:fldCharType="begin"/>
      </w:r>
      <w:r>
        <w:instrText xml:space="preserve"> NOTEREF _Ref58355920 \f \h </w:instrText>
      </w:r>
      <w:r>
        <w:fldChar w:fldCharType="separate"/>
      </w:r>
      <w:r w:rsidR="00920707" w:rsidRPr="00920707">
        <w:rPr>
          <w:rStyle w:val="FootnoteReference"/>
        </w:rPr>
        <w:t>10</w:t>
      </w:r>
      <w:r>
        <w:fldChar w:fldCharType="end"/>
      </w:r>
    </w:p>
    <w:p w14:paraId="6212C418" w14:textId="77EE4617" w:rsidR="00B709DA" w:rsidRDefault="00B709DA" w:rsidP="00797231">
      <w:r>
        <w:lastRenderedPageBreak/>
        <w:t xml:space="preserve">The overall </w:t>
      </w:r>
      <w:r w:rsidR="00F7142D">
        <w:t xml:space="preserve">objective response rate </w:t>
      </w:r>
      <w:r>
        <w:t>(ORR)</w:t>
      </w:r>
      <w:r>
        <w:rPr>
          <w:rStyle w:val="FootnoteReference"/>
          <w:rFonts w:asciiTheme="minorHAnsi" w:hAnsiTheme="minorHAnsi"/>
        </w:rPr>
        <w:footnoteReference w:id="11"/>
      </w:r>
      <w:r>
        <w:t xml:space="preserve"> was a secondary outcome. The results were as follows </w:t>
      </w:r>
      <w:r w:rsidR="00F7142D">
        <w:t xml:space="preserve">in </w:t>
      </w:r>
      <w:r w:rsidR="00F7142D">
        <w:fldChar w:fldCharType="begin"/>
      </w:r>
      <w:r w:rsidR="00F7142D">
        <w:instrText xml:space="preserve"> REF _Ref58356101 \h </w:instrText>
      </w:r>
      <w:r w:rsidR="00F7142D">
        <w:fldChar w:fldCharType="separate"/>
      </w:r>
      <w:r w:rsidR="00920707" w:rsidRPr="00F165EF">
        <w:t xml:space="preserve">Figure </w:t>
      </w:r>
      <w:r w:rsidR="00920707">
        <w:rPr>
          <w:noProof/>
        </w:rPr>
        <w:t>2</w:t>
      </w:r>
      <w:r w:rsidR="00F7142D">
        <w:fldChar w:fldCharType="end"/>
      </w:r>
      <w:r w:rsidR="00F7142D">
        <w:t xml:space="preserve"> </w:t>
      </w:r>
      <w:r>
        <w:t>(note relative risk instead of HR)</w:t>
      </w:r>
      <w:r w:rsidR="00F7142D">
        <w:t>,</w:t>
      </w:r>
      <w:r>
        <w:t xml:space="preserve"> suppor</w:t>
      </w:r>
      <w:r w:rsidR="00F7142D">
        <w:t>tive of the primary OS analysis.</w:t>
      </w:r>
    </w:p>
    <w:p w14:paraId="59587B17" w14:textId="6258E96F" w:rsidR="00F165EF" w:rsidRPr="00F165EF" w:rsidRDefault="00F165EF" w:rsidP="00F165EF">
      <w:pPr>
        <w:pStyle w:val="TableTitle"/>
      </w:pPr>
      <w:bookmarkStart w:id="47" w:name="_Ref58356101"/>
      <w:r w:rsidRPr="00F165EF">
        <w:t xml:space="preserve">Figure </w:t>
      </w:r>
      <w:fldSimple w:instr=" SEQ Figure \* ARABIC ">
        <w:r w:rsidR="00920707">
          <w:rPr>
            <w:noProof/>
          </w:rPr>
          <w:t>2</w:t>
        </w:r>
      </w:fldSimple>
      <w:bookmarkEnd w:id="47"/>
      <w:r w:rsidR="00F7142D">
        <w:t>: Objective response rate</w:t>
      </w:r>
      <w:r w:rsidRPr="00F165EF">
        <w:t xml:space="preserve"> relative risk for </w:t>
      </w:r>
      <w:proofErr w:type="spellStart"/>
      <w:r w:rsidRPr="00F165EF">
        <w:t>cTACE</w:t>
      </w:r>
      <w:proofErr w:type="spellEnd"/>
      <w:r w:rsidRPr="00F165EF">
        <w:t xml:space="preserve"> versus conservative treatment</w:t>
      </w:r>
      <w:r w:rsidR="0045457C">
        <w:t xml:space="preserve">, </w:t>
      </w:r>
      <w:r w:rsidRPr="00F165EF">
        <w:t>frequentist random-effects model</w:t>
      </w:r>
      <w:r w:rsidR="0045457C">
        <w:t xml:space="preserve">; </w:t>
      </w:r>
      <w:r w:rsidRPr="00F165EF">
        <w:t>fores</w:t>
      </w:r>
      <w:r w:rsidR="00F7142D">
        <w:t>t plot (3 randomised controlled trials</w:t>
      </w:r>
      <w:r w:rsidRPr="00F165EF">
        <w:t>)</w:t>
      </w:r>
    </w:p>
    <w:p w14:paraId="04F9B5F6" w14:textId="4944E24E" w:rsidR="00B709DA" w:rsidRDefault="00F7142D" w:rsidP="00B709DA">
      <w:pPr>
        <w:spacing w:line="240" w:lineRule="auto"/>
        <w:jc w:val="center"/>
        <w:rPr>
          <w:rFonts w:asciiTheme="minorHAnsi" w:hAnsiTheme="minorHAnsi"/>
        </w:rPr>
      </w:pPr>
      <w:r>
        <w:rPr>
          <w:noProof/>
          <w:lang w:eastAsia="en-AU"/>
        </w:rPr>
        <w:drawing>
          <wp:inline distT="0" distB="0" distL="0" distR="0" wp14:anchorId="72AAA5F8" wp14:editId="1BEBDDD0">
            <wp:extent cx="5400040" cy="2376170"/>
            <wp:effectExtent l="0" t="0" r="0" b="5080"/>
            <wp:docPr id="5" name="Picture 5" descr="Objective response rate relative risk for cTACE versus conservative treatment - frequentist random-effects model - forest plot (3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376170"/>
                    </a:xfrm>
                    <a:prstGeom prst="rect">
                      <a:avLst/>
                    </a:prstGeom>
                  </pic:spPr>
                </pic:pic>
              </a:graphicData>
            </a:graphic>
          </wp:inline>
        </w:drawing>
      </w:r>
    </w:p>
    <w:p w14:paraId="7AC64314" w14:textId="2772FCC2" w:rsidR="00B709DA" w:rsidRDefault="00B709DA" w:rsidP="0089330C">
      <w:r>
        <w:t>More recently, TACE</w:t>
      </w:r>
      <w:r w:rsidRPr="007800E7">
        <w:t xml:space="preserve"> </w:t>
      </w:r>
      <w:r>
        <w:t>using drug-eluting beads (</w:t>
      </w:r>
      <w:r w:rsidRPr="007800E7">
        <w:t>DEB-TACE</w:t>
      </w:r>
      <w:r>
        <w:t xml:space="preserve">) which employ microbeads of biocompatible polymer with adsorbed cytotoxic agent given with </w:t>
      </w:r>
      <w:r w:rsidR="0052363E">
        <w:t>Lipiodol Ultra Fluid</w:t>
      </w:r>
      <w:r>
        <w:t xml:space="preserve"> has been developed. The results for OS, for </w:t>
      </w:r>
      <w:proofErr w:type="spellStart"/>
      <w:r>
        <w:t>cTACE</w:t>
      </w:r>
      <w:proofErr w:type="spellEnd"/>
      <w:r>
        <w:t xml:space="preserve"> versus DEB-TACE based on 2 RCTs indicated equivalenc</w:t>
      </w:r>
      <w:r w:rsidR="00B256C8">
        <w:t xml:space="preserve">e of both procedures as follows in </w:t>
      </w:r>
      <w:r w:rsidR="00B256C8">
        <w:fldChar w:fldCharType="begin"/>
      </w:r>
      <w:r w:rsidR="00B256C8">
        <w:instrText xml:space="preserve"> REF _Ref58356763 \h </w:instrText>
      </w:r>
      <w:r w:rsidR="00B256C8">
        <w:fldChar w:fldCharType="separate"/>
      </w:r>
      <w:r w:rsidR="00920707">
        <w:t xml:space="preserve">Figure </w:t>
      </w:r>
      <w:r w:rsidR="00920707">
        <w:rPr>
          <w:noProof/>
        </w:rPr>
        <w:t>3</w:t>
      </w:r>
      <w:r w:rsidR="00B256C8">
        <w:fldChar w:fldCharType="end"/>
      </w:r>
      <w:r w:rsidR="00B256C8">
        <w:t>.</w:t>
      </w:r>
    </w:p>
    <w:p w14:paraId="2FCD73A6" w14:textId="144D6D98" w:rsidR="00B26B36" w:rsidRDefault="00B26B36" w:rsidP="00B26B36">
      <w:pPr>
        <w:pStyle w:val="TableTitle"/>
      </w:pPr>
      <w:bookmarkStart w:id="48" w:name="_Ref58356763"/>
      <w:r>
        <w:t xml:space="preserve">Figure </w:t>
      </w:r>
      <w:fldSimple w:instr=" SEQ Figure \* ARABIC ">
        <w:r w:rsidR="00920707">
          <w:rPr>
            <w:noProof/>
          </w:rPr>
          <w:t>3</w:t>
        </w:r>
      </w:fldSimple>
      <w:bookmarkEnd w:id="48"/>
      <w:r w:rsidR="00F7142D">
        <w:t>: Overall survival</w:t>
      </w:r>
      <w:r>
        <w:t xml:space="preserve"> hazard ratios for </w:t>
      </w:r>
      <w:proofErr w:type="spellStart"/>
      <w:r>
        <w:t>cTACE</w:t>
      </w:r>
      <w:proofErr w:type="spellEnd"/>
      <w:r>
        <w:t xml:space="preserve"> versus DEB-TACE treatment</w:t>
      </w:r>
      <w:r w:rsidR="0045457C">
        <w:t>,</w:t>
      </w:r>
      <w:r>
        <w:t xml:space="preserve"> frequentist random-eff</w:t>
      </w:r>
      <w:r w:rsidR="00F7142D">
        <w:t>ects model</w:t>
      </w:r>
      <w:r w:rsidR="0045457C">
        <w:t>;</w:t>
      </w:r>
      <w:r w:rsidR="00F7142D">
        <w:t xml:space="preserve"> forest</w:t>
      </w:r>
      <w:r w:rsidR="0045457C">
        <w:t xml:space="preserve"> </w:t>
      </w:r>
      <w:r w:rsidR="00F7142D">
        <w:t>plot (2 randomised controlled trials</w:t>
      </w:r>
      <w:r>
        <w:t>)</w:t>
      </w:r>
    </w:p>
    <w:p w14:paraId="2308569F" w14:textId="3B51ABA3" w:rsidR="00B709DA" w:rsidRDefault="00F7142D" w:rsidP="00F7142D">
      <w:r>
        <w:rPr>
          <w:noProof/>
          <w:lang w:eastAsia="en-AU"/>
        </w:rPr>
        <w:drawing>
          <wp:inline distT="0" distB="0" distL="0" distR="0" wp14:anchorId="05C351DC" wp14:editId="47401B9D">
            <wp:extent cx="5400040" cy="2937510"/>
            <wp:effectExtent l="0" t="0" r="0" b="0"/>
            <wp:docPr id="6" name="Picture 6" descr="Overall survival hazard ratios for cTACE versus DEB-TACE treatment - frequentist random-effects model - forest-plot (2 randomised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937510"/>
                    </a:xfrm>
                    <a:prstGeom prst="rect">
                      <a:avLst/>
                    </a:prstGeom>
                  </pic:spPr>
                </pic:pic>
              </a:graphicData>
            </a:graphic>
          </wp:inline>
        </w:drawing>
      </w:r>
    </w:p>
    <w:p w14:paraId="473255DF" w14:textId="5AA19DB0" w:rsidR="00F7142D" w:rsidRDefault="00F7142D" w:rsidP="00B256C8">
      <w:pPr>
        <w:pStyle w:val="TableDescription"/>
      </w:pPr>
      <w:r>
        <w:t>Papers referenced in this figure: Sacco</w:t>
      </w:r>
      <w:r w:rsidR="0045457C">
        <w:t xml:space="preserve"> et al.,</w:t>
      </w:r>
      <w:r>
        <w:t xml:space="preserve"> (2011)</w:t>
      </w:r>
      <w:r w:rsidR="0045457C">
        <w:t>;</w:t>
      </w:r>
      <w:r>
        <w:rPr>
          <w:rStyle w:val="FootnoteReference"/>
        </w:rPr>
        <w:footnoteReference w:id="12"/>
      </w:r>
      <w:r w:rsidR="00B256C8">
        <w:t xml:space="preserve"> </w:t>
      </w:r>
      <w:proofErr w:type="spellStart"/>
      <w:r w:rsidR="00B256C8">
        <w:t>Golfieri</w:t>
      </w:r>
      <w:proofErr w:type="spellEnd"/>
      <w:r w:rsidR="00B256C8">
        <w:t xml:space="preserve"> </w:t>
      </w:r>
      <w:r w:rsidR="0045457C">
        <w:t xml:space="preserve">et al., </w:t>
      </w:r>
      <w:r w:rsidR="00B256C8">
        <w:t>(2014).</w:t>
      </w:r>
      <w:r w:rsidR="00B256C8">
        <w:rPr>
          <w:rStyle w:val="FootnoteReference"/>
        </w:rPr>
        <w:footnoteReference w:id="13"/>
      </w:r>
    </w:p>
    <w:p w14:paraId="11EFCB16" w14:textId="2A903C52" w:rsidR="00B709DA" w:rsidRDefault="00B709DA" w:rsidP="00B26B36">
      <w:r>
        <w:lastRenderedPageBreak/>
        <w:t xml:space="preserve">Further qualitative (non-statistical) analysis of </w:t>
      </w:r>
      <w:r w:rsidR="00B26B36">
        <w:t xml:space="preserve">the </w:t>
      </w:r>
      <w:r>
        <w:t xml:space="preserve">dataset (34 study groups) was used to report </w:t>
      </w:r>
      <w:r w:rsidRPr="007800E7">
        <w:t>survival rate</w:t>
      </w:r>
      <w:r>
        <w:t xml:space="preserve">s for </w:t>
      </w:r>
      <w:proofErr w:type="spellStart"/>
      <w:r>
        <w:t>cTACE</w:t>
      </w:r>
      <w:proofErr w:type="spellEnd"/>
      <w:r>
        <w:t xml:space="preserve"> for HCC a</w:t>
      </w:r>
      <w:r w:rsidR="00B256C8">
        <w:t xml:space="preserve">t intermediate stage as follows in </w:t>
      </w:r>
      <w:r w:rsidR="00B256C8">
        <w:fldChar w:fldCharType="begin"/>
      </w:r>
      <w:r w:rsidR="00B256C8">
        <w:instrText xml:space="preserve"> REF _Ref58356928 \h </w:instrText>
      </w:r>
      <w:r w:rsidR="00B256C8">
        <w:fldChar w:fldCharType="separate"/>
      </w:r>
      <w:r w:rsidR="00920707">
        <w:t xml:space="preserve">Table </w:t>
      </w:r>
      <w:r w:rsidR="00920707">
        <w:rPr>
          <w:noProof/>
        </w:rPr>
        <w:t>5</w:t>
      </w:r>
      <w:r w:rsidR="00B256C8">
        <w:fldChar w:fldCharType="end"/>
      </w:r>
      <w:r w:rsidR="00B256C8">
        <w:t>.</w:t>
      </w:r>
    </w:p>
    <w:p w14:paraId="12C6810C" w14:textId="21CBD877" w:rsidR="00B26B36" w:rsidRDefault="00B256C8" w:rsidP="00B256C8">
      <w:pPr>
        <w:pStyle w:val="TableTitle"/>
      </w:pPr>
      <w:bookmarkStart w:id="49" w:name="_Ref58356928"/>
      <w:r>
        <w:t xml:space="preserve">Table </w:t>
      </w:r>
      <w:fldSimple w:instr=" SEQ Table \* ARABIC ">
        <w:r w:rsidR="00920707">
          <w:rPr>
            <w:noProof/>
          </w:rPr>
          <w:t>5</w:t>
        </w:r>
      </w:fldSimple>
      <w:bookmarkEnd w:id="49"/>
      <w:r>
        <w:t>: Median overall survival and overall survival</w:t>
      </w:r>
      <w:r w:rsidR="00B26B36">
        <w:t xml:space="preserve"> rates during follow-up after </w:t>
      </w:r>
      <w:proofErr w:type="spellStart"/>
      <w:r w:rsidR="00B26B36">
        <w:t>cTACE</w:t>
      </w:r>
      <w:proofErr w:type="spellEnd"/>
      <w:r w:rsidR="00B26B36">
        <w:t xml:space="preserve"> treatment of </w:t>
      </w:r>
      <w:r>
        <w:t>hepatocellular carcinoma</w:t>
      </w:r>
      <w:r w:rsidR="00B26B36">
        <w:t xml:space="preserve"> at intermediate stage</w:t>
      </w:r>
      <w:r w:rsidR="0045457C">
        <w:t>,</w:t>
      </w:r>
      <w:r w:rsidR="00B26B36">
        <w:t xml:space="preserve"> qualitative analysis</w:t>
      </w:r>
    </w:p>
    <w:p w14:paraId="374EBCBF" w14:textId="7938BFF6" w:rsidR="00B709DA" w:rsidRDefault="00B256C8" w:rsidP="00B256C8">
      <w:r>
        <w:rPr>
          <w:noProof/>
          <w:lang w:eastAsia="en-AU"/>
        </w:rPr>
        <w:drawing>
          <wp:inline distT="0" distB="0" distL="0" distR="0" wp14:anchorId="112928D2" wp14:editId="7F944981">
            <wp:extent cx="5400040" cy="1866900"/>
            <wp:effectExtent l="0" t="0" r="0" b="0"/>
            <wp:docPr id="8" name="Picture 8" descr="Median overall survival and overall survival rates during follow-up after cTACE treatment of hepatocellular carcinoma at intermediate stage - qualita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866900"/>
                    </a:xfrm>
                    <a:prstGeom prst="rect">
                      <a:avLst/>
                    </a:prstGeom>
                  </pic:spPr>
                </pic:pic>
              </a:graphicData>
            </a:graphic>
          </wp:inline>
        </w:drawing>
      </w:r>
    </w:p>
    <w:p w14:paraId="62ABB63D" w14:textId="23576BAF" w:rsidR="00B709DA" w:rsidRDefault="00B709DA" w:rsidP="00B26B36">
      <w:r>
        <w:t xml:space="preserve">The </w:t>
      </w:r>
      <w:r w:rsidRPr="007800E7">
        <w:t>survival rate</w:t>
      </w:r>
      <w:r>
        <w:t xml:space="preserve">s for </w:t>
      </w:r>
      <w:proofErr w:type="spellStart"/>
      <w:r>
        <w:t>cTACE</w:t>
      </w:r>
      <w:proofErr w:type="spellEnd"/>
      <w:r>
        <w:t xml:space="preserve"> for HCC at any stage, </w:t>
      </w:r>
      <w:r w:rsidRPr="007800E7">
        <w:t>b</w:t>
      </w:r>
      <w:r>
        <w:t>ased on 10</w:t>
      </w:r>
      <w:r w:rsidR="00B256C8">
        <w:t xml:space="preserve">0 study groups, were as follows in </w:t>
      </w:r>
      <w:r w:rsidR="00B256C8">
        <w:fldChar w:fldCharType="begin"/>
      </w:r>
      <w:r w:rsidR="00B256C8">
        <w:instrText xml:space="preserve"> REF _Ref58357059 \h </w:instrText>
      </w:r>
      <w:r w:rsidR="00B256C8">
        <w:fldChar w:fldCharType="separate"/>
      </w:r>
      <w:r w:rsidR="00920707">
        <w:t xml:space="preserve">Table </w:t>
      </w:r>
      <w:r w:rsidR="00920707">
        <w:rPr>
          <w:noProof/>
        </w:rPr>
        <w:t>6</w:t>
      </w:r>
      <w:r w:rsidR="00B256C8">
        <w:fldChar w:fldCharType="end"/>
      </w:r>
      <w:r w:rsidR="00B256C8">
        <w:t>.</w:t>
      </w:r>
    </w:p>
    <w:p w14:paraId="0BE417B2" w14:textId="4D80F31C" w:rsidR="00FB6DB3" w:rsidRDefault="00B256C8" w:rsidP="00B256C8">
      <w:pPr>
        <w:pStyle w:val="TableTitle"/>
      </w:pPr>
      <w:bookmarkStart w:id="50" w:name="_Ref58357059"/>
      <w:r>
        <w:t xml:space="preserve">Table </w:t>
      </w:r>
      <w:fldSimple w:instr=" SEQ Table \* ARABIC ">
        <w:r w:rsidR="00920707">
          <w:rPr>
            <w:noProof/>
          </w:rPr>
          <w:t>6</w:t>
        </w:r>
      </w:fldSimple>
      <w:bookmarkEnd w:id="50"/>
      <w:r>
        <w:t>: Median overall survival and overall survival</w:t>
      </w:r>
      <w:r w:rsidR="00FB6DB3">
        <w:t xml:space="preserve"> rates during follow-up after </w:t>
      </w:r>
      <w:proofErr w:type="spellStart"/>
      <w:r w:rsidR="00FB6DB3">
        <w:t>cTACE</w:t>
      </w:r>
      <w:proofErr w:type="spellEnd"/>
      <w:r w:rsidR="00FB6DB3">
        <w:t xml:space="preserve"> treatment of </w:t>
      </w:r>
      <w:r>
        <w:t>hepatocellular carcinoma</w:t>
      </w:r>
      <w:r w:rsidR="00FB6DB3">
        <w:t xml:space="preserve"> at any stage</w:t>
      </w:r>
      <w:r w:rsidR="0045457C">
        <w:t xml:space="preserve">, </w:t>
      </w:r>
      <w:r w:rsidR="00FB6DB3">
        <w:t>qualitative analysis</w:t>
      </w:r>
      <w:r w:rsidR="0045457C">
        <w:t xml:space="preserve"> </w:t>
      </w:r>
      <w:r w:rsidR="00FB6DB3">
        <w:t>(subsets of 211 study groups)</w:t>
      </w:r>
    </w:p>
    <w:p w14:paraId="707B2D9B" w14:textId="283C9072" w:rsidR="00B709DA" w:rsidRDefault="00B256C8" w:rsidP="00B256C8">
      <w:r>
        <w:rPr>
          <w:noProof/>
          <w:lang w:eastAsia="en-AU"/>
        </w:rPr>
        <w:drawing>
          <wp:inline distT="0" distB="0" distL="0" distR="0" wp14:anchorId="367E240E" wp14:editId="3C70872F">
            <wp:extent cx="5400040" cy="2299970"/>
            <wp:effectExtent l="0" t="0" r="0" b="5080"/>
            <wp:docPr id="13" name="Picture 13" descr="Median overall survival and overall survival rates during follow-up after cTACE treatment of hepatocellular carcinoma at any stage - qualitative analysis - (subsets of 211 stud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299970"/>
                    </a:xfrm>
                    <a:prstGeom prst="rect">
                      <a:avLst/>
                    </a:prstGeom>
                  </pic:spPr>
                </pic:pic>
              </a:graphicData>
            </a:graphic>
          </wp:inline>
        </w:drawing>
      </w:r>
    </w:p>
    <w:p w14:paraId="40917F48" w14:textId="205CA54A" w:rsidR="00B709DA" w:rsidRDefault="00B709DA" w:rsidP="00B709DA">
      <w:pPr>
        <w:spacing w:line="240" w:lineRule="auto"/>
        <w:jc w:val="both"/>
        <w:rPr>
          <w:rFonts w:asciiTheme="minorHAnsi" w:hAnsiTheme="minorHAnsi"/>
        </w:rPr>
      </w:pPr>
      <w:r>
        <w:rPr>
          <w:rFonts w:asciiTheme="minorHAnsi" w:hAnsiTheme="minorHAnsi"/>
        </w:rPr>
        <w:t xml:space="preserve">The survival rates for </w:t>
      </w:r>
      <w:proofErr w:type="spellStart"/>
      <w:r>
        <w:rPr>
          <w:rFonts w:asciiTheme="minorHAnsi" w:hAnsiTheme="minorHAnsi"/>
        </w:rPr>
        <w:t>cTACE</w:t>
      </w:r>
      <w:proofErr w:type="spellEnd"/>
      <w:r>
        <w:rPr>
          <w:rFonts w:asciiTheme="minorHAnsi" w:hAnsiTheme="minorHAnsi"/>
        </w:rPr>
        <w:t xml:space="preserve"> for </w:t>
      </w:r>
      <w:r w:rsidR="00D360FE">
        <w:rPr>
          <w:rFonts w:asciiTheme="minorHAnsi" w:hAnsiTheme="minorHAnsi"/>
        </w:rPr>
        <w:t>HCC by Lipiodol Ultra Fluid</w:t>
      </w:r>
      <w:r w:rsidR="008D70BC">
        <w:rPr>
          <w:rFonts w:asciiTheme="minorHAnsi" w:hAnsiTheme="minorHAnsi"/>
        </w:rPr>
        <w:t xml:space="preserve"> dose were as follows in </w:t>
      </w:r>
      <w:r w:rsidR="008D70BC">
        <w:rPr>
          <w:rFonts w:asciiTheme="minorHAnsi" w:hAnsiTheme="minorHAnsi"/>
        </w:rPr>
        <w:fldChar w:fldCharType="begin"/>
      </w:r>
      <w:r w:rsidR="008D70BC">
        <w:rPr>
          <w:rFonts w:asciiTheme="minorHAnsi" w:hAnsiTheme="minorHAnsi"/>
        </w:rPr>
        <w:instrText xml:space="preserve"> REF _Ref58357170 \h </w:instrText>
      </w:r>
      <w:r w:rsidR="008D70BC">
        <w:rPr>
          <w:rFonts w:asciiTheme="minorHAnsi" w:hAnsiTheme="minorHAnsi"/>
        </w:rPr>
      </w:r>
      <w:r w:rsidR="008D70BC">
        <w:rPr>
          <w:rFonts w:asciiTheme="minorHAnsi" w:hAnsiTheme="minorHAnsi"/>
        </w:rPr>
        <w:fldChar w:fldCharType="separate"/>
      </w:r>
      <w:r w:rsidR="00920707">
        <w:t xml:space="preserve">Table </w:t>
      </w:r>
      <w:r w:rsidR="00920707">
        <w:rPr>
          <w:noProof/>
        </w:rPr>
        <w:t>7</w:t>
      </w:r>
      <w:r w:rsidR="008D70BC">
        <w:rPr>
          <w:rFonts w:asciiTheme="minorHAnsi" w:hAnsiTheme="minorHAnsi"/>
        </w:rPr>
        <w:fldChar w:fldCharType="end"/>
      </w:r>
      <w:r w:rsidR="008D70BC">
        <w:rPr>
          <w:rFonts w:asciiTheme="minorHAnsi" w:hAnsiTheme="minorHAnsi"/>
        </w:rPr>
        <w:t>.</w:t>
      </w:r>
    </w:p>
    <w:p w14:paraId="275E4E31" w14:textId="0E35C5F1" w:rsidR="00FB6DB3" w:rsidRDefault="00B256C8" w:rsidP="008D70BC">
      <w:pPr>
        <w:pStyle w:val="TableTitle"/>
      </w:pPr>
      <w:bookmarkStart w:id="51" w:name="_Ref58357170"/>
      <w:r>
        <w:lastRenderedPageBreak/>
        <w:t xml:space="preserve">Table </w:t>
      </w:r>
      <w:fldSimple w:instr=" SEQ Table \* ARABIC ">
        <w:r w:rsidR="00920707">
          <w:rPr>
            <w:noProof/>
          </w:rPr>
          <w:t>7</w:t>
        </w:r>
      </w:fldSimple>
      <w:bookmarkEnd w:id="51"/>
      <w:r>
        <w:t xml:space="preserve">: </w:t>
      </w:r>
      <w:r w:rsidR="008D70BC">
        <w:t>Median overall survival</w:t>
      </w:r>
      <w:r w:rsidR="00FB6DB3">
        <w:t xml:space="preserve"> after </w:t>
      </w:r>
      <w:proofErr w:type="spellStart"/>
      <w:r w:rsidR="00FB6DB3">
        <w:t>cTACE</w:t>
      </w:r>
      <w:proofErr w:type="spellEnd"/>
      <w:r w:rsidR="00FB6DB3">
        <w:t xml:space="preserve"> treatment of intermediate stage </w:t>
      </w:r>
      <w:r w:rsidR="008D70BC">
        <w:t>hepatocellular carcinoma and of hepatocellular carcinoma</w:t>
      </w:r>
      <w:r w:rsidR="00FB6DB3">
        <w:t xml:space="preserve"> at any stage</w:t>
      </w:r>
      <w:r w:rsidR="0045457C">
        <w:t xml:space="preserve">, </w:t>
      </w:r>
      <w:r w:rsidR="00FB6DB3">
        <w:t xml:space="preserve">subgroup analyses for different doses of </w:t>
      </w:r>
      <w:r w:rsidR="0052363E">
        <w:t>Lipiodol Ultra Fluid</w:t>
      </w:r>
    </w:p>
    <w:p w14:paraId="28CCBD42" w14:textId="4E1517C9" w:rsidR="00B709DA" w:rsidRDefault="008D70BC" w:rsidP="008D70BC">
      <w:r>
        <w:rPr>
          <w:noProof/>
          <w:lang w:eastAsia="en-AU"/>
        </w:rPr>
        <w:drawing>
          <wp:inline distT="0" distB="0" distL="0" distR="0" wp14:anchorId="1A3E5416" wp14:editId="76863C8C">
            <wp:extent cx="5400040" cy="2301240"/>
            <wp:effectExtent l="0" t="0" r="0" b="3810"/>
            <wp:docPr id="14" name="Picture 14" descr="Median overall survival after cTACE treatment of intermediate stage hepatocellular carcinoma and of hepatocellular carcinoma at any stage - subgroup analyses for different doses of Lipio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301240"/>
                    </a:xfrm>
                    <a:prstGeom prst="rect">
                      <a:avLst/>
                    </a:prstGeom>
                  </pic:spPr>
                </pic:pic>
              </a:graphicData>
            </a:graphic>
          </wp:inline>
        </w:drawing>
      </w:r>
    </w:p>
    <w:p w14:paraId="5185471F" w14:textId="5F2556A1" w:rsidR="00B709DA" w:rsidRDefault="00B709DA" w:rsidP="00B709DA">
      <w:pPr>
        <w:spacing w:line="240" w:lineRule="auto"/>
        <w:jc w:val="both"/>
        <w:rPr>
          <w:rFonts w:asciiTheme="minorHAnsi" w:hAnsiTheme="minorHAnsi"/>
        </w:rPr>
      </w:pPr>
      <w:r>
        <w:rPr>
          <w:rFonts w:asciiTheme="minorHAnsi" w:hAnsiTheme="minorHAnsi"/>
        </w:rPr>
        <w:t xml:space="preserve">The survival rates for </w:t>
      </w:r>
      <w:proofErr w:type="spellStart"/>
      <w:r>
        <w:rPr>
          <w:rFonts w:asciiTheme="minorHAnsi" w:hAnsiTheme="minorHAnsi"/>
        </w:rPr>
        <w:t>cTACE</w:t>
      </w:r>
      <w:proofErr w:type="spellEnd"/>
      <w:r>
        <w:rPr>
          <w:rFonts w:asciiTheme="minorHAnsi" w:hAnsiTheme="minorHAnsi"/>
        </w:rPr>
        <w:t xml:space="preserve"> for HCC by single chemoth</w:t>
      </w:r>
      <w:r w:rsidR="008D70BC">
        <w:rPr>
          <w:rFonts w:asciiTheme="minorHAnsi" w:hAnsiTheme="minorHAnsi"/>
        </w:rPr>
        <w:t xml:space="preserve">erapeutic agent were as follows in </w:t>
      </w:r>
      <w:r w:rsidR="008D70BC">
        <w:rPr>
          <w:rFonts w:asciiTheme="minorHAnsi" w:hAnsiTheme="minorHAnsi"/>
        </w:rPr>
        <w:fldChar w:fldCharType="begin"/>
      </w:r>
      <w:r w:rsidR="008D70BC">
        <w:rPr>
          <w:rFonts w:asciiTheme="minorHAnsi" w:hAnsiTheme="minorHAnsi"/>
        </w:rPr>
        <w:instrText xml:space="preserve"> REF _Ref58357277 \h </w:instrText>
      </w:r>
      <w:r w:rsidR="008D70BC">
        <w:rPr>
          <w:rFonts w:asciiTheme="minorHAnsi" w:hAnsiTheme="minorHAnsi"/>
        </w:rPr>
      </w:r>
      <w:r w:rsidR="008D70BC">
        <w:rPr>
          <w:rFonts w:asciiTheme="minorHAnsi" w:hAnsiTheme="minorHAnsi"/>
        </w:rPr>
        <w:fldChar w:fldCharType="separate"/>
      </w:r>
      <w:r w:rsidR="00920707">
        <w:t xml:space="preserve">Table </w:t>
      </w:r>
      <w:r w:rsidR="00920707">
        <w:rPr>
          <w:noProof/>
        </w:rPr>
        <w:t>8</w:t>
      </w:r>
      <w:r w:rsidR="008D70BC">
        <w:rPr>
          <w:rFonts w:asciiTheme="minorHAnsi" w:hAnsiTheme="minorHAnsi"/>
        </w:rPr>
        <w:fldChar w:fldCharType="end"/>
      </w:r>
      <w:r w:rsidR="008D70BC">
        <w:rPr>
          <w:rFonts w:asciiTheme="minorHAnsi" w:hAnsiTheme="minorHAnsi"/>
        </w:rPr>
        <w:t>.</w:t>
      </w:r>
    </w:p>
    <w:p w14:paraId="21CD3FB8" w14:textId="676ED49E" w:rsidR="00FB6DB3" w:rsidRDefault="008D70BC" w:rsidP="008D70BC">
      <w:pPr>
        <w:pStyle w:val="TableTitle"/>
      </w:pPr>
      <w:bookmarkStart w:id="52" w:name="_Ref58357277"/>
      <w:r>
        <w:t xml:space="preserve">Table </w:t>
      </w:r>
      <w:fldSimple w:instr=" SEQ Table \* ARABIC ">
        <w:r w:rsidR="00920707">
          <w:rPr>
            <w:noProof/>
          </w:rPr>
          <w:t>8</w:t>
        </w:r>
      </w:fldSimple>
      <w:bookmarkEnd w:id="52"/>
      <w:r>
        <w:t>: Median overall survival</w:t>
      </w:r>
      <w:r w:rsidR="00FB6DB3">
        <w:t xml:space="preserve"> after </w:t>
      </w:r>
      <w:proofErr w:type="spellStart"/>
      <w:r w:rsidR="00FB6DB3">
        <w:t>cTACE</w:t>
      </w:r>
      <w:proofErr w:type="spellEnd"/>
      <w:r w:rsidR="00FB6DB3">
        <w:t xml:space="preserve"> with different single chemotherapeutic agents</w:t>
      </w:r>
      <w:r w:rsidR="0045457C">
        <w:t xml:space="preserve">, </w:t>
      </w:r>
      <w:r w:rsidR="00FB6DB3">
        <w:t xml:space="preserve">qualitative analysis of </w:t>
      </w:r>
      <w:r>
        <w:t>hepatocellular carcinoma</w:t>
      </w:r>
      <w:r w:rsidR="00FB6DB3">
        <w:t xml:space="preserve"> at intermediate stage and </w:t>
      </w:r>
      <w:r>
        <w:t>hepatocellular carcinoma</w:t>
      </w:r>
      <w:r w:rsidR="00FB6DB3">
        <w:t xml:space="preserve"> at any stage</w:t>
      </w:r>
    </w:p>
    <w:p w14:paraId="0106484E" w14:textId="3C8D9000" w:rsidR="00B709DA" w:rsidRDefault="008D70BC" w:rsidP="008D70BC">
      <w:r>
        <w:rPr>
          <w:noProof/>
          <w:lang w:eastAsia="en-AU"/>
        </w:rPr>
        <w:drawing>
          <wp:inline distT="0" distB="0" distL="0" distR="0" wp14:anchorId="1DDA1995" wp14:editId="3DD1F020">
            <wp:extent cx="5400040" cy="2234565"/>
            <wp:effectExtent l="0" t="0" r="0" b="0"/>
            <wp:docPr id="16" name="Picture 16" descr="Median overall survival after cTACE with different single chemotherapeutic agents - qualitative analysis of hepatocellular carcinoma at intermediate stage and hepatocellular carcinoma at any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234565"/>
                    </a:xfrm>
                    <a:prstGeom prst="rect">
                      <a:avLst/>
                    </a:prstGeom>
                  </pic:spPr>
                </pic:pic>
              </a:graphicData>
            </a:graphic>
          </wp:inline>
        </w:drawing>
      </w:r>
    </w:p>
    <w:p w14:paraId="69109C38" w14:textId="62DEB864" w:rsidR="00B709DA" w:rsidRDefault="00B709DA" w:rsidP="004C2A83">
      <w:pPr>
        <w:ind w:right="-568"/>
      </w:pPr>
      <w:r>
        <w:t xml:space="preserve">The additional </w:t>
      </w:r>
      <w:r w:rsidRPr="00120167">
        <w:t>studies identified during the</w:t>
      </w:r>
      <w:r w:rsidR="008D70BC">
        <w:t xml:space="preserve"> most recent period (June 2017 to</w:t>
      </w:r>
      <w:r w:rsidRPr="00120167">
        <w:t xml:space="preserve"> September</w:t>
      </w:r>
      <w:r w:rsidR="004C2A83">
        <w:t xml:space="preserve"> </w:t>
      </w:r>
      <w:r w:rsidRPr="00120167">
        <w:t xml:space="preserve">2018) </w:t>
      </w:r>
      <w:r>
        <w:t>were also consistent with the survival estimates in the above analyses.</w:t>
      </w:r>
    </w:p>
    <w:p w14:paraId="3D45FFEA" w14:textId="09AA719B" w:rsidR="00B709DA" w:rsidRDefault="00B709DA" w:rsidP="00855D1B">
      <w:r>
        <w:t>In all dataset</w:t>
      </w:r>
      <w:r w:rsidR="00FB6DB3">
        <w:t>s</w:t>
      </w:r>
      <w:r>
        <w:t xml:space="preserve">, only </w:t>
      </w:r>
      <w:r w:rsidR="0045457C">
        <w:t xml:space="preserve">the </w:t>
      </w:r>
      <w:r>
        <w:t>Nakamura</w:t>
      </w:r>
      <w:r w:rsidR="0045457C">
        <w:t xml:space="preserve"> et al.,</w:t>
      </w:r>
      <w:r>
        <w:t xml:space="preserve"> </w:t>
      </w:r>
      <w:r w:rsidR="0045457C">
        <w:t>(</w:t>
      </w:r>
      <w:r>
        <w:t>1994</w:t>
      </w:r>
      <w:r w:rsidR="0045457C">
        <w:t>)</w:t>
      </w:r>
      <w:r w:rsidR="00855D1B">
        <w:t xml:space="preserve"> study</w:t>
      </w:r>
      <w:r>
        <w:t xml:space="preserve"> compared TACE</w:t>
      </w:r>
      <w:r w:rsidRPr="0097574B">
        <w:t xml:space="preserve"> with and without </w:t>
      </w:r>
      <w:r w:rsidR="0052363E">
        <w:t>Lipiodol Ultra Fluid</w:t>
      </w:r>
      <w:r>
        <w:t>.</w:t>
      </w:r>
      <w:bookmarkStart w:id="53" w:name="_Ref58358181"/>
      <w:r w:rsidR="008D70BC">
        <w:rPr>
          <w:rStyle w:val="FootnoteReference"/>
          <w:rFonts w:cstheme="minorHAnsi"/>
        </w:rPr>
        <w:footnoteReference w:id="14"/>
      </w:r>
      <w:bookmarkEnd w:id="53"/>
      <w:r>
        <w:t xml:space="preserve"> This was a retrospective study in 443 participants in which</w:t>
      </w:r>
      <w:r w:rsidR="008D70BC">
        <w:t xml:space="preserve"> 5 </w:t>
      </w:r>
      <w:r w:rsidRPr="00120167">
        <w:t xml:space="preserve">year cumulative survival rate </w:t>
      </w:r>
      <w:r>
        <w:t xml:space="preserve">with TACE </w:t>
      </w:r>
      <w:r w:rsidRPr="00120167">
        <w:t xml:space="preserve">was </w:t>
      </w:r>
      <w:r>
        <w:t>found to be 3.4% without</w:t>
      </w:r>
      <w:r w:rsidRPr="00120167">
        <w:t xml:space="preserve"> </w:t>
      </w:r>
      <w:r w:rsidR="0052363E">
        <w:t>Lipiodol Ultra Fluid</w:t>
      </w:r>
      <w:r w:rsidR="00855D1B" w:rsidRPr="00120167">
        <w:t xml:space="preserve"> </w:t>
      </w:r>
      <w:r w:rsidRPr="00120167">
        <w:t xml:space="preserve">and 12.9% after introduction of </w:t>
      </w:r>
      <w:r w:rsidR="0052363E">
        <w:t>Lipiodol Ultra Fluid</w:t>
      </w:r>
      <w:r w:rsidR="00855D1B">
        <w:t xml:space="preserve"> </w:t>
      </w:r>
      <w:r>
        <w:t>to TACE</w:t>
      </w:r>
      <w:r w:rsidRPr="00120167">
        <w:t>. Of the 29</w:t>
      </w:r>
      <w:r w:rsidR="0045457C">
        <w:t> </w:t>
      </w:r>
      <w:r w:rsidRPr="00120167">
        <w:t>patients who survived &gt; 5</w:t>
      </w:r>
      <w:r>
        <w:t xml:space="preserve"> years</w:t>
      </w:r>
      <w:r w:rsidRPr="00120167">
        <w:t>, 23</w:t>
      </w:r>
      <w:r>
        <w:t xml:space="preserve"> had </w:t>
      </w:r>
      <w:r w:rsidRPr="00120167">
        <w:t xml:space="preserve">received </w:t>
      </w:r>
      <w:r w:rsidR="0052363E">
        <w:t>Lipiodol Ultra Fluid</w:t>
      </w:r>
      <w:r w:rsidR="00855D1B" w:rsidRPr="00120167">
        <w:t xml:space="preserve"> </w:t>
      </w:r>
      <w:r w:rsidRPr="00120167">
        <w:t>during TA</w:t>
      </w:r>
      <w:r w:rsidR="008D70BC">
        <w:t xml:space="preserve">CE, as shown in </w:t>
      </w:r>
      <w:r w:rsidR="008D70BC">
        <w:fldChar w:fldCharType="begin"/>
      </w:r>
      <w:r w:rsidR="008D70BC">
        <w:instrText xml:space="preserve"> REF _Ref58357359 \h </w:instrText>
      </w:r>
      <w:r w:rsidR="008D70BC">
        <w:fldChar w:fldCharType="separate"/>
      </w:r>
      <w:r w:rsidR="00920707">
        <w:t xml:space="preserve">Figure </w:t>
      </w:r>
      <w:r w:rsidR="00920707">
        <w:rPr>
          <w:noProof/>
        </w:rPr>
        <w:t>4</w:t>
      </w:r>
      <w:r w:rsidR="008D70BC">
        <w:fldChar w:fldCharType="end"/>
      </w:r>
      <w:r w:rsidR="008D70BC">
        <w:t>.</w:t>
      </w:r>
    </w:p>
    <w:p w14:paraId="6C49A24E" w14:textId="2C62BFD3" w:rsidR="00855D1B" w:rsidRDefault="00855D1B" w:rsidP="0045457C">
      <w:pPr>
        <w:pStyle w:val="TableTitle"/>
      </w:pPr>
      <w:bookmarkStart w:id="54" w:name="_Ref58357359"/>
      <w:r>
        <w:lastRenderedPageBreak/>
        <w:t xml:space="preserve">Figure </w:t>
      </w:r>
      <w:fldSimple w:instr=" SEQ Figure \* ARABIC ">
        <w:r w:rsidR="00920707">
          <w:rPr>
            <w:noProof/>
          </w:rPr>
          <w:t>4</w:t>
        </w:r>
      </w:fldSimple>
      <w:bookmarkEnd w:id="54"/>
      <w:r w:rsidR="008D70BC">
        <w:t>:</w:t>
      </w:r>
      <w:r>
        <w:t xml:space="preserve"> Cumulative survival curves comparing the </w:t>
      </w:r>
      <w:r w:rsidR="0052363E">
        <w:t>Lipiodol Ultra Fluid</w:t>
      </w:r>
      <w:r>
        <w:t xml:space="preserve"> group with the non-</w:t>
      </w:r>
      <w:r w:rsidR="0052363E">
        <w:t>Lipiodol Ultra Fluid</w:t>
      </w:r>
      <w:r w:rsidR="008D70BC">
        <w:t xml:space="preserve"> group and r</w:t>
      </w:r>
      <w:r>
        <w:t xml:space="preserve">elationship between the disease stage and the </w:t>
      </w:r>
      <w:r w:rsidR="0052363E">
        <w:t>Lipiodol Ultra Fluid</w:t>
      </w:r>
      <w:r>
        <w:t xml:space="preserve"> and non-</w:t>
      </w:r>
      <w:r w:rsidR="0052363E">
        <w:t>Lipiodol Ultra Fluid</w:t>
      </w:r>
      <w:r>
        <w:t xml:space="preserve"> groups</w:t>
      </w:r>
    </w:p>
    <w:p w14:paraId="417784B5" w14:textId="77777777" w:rsidR="00B709DA" w:rsidRPr="00201CF4" w:rsidRDefault="00B709DA" w:rsidP="008C18C7">
      <w:r w:rsidRPr="003C2178">
        <w:rPr>
          <w:noProof/>
          <w:lang w:eastAsia="en-AU"/>
        </w:rPr>
        <w:drawing>
          <wp:inline distT="0" distB="0" distL="0" distR="0" wp14:anchorId="39505DA0" wp14:editId="27A68241">
            <wp:extent cx="5404514" cy="2122056"/>
            <wp:effectExtent l="0" t="0" r="5715" b="0"/>
            <wp:docPr id="7" name="Picture 7" descr="Cumulative survival curves comparing the Lipiodol group with the non-Lipiodol group and relationship between the disease stage and the Lipiodol and non-Lipiodo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HPRG Homedrive\_2019_CEU2\ACM2019\apr 2020\dov\Captur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0037" cy="2124225"/>
                    </a:xfrm>
                    <a:prstGeom prst="rect">
                      <a:avLst/>
                    </a:prstGeom>
                    <a:noFill/>
                    <a:ln>
                      <a:noFill/>
                    </a:ln>
                  </pic:spPr>
                </pic:pic>
              </a:graphicData>
            </a:graphic>
          </wp:inline>
        </w:drawing>
      </w:r>
    </w:p>
    <w:p w14:paraId="212ADF49" w14:textId="5855D96F" w:rsidR="00B709DA" w:rsidRDefault="00B709DA" w:rsidP="00855D1B">
      <w:r>
        <w:t>Diagnostic test performance indices (sensitivity, specificity, accuracy and such) for</w:t>
      </w:r>
      <w:r w:rsidRPr="00120167">
        <w:t xml:space="preserve"> </w:t>
      </w:r>
      <w:r w:rsidR="0052363E">
        <w:t>Lipiodol Ultra Fluid</w:t>
      </w:r>
      <w:r w:rsidR="00855D1B">
        <w:t xml:space="preserve">’s </w:t>
      </w:r>
      <w:r>
        <w:t>claim</w:t>
      </w:r>
      <w:r w:rsidRPr="00120167">
        <w:t xml:space="preserve"> </w:t>
      </w:r>
      <w:r>
        <w:t xml:space="preserve">of visualisation and </w:t>
      </w:r>
      <w:r w:rsidRPr="00120167">
        <w:t xml:space="preserve">localisation </w:t>
      </w:r>
      <w:r>
        <w:t xml:space="preserve">HCC lesions </w:t>
      </w:r>
      <w:r w:rsidRPr="00120167">
        <w:t>during TACE treatmen</w:t>
      </w:r>
      <w:r>
        <w:t>t were</w:t>
      </w:r>
      <w:r w:rsidRPr="00120167">
        <w:t xml:space="preserve"> not specifically evaluated </w:t>
      </w:r>
      <w:r>
        <w:t>in any study.</w:t>
      </w:r>
    </w:p>
    <w:p w14:paraId="07D1501B" w14:textId="5E577E3F" w:rsidR="00B709DA" w:rsidRPr="00A1488F" w:rsidRDefault="00B709DA" w:rsidP="00855D1B">
      <w:pPr>
        <w:pStyle w:val="Heading4"/>
      </w:pPr>
      <w:r w:rsidRPr="00A1488F">
        <w:t>Safety</w:t>
      </w:r>
    </w:p>
    <w:p w14:paraId="03FAC8D8" w14:textId="4838D712" w:rsidR="00B709DA" w:rsidRDefault="00B709DA" w:rsidP="00855D1B">
      <w:pPr>
        <w:rPr>
          <w:rFonts w:asciiTheme="minorHAnsi" w:hAnsiTheme="minorHAnsi"/>
        </w:rPr>
      </w:pPr>
      <w:r>
        <w:t xml:space="preserve">The safety dataset </w:t>
      </w:r>
      <w:r w:rsidRPr="00120167">
        <w:t xml:space="preserve">included 9637 patients from 108 studies </w:t>
      </w:r>
      <w:r>
        <w:t xml:space="preserve">(115 study groups) who received 1 to 7 sessions of </w:t>
      </w:r>
      <w:proofErr w:type="spellStart"/>
      <w:r>
        <w:t>cTACE</w:t>
      </w:r>
      <w:proofErr w:type="spellEnd"/>
      <w:r>
        <w:t xml:space="preserve"> for HCC at any stage, of which 2254 patients were</w:t>
      </w:r>
      <w:r w:rsidRPr="00120167">
        <w:t xml:space="preserve"> HCC </w:t>
      </w:r>
      <w:r>
        <w:t xml:space="preserve">patients at intermediate stage in 28 studies (32 study groups). </w:t>
      </w:r>
      <w:r>
        <w:rPr>
          <w:rFonts w:asciiTheme="minorHAnsi" w:hAnsiTheme="minorHAnsi"/>
        </w:rPr>
        <w:t>Overall, the most frequently reported adverse e</w:t>
      </w:r>
      <w:r w:rsidR="00855D1B">
        <w:rPr>
          <w:rFonts w:asciiTheme="minorHAnsi" w:hAnsiTheme="minorHAnsi"/>
        </w:rPr>
        <w:t>vent</w:t>
      </w:r>
      <w:r w:rsidR="008D70BC">
        <w:rPr>
          <w:rFonts w:asciiTheme="minorHAnsi" w:hAnsiTheme="minorHAnsi"/>
        </w:rPr>
        <w:t xml:space="preserve">s (AEs) were as follows in </w:t>
      </w:r>
      <w:r w:rsidR="008D70BC">
        <w:rPr>
          <w:rFonts w:asciiTheme="minorHAnsi" w:hAnsiTheme="minorHAnsi"/>
        </w:rPr>
        <w:fldChar w:fldCharType="begin"/>
      </w:r>
      <w:r w:rsidR="008D70BC">
        <w:rPr>
          <w:rFonts w:asciiTheme="minorHAnsi" w:hAnsiTheme="minorHAnsi"/>
        </w:rPr>
        <w:instrText xml:space="preserve"> REF _Ref58357585 \h </w:instrText>
      </w:r>
      <w:r w:rsidR="008D70BC">
        <w:rPr>
          <w:rFonts w:asciiTheme="minorHAnsi" w:hAnsiTheme="minorHAnsi"/>
        </w:rPr>
      </w:r>
      <w:r w:rsidR="008D70BC">
        <w:rPr>
          <w:rFonts w:asciiTheme="minorHAnsi" w:hAnsiTheme="minorHAnsi"/>
        </w:rPr>
        <w:fldChar w:fldCharType="separate"/>
      </w:r>
      <w:r w:rsidR="00920707">
        <w:t xml:space="preserve">Table </w:t>
      </w:r>
      <w:r w:rsidR="00920707">
        <w:rPr>
          <w:noProof/>
        </w:rPr>
        <w:t>9</w:t>
      </w:r>
      <w:r w:rsidR="008D70BC">
        <w:rPr>
          <w:rFonts w:asciiTheme="minorHAnsi" w:hAnsiTheme="minorHAnsi"/>
        </w:rPr>
        <w:fldChar w:fldCharType="end"/>
      </w:r>
      <w:r w:rsidR="008D70BC">
        <w:rPr>
          <w:rFonts w:asciiTheme="minorHAnsi" w:hAnsiTheme="minorHAnsi"/>
        </w:rPr>
        <w:t>.</w:t>
      </w:r>
    </w:p>
    <w:p w14:paraId="169232D6" w14:textId="1965738E" w:rsidR="00855D1B" w:rsidRDefault="008D70BC" w:rsidP="008D70BC">
      <w:pPr>
        <w:pStyle w:val="TableTitle"/>
      </w:pPr>
      <w:bookmarkStart w:id="55" w:name="_Ref58357585"/>
      <w:r>
        <w:lastRenderedPageBreak/>
        <w:t xml:space="preserve">Table </w:t>
      </w:r>
      <w:fldSimple w:instr=" SEQ Table \* ARABIC ">
        <w:r w:rsidR="00920707">
          <w:rPr>
            <w:noProof/>
          </w:rPr>
          <w:t>9</w:t>
        </w:r>
      </w:fldSimple>
      <w:bookmarkEnd w:id="55"/>
      <w:r>
        <w:t>:</w:t>
      </w:r>
      <w:r w:rsidR="00855D1B">
        <w:t xml:space="preserve"> Most frequently reported adverse events in s</w:t>
      </w:r>
      <w:r>
        <w:t xml:space="preserve">tudies of </w:t>
      </w:r>
      <w:proofErr w:type="spellStart"/>
      <w:r>
        <w:t>cTACE</w:t>
      </w:r>
      <w:proofErr w:type="spellEnd"/>
      <w:r>
        <w:t xml:space="preserve"> treatment of hepatocellular carcinoma</w:t>
      </w:r>
    </w:p>
    <w:p w14:paraId="29999F98" w14:textId="10F9A828" w:rsidR="00B709DA" w:rsidRPr="008D70BC" w:rsidRDefault="008D70BC" w:rsidP="008C18C7">
      <w:pPr>
        <w:rPr>
          <w:rFonts w:cstheme="minorHAnsi"/>
        </w:rPr>
      </w:pPr>
      <w:r>
        <w:rPr>
          <w:noProof/>
          <w:lang w:eastAsia="en-AU"/>
        </w:rPr>
        <w:drawing>
          <wp:inline distT="0" distB="0" distL="0" distR="0" wp14:anchorId="7C30A428" wp14:editId="09F5979A">
            <wp:extent cx="5400040" cy="6120765"/>
            <wp:effectExtent l="0" t="0" r="0" b="0"/>
            <wp:docPr id="17" name="Picture 17" descr="Most frequently reported adverse events in studies of cTACE treatment of hepatocellular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6120765"/>
                    </a:xfrm>
                    <a:prstGeom prst="rect">
                      <a:avLst/>
                    </a:prstGeom>
                  </pic:spPr>
                </pic:pic>
              </a:graphicData>
            </a:graphic>
          </wp:inline>
        </w:drawing>
      </w:r>
    </w:p>
    <w:p w14:paraId="058C5E98" w14:textId="77777777" w:rsidR="00B709DA" w:rsidRPr="00AD1E51" w:rsidRDefault="00B709DA" w:rsidP="00C637B6">
      <w:r>
        <w:t>The most common AEs related to signs and symptoms of post-embolis</w:t>
      </w:r>
      <w:r w:rsidRPr="00120167">
        <w:t>ation syndrome</w:t>
      </w:r>
      <w:r>
        <w:t xml:space="preserve"> or the procedure itself</w:t>
      </w:r>
      <w:r w:rsidRPr="00120167">
        <w:t xml:space="preserve">, </w:t>
      </w:r>
      <w:r>
        <w:t>liver function test dysfunctions, haematological/bone marrow toxicity or symptoms of the existing condition.</w:t>
      </w:r>
    </w:p>
    <w:p w14:paraId="75158E8F" w14:textId="61856370" w:rsidR="00B709DA" w:rsidRDefault="00B709DA" w:rsidP="00C637B6">
      <w:r w:rsidRPr="006427BC">
        <w:t xml:space="preserve">Among the 108 studies analysed, there were 87 </w:t>
      </w:r>
      <w:proofErr w:type="spellStart"/>
      <w:r w:rsidRPr="006427BC">
        <w:t>cTACE</w:t>
      </w:r>
      <w:proofErr w:type="spellEnd"/>
      <w:r w:rsidRPr="006427BC">
        <w:t>-related deaths reported in 78</w:t>
      </w:r>
      <w:r w:rsidR="00695622">
        <w:t> </w:t>
      </w:r>
      <w:r w:rsidRPr="006427BC">
        <w:t>studies (8646 patients). Of the 28 s</w:t>
      </w:r>
      <w:r>
        <w:t>tudies presenting safety outcomes</w:t>
      </w:r>
      <w:r w:rsidRPr="006427BC">
        <w:t xml:space="preserve"> in patients with HCC a</w:t>
      </w:r>
      <w:r>
        <w:t>t intermediate stage, a total of</w:t>
      </w:r>
      <w:r w:rsidRPr="006427BC">
        <w:t xml:space="preserve"> 8 </w:t>
      </w:r>
      <w:proofErr w:type="spellStart"/>
      <w:r w:rsidRPr="006427BC">
        <w:t>cTACE</w:t>
      </w:r>
      <w:proofErr w:type="spellEnd"/>
      <w:r w:rsidRPr="006427BC">
        <w:t xml:space="preserve">-related deaths </w:t>
      </w:r>
      <w:r>
        <w:t xml:space="preserve">were </w:t>
      </w:r>
      <w:r w:rsidRPr="006427BC">
        <w:t>reported</w:t>
      </w:r>
      <w:r>
        <w:t xml:space="preserve"> in 17 studies comprising 1982 patients</w:t>
      </w:r>
      <w:r w:rsidRPr="006427BC">
        <w:t>.</w:t>
      </w:r>
    </w:p>
    <w:p w14:paraId="570AFDA2" w14:textId="448C2510" w:rsidR="00B709DA" w:rsidRDefault="00B709DA" w:rsidP="00C637B6">
      <w:pPr>
        <w:rPr>
          <w:rFonts w:eastAsiaTheme="minorHAnsi"/>
          <w:color w:val="000000"/>
        </w:rPr>
      </w:pPr>
      <w:r w:rsidRPr="006427BC">
        <w:rPr>
          <w:rFonts w:eastAsiaTheme="minorHAnsi"/>
          <w:color w:val="000000"/>
        </w:rPr>
        <w:t>As</w:t>
      </w:r>
      <w:r>
        <w:rPr>
          <w:rFonts w:eastAsiaTheme="minorHAnsi"/>
          <w:color w:val="000000"/>
        </w:rPr>
        <w:t xml:space="preserve"> </w:t>
      </w:r>
      <w:r w:rsidR="0052363E">
        <w:rPr>
          <w:rFonts w:eastAsiaTheme="minorHAnsi"/>
          <w:color w:val="000000"/>
        </w:rPr>
        <w:t>Lipiodol Ultra Fluid</w:t>
      </w:r>
      <w:r>
        <w:rPr>
          <w:rFonts w:eastAsiaTheme="minorHAnsi"/>
          <w:color w:val="000000"/>
        </w:rPr>
        <w:t xml:space="preserve"> is </w:t>
      </w:r>
      <w:proofErr w:type="spellStart"/>
      <w:r>
        <w:rPr>
          <w:rFonts w:eastAsiaTheme="minorHAnsi"/>
          <w:color w:val="000000"/>
        </w:rPr>
        <w:t>coadministered</w:t>
      </w:r>
      <w:proofErr w:type="spellEnd"/>
      <w:r w:rsidRPr="006427BC">
        <w:rPr>
          <w:rFonts w:eastAsiaTheme="minorHAnsi"/>
          <w:color w:val="000000"/>
        </w:rPr>
        <w:t xml:space="preserve"> with chemotherapeutic and </w:t>
      </w:r>
      <w:r>
        <w:rPr>
          <w:rFonts w:eastAsiaTheme="minorHAnsi"/>
          <w:color w:val="000000"/>
        </w:rPr>
        <w:t>embolic agents, attribution of causality</w:t>
      </w:r>
      <w:r w:rsidRPr="006427BC">
        <w:rPr>
          <w:rFonts w:eastAsiaTheme="minorHAnsi"/>
          <w:color w:val="000000"/>
        </w:rPr>
        <w:t xml:space="preserve"> to </w:t>
      </w:r>
      <w:r w:rsidR="0052363E">
        <w:rPr>
          <w:rFonts w:eastAsiaTheme="minorHAnsi"/>
          <w:color w:val="000000"/>
        </w:rPr>
        <w:t>Lipiodol Ultra Fluid</w:t>
      </w:r>
      <w:r w:rsidR="00C637B6">
        <w:rPr>
          <w:rFonts w:eastAsiaTheme="minorHAnsi"/>
          <w:color w:val="000000"/>
        </w:rPr>
        <w:t xml:space="preserve"> </w:t>
      </w:r>
      <w:r>
        <w:rPr>
          <w:rFonts w:eastAsiaTheme="minorHAnsi"/>
          <w:color w:val="000000"/>
        </w:rPr>
        <w:t>and/or distinction from confounding by indication is not straightforward.</w:t>
      </w:r>
    </w:p>
    <w:p w14:paraId="5BB10917" w14:textId="21C64C06" w:rsidR="00B709DA" w:rsidRDefault="00B709DA" w:rsidP="00C637B6">
      <w:pPr>
        <w:rPr>
          <w:rFonts w:eastAsiaTheme="minorHAnsi"/>
          <w:color w:val="000000"/>
        </w:rPr>
      </w:pPr>
      <w:r>
        <w:rPr>
          <w:rFonts w:eastAsiaTheme="minorHAnsi"/>
          <w:color w:val="000000"/>
        </w:rPr>
        <w:t xml:space="preserve">In general, the safety concerns of </w:t>
      </w:r>
      <w:proofErr w:type="spellStart"/>
      <w:r>
        <w:rPr>
          <w:rFonts w:eastAsiaTheme="minorHAnsi"/>
          <w:color w:val="000000"/>
        </w:rPr>
        <w:t>cTACE</w:t>
      </w:r>
      <w:proofErr w:type="spellEnd"/>
      <w:r>
        <w:rPr>
          <w:rFonts w:eastAsiaTheme="minorHAnsi"/>
          <w:color w:val="000000"/>
        </w:rPr>
        <w:t xml:space="preserve"> are </w:t>
      </w:r>
      <w:r w:rsidRPr="00814DE0">
        <w:t>systemic toxicity (oily emboli in dis</w:t>
      </w:r>
      <w:r>
        <w:t>tant organs) and local (hepatic)</w:t>
      </w:r>
      <w:r w:rsidRPr="00814DE0">
        <w:t xml:space="preserve"> toxicity (necrosis, i</w:t>
      </w:r>
      <w:r w:rsidR="008D70BC">
        <w:t>nflammation et cetera</w:t>
      </w:r>
      <w:r>
        <w:t>).</w:t>
      </w:r>
    </w:p>
    <w:p w14:paraId="5B91F77B" w14:textId="68785A46" w:rsidR="008E7846" w:rsidRDefault="00386150" w:rsidP="007B6132">
      <w:pPr>
        <w:pStyle w:val="Heading3"/>
        <w:rPr>
          <w:lang w:eastAsia="en-AU"/>
        </w:rPr>
      </w:pPr>
      <w:bookmarkStart w:id="56" w:name="_Toc61253624"/>
      <w:r>
        <w:rPr>
          <w:lang w:eastAsia="en-AU"/>
        </w:rPr>
        <w:lastRenderedPageBreak/>
        <w:t>Risk m</w:t>
      </w:r>
      <w:r w:rsidR="008E7846">
        <w:rPr>
          <w:lang w:eastAsia="en-AU"/>
        </w:rPr>
        <w:t xml:space="preserve">anagement </w:t>
      </w:r>
      <w:r>
        <w:rPr>
          <w:lang w:eastAsia="en-AU"/>
        </w:rPr>
        <w:t>p</w:t>
      </w:r>
      <w:r w:rsidR="008E7846">
        <w:rPr>
          <w:lang w:eastAsia="en-AU"/>
        </w:rPr>
        <w:t>lan</w:t>
      </w:r>
      <w:bookmarkEnd w:id="39"/>
      <w:bookmarkEnd w:id="56"/>
    </w:p>
    <w:p w14:paraId="0EF08365" w14:textId="3F413BAE" w:rsidR="0069342B" w:rsidRDefault="0069342B" w:rsidP="00C637B6">
      <w:r w:rsidRPr="000763BC">
        <w:t xml:space="preserve">A previous </w:t>
      </w:r>
      <w:r w:rsidR="00695622">
        <w:t>risk management plant (</w:t>
      </w:r>
      <w:r w:rsidRPr="006A5EC3">
        <w:t>RMP</w:t>
      </w:r>
      <w:r w:rsidR="00695622">
        <w:t>)</w:t>
      </w:r>
      <w:r w:rsidRPr="006A5EC3">
        <w:t xml:space="preserve"> has not been evaluated for this product. In</w:t>
      </w:r>
      <w:r w:rsidR="00695622">
        <w:t> </w:t>
      </w:r>
      <w:r w:rsidRPr="006A5EC3">
        <w:t>support of the extended indication</w:t>
      </w:r>
      <w:r>
        <w:t>s, the sponsor has submitted Gl</w:t>
      </w:r>
      <w:r w:rsidRPr="00A86887">
        <w:t>obal RMP</w:t>
      </w:r>
      <w:r w:rsidR="00AB17AD">
        <w:t xml:space="preserve"> version 1 (24</w:t>
      </w:r>
      <w:r w:rsidR="004C2A83">
        <w:t xml:space="preserve"> </w:t>
      </w:r>
      <w:bookmarkStart w:id="57" w:name="_GoBack"/>
      <w:bookmarkEnd w:id="57"/>
      <w:r>
        <w:t>May 2018; data lock point 30 September 2017) and Australian specific annex</w:t>
      </w:r>
      <w:r w:rsidRPr="006A5EC3">
        <w:t xml:space="preserve"> </w:t>
      </w:r>
      <w:r w:rsidRPr="00401EEC">
        <w:t>version 1 (February 2019).</w:t>
      </w:r>
    </w:p>
    <w:p w14:paraId="0DCA8A58" w14:textId="61937998" w:rsidR="007D53B6" w:rsidRDefault="007D53B6" w:rsidP="00C637B6">
      <w:r>
        <w:t>The summary of safety concerns and their associated risk monitoring and mitigation strategies are summarised in</w:t>
      </w:r>
      <w:r w:rsidR="0069342B">
        <w:t xml:space="preserve"> </w:t>
      </w:r>
      <w:r w:rsidR="0069342B">
        <w:fldChar w:fldCharType="begin"/>
      </w:r>
      <w:r w:rsidR="0069342B">
        <w:instrText xml:space="preserve"> REF _Ref58357897 \h </w:instrText>
      </w:r>
      <w:r w:rsidR="0069342B">
        <w:fldChar w:fldCharType="separate"/>
      </w:r>
      <w:r w:rsidR="00920707">
        <w:t xml:space="preserve">Table </w:t>
      </w:r>
      <w:r w:rsidR="00920707">
        <w:rPr>
          <w:noProof/>
        </w:rPr>
        <w:t>10</w:t>
      </w:r>
      <w:r w:rsidR="0069342B">
        <w:fldChar w:fldCharType="end"/>
      </w:r>
      <w:r>
        <w:t>.</w:t>
      </w:r>
      <w:r>
        <w:rPr>
          <w:rStyle w:val="FootnoteReference"/>
        </w:rPr>
        <w:footnoteReference w:id="15"/>
      </w:r>
    </w:p>
    <w:p w14:paraId="3BFB6BFA" w14:textId="45BE24E2" w:rsidR="00C637B6" w:rsidRDefault="00C637B6" w:rsidP="00C637B6">
      <w:pPr>
        <w:pStyle w:val="TableTitle"/>
      </w:pPr>
      <w:bookmarkStart w:id="58" w:name="_Ref58357897"/>
      <w:r>
        <w:t xml:space="preserve">Table </w:t>
      </w:r>
      <w:fldSimple w:instr=" SEQ Table \* ARABIC ">
        <w:r w:rsidR="00920707">
          <w:rPr>
            <w:noProof/>
          </w:rPr>
          <w:t>10</w:t>
        </w:r>
      </w:fldSimple>
      <w:bookmarkEnd w:id="58"/>
      <w:r w:rsidR="0069342B">
        <w:t>:</w:t>
      </w:r>
      <w:r>
        <w:t xml:space="preserve"> Summary of safety concerns</w:t>
      </w:r>
    </w:p>
    <w:tbl>
      <w:tblPr>
        <w:tblStyle w:val="TableTGAblue"/>
        <w:tblW w:w="5000" w:type="pct"/>
        <w:tblLook w:val="04A0" w:firstRow="1" w:lastRow="0" w:firstColumn="1" w:lastColumn="0" w:noHBand="0" w:noVBand="1"/>
      </w:tblPr>
      <w:tblGrid>
        <w:gridCol w:w="1624"/>
        <w:gridCol w:w="1632"/>
        <w:gridCol w:w="1200"/>
        <w:gridCol w:w="1415"/>
        <w:gridCol w:w="1200"/>
        <w:gridCol w:w="1413"/>
      </w:tblGrid>
      <w:tr w:rsidR="00B709DA" w:rsidRPr="0069342B" w14:paraId="1BEA49E5" w14:textId="77777777" w:rsidTr="0069342B">
        <w:trPr>
          <w:cnfStyle w:val="100000000000" w:firstRow="1" w:lastRow="0" w:firstColumn="0" w:lastColumn="0" w:oddVBand="0" w:evenVBand="0" w:oddHBand="0" w:evenHBand="0" w:firstRowFirstColumn="0" w:firstRowLastColumn="0" w:lastRowFirstColumn="0" w:lastRowLastColumn="0"/>
          <w:trHeight w:val="131"/>
        </w:trPr>
        <w:tc>
          <w:tcPr>
            <w:tcW w:w="1919" w:type="pct"/>
            <w:gridSpan w:val="2"/>
            <w:vMerge w:val="restart"/>
          </w:tcPr>
          <w:p w14:paraId="458B5C9D" w14:textId="77777777" w:rsidR="00B709DA" w:rsidRPr="0069342B" w:rsidRDefault="00B709DA" w:rsidP="0069342B">
            <w:pPr>
              <w:pStyle w:val="Tabletext"/>
              <w:ind w:left="0" w:right="0"/>
              <w:rPr>
                <w:sz w:val="20"/>
                <w:szCs w:val="20"/>
              </w:rPr>
            </w:pPr>
            <w:r w:rsidRPr="0069342B">
              <w:rPr>
                <w:sz w:val="20"/>
                <w:szCs w:val="20"/>
              </w:rPr>
              <w:t>Summary of safety concerns</w:t>
            </w:r>
          </w:p>
        </w:tc>
        <w:tc>
          <w:tcPr>
            <w:tcW w:w="1541" w:type="pct"/>
            <w:gridSpan w:val="2"/>
          </w:tcPr>
          <w:p w14:paraId="0E6CD2F2" w14:textId="77777777" w:rsidR="00B709DA" w:rsidRPr="0069342B" w:rsidRDefault="00B709DA" w:rsidP="0069342B">
            <w:pPr>
              <w:pStyle w:val="Tabletext"/>
              <w:ind w:left="0" w:right="0"/>
              <w:rPr>
                <w:sz w:val="20"/>
                <w:szCs w:val="20"/>
              </w:rPr>
            </w:pPr>
            <w:r w:rsidRPr="0069342B">
              <w:rPr>
                <w:sz w:val="20"/>
                <w:szCs w:val="20"/>
              </w:rPr>
              <w:t>Pharmacovigilance</w:t>
            </w:r>
          </w:p>
        </w:tc>
        <w:tc>
          <w:tcPr>
            <w:tcW w:w="1541" w:type="pct"/>
            <w:gridSpan w:val="2"/>
          </w:tcPr>
          <w:p w14:paraId="7FE55491" w14:textId="365C2864" w:rsidR="00B709DA" w:rsidRPr="0069342B" w:rsidRDefault="0069342B" w:rsidP="0069342B">
            <w:pPr>
              <w:pStyle w:val="Tabletext"/>
              <w:ind w:left="0" w:right="0"/>
              <w:rPr>
                <w:sz w:val="20"/>
                <w:szCs w:val="20"/>
              </w:rPr>
            </w:pPr>
            <w:r w:rsidRPr="0069342B">
              <w:rPr>
                <w:sz w:val="20"/>
                <w:szCs w:val="20"/>
              </w:rPr>
              <w:t>Risk m</w:t>
            </w:r>
            <w:r w:rsidR="00B709DA" w:rsidRPr="0069342B">
              <w:rPr>
                <w:sz w:val="20"/>
                <w:szCs w:val="20"/>
              </w:rPr>
              <w:t>inimisation</w:t>
            </w:r>
          </w:p>
        </w:tc>
      </w:tr>
      <w:tr w:rsidR="00B709DA" w:rsidRPr="0069342B" w14:paraId="6D65D8BC" w14:textId="77777777" w:rsidTr="00AB17AD">
        <w:trPr>
          <w:trHeight w:val="150"/>
        </w:trPr>
        <w:tc>
          <w:tcPr>
            <w:tcW w:w="1919" w:type="pct"/>
            <w:gridSpan w:val="2"/>
            <w:vMerge/>
          </w:tcPr>
          <w:p w14:paraId="06219C8E" w14:textId="77777777" w:rsidR="00B709DA" w:rsidRPr="0069342B" w:rsidRDefault="00B709DA" w:rsidP="0069342B">
            <w:pPr>
              <w:pStyle w:val="Tabletext"/>
              <w:ind w:left="0" w:right="0"/>
              <w:rPr>
                <w:sz w:val="20"/>
                <w:szCs w:val="20"/>
              </w:rPr>
            </w:pPr>
          </w:p>
        </w:tc>
        <w:tc>
          <w:tcPr>
            <w:tcW w:w="707" w:type="pct"/>
            <w:shd w:val="clear" w:color="auto" w:fill="006DA7"/>
          </w:tcPr>
          <w:p w14:paraId="527F9634" w14:textId="77777777" w:rsidR="00B709DA" w:rsidRPr="00AB17AD" w:rsidRDefault="00B709DA" w:rsidP="0069342B">
            <w:pPr>
              <w:pStyle w:val="Tabletext"/>
              <w:ind w:left="0" w:right="0"/>
              <w:rPr>
                <w:b/>
                <w:color w:val="FFFFFF" w:themeColor="background1"/>
                <w:sz w:val="20"/>
                <w:szCs w:val="20"/>
              </w:rPr>
            </w:pPr>
            <w:r w:rsidRPr="00AB17AD">
              <w:rPr>
                <w:b/>
                <w:color w:val="FFFFFF" w:themeColor="background1"/>
                <w:sz w:val="20"/>
                <w:szCs w:val="20"/>
              </w:rPr>
              <w:t>Routine</w:t>
            </w:r>
          </w:p>
        </w:tc>
        <w:tc>
          <w:tcPr>
            <w:tcW w:w="834" w:type="pct"/>
            <w:shd w:val="clear" w:color="auto" w:fill="006DA7"/>
          </w:tcPr>
          <w:p w14:paraId="03B21F96" w14:textId="77777777" w:rsidR="00B709DA" w:rsidRPr="00AB17AD" w:rsidRDefault="00B709DA" w:rsidP="0069342B">
            <w:pPr>
              <w:pStyle w:val="Tabletext"/>
              <w:ind w:left="0" w:right="0"/>
              <w:rPr>
                <w:b/>
                <w:color w:val="FFFFFF" w:themeColor="background1"/>
                <w:sz w:val="20"/>
                <w:szCs w:val="20"/>
              </w:rPr>
            </w:pPr>
            <w:r w:rsidRPr="00AB17AD">
              <w:rPr>
                <w:b/>
                <w:color w:val="FFFFFF" w:themeColor="background1"/>
                <w:sz w:val="20"/>
                <w:szCs w:val="20"/>
              </w:rPr>
              <w:t>Additional</w:t>
            </w:r>
          </w:p>
        </w:tc>
        <w:tc>
          <w:tcPr>
            <w:tcW w:w="707" w:type="pct"/>
            <w:shd w:val="clear" w:color="auto" w:fill="006DA7"/>
          </w:tcPr>
          <w:p w14:paraId="63727709" w14:textId="77777777" w:rsidR="00B709DA" w:rsidRPr="00AB17AD" w:rsidRDefault="00B709DA" w:rsidP="0069342B">
            <w:pPr>
              <w:pStyle w:val="Tabletext"/>
              <w:ind w:left="0" w:right="0"/>
              <w:rPr>
                <w:b/>
                <w:color w:val="FFFFFF" w:themeColor="background1"/>
                <w:sz w:val="20"/>
                <w:szCs w:val="20"/>
              </w:rPr>
            </w:pPr>
            <w:r w:rsidRPr="00AB17AD">
              <w:rPr>
                <w:b/>
                <w:color w:val="FFFFFF" w:themeColor="background1"/>
                <w:sz w:val="20"/>
                <w:szCs w:val="20"/>
              </w:rPr>
              <w:t>Routine</w:t>
            </w:r>
          </w:p>
        </w:tc>
        <w:tc>
          <w:tcPr>
            <w:tcW w:w="834" w:type="pct"/>
            <w:shd w:val="clear" w:color="auto" w:fill="006DA7"/>
          </w:tcPr>
          <w:p w14:paraId="394D814A" w14:textId="77777777" w:rsidR="00B709DA" w:rsidRPr="00AB17AD" w:rsidRDefault="00B709DA" w:rsidP="0069342B">
            <w:pPr>
              <w:pStyle w:val="Tabletext"/>
              <w:ind w:left="0" w:right="0"/>
              <w:rPr>
                <w:b/>
                <w:color w:val="FFFFFF" w:themeColor="background1"/>
                <w:sz w:val="20"/>
                <w:szCs w:val="20"/>
              </w:rPr>
            </w:pPr>
            <w:r w:rsidRPr="00AB17AD">
              <w:rPr>
                <w:b/>
                <w:color w:val="FFFFFF" w:themeColor="background1"/>
                <w:sz w:val="20"/>
                <w:szCs w:val="20"/>
              </w:rPr>
              <w:t>Additional</w:t>
            </w:r>
          </w:p>
        </w:tc>
      </w:tr>
      <w:tr w:rsidR="00B709DA" w:rsidRPr="0069342B" w14:paraId="244D8A8E" w14:textId="77777777" w:rsidTr="0069342B">
        <w:trPr>
          <w:trHeight w:val="137"/>
        </w:trPr>
        <w:tc>
          <w:tcPr>
            <w:tcW w:w="957" w:type="pct"/>
            <w:vMerge w:val="restart"/>
          </w:tcPr>
          <w:p w14:paraId="773890DD" w14:textId="77777777" w:rsidR="00B709DA" w:rsidRPr="0069342B" w:rsidRDefault="00B709DA" w:rsidP="0069342B">
            <w:pPr>
              <w:pStyle w:val="Tabletext"/>
              <w:keepNext/>
              <w:ind w:left="0" w:right="0"/>
              <w:rPr>
                <w:b/>
                <w:sz w:val="20"/>
                <w:szCs w:val="20"/>
              </w:rPr>
            </w:pPr>
            <w:r w:rsidRPr="0069342B">
              <w:rPr>
                <w:b/>
                <w:sz w:val="20"/>
                <w:szCs w:val="20"/>
              </w:rPr>
              <w:t>Important identified risks</w:t>
            </w:r>
          </w:p>
        </w:tc>
        <w:tc>
          <w:tcPr>
            <w:tcW w:w="962" w:type="pct"/>
          </w:tcPr>
          <w:p w14:paraId="501A7621" w14:textId="77777777" w:rsidR="00B709DA" w:rsidRPr="0069342B" w:rsidRDefault="00B709DA" w:rsidP="0069342B">
            <w:pPr>
              <w:keepNext/>
              <w:ind w:left="0" w:right="0"/>
              <w:rPr>
                <w:sz w:val="20"/>
                <w:szCs w:val="20"/>
              </w:rPr>
            </w:pPr>
            <w:r w:rsidRPr="0069342B">
              <w:rPr>
                <w:sz w:val="20"/>
                <w:szCs w:val="20"/>
              </w:rPr>
              <w:t>Thyroid disorders</w:t>
            </w:r>
          </w:p>
        </w:tc>
        <w:tc>
          <w:tcPr>
            <w:tcW w:w="707" w:type="pct"/>
          </w:tcPr>
          <w:p w14:paraId="2232B5F8"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0E7BA6BD"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38B86A9D"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15DEED98"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5A68D063" w14:textId="77777777" w:rsidTr="0069342B">
        <w:trPr>
          <w:trHeight w:val="94"/>
        </w:trPr>
        <w:tc>
          <w:tcPr>
            <w:tcW w:w="957" w:type="pct"/>
            <w:vMerge/>
          </w:tcPr>
          <w:p w14:paraId="4DC9351D" w14:textId="77777777" w:rsidR="00B709DA" w:rsidRPr="0069342B" w:rsidRDefault="00B709DA" w:rsidP="0069342B">
            <w:pPr>
              <w:pStyle w:val="Tabletext"/>
              <w:keepNext/>
              <w:ind w:left="0" w:right="0"/>
              <w:rPr>
                <w:b/>
                <w:sz w:val="20"/>
                <w:szCs w:val="20"/>
              </w:rPr>
            </w:pPr>
          </w:p>
        </w:tc>
        <w:tc>
          <w:tcPr>
            <w:tcW w:w="962" w:type="pct"/>
          </w:tcPr>
          <w:p w14:paraId="3B0776F9" w14:textId="77777777" w:rsidR="00B709DA" w:rsidRPr="0069342B" w:rsidRDefault="00B709DA" w:rsidP="0069342B">
            <w:pPr>
              <w:keepNext/>
              <w:ind w:left="0" w:right="0"/>
              <w:rPr>
                <w:sz w:val="20"/>
                <w:szCs w:val="20"/>
              </w:rPr>
            </w:pPr>
            <w:r w:rsidRPr="0069342B">
              <w:rPr>
                <w:sz w:val="20"/>
                <w:szCs w:val="20"/>
              </w:rPr>
              <w:t>Embolic and thrombotic events</w:t>
            </w:r>
          </w:p>
        </w:tc>
        <w:tc>
          <w:tcPr>
            <w:tcW w:w="707" w:type="pct"/>
          </w:tcPr>
          <w:p w14:paraId="286BF557"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50AFDE00"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05E48636"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2AFD81C9"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55947B51" w14:textId="77777777" w:rsidTr="0069342B">
        <w:trPr>
          <w:trHeight w:val="94"/>
        </w:trPr>
        <w:tc>
          <w:tcPr>
            <w:tcW w:w="957" w:type="pct"/>
            <w:vMerge/>
          </w:tcPr>
          <w:p w14:paraId="020F540A" w14:textId="77777777" w:rsidR="00B709DA" w:rsidRPr="0069342B" w:rsidRDefault="00B709DA" w:rsidP="0069342B">
            <w:pPr>
              <w:pStyle w:val="Tabletext"/>
              <w:keepNext/>
              <w:ind w:left="0" w:right="0"/>
              <w:rPr>
                <w:b/>
                <w:sz w:val="20"/>
                <w:szCs w:val="20"/>
              </w:rPr>
            </w:pPr>
          </w:p>
        </w:tc>
        <w:tc>
          <w:tcPr>
            <w:tcW w:w="962" w:type="pct"/>
          </w:tcPr>
          <w:p w14:paraId="2117B098" w14:textId="77777777" w:rsidR="00B709DA" w:rsidRPr="0069342B" w:rsidRDefault="00B709DA" w:rsidP="0069342B">
            <w:pPr>
              <w:keepNext/>
              <w:ind w:left="0" w:right="0"/>
              <w:rPr>
                <w:sz w:val="20"/>
                <w:szCs w:val="20"/>
              </w:rPr>
            </w:pPr>
            <w:r w:rsidRPr="0069342B">
              <w:rPr>
                <w:sz w:val="20"/>
                <w:szCs w:val="20"/>
              </w:rPr>
              <w:t>Post embolization syndrome</w:t>
            </w:r>
          </w:p>
        </w:tc>
        <w:tc>
          <w:tcPr>
            <w:tcW w:w="707" w:type="pct"/>
          </w:tcPr>
          <w:p w14:paraId="24DE6A19"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03991861"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2348E5CE"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3EA4DBE3"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264B876D" w14:textId="77777777" w:rsidTr="0069342B">
        <w:trPr>
          <w:trHeight w:val="94"/>
        </w:trPr>
        <w:tc>
          <w:tcPr>
            <w:tcW w:w="957" w:type="pct"/>
            <w:vMerge/>
          </w:tcPr>
          <w:p w14:paraId="3C4BA2D3" w14:textId="77777777" w:rsidR="00B709DA" w:rsidRPr="0069342B" w:rsidRDefault="00B709DA" w:rsidP="0069342B">
            <w:pPr>
              <w:pStyle w:val="Tabletext"/>
              <w:keepNext/>
              <w:ind w:left="0" w:right="0"/>
              <w:rPr>
                <w:b/>
                <w:sz w:val="20"/>
                <w:szCs w:val="20"/>
              </w:rPr>
            </w:pPr>
          </w:p>
        </w:tc>
        <w:tc>
          <w:tcPr>
            <w:tcW w:w="962" w:type="pct"/>
          </w:tcPr>
          <w:p w14:paraId="3CB24EAC" w14:textId="77777777" w:rsidR="00B709DA" w:rsidRPr="0069342B" w:rsidRDefault="00B709DA" w:rsidP="0069342B">
            <w:pPr>
              <w:keepNext/>
              <w:ind w:left="0" w:right="0"/>
              <w:rPr>
                <w:sz w:val="20"/>
                <w:szCs w:val="20"/>
              </w:rPr>
            </w:pPr>
            <w:r w:rsidRPr="0069342B">
              <w:rPr>
                <w:sz w:val="20"/>
                <w:szCs w:val="20"/>
              </w:rPr>
              <w:t>Hepatic failure</w:t>
            </w:r>
          </w:p>
        </w:tc>
        <w:tc>
          <w:tcPr>
            <w:tcW w:w="707" w:type="pct"/>
          </w:tcPr>
          <w:p w14:paraId="1F80E40B"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2EB93F62"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13C14DB9"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79CF71BE"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5F9DA516" w14:textId="77777777" w:rsidTr="0069342B">
        <w:trPr>
          <w:trHeight w:val="94"/>
        </w:trPr>
        <w:tc>
          <w:tcPr>
            <w:tcW w:w="957" w:type="pct"/>
            <w:vMerge/>
          </w:tcPr>
          <w:p w14:paraId="3A972EC0" w14:textId="77777777" w:rsidR="00B709DA" w:rsidRPr="0069342B" w:rsidRDefault="00B709DA" w:rsidP="0069342B">
            <w:pPr>
              <w:pStyle w:val="Tabletext"/>
              <w:keepNext/>
              <w:ind w:left="0" w:right="0"/>
              <w:rPr>
                <w:b/>
                <w:sz w:val="20"/>
                <w:szCs w:val="20"/>
              </w:rPr>
            </w:pPr>
          </w:p>
        </w:tc>
        <w:tc>
          <w:tcPr>
            <w:tcW w:w="962" w:type="pct"/>
          </w:tcPr>
          <w:p w14:paraId="54E94089" w14:textId="77777777" w:rsidR="00B709DA" w:rsidRPr="0069342B" w:rsidRDefault="00B709DA" w:rsidP="0069342B">
            <w:pPr>
              <w:keepNext/>
              <w:ind w:left="0" w:right="0"/>
              <w:rPr>
                <w:sz w:val="20"/>
                <w:szCs w:val="20"/>
              </w:rPr>
            </w:pPr>
            <w:r w:rsidRPr="0069342B">
              <w:rPr>
                <w:sz w:val="20"/>
                <w:szCs w:val="20"/>
              </w:rPr>
              <w:t>Liver abscess</w:t>
            </w:r>
          </w:p>
        </w:tc>
        <w:tc>
          <w:tcPr>
            <w:tcW w:w="707" w:type="pct"/>
          </w:tcPr>
          <w:p w14:paraId="135D97DF"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08980029"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4A4AD692"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3416894A"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449403DE" w14:textId="77777777" w:rsidTr="0069342B">
        <w:trPr>
          <w:trHeight w:val="94"/>
        </w:trPr>
        <w:tc>
          <w:tcPr>
            <w:tcW w:w="957" w:type="pct"/>
            <w:vMerge/>
          </w:tcPr>
          <w:p w14:paraId="3DD32897" w14:textId="77777777" w:rsidR="00B709DA" w:rsidRPr="0069342B" w:rsidRDefault="00B709DA" w:rsidP="0069342B">
            <w:pPr>
              <w:pStyle w:val="Tabletext"/>
              <w:keepNext/>
              <w:ind w:left="0" w:right="0"/>
              <w:rPr>
                <w:b/>
                <w:sz w:val="20"/>
                <w:szCs w:val="20"/>
              </w:rPr>
            </w:pPr>
          </w:p>
        </w:tc>
        <w:tc>
          <w:tcPr>
            <w:tcW w:w="962" w:type="pct"/>
          </w:tcPr>
          <w:p w14:paraId="68C8FC66" w14:textId="77777777" w:rsidR="00B709DA" w:rsidRPr="0069342B" w:rsidRDefault="00B709DA" w:rsidP="0069342B">
            <w:pPr>
              <w:keepNext/>
              <w:ind w:left="0" w:right="0"/>
              <w:rPr>
                <w:sz w:val="20"/>
                <w:szCs w:val="20"/>
              </w:rPr>
            </w:pPr>
            <w:proofErr w:type="spellStart"/>
            <w:r w:rsidRPr="0069342B">
              <w:rPr>
                <w:sz w:val="20"/>
                <w:szCs w:val="20"/>
              </w:rPr>
              <w:t>Biloma</w:t>
            </w:r>
            <w:proofErr w:type="spellEnd"/>
          </w:p>
        </w:tc>
        <w:tc>
          <w:tcPr>
            <w:tcW w:w="707" w:type="pct"/>
          </w:tcPr>
          <w:p w14:paraId="0187C334"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505855D1"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67E1080B"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3EFE807D"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0D13ACBD" w14:textId="77777777" w:rsidTr="0069342B">
        <w:trPr>
          <w:trHeight w:val="94"/>
        </w:trPr>
        <w:tc>
          <w:tcPr>
            <w:tcW w:w="957" w:type="pct"/>
            <w:vMerge/>
          </w:tcPr>
          <w:p w14:paraId="7D6527EC" w14:textId="77777777" w:rsidR="00B709DA" w:rsidRPr="0069342B" w:rsidRDefault="00B709DA" w:rsidP="0069342B">
            <w:pPr>
              <w:pStyle w:val="Tabletext"/>
              <w:keepNext/>
              <w:ind w:left="0" w:right="0"/>
              <w:rPr>
                <w:b/>
                <w:sz w:val="20"/>
                <w:szCs w:val="20"/>
              </w:rPr>
            </w:pPr>
          </w:p>
        </w:tc>
        <w:tc>
          <w:tcPr>
            <w:tcW w:w="962" w:type="pct"/>
          </w:tcPr>
          <w:p w14:paraId="2CB9857E" w14:textId="77777777" w:rsidR="00B709DA" w:rsidRPr="0069342B" w:rsidRDefault="00B709DA" w:rsidP="0069342B">
            <w:pPr>
              <w:keepNext/>
              <w:ind w:left="0" w:right="0"/>
              <w:rPr>
                <w:sz w:val="20"/>
                <w:szCs w:val="20"/>
              </w:rPr>
            </w:pPr>
            <w:proofErr w:type="spellStart"/>
            <w:r w:rsidRPr="0069342B">
              <w:rPr>
                <w:sz w:val="20"/>
                <w:szCs w:val="20"/>
              </w:rPr>
              <w:t>Cholecystitis</w:t>
            </w:r>
            <w:proofErr w:type="spellEnd"/>
          </w:p>
        </w:tc>
        <w:tc>
          <w:tcPr>
            <w:tcW w:w="707" w:type="pct"/>
          </w:tcPr>
          <w:p w14:paraId="6442F6E2"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78061A35"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1D2868DA"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834" w:type="pct"/>
          </w:tcPr>
          <w:p w14:paraId="324B47F1"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7ED9C4D4" w14:textId="77777777" w:rsidTr="0069342B">
        <w:trPr>
          <w:trHeight w:val="187"/>
        </w:trPr>
        <w:tc>
          <w:tcPr>
            <w:tcW w:w="957" w:type="pct"/>
            <w:vMerge/>
          </w:tcPr>
          <w:p w14:paraId="46D68D60" w14:textId="77777777" w:rsidR="00B709DA" w:rsidRPr="0069342B" w:rsidRDefault="00B709DA" w:rsidP="0069342B">
            <w:pPr>
              <w:pStyle w:val="Tabletext"/>
              <w:keepNext/>
              <w:ind w:left="0" w:right="0"/>
              <w:rPr>
                <w:b/>
                <w:sz w:val="20"/>
                <w:szCs w:val="20"/>
              </w:rPr>
            </w:pPr>
          </w:p>
        </w:tc>
        <w:tc>
          <w:tcPr>
            <w:tcW w:w="962" w:type="pct"/>
          </w:tcPr>
          <w:p w14:paraId="2FFA76FD" w14:textId="77777777" w:rsidR="00B709DA" w:rsidRPr="0069342B" w:rsidRDefault="00B709DA" w:rsidP="0069342B">
            <w:pPr>
              <w:keepNext/>
              <w:ind w:left="0" w:right="0"/>
              <w:rPr>
                <w:sz w:val="20"/>
                <w:szCs w:val="20"/>
              </w:rPr>
            </w:pPr>
            <w:r w:rsidRPr="0069342B">
              <w:rPr>
                <w:sz w:val="20"/>
                <w:szCs w:val="20"/>
              </w:rPr>
              <w:t>Granuloma</w:t>
            </w:r>
          </w:p>
        </w:tc>
        <w:tc>
          <w:tcPr>
            <w:tcW w:w="707" w:type="pct"/>
          </w:tcPr>
          <w:p w14:paraId="36B39CF4"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23991CB3"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43EED39F"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3C395760"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533EA59C" w14:textId="77777777" w:rsidTr="0069342B">
        <w:trPr>
          <w:trHeight w:val="159"/>
        </w:trPr>
        <w:tc>
          <w:tcPr>
            <w:tcW w:w="957" w:type="pct"/>
          </w:tcPr>
          <w:p w14:paraId="0360F9BF" w14:textId="77777777" w:rsidR="00B709DA" w:rsidRPr="0069342B" w:rsidRDefault="00B709DA" w:rsidP="0069342B">
            <w:pPr>
              <w:pStyle w:val="Tabletext"/>
              <w:keepNext/>
              <w:ind w:left="0" w:right="0"/>
              <w:rPr>
                <w:b/>
                <w:sz w:val="20"/>
                <w:szCs w:val="20"/>
              </w:rPr>
            </w:pPr>
            <w:r w:rsidRPr="0069342B">
              <w:rPr>
                <w:b/>
                <w:sz w:val="20"/>
                <w:szCs w:val="20"/>
              </w:rPr>
              <w:t>Important potential risks</w:t>
            </w:r>
          </w:p>
        </w:tc>
        <w:tc>
          <w:tcPr>
            <w:tcW w:w="962" w:type="pct"/>
          </w:tcPr>
          <w:p w14:paraId="3A59CA43" w14:textId="77777777" w:rsidR="00B709DA" w:rsidRPr="0069342B" w:rsidRDefault="00B709DA" w:rsidP="0069342B">
            <w:pPr>
              <w:pStyle w:val="Summaryofsafetyconcerns"/>
              <w:keepNext/>
              <w:keepLines/>
              <w:ind w:left="0" w:right="0"/>
              <w:rPr>
                <w:b w:val="0"/>
                <w:szCs w:val="20"/>
              </w:rPr>
            </w:pPr>
            <w:r w:rsidRPr="0069342B">
              <w:rPr>
                <w:b w:val="0"/>
                <w:szCs w:val="20"/>
              </w:rPr>
              <w:t>Arrhythmia</w:t>
            </w:r>
          </w:p>
        </w:tc>
        <w:tc>
          <w:tcPr>
            <w:tcW w:w="707" w:type="pct"/>
          </w:tcPr>
          <w:p w14:paraId="21B136D2"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2690DEE5"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1EC3D168"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594550EE" w14:textId="77777777" w:rsidR="00B709DA" w:rsidRPr="0069342B" w:rsidRDefault="00B709DA" w:rsidP="0069342B">
            <w:pPr>
              <w:pStyle w:val="Tabletext"/>
              <w:keepNext/>
              <w:ind w:left="0" w:right="0"/>
              <w:jc w:val="center"/>
              <w:rPr>
                <w:sz w:val="20"/>
                <w:szCs w:val="20"/>
              </w:rPr>
            </w:pPr>
            <w:r w:rsidRPr="0069342B">
              <w:rPr>
                <w:sz w:val="20"/>
                <w:szCs w:val="20"/>
              </w:rPr>
              <w:t>–</w:t>
            </w:r>
          </w:p>
        </w:tc>
      </w:tr>
      <w:tr w:rsidR="00B709DA" w:rsidRPr="0069342B" w14:paraId="347B23F6" w14:textId="77777777" w:rsidTr="0069342B">
        <w:trPr>
          <w:trHeight w:val="178"/>
        </w:trPr>
        <w:tc>
          <w:tcPr>
            <w:tcW w:w="957" w:type="pct"/>
          </w:tcPr>
          <w:p w14:paraId="256421C6" w14:textId="77777777" w:rsidR="00B709DA" w:rsidRPr="0069342B" w:rsidRDefault="00B709DA" w:rsidP="0069342B">
            <w:pPr>
              <w:pStyle w:val="Tabletext"/>
              <w:keepNext/>
              <w:ind w:left="0" w:right="0"/>
              <w:rPr>
                <w:b/>
                <w:sz w:val="20"/>
                <w:szCs w:val="20"/>
              </w:rPr>
            </w:pPr>
            <w:r w:rsidRPr="0069342B">
              <w:rPr>
                <w:b/>
                <w:sz w:val="20"/>
                <w:szCs w:val="20"/>
              </w:rPr>
              <w:t>Missing information</w:t>
            </w:r>
          </w:p>
        </w:tc>
        <w:tc>
          <w:tcPr>
            <w:tcW w:w="962" w:type="pct"/>
          </w:tcPr>
          <w:p w14:paraId="0D706314" w14:textId="77777777" w:rsidR="00B709DA" w:rsidRPr="0069342B" w:rsidRDefault="00B709DA" w:rsidP="0069342B">
            <w:pPr>
              <w:pStyle w:val="Summaryofsafetyconcerns"/>
              <w:keepNext/>
              <w:keepLines/>
              <w:ind w:left="0" w:right="0"/>
              <w:rPr>
                <w:b w:val="0"/>
                <w:color w:val="00B050"/>
                <w:szCs w:val="20"/>
              </w:rPr>
            </w:pPr>
            <w:r w:rsidRPr="0069342B">
              <w:rPr>
                <w:b w:val="0"/>
                <w:szCs w:val="20"/>
              </w:rPr>
              <w:t>Use in pregnancy</w:t>
            </w:r>
          </w:p>
        </w:tc>
        <w:tc>
          <w:tcPr>
            <w:tcW w:w="707" w:type="pct"/>
          </w:tcPr>
          <w:p w14:paraId="2B95A7F2"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2758B2CD" w14:textId="77777777" w:rsidR="00B709DA" w:rsidRPr="0069342B" w:rsidRDefault="00B709DA" w:rsidP="0069342B">
            <w:pPr>
              <w:pStyle w:val="Tabletext"/>
              <w:keepNext/>
              <w:ind w:left="0" w:right="0"/>
              <w:jc w:val="center"/>
              <w:rPr>
                <w:sz w:val="20"/>
                <w:szCs w:val="20"/>
              </w:rPr>
            </w:pPr>
            <w:r w:rsidRPr="0069342B">
              <w:rPr>
                <w:sz w:val="20"/>
                <w:szCs w:val="20"/>
              </w:rPr>
              <w:t>–</w:t>
            </w:r>
          </w:p>
        </w:tc>
        <w:tc>
          <w:tcPr>
            <w:tcW w:w="707" w:type="pct"/>
          </w:tcPr>
          <w:p w14:paraId="10D02BAE" w14:textId="77777777" w:rsidR="00B709DA" w:rsidRPr="0069342B" w:rsidRDefault="00B709DA" w:rsidP="0069342B">
            <w:pPr>
              <w:pStyle w:val="Tabletext"/>
              <w:keepNext/>
              <w:ind w:left="0" w:right="0"/>
              <w:jc w:val="center"/>
              <w:rPr>
                <w:sz w:val="20"/>
                <w:szCs w:val="20"/>
              </w:rPr>
            </w:pPr>
            <w:r w:rsidRPr="0069342B">
              <w:rPr>
                <w:sz w:val="20"/>
                <w:szCs w:val="20"/>
              </w:rPr>
              <w:sym w:font="Wingdings" w:char="F0FC"/>
            </w:r>
          </w:p>
        </w:tc>
        <w:tc>
          <w:tcPr>
            <w:tcW w:w="834" w:type="pct"/>
          </w:tcPr>
          <w:p w14:paraId="1D287772" w14:textId="77777777" w:rsidR="00B709DA" w:rsidRPr="0069342B" w:rsidRDefault="00B709DA" w:rsidP="0069342B">
            <w:pPr>
              <w:pStyle w:val="Tabletext"/>
              <w:keepNext/>
              <w:ind w:left="0" w:right="0"/>
              <w:jc w:val="center"/>
              <w:rPr>
                <w:sz w:val="20"/>
                <w:szCs w:val="20"/>
              </w:rPr>
            </w:pPr>
            <w:r w:rsidRPr="0069342B">
              <w:rPr>
                <w:sz w:val="20"/>
                <w:szCs w:val="20"/>
              </w:rPr>
              <w:t>–</w:t>
            </w:r>
          </w:p>
        </w:tc>
      </w:tr>
    </w:tbl>
    <w:p w14:paraId="538E3AA7" w14:textId="54A253B1" w:rsidR="0069342B" w:rsidRDefault="0069342B" w:rsidP="0069342B">
      <w:bookmarkStart w:id="59" w:name="_Toc247691531"/>
      <w:bookmarkStart w:id="60" w:name="_Toc314842515"/>
      <w:bookmarkStart w:id="61" w:name="_Toc196046505"/>
      <w:bookmarkStart w:id="62" w:name="_Toc196046949"/>
      <w:r w:rsidRPr="00D52424">
        <w:t>The summary of safety</w:t>
      </w:r>
      <w:r>
        <w:t xml:space="preserve"> concerns is acceptable from</w:t>
      </w:r>
      <w:r w:rsidRPr="00D52424">
        <w:t xml:space="preserve"> </w:t>
      </w:r>
      <w:r w:rsidR="00695622">
        <w:t xml:space="preserve">an </w:t>
      </w:r>
      <w:r w:rsidRPr="00D52424">
        <w:t>RMP perspective.</w:t>
      </w:r>
      <w:r>
        <w:t xml:space="preserve"> The sponsor has proposed</w:t>
      </w:r>
      <w:r w:rsidRPr="00D52424">
        <w:t xml:space="preserve"> rout</w:t>
      </w:r>
      <w:r>
        <w:t>ine pharmacovigilance</w:t>
      </w:r>
      <w:r w:rsidRPr="00D52424">
        <w:t xml:space="preserve"> for</w:t>
      </w:r>
      <w:r>
        <w:t xml:space="preserve"> all safety concerns and </w:t>
      </w:r>
      <w:r w:rsidR="00695622">
        <w:t xml:space="preserve">this </w:t>
      </w:r>
      <w:r>
        <w:t>was also</w:t>
      </w:r>
      <w:r w:rsidRPr="00D52424">
        <w:t xml:space="preserve"> acceptable</w:t>
      </w:r>
      <w:r>
        <w:t xml:space="preserve"> as was the </w:t>
      </w:r>
      <w:r w:rsidRPr="00D52424">
        <w:t>risk minimi</w:t>
      </w:r>
      <w:r>
        <w:t>sation plan</w:t>
      </w:r>
      <w:r w:rsidRPr="00D52424">
        <w:t>.</w:t>
      </w:r>
    </w:p>
    <w:p w14:paraId="42D30705" w14:textId="4BB299F2" w:rsidR="0069342B" w:rsidRDefault="0069342B" w:rsidP="0069342B">
      <w:r w:rsidRPr="00D52424">
        <w:lastRenderedPageBreak/>
        <w:t>There are</w:t>
      </w:r>
      <w:r>
        <w:t xml:space="preserve"> no outstanding matters. </w:t>
      </w:r>
      <w:r>
        <w:rPr>
          <w:iCs/>
        </w:rPr>
        <w:t>Implementation of</w:t>
      </w:r>
      <w:r w:rsidRPr="00D52424">
        <w:rPr>
          <w:iCs/>
        </w:rPr>
        <w:t xml:space="preserve"> </w:t>
      </w:r>
      <w:r w:rsidR="0052363E">
        <w:rPr>
          <w:iCs/>
        </w:rPr>
        <w:t>Lipiodol Ultra Fluid</w:t>
      </w:r>
      <w:r w:rsidRPr="00D52424">
        <w:rPr>
          <w:iCs/>
        </w:rPr>
        <w:t xml:space="preserve"> G</w:t>
      </w:r>
      <w:r>
        <w:rPr>
          <w:iCs/>
        </w:rPr>
        <w:t>lobal RMP</w:t>
      </w:r>
      <w:r w:rsidRPr="00D52424">
        <w:rPr>
          <w:iCs/>
        </w:rPr>
        <w:t xml:space="preserve"> (version 1, dated 24 May 2018, data lock point 30 Se</w:t>
      </w:r>
      <w:r>
        <w:rPr>
          <w:iCs/>
        </w:rPr>
        <w:t>ptember 2017), with Australian specific a</w:t>
      </w:r>
      <w:r w:rsidRPr="00D52424">
        <w:rPr>
          <w:iCs/>
        </w:rPr>
        <w:t>nnex (version 1, dated February 2019</w:t>
      </w:r>
      <w:r>
        <w:rPr>
          <w:iCs/>
        </w:rPr>
        <w:t>) will be a condition of approval of the TACE indication in Australia.</w:t>
      </w:r>
    </w:p>
    <w:p w14:paraId="66ADC456" w14:textId="66B82E3F" w:rsidR="008E7846" w:rsidRDefault="00AA0ED0" w:rsidP="008E7846">
      <w:pPr>
        <w:pStyle w:val="Heading3"/>
      </w:pPr>
      <w:bookmarkStart w:id="63" w:name="_Toc61253625"/>
      <w:r>
        <w:t>Risk-benefit a</w:t>
      </w:r>
      <w:r w:rsidR="008E7846">
        <w:t>nalysis</w:t>
      </w:r>
      <w:bookmarkEnd w:id="59"/>
      <w:bookmarkEnd w:id="60"/>
      <w:bookmarkEnd w:id="63"/>
    </w:p>
    <w:p w14:paraId="33520B4F" w14:textId="77777777" w:rsidR="00D23139" w:rsidRDefault="007D53B6" w:rsidP="00D23139">
      <w:pPr>
        <w:pStyle w:val="Heading4"/>
      </w:pPr>
      <w:r>
        <w:t>Delegate’s considerations</w:t>
      </w:r>
    </w:p>
    <w:p w14:paraId="5B8448DB" w14:textId="2510D5C3" w:rsidR="00B709DA" w:rsidRDefault="00B709DA" w:rsidP="00C637B6">
      <w:r>
        <w:t xml:space="preserve">The proposed use of </w:t>
      </w:r>
      <w:r w:rsidR="0052363E">
        <w:rPr>
          <w:iCs/>
        </w:rPr>
        <w:t>Lipiodol Ultra Fluid</w:t>
      </w:r>
      <w:r w:rsidR="00C637B6" w:rsidRPr="00D52424">
        <w:rPr>
          <w:iCs/>
        </w:rPr>
        <w:t xml:space="preserve"> </w:t>
      </w:r>
      <w:r>
        <w:t>is not as an imaging agent but as an imaging agent in TACE, to be co</w:t>
      </w:r>
      <w:r w:rsidR="00695622">
        <w:t>-</w:t>
      </w:r>
      <w:r>
        <w:t>administered with cytotoxic agents for the treatment of HCC at intermediate stage.</w:t>
      </w:r>
    </w:p>
    <w:p w14:paraId="65E9F5D7" w14:textId="1977736F" w:rsidR="0069342B" w:rsidRDefault="00B709DA" w:rsidP="00C637B6">
      <w:r>
        <w:t xml:space="preserve">According to </w:t>
      </w:r>
      <w:r w:rsidR="00695622">
        <w:t xml:space="preserve">the </w:t>
      </w:r>
      <w:r w:rsidRPr="00814DE0">
        <w:t>Sato</w:t>
      </w:r>
      <w:r w:rsidR="00695622">
        <w:t xml:space="preserve"> et al.,</w:t>
      </w:r>
      <w:r w:rsidRPr="00814DE0">
        <w:t xml:space="preserve"> </w:t>
      </w:r>
      <w:r w:rsidR="00695622">
        <w:t>(</w:t>
      </w:r>
      <w:r>
        <w:t>1993</w:t>
      </w:r>
      <w:r w:rsidR="00695622">
        <w:t>)</w:t>
      </w:r>
      <w:r w:rsidR="00C637B6">
        <w:t xml:space="preserve"> article,</w:t>
      </w:r>
      <w:r>
        <w:rPr>
          <w:rStyle w:val="FootnoteReference"/>
          <w:rFonts w:cstheme="minorHAnsi"/>
        </w:rPr>
        <w:footnoteReference w:id="16"/>
      </w:r>
      <w:r>
        <w:t xml:space="preserve"> the </w:t>
      </w:r>
      <w:r w:rsidRPr="00120167">
        <w:t xml:space="preserve">role </w:t>
      </w:r>
      <w:r>
        <w:t xml:space="preserve">of </w:t>
      </w:r>
      <w:r w:rsidR="0052363E">
        <w:rPr>
          <w:iCs/>
        </w:rPr>
        <w:t>Lipiodol Ultra Fluid</w:t>
      </w:r>
      <w:r w:rsidRPr="00120167">
        <w:t xml:space="preserve"> as </w:t>
      </w:r>
      <w:r>
        <w:t>a contrast agent during TACE is</w:t>
      </w:r>
      <w:r w:rsidR="0069342B">
        <w:t>:</w:t>
      </w:r>
    </w:p>
    <w:p w14:paraId="7CEBD5A4" w14:textId="0990FDFA" w:rsidR="00B709DA" w:rsidRDefault="0069342B" w:rsidP="0069342B">
      <w:pPr>
        <w:ind w:left="720"/>
      </w:pPr>
      <w:r>
        <w:t>‘</w:t>
      </w:r>
      <w:r w:rsidR="00C637B6">
        <w:t>t</w:t>
      </w:r>
      <w:r w:rsidR="00B709DA" w:rsidRPr="00814DE0">
        <w:t xml:space="preserve">o visualise in real time the hepatic arteries including branches feeding the tumour in order to adjust chemoembolization to the arterial flow, and image deposition of </w:t>
      </w:r>
      <w:r w:rsidRPr="00814DE0">
        <w:t>Lipiodol</w:t>
      </w:r>
      <w:r w:rsidR="00B709DA" w:rsidRPr="00814DE0">
        <w:t xml:space="preserve"> in tumour and its potential satellite nodules; To visualise in real time non-target liver embolization, arterial-portal shunts, and extra hepatic embolization; and to assess chemoembolization of entire tumour burden immediately post-procedure by imaging of </w:t>
      </w:r>
      <w:r w:rsidRPr="00814DE0">
        <w:t>Lipiodol</w:t>
      </w:r>
      <w:r w:rsidR="00B709DA" w:rsidRPr="00814DE0">
        <w:t xml:space="preserve"> deposition.</w:t>
      </w:r>
      <w:r>
        <w:t>’</w:t>
      </w:r>
    </w:p>
    <w:p w14:paraId="7E6FFDD8" w14:textId="7788107F" w:rsidR="00B709DA" w:rsidRDefault="00B709DA" w:rsidP="00C637B6">
      <w:r>
        <w:t xml:space="preserve">This imaging ability of </w:t>
      </w:r>
      <w:r w:rsidR="0052363E">
        <w:rPr>
          <w:iCs/>
        </w:rPr>
        <w:t>Lipiodol Ultra Fluid</w:t>
      </w:r>
      <w:r>
        <w:t>, during TACE, was not directly examined in any of the many published human cl</w:t>
      </w:r>
      <w:r w:rsidR="0069342B">
        <w:t>inical studies included in the s</w:t>
      </w:r>
      <w:r>
        <w:t xml:space="preserve">ponsor’s dossier. </w:t>
      </w:r>
      <w:r w:rsidR="0052363E">
        <w:rPr>
          <w:iCs/>
        </w:rPr>
        <w:t>Lipiodol Ultra Fluid</w:t>
      </w:r>
      <w:r w:rsidR="00C637B6" w:rsidRPr="00D52424">
        <w:rPr>
          <w:iCs/>
        </w:rPr>
        <w:t xml:space="preserve"> </w:t>
      </w:r>
      <w:r>
        <w:t>is lipophilic and</w:t>
      </w:r>
      <w:r w:rsidR="00C637B6">
        <w:t xml:space="preserve"> </w:t>
      </w:r>
      <w:r>
        <w:t xml:space="preserve">non-water soluble. Its </w:t>
      </w:r>
      <w:proofErr w:type="spellStart"/>
      <w:r w:rsidRPr="00A73126">
        <w:t>opacifying</w:t>
      </w:r>
      <w:proofErr w:type="spellEnd"/>
      <w:r w:rsidRPr="00A73126">
        <w:t xml:space="preserve"> properties and tropism for hepatic tumours continues for several months</w:t>
      </w:r>
      <w:r>
        <w:t xml:space="preserve"> after the procedure.</w:t>
      </w:r>
    </w:p>
    <w:p w14:paraId="296A3EAE" w14:textId="4DCCDA2C" w:rsidR="00B709DA" w:rsidRDefault="00B709DA" w:rsidP="00C637B6">
      <w:r>
        <w:t>Thus</w:t>
      </w:r>
      <w:r w:rsidR="0069342B">
        <w:t>,</w:t>
      </w:r>
      <w:r>
        <w:t xml:space="preserve"> the efficacy outcomes of TACE examined in the published studies related to clinical outcomes such as patient survival and response rates. The clinical dataset is extensive but of variable quality.</w:t>
      </w:r>
    </w:p>
    <w:p w14:paraId="6BF372BF" w14:textId="09275F88" w:rsidR="00B709DA" w:rsidRDefault="00B709DA" w:rsidP="00C637B6">
      <w:r>
        <w:t xml:space="preserve">There was not much information on TACE with </w:t>
      </w:r>
      <w:r w:rsidR="0052363E">
        <w:t>Lipiodol Ultra Fluid</w:t>
      </w:r>
      <w:r>
        <w:t xml:space="preserve"> versus TACE without </w:t>
      </w:r>
      <w:r w:rsidR="0052363E">
        <w:t>Lipiodol Ultra Fluid</w:t>
      </w:r>
      <w:r>
        <w:t xml:space="preserve"> except the published Nakamura </w:t>
      </w:r>
      <w:r w:rsidR="00695622">
        <w:t xml:space="preserve">et al., (1994) </w:t>
      </w:r>
      <w:r>
        <w:t>paper</w:t>
      </w:r>
      <w:r w:rsidR="00C637B6">
        <w:t>.</w:t>
      </w:r>
      <w:r w:rsidR="0069342B">
        <w:rPr>
          <w:rFonts w:cstheme="minorHAnsi"/>
        </w:rPr>
        <w:fldChar w:fldCharType="begin"/>
      </w:r>
      <w:r w:rsidR="0069342B">
        <w:instrText xml:space="preserve"> NOTEREF _Ref58358181 \f \h </w:instrText>
      </w:r>
      <w:r w:rsidR="0069342B">
        <w:rPr>
          <w:rFonts w:cstheme="minorHAnsi"/>
        </w:rPr>
      </w:r>
      <w:r w:rsidR="0069342B">
        <w:rPr>
          <w:rFonts w:cstheme="minorHAnsi"/>
        </w:rPr>
        <w:fldChar w:fldCharType="separate"/>
      </w:r>
      <w:r w:rsidR="00920707" w:rsidRPr="00920707">
        <w:rPr>
          <w:rStyle w:val="FootnoteReference"/>
        </w:rPr>
        <w:t>14</w:t>
      </w:r>
      <w:r w:rsidR="0069342B">
        <w:rPr>
          <w:rFonts w:cstheme="minorHAnsi"/>
        </w:rPr>
        <w:fldChar w:fldCharType="end"/>
      </w:r>
    </w:p>
    <w:p w14:paraId="75860BE9" w14:textId="21C4E860" w:rsidR="00B709DA" w:rsidRDefault="00B709DA" w:rsidP="00C637B6">
      <w:r w:rsidRPr="00120167">
        <w:t xml:space="preserve">Although </w:t>
      </w:r>
      <w:r>
        <w:t>TACE has been extensively used over years worldwide</w:t>
      </w:r>
      <w:r w:rsidRPr="00120167">
        <w:t>, the procedu</w:t>
      </w:r>
      <w:r>
        <w:t>re seems to vary among treatment centres with respect to concomitant</w:t>
      </w:r>
      <w:r w:rsidRPr="00120167">
        <w:t xml:space="preserve"> </w:t>
      </w:r>
      <w:r w:rsidRPr="00201CF4">
        <w:t xml:space="preserve">cytotoxic drugs, </w:t>
      </w:r>
      <w:r w:rsidRPr="00120167">
        <w:t>embolic a</w:t>
      </w:r>
      <w:r w:rsidR="00C637B6">
        <w:t>gents, doses and schedules</w:t>
      </w:r>
      <w:r>
        <w:t>.</w:t>
      </w:r>
    </w:p>
    <w:p w14:paraId="6A801E8B" w14:textId="77777777" w:rsidR="0069342B" w:rsidRDefault="00B709DA" w:rsidP="00C637B6">
      <w:r>
        <w:t>Overall, a slightly revised indication</w:t>
      </w:r>
      <w:r w:rsidR="0069342B">
        <w:t xml:space="preserve"> is supported, such as:</w:t>
      </w:r>
    </w:p>
    <w:p w14:paraId="49A3D0F5" w14:textId="2B029E09" w:rsidR="0069342B" w:rsidRDefault="00B709DA" w:rsidP="0069342B">
      <w:pPr>
        <w:ind w:left="720"/>
        <w:rPr>
          <w:bCs/>
        </w:rPr>
      </w:pPr>
      <w:r w:rsidRPr="00120167">
        <w:rPr>
          <w:bCs/>
          <w:i/>
          <w:color w:val="000000"/>
        </w:rPr>
        <w:t xml:space="preserve">In interventional radiology: </w:t>
      </w:r>
      <w:r w:rsidRPr="0069342B">
        <w:rPr>
          <w:bCs/>
          <w:i/>
          <w:color w:val="000000"/>
        </w:rPr>
        <w:t>As an imaging agent</w:t>
      </w:r>
      <w:r>
        <w:rPr>
          <w:bCs/>
          <w:i/>
          <w:color w:val="000000"/>
        </w:rPr>
        <w:t xml:space="preserve"> f</w:t>
      </w:r>
      <w:r w:rsidRPr="00120167">
        <w:rPr>
          <w:bCs/>
          <w:i/>
          <w:color w:val="000000"/>
        </w:rPr>
        <w:t xml:space="preserve">or visualisation and localisation during Trans- Arterial Chemo-Embolization (TACE) of hepatocellular carcinoma (HCC) at </w:t>
      </w:r>
      <w:r w:rsidRPr="00120167">
        <w:rPr>
          <w:bCs/>
          <w:i/>
        </w:rPr>
        <w:t>intermediate stage in adults (see Section 4.3 Contraindications and Section 4.4 Special Wa</w:t>
      </w:r>
      <w:r>
        <w:rPr>
          <w:bCs/>
          <w:i/>
        </w:rPr>
        <w:t>rnings and Precautions for Use)</w:t>
      </w:r>
      <w:r w:rsidR="0069342B">
        <w:rPr>
          <w:bCs/>
          <w:i/>
        </w:rPr>
        <w:t>.</w:t>
      </w:r>
    </w:p>
    <w:p w14:paraId="3283D3AB" w14:textId="1D9D5655" w:rsidR="00B709DA" w:rsidRPr="003650F7" w:rsidRDefault="00B709DA" w:rsidP="00C637B6">
      <w:r>
        <w:rPr>
          <w:bCs/>
        </w:rPr>
        <w:t xml:space="preserve">This merely emphasises </w:t>
      </w:r>
      <w:r w:rsidR="00AB17AD">
        <w:rPr>
          <w:bCs/>
        </w:rPr>
        <w:t xml:space="preserve">the </w:t>
      </w:r>
      <w:r w:rsidR="00D83937">
        <w:rPr>
          <w:bCs/>
        </w:rPr>
        <w:t>imaging</w:t>
      </w:r>
      <w:r>
        <w:rPr>
          <w:bCs/>
        </w:rPr>
        <w:t xml:space="preserve"> role without any intrinsic therapeutic effect rather than an oncology indication. </w:t>
      </w:r>
      <w:r>
        <w:t>In line with this thinking, the proposed PI does not include any clinical trial data. This is considered acceptable.</w:t>
      </w:r>
    </w:p>
    <w:p w14:paraId="065C21DD" w14:textId="33059D89" w:rsidR="00B709DA" w:rsidRPr="007D3551" w:rsidRDefault="00B709DA" w:rsidP="00C637B6">
      <w:r>
        <w:t>The dossier was not intended and did not include the relevant supporting data for proceeding to an exclusive imaging indication as in Canada and the US.</w:t>
      </w:r>
    </w:p>
    <w:p w14:paraId="178BCD7D" w14:textId="2DBFF380" w:rsidR="00B709DA" w:rsidRDefault="00B709DA" w:rsidP="00C637B6">
      <w:r>
        <w:t>With respect to the c</w:t>
      </w:r>
      <w:r w:rsidRPr="00201CF4">
        <w:t>is</w:t>
      </w:r>
      <w:r>
        <w:t xml:space="preserve">platin incompatibility issue, </w:t>
      </w:r>
      <w:r w:rsidR="00D83937">
        <w:t>the Delegate is</w:t>
      </w:r>
      <w:r>
        <w:t xml:space="preserve"> of the view that the available clinical data support the use of cisplatin in this context. A strengthened </w:t>
      </w:r>
      <w:r>
        <w:lastRenderedPageBreak/>
        <w:t xml:space="preserve">instruction to use </w:t>
      </w:r>
      <w:r w:rsidR="0052363E">
        <w:t>Lipiodol Ultra Fluid</w:t>
      </w:r>
      <w:r>
        <w:t>-cisplatin/cytotoxic agent immediately after preparation may be added to the PI.</w:t>
      </w:r>
    </w:p>
    <w:p w14:paraId="695702B5" w14:textId="77777777" w:rsidR="00B709DA" w:rsidRPr="003650F7" w:rsidRDefault="00B709DA" w:rsidP="00C637B6">
      <w:pPr>
        <w:rPr>
          <w:rFonts w:asciiTheme="minorHAnsi" w:hAnsiTheme="minorHAnsi"/>
        </w:rPr>
      </w:pPr>
      <w:r>
        <w:t xml:space="preserve">Please note that all 4 cytotoxic agents for which compatibility and clinical data were provided </w:t>
      </w:r>
      <w:r w:rsidRPr="003650F7">
        <w:t>(</w:t>
      </w:r>
      <w:r>
        <w:rPr>
          <w:rFonts w:asciiTheme="minorHAnsi" w:hAnsiTheme="minorHAnsi"/>
        </w:rPr>
        <w:t>d</w:t>
      </w:r>
      <w:r w:rsidRPr="003650F7">
        <w:rPr>
          <w:rFonts w:asciiTheme="minorHAnsi" w:hAnsiTheme="minorHAnsi"/>
        </w:rPr>
        <w:t xml:space="preserve">oxorubicin, </w:t>
      </w:r>
      <w:r>
        <w:rPr>
          <w:rFonts w:asciiTheme="minorHAnsi" w:hAnsiTheme="minorHAnsi"/>
        </w:rPr>
        <w:t>e</w:t>
      </w:r>
      <w:r w:rsidRPr="003650F7">
        <w:rPr>
          <w:rFonts w:asciiTheme="minorHAnsi" w:hAnsiTheme="minorHAnsi"/>
        </w:rPr>
        <w:t xml:space="preserve">pirubicin, </w:t>
      </w:r>
      <w:r>
        <w:rPr>
          <w:rFonts w:asciiTheme="minorHAnsi" w:hAnsiTheme="minorHAnsi"/>
        </w:rPr>
        <w:t>m</w:t>
      </w:r>
      <w:r w:rsidRPr="003650F7">
        <w:rPr>
          <w:rFonts w:asciiTheme="minorHAnsi" w:hAnsiTheme="minorHAnsi"/>
        </w:rPr>
        <w:t xml:space="preserve">itomycin and </w:t>
      </w:r>
      <w:r>
        <w:rPr>
          <w:rFonts w:asciiTheme="minorHAnsi" w:hAnsiTheme="minorHAnsi"/>
        </w:rPr>
        <w:t>c</w:t>
      </w:r>
      <w:r w:rsidRPr="003650F7">
        <w:rPr>
          <w:rFonts w:asciiTheme="minorHAnsi" w:hAnsiTheme="minorHAnsi"/>
        </w:rPr>
        <w:t>isplatin)</w:t>
      </w:r>
      <w:r>
        <w:rPr>
          <w:rFonts w:asciiTheme="minorHAnsi" w:hAnsiTheme="minorHAnsi"/>
        </w:rPr>
        <w:t xml:space="preserve"> are registered in Australia, although the approved indications for e</w:t>
      </w:r>
      <w:r w:rsidRPr="003650F7">
        <w:rPr>
          <w:rFonts w:asciiTheme="minorHAnsi" w:hAnsiTheme="minorHAnsi"/>
        </w:rPr>
        <w:t>pirubicin</w:t>
      </w:r>
      <w:r>
        <w:rPr>
          <w:rFonts w:asciiTheme="minorHAnsi" w:hAnsiTheme="minorHAnsi"/>
        </w:rPr>
        <w:t xml:space="preserve"> and c</w:t>
      </w:r>
      <w:r w:rsidRPr="003650F7">
        <w:rPr>
          <w:rFonts w:asciiTheme="minorHAnsi" w:hAnsiTheme="minorHAnsi"/>
        </w:rPr>
        <w:t>isplatin</w:t>
      </w:r>
      <w:r>
        <w:rPr>
          <w:rFonts w:asciiTheme="minorHAnsi" w:hAnsiTheme="minorHAnsi"/>
        </w:rPr>
        <w:t xml:space="preserve"> do not specifically include liver cancer.</w:t>
      </w:r>
    </w:p>
    <w:p w14:paraId="5C1849F6" w14:textId="1EB6C6EC" w:rsidR="00B709DA" w:rsidRDefault="00B709DA" w:rsidP="00C637B6">
      <w:r>
        <w:t xml:space="preserve">With respect to the appropriateness of references in the </w:t>
      </w:r>
      <w:r w:rsidR="0069342B">
        <w:t>PI</w:t>
      </w:r>
      <w:r>
        <w:t xml:space="preserve"> to any special dev</w:t>
      </w:r>
      <w:r w:rsidR="0069342B">
        <w:t>ice to be used during TACE, the Delegate is</w:t>
      </w:r>
      <w:r>
        <w:t xml:space="preserve"> of the view that if there are no known issues with using a standard glass syringe for this purpose, then a reference to any de</w:t>
      </w:r>
      <w:r w:rsidR="0069342B">
        <w:t>vice is not required in the PI.</w:t>
      </w:r>
    </w:p>
    <w:p w14:paraId="64FA16E3" w14:textId="5B307B47" w:rsidR="001D5977" w:rsidRDefault="001D5977" w:rsidP="001D5977">
      <w:pPr>
        <w:pStyle w:val="Heading4"/>
      </w:pPr>
      <w:r>
        <w:t>Proposed action</w:t>
      </w:r>
    </w:p>
    <w:p w14:paraId="4971F500" w14:textId="54DF3852" w:rsidR="001D5977" w:rsidRPr="0020206E" w:rsidRDefault="001D5977" w:rsidP="001D5977">
      <w:r>
        <w:t>The Delegate has</w:t>
      </w:r>
      <w:r w:rsidRPr="0020206E">
        <w:t xml:space="preserve"> no reason to say, at this time, that the application for Lipiodol Ultra Fluid should not be approved for registration for the following indication:</w:t>
      </w:r>
    </w:p>
    <w:p w14:paraId="6DF64C66" w14:textId="3A9C9192" w:rsidR="001D5977" w:rsidRPr="0069342B" w:rsidRDefault="001D5977" w:rsidP="001D5977">
      <w:pPr>
        <w:ind w:left="720"/>
      </w:pPr>
      <w:r w:rsidRPr="0020206E">
        <w:rPr>
          <w:rFonts w:cstheme="minorHAnsi"/>
          <w:bCs/>
          <w:i/>
          <w:color w:val="000000"/>
        </w:rPr>
        <w:t xml:space="preserve">In interventional radiology: </w:t>
      </w:r>
      <w:r w:rsidRPr="001D5977">
        <w:rPr>
          <w:rFonts w:cstheme="minorHAnsi"/>
          <w:bCs/>
          <w:i/>
          <w:color w:val="000000"/>
        </w:rPr>
        <w:t>As an imaging agent</w:t>
      </w:r>
      <w:r w:rsidRPr="0020206E">
        <w:rPr>
          <w:rFonts w:cstheme="minorHAnsi"/>
          <w:bCs/>
          <w:i/>
          <w:color w:val="000000"/>
        </w:rPr>
        <w:t xml:space="preserve"> for visualisation and localisation during Trans- Arterial Chemo-Embolization (TACE) of hepatocellular carcinoma (HCC) at </w:t>
      </w:r>
      <w:r w:rsidRPr="0020206E">
        <w:rPr>
          <w:rFonts w:cstheme="minorHAnsi"/>
          <w:bCs/>
          <w:i/>
        </w:rPr>
        <w:t>intermediate stage in adults (see Section 4.3 Contraindications and Section 4.4 Special War</w:t>
      </w:r>
      <w:r>
        <w:rPr>
          <w:rFonts w:cstheme="minorHAnsi"/>
          <w:bCs/>
          <w:i/>
        </w:rPr>
        <w:t>nings and Precautions for Use).</w:t>
      </w:r>
    </w:p>
    <w:p w14:paraId="0848A990" w14:textId="441C86D4" w:rsidR="007D53B6" w:rsidRDefault="007D53B6" w:rsidP="007D53B6">
      <w:pPr>
        <w:pStyle w:val="Heading4"/>
      </w:pPr>
      <w:r>
        <w:t xml:space="preserve">Request for </w:t>
      </w:r>
      <w:r w:rsidR="008C18C7">
        <w:t>advisory committee on medicines</w:t>
      </w:r>
      <w:r>
        <w:t xml:space="preserve"> advice</w:t>
      </w:r>
    </w:p>
    <w:p w14:paraId="6A91A364" w14:textId="3A57AF9A" w:rsidR="00B709DA" w:rsidRDefault="00B709DA" w:rsidP="00B709DA">
      <w:pPr>
        <w:rPr>
          <w:rFonts w:asciiTheme="minorHAnsi" w:hAnsiTheme="minorHAnsi"/>
        </w:rPr>
      </w:pPr>
      <w:r>
        <w:rPr>
          <w:rFonts w:asciiTheme="minorHAnsi" w:hAnsiTheme="minorHAnsi"/>
        </w:rPr>
        <w:t xml:space="preserve">The Delegate requested </w:t>
      </w:r>
      <w:r w:rsidR="00695622">
        <w:rPr>
          <w:rFonts w:asciiTheme="minorHAnsi" w:hAnsiTheme="minorHAnsi"/>
        </w:rPr>
        <w:t xml:space="preserve">Advisory Committee on Medicines (ACM) </w:t>
      </w:r>
      <w:r>
        <w:rPr>
          <w:rFonts w:asciiTheme="minorHAnsi" w:hAnsiTheme="minorHAnsi"/>
        </w:rPr>
        <w:t>advice in response to the following questions:</w:t>
      </w:r>
    </w:p>
    <w:p w14:paraId="5A8DDCED" w14:textId="3881D1F5" w:rsidR="00B709DA" w:rsidRDefault="00B709DA" w:rsidP="0069342B">
      <w:pPr>
        <w:pStyle w:val="Numberbullet0"/>
      </w:pPr>
      <w:r>
        <w:t xml:space="preserve">Is the use of </w:t>
      </w:r>
      <w:r w:rsidR="000C48E6">
        <w:t>Lipiodol Ultra Fluid</w:t>
      </w:r>
      <w:r>
        <w:t>, as part of TACE, consistent with the current Australian practice for HCC at BCLC intermediate stage? Does the ACM support the proposed extension of indication?</w:t>
      </w:r>
    </w:p>
    <w:p w14:paraId="32AD3CA6" w14:textId="046AEF9F" w:rsidR="00F06F8E" w:rsidRDefault="00F06F8E" w:rsidP="0069342B">
      <w:pPr>
        <w:pStyle w:val="Numberbullet0"/>
      </w:pPr>
      <w:r>
        <w:t>Does the ACM recommend any further guidance, additional information or modification of information in the PI on patient selection, disease stage or directions for use?</w:t>
      </w:r>
    </w:p>
    <w:p w14:paraId="1577531F" w14:textId="21CE6D5F" w:rsidR="00F06F8E" w:rsidRDefault="00F06F8E" w:rsidP="0069342B">
      <w:pPr>
        <w:pStyle w:val="Numberbullet0"/>
      </w:pPr>
      <w:r>
        <w:t>Does the Committee support the information on the use of the four identified cytotoxic agents (doxorubicin, epirubicin, mitomycin and cisplatin) in the PI including cisplatin?</w:t>
      </w:r>
    </w:p>
    <w:p w14:paraId="0746A803" w14:textId="6BC3ADEE" w:rsidR="00F06F8E" w:rsidRDefault="00F06F8E" w:rsidP="0069342B">
      <w:pPr>
        <w:pStyle w:val="Numberbullet0"/>
      </w:pPr>
      <w:r>
        <w:t>Does the Committee agree that a reference to any specific device to be used in the TACE is not required?</w:t>
      </w:r>
    </w:p>
    <w:p w14:paraId="4CF47D25" w14:textId="000D368B" w:rsidR="00F06F8E" w:rsidRPr="00B709DA" w:rsidRDefault="00F06F8E" w:rsidP="0069342B">
      <w:pPr>
        <w:pStyle w:val="Numberbullet0"/>
      </w:pPr>
      <w:r>
        <w:t>The Committee is also requested to provide advice on any other issues that it thinks may be relevant to a decision on whether or not to approve this application</w:t>
      </w:r>
    </w:p>
    <w:p w14:paraId="3BD17886"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7"/>
      </w:r>
    </w:p>
    <w:p w14:paraId="6E097D3A" w14:textId="310E8BA8"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r w:rsidR="0069342B">
        <w:rPr>
          <w:bCs/>
        </w:rPr>
        <w:t>.</w:t>
      </w:r>
    </w:p>
    <w:p w14:paraId="1610887F" w14:textId="670E98A0" w:rsidR="0069342B" w:rsidRDefault="00D360FE" w:rsidP="00D360FE">
      <w:pPr>
        <w:pStyle w:val="Heading5"/>
      </w:pPr>
      <w:r>
        <w:lastRenderedPageBreak/>
        <w:t>Specific advice</w:t>
      </w:r>
    </w:p>
    <w:p w14:paraId="1A70C0D2" w14:textId="07EAD02F" w:rsidR="00D360FE" w:rsidRPr="00D360FE" w:rsidRDefault="00D360FE" w:rsidP="00D360FE">
      <w:r w:rsidRPr="00D360FE">
        <w:t>The ACM advised the following in response to the Delegate</w:t>
      </w:r>
      <w:r>
        <w:t>’s specific request for advice.</w:t>
      </w:r>
    </w:p>
    <w:p w14:paraId="4CAA242A" w14:textId="13B7D736" w:rsidR="00D360FE" w:rsidRPr="00D360FE" w:rsidRDefault="00D360FE" w:rsidP="00D360FE">
      <w:pPr>
        <w:pStyle w:val="Numberbullet0"/>
        <w:numPr>
          <w:ilvl w:val="0"/>
          <w:numId w:val="35"/>
        </w:numPr>
        <w:rPr>
          <w:b/>
          <w:i/>
        </w:rPr>
      </w:pPr>
      <w:r w:rsidRPr="00D360FE">
        <w:rPr>
          <w:b/>
          <w:i/>
        </w:rPr>
        <w:t xml:space="preserve">Is the use of </w:t>
      </w:r>
      <w:r w:rsidR="000C48E6">
        <w:rPr>
          <w:b/>
          <w:i/>
        </w:rPr>
        <w:t>Lipiodol Ultra Fluid</w:t>
      </w:r>
      <w:r w:rsidRPr="00D360FE">
        <w:rPr>
          <w:b/>
          <w:i/>
        </w:rPr>
        <w:t xml:space="preserve">, as part of TACE, consistent with the current Australian practice for HCC at BCLC intermediate stage? Does the ACM support the proposed extension of indication? </w:t>
      </w:r>
    </w:p>
    <w:p w14:paraId="363A2CCF" w14:textId="70B763D6" w:rsidR="00D360FE" w:rsidRPr="00D360FE" w:rsidRDefault="00D360FE" w:rsidP="00D360FE">
      <w:r w:rsidRPr="00D360FE">
        <w:t xml:space="preserve">The ACM was supportive of the proposed extension of indications. The ACM advised that this is consistent with standard Australian clinical practice, where </w:t>
      </w:r>
      <w:r w:rsidR="000C48E6">
        <w:t>Lipiodol Ultra Fluid</w:t>
      </w:r>
      <w:r w:rsidRPr="00D360FE">
        <w:t xml:space="preserve"> is already part of the standar</w:t>
      </w:r>
      <w:r>
        <w:t>d of care for intermediate HCC.</w:t>
      </w:r>
    </w:p>
    <w:p w14:paraId="573E006F" w14:textId="6C24E510" w:rsidR="00D360FE" w:rsidRPr="00D360FE" w:rsidRDefault="00D360FE" w:rsidP="00D360FE">
      <w:pPr>
        <w:pStyle w:val="Numberbullet0"/>
        <w:rPr>
          <w:b/>
          <w:i/>
        </w:rPr>
      </w:pPr>
      <w:r w:rsidRPr="00D360FE">
        <w:rPr>
          <w:b/>
          <w:i/>
        </w:rPr>
        <w:t>Does the ACM recommend any further guidance, additional information or modification of information in the PI on patient selection, disease stage or directions for use?</w:t>
      </w:r>
    </w:p>
    <w:p w14:paraId="00A37FEA" w14:textId="19F1F4D3" w:rsidR="00D360FE" w:rsidRPr="00D360FE" w:rsidRDefault="00D360FE" w:rsidP="00D360FE">
      <w:r w:rsidRPr="00D360FE">
        <w:t>The ACM advised that in Section 4.4 ‘Special Warnings and Precautions for Use’ the units for the liver function tests should be changed to Standa</w:t>
      </w:r>
      <w:r>
        <w:t>rd Units (SI), for consistency.</w:t>
      </w:r>
    </w:p>
    <w:p w14:paraId="1B6EE277" w14:textId="23972179" w:rsidR="00D360FE" w:rsidRPr="00D360FE" w:rsidRDefault="00D360FE" w:rsidP="00D360FE">
      <w:r w:rsidRPr="00D360FE">
        <w:t>In regards to the same section of the PI, the ACM advised that current wording implies that thyroid function tests are not useful after treatment has been initiated; this should be reviewed and updated. Hyperthyroidism is currently listed as a potential adverse event, the ACM recommended that hypothyroidism also b</w:t>
      </w:r>
      <w:r>
        <w:t xml:space="preserve">e listed. In regards to the </w:t>
      </w:r>
      <w:r w:rsidRPr="00D360FE">
        <w:t>Consumer Medicines Information (CMI), the ACM advised that wording should be added to the effect of ‘Tell your doctor if you h</w:t>
      </w:r>
      <w:r>
        <w:t>ave a large thyroid or goitre.’</w:t>
      </w:r>
    </w:p>
    <w:p w14:paraId="07F2BA63" w14:textId="339FBFAE" w:rsidR="00D360FE" w:rsidRPr="00D360FE" w:rsidRDefault="00D360FE" w:rsidP="00D360FE">
      <w:pPr>
        <w:pStyle w:val="Numberbullet0"/>
        <w:rPr>
          <w:b/>
          <w:i/>
        </w:rPr>
      </w:pPr>
      <w:r w:rsidRPr="00D360FE">
        <w:rPr>
          <w:b/>
          <w:i/>
        </w:rPr>
        <w:t>Does the Committee support the information on the use of the four identified cytotoxic agents (doxorubicin, epirubicin, mitomycin and cisplatin)</w:t>
      </w:r>
      <w:r>
        <w:rPr>
          <w:b/>
          <w:i/>
        </w:rPr>
        <w:t xml:space="preserve"> in the PI including cisplatin?</w:t>
      </w:r>
    </w:p>
    <w:p w14:paraId="4424DF96" w14:textId="09821036" w:rsidR="00D360FE" w:rsidRPr="00D360FE" w:rsidRDefault="00D360FE" w:rsidP="00D360FE">
      <w:r w:rsidRPr="00D360FE">
        <w:t xml:space="preserve">The ACM noted that various agents are used in conjunction with </w:t>
      </w:r>
      <w:r w:rsidR="000C48E6">
        <w:t>Lipiodol Ultra Fluid</w:t>
      </w:r>
      <w:r w:rsidRPr="00D360FE">
        <w:t xml:space="preserve">, and was of the view that specifically naming agents in the PI was not necessary, particularly as the wording of the proposed indications specifies that </w:t>
      </w:r>
      <w:r w:rsidR="000C48E6">
        <w:t>Lipiodol Ultra Fluid</w:t>
      </w:r>
      <w:r w:rsidRPr="00D360FE">
        <w:t xml:space="preserve"> is to be used as an imaging agent. This allows the use of </w:t>
      </w:r>
      <w:r w:rsidR="000C48E6">
        <w:t>Lipiodol Ultra Fluid</w:t>
      </w:r>
      <w:r w:rsidRPr="00D360FE">
        <w:t xml:space="preserve"> to be more open and flexible to be adapted to clinical n</w:t>
      </w:r>
      <w:r>
        <w:t>eed.</w:t>
      </w:r>
    </w:p>
    <w:p w14:paraId="55A24F6D" w14:textId="66E14288" w:rsidR="00D360FE" w:rsidRPr="00D360FE" w:rsidRDefault="00D360FE" w:rsidP="00D360FE">
      <w:pPr>
        <w:pStyle w:val="Numberbullet0"/>
        <w:rPr>
          <w:b/>
          <w:i/>
        </w:rPr>
      </w:pPr>
      <w:r w:rsidRPr="00D360FE">
        <w:rPr>
          <w:b/>
          <w:i/>
        </w:rPr>
        <w:t>Does the Committee agree that a reference to any specific device to be used in the TACE is not required?</w:t>
      </w:r>
    </w:p>
    <w:p w14:paraId="4C29CC36" w14:textId="32BF95BE" w:rsidR="00D360FE" w:rsidRPr="00D360FE" w:rsidRDefault="00D360FE" w:rsidP="00D360FE">
      <w:r w:rsidRPr="00D360FE">
        <w:t xml:space="preserve">The ACM advised that there is variation in use and technique of administration for </w:t>
      </w:r>
      <w:r w:rsidR="000C48E6">
        <w:t>Lipiodol Ultra Fluid</w:t>
      </w:r>
      <w:r w:rsidRPr="00D360FE">
        <w:t>, therefore, it is not necessary to reference the use of a specific device for TACE. However, the ACM was of the view that standard wording around safety precautions for adm</w:t>
      </w:r>
      <w:r>
        <w:t>inistration should be included.</w:t>
      </w:r>
    </w:p>
    <w:p w14:paraId="6B31E48F" w14:textId="137CA3F0" w:rsidR="00D360FE" w:rsidRPr="00D360FE" w:rsidRDefault="00D360FE" w:rsidP="00D360FE">
      <w:pPr>
        <w:pStyle w:val="Numberbullet0"/>
        <w:rPr>
          <w:b/>
          <w:i/>
        </w:rPr>
      </w:pPr>
      <w:r w:rsidRPr="00D360FE">
        <w:rPr>
          <w:b/>
          <w:i/>
        </w:rPr>
        <w:t>The Committee is also requested to provide advice on any other issues that it thinks may be relevant to a decision on whether or not to approve this application.</w:t>
      </w:r>
    </w:p>
    <w:p w14:paraId="42E73421" w14:textId="741A3C74" w:rsidR="00D360FE" w:rsidRDefault="00D360FE" w:rsidP="00D360FE">
      <w:pPr>
        <w:rPr>
          <w:bCs/>
        </w:rPr>
      </w:pPr>
      <w:r w:rsidRPr="00D360FE">
        <w:t>Nil further comments.</w:t>
      </w:r>
    </w:p>
    <w:p w14:paraId="20D2BBA7" w14:textId="3F470293" w:rsidR="0069342B" w:rsidRDefault="0069342B" w:rsidP="0069342B">
      <w:pPr>
        <w:pStyle w:val="Heading5"/>
      </w:pPr>
      <w:r>
        <w:t>ACM conclusion</w:t>
      </w:r>
    </w:p>
    <w:p w14:paraId="321CAE9D" w14:textId="787EAEF3" w:rsidR="0069342B" w:rsidRPr="0069342B" w:rsidRDefault="0069342B" w:rsidP="0069342B">
      <w:pPr>
        <w:autoSpaceDE w:val="0"/>
        <w:autoSpaceDN w:val="0"/>
        <w:adjustRightInd w:val="0"/>
        <w:spacing w:before="0" w:after="0" w:line="240" w:lineRule="auto"/>
        <w:rPr>
          <w:rFonts w:eastAsiaTheme="minorHAnsi" w:cs="Cambria"/>
          <w:color w:val="000000"/>
        </w:rPr>
      </w:pPr>
      <w:r w:rsidRPr="0069342B">
        <w:rPr>
          <w:rFonts w:eastAsiaTheme="minorHAnsi" w:cs="Cambria"/>
          <w:color w:val="000000"/>
        </w:rPr>
        <w:t xml:space="preserve">The ACM considered this product to have an overall positive benefit-risk profile for the </w:t>
      </w:r>
      <w:r>
        <w:rPr>
          <w:rFonts w:eastAsiaTheme="minorHAnsi" w:cs="Cambria"/>
          <w:color w:val="000000"/>
        </w:rPr>
        <w:t>indication:</w:t>
      </w:r>
    </w:p>
    <w:p w14:paraId="223AAA87" w14:textId="020F06BD" w:rsidR="0069342B" w:rsidRDefault="0069342B" w:rsidP="0069342B">
      <w:pPr>
        <w:ind w:left="720"/>
        <w:rPr>
          <w:bCs/>
        </w:rPr>
      </w:pPr>
      <w:r w:rsidRPr="0069342B">
        <w:rPr>
          <w:rFonts w:eastAsiaTheme="minorHAnsi" w:cs="Cambria"/>
          <w:i/>
          <w:iCs/>
          <w:color w:val="000000"/>
        </w:rPr>
        <w:t xml:space="preserve">In interventional radiology: As an imaging agent for visualisation and localisation during Trans- Arterial Chemo-Embolization (TACE) of hepatocellular carcinoma </w:t>
      </w:r>
      <w:r w:rsidRPr="0069342B">
        <w:rPr>
          <w:rFonts w:eastAsiaTheme="minorHAnsi" w:cs="Cambria"/>
          <w:i/>
          <w:iCs/>
          <w:color w:val="000000"/>
        </w:rPr>
        <w:lastRenderedPageBreak/>
        <w:t>(HCC) at intermediate stage in adults (see Section 4.3 Contraindications and Section 4.4 Special War</w:t>
      </w:r>
      <w:r>
        <w:rPr>
          <w:rFonts w:eastAsiaTheme="minorHAnsi" w:cs="Cambria"/>
          <w:i/>
          <w:iCs/>
          <w:color w:val="000000"/>
        </w:rPr>
        <w:t>nings and Precautions for Use).</w:t>
      </w:r>
    </w:p>
    <w:p w14:paraId="7D02062C" w14:textId="3DD67671" w:rsidR="008E7846" w:rsidRPr="002E238E" w:rsidRDefault="008E7846" w:rsidP="008E7846">
      <w:pPr>
        <w:pStyle w:val="Heading3"/>
      </w:pPr>
      <w:bookmarkStart w:id="64" w:name="_Toc247691532"/>
      <w:bookmarkStart w:id="65" w:name="_Toc314842516"/>
      <w:bookmarkStart w:id="66" w:name="_Toc61253626"/>
      <w:bookmarkEnd w:id="29"/>
      <w:bookmarkEnd w:id="61"/>
      <w:bookmarkEnd w:id="62"/>
      <w:r>
        <w:t>Outcome</w:t>
      </w:r>
      <w:bookmarkEnd w:id="64"/>
      <w:bookmarkEnd w:id="65"/>
      <w:bookmarkEnd w:id="66"/>
    </w:p>
    <w:p w14:paraId="51B3CC2E" w14:textId="13D8AFA6" w:rsidR="007D53B6" w:rsidRDefault="007D53B6" w:rsidP="007D53B6">
      <w:bookmarkStart w:id="67" w:name="_Toc247691533"/>
      <w:bookmarkStart w:id="68" w:name="_Toc314842517"/>
      <w:r>
        <w:t xml:space="preserve">Based on a review of quality, safety and efficacy, </w:t>
      </w:r>
      <w:r w:rsidR="0086610F">
        <w:t xml:space="preserve">the </w:t>
      </w:r>
      <w:r>
        <w:t xml:space="preserve">TGA approved the registration of </w:t>
      </w:r>
      <w:r w:rsidR="00C179A6">
        <w:t>Lipiodol Ultra Fluid</w:t>
      </w:r>
      <w:r>
        <w:t xml:space="preserve"> </w:t>
      </w:r>
      <w:r w:rsidR="00D360FE">
        <w:t xml:space="preserve">(iodised oil) </w:t>
      </w:r>
      <w:r w:rsidR="00763373">
        <w:t>10 mL injection solution ampoule</w:t>
      </w:r>
      <w:r w:rsidR="00763373" w:rsidRPr="00250271">
        <w:t xml:space="preserve"> </w:t>
      </w:r>
      <w:r>
        <w:t>for the following extension of indications:</w:t>
      </w:r>
    </w:p>
    <w:p w14:paraId="6D02E700" w14:textId="77777777" w:rsidR="00763373" w:rsidRPr="0086610F" w:rsidRDefault="00763373" w:rsidP="00763373">
      <w:pPr>
        <w:ind w:left="720"/>
        <w:rPr>
          <w:i/>
        </w:rPr>
      </w:pPr>
      <w:r w:rsidRPr="0086610F">
        <w:rPr>
          <w:i/>
        </w:rPr>
        <w:t>In interventional radiology:</w:t>
      </w:r>
    </w:p>
    <w:p w14:paraId="2364EDE7" w14:textId="77777777" w:rsidR="00763373" w:rsidRDefault="00763373" w:rsidP="00763373">
      <w:pPr>
        <w:ind w:left="720"/>
      </w:pPr>
      <w:r w:rsidRPr="002734C5">
        <w:rPr>
          <w:i/>
        </w:rPr>
        <w:t>As an imaging agent for visualisation and localisation during Trans-Arterial Chemo-Embolisation (TACE) of hepatocellular carcinoma (HCC) at int</w:t>
      </w:r>
      <w:r>
        <w:rPr>
          <w:i/>
        </w:rPr>
        <w:t>ermediate stage in adults (see S</w:t>
      </w:r>
      <w:r w:rsidRPr="002734C5">
        <w:rPr>
          <w:i/>
        </w:rPr>
        <w:t>ection 4.3 Contraindications and Section 4.4 Special Warnings and Precautions for Use)</w:t>
      </w:r>
    </w:p>
    <w:p w14:paraId="1C6BC96D" w14:textId="15716C47" w:rsidR="007D53B6" w:rsidRDefault="007D53B6" w:rsidP="007D53B6">
      <w:r>
        <w:t>As such, the full indications at this time were:</w:t>
      </w:r>
    </w:p>
    <w:p w14:paraId="3B538CC0" w14:textId="61525CDA" w:rsidR="00763373" w:rsidRPr="0086610F" w:rsidRDefault="00763373" w:rsidP="00763373">
      <w:pPr>
        <w:ind w:left="720"/>
        <w:rPr>
          <w:b/>
          <w:i/>
        </w:rPr>
      </w:pPr>
      <w:r w:rsidRPr="0086610F">
        <w:rPr>
          <w:b/>
          <w:i/>
        </w:rPr>
        <w:t>In diagnostic radiology:</w:t>
      </w:r>
    </w:p>
    <w:p w14:paraId="2FC10A96" w14:textId="7D221E6A" w:rsidR="00763373" w:rsidRDefault="00763373" w:rsidP="00763373">
      <w:pPr>
        <w:ind w:left="720"/>
      </w:pPr>
      <w:r w:rsidRPr="00763373">
        <w:rPr>
          <w:i/>
        </w:rPr>
        <w:t xml:space="preserve">Hysterosalpingography; lymphangiography; </w:t>
      </w:r>
      <w:proofErr w:type="spellStart"/>
      <w:r w:rsidRPr="00763373">
        <w:rPr>
          <w:i/>
        </w:rPr>
        <w:t>urethrography</w:t>
      </w:r>
      <w:proofErr w:type="spellEnd"/>
      <w:r w:rsidRPr="00763373">
        <w:rPr>
          <w:i/>
        </w:rPr>
        <w:t xml:space="preserve">; radiography of the seminal vesicles, vas deferens and epididymis; nasal sinuses (for which purpose dilution to one-half or one-third strength with liquid paraffin or a suitable vegetable oil is generally advised); </w:t>
      </w:r>
      <w:proofErr w:type="spellStart"/>
      <w:r w:rsidRPr="00763373">
        <w:rPr>
          <w:i/>
        </w:rPr>
        <w:t>dacryocystography</w:t>
      </w:r>
      <w:proofErr w:type="spellEnd"/>
      <w:r w:rsidRPr="00763373">
        <w:rPr>
          <w:i/>
        </w:rPr>
        <w:t xml:space="preserve">; </w:t>
      </w:r>
      <w:proofErr w:type="spellStart"/>
      <w:r w:rsidRPr="00763373">
        <w:rPr>
          <w:i/>
        </w:rPr>
        <w:t>sialography</w:t>
      </w:r>
      <w:proofErr w:type="spellEnd"/>
      <w:r w:rsidRPr="00763373">
        <w:rPr>
          <w:i/>
        </w:rPr>
        <w:t xml:space="preserve"> and the exploration of sinuses, fistulae, etc. It has also been used in the form of a 20% emulsion for the X-ray examination of empyema cavities.</w:t>
      </w:r>
    </w:p>
    <w:p w14:paraId="582BCA09" w14:textId="77777777" w:rsidR="00763373" w:rsidRPr="0086610F" w:rsidRDefault="00763373" w:rsidP="00763373">
      <w:pPr>
        <w:ind w:left="720"/>
        <w:rPr>
          <w:b/>
          <w:i/>
        </w:rPr>
      </w:pPr>
      <w:r w:rsidRPr="0086610F">
        <w:rPr>
          <w:b/>
          <w:i/>
        </w:rPr>
        <w:t>In interventional radiology:</w:t>
      </w:r>
    </w:p>
    <w:p w14:paraId="22F2A18C" w14:textId="77777777" w:rsidR="00763373" w:rsidRDefault="00763373" w:rsidP="00763373">
      <w:pPr>
        <w:ind w:left="720"/>
      </w:pPr>
      <w:r w:rsidRPr="002734C5">
        <w:rPr>
          <w:i/>
        </w:rPr>
        <w:t>As an imaging agent for visualisation and localisation during Trans-Arterial Chemo-Embolisation (TACE) of hepatocellular carcinoma (HCC) at int</w:t>
      </w:r>
      <w:r>
        <w:rPr>
          <w:i/>
        </w:rPr>
        <w:t>ermediate stage in adults (see S</w:t>
      </w:r>
      <w:r w:rsidRPr="002734C5">
        <w:rPr>
          <w:i/>
        </w:rPr>
        <w:t>ection 4.3 Contraindications and Section 4.4 Special Warnings and Precautions for Use)</w:t>
      </w:r>
    </w:p>
    <w:p w14:paraId="221C9C5D" w14:textId="77777777" w:rsidR="00D23139" w:rsidRPr="00D23139" w:rsidRDefault="00D23139" w:rsidP="00D23139">
      <w:pPr>
        <w:pStyle w:val="Heading4"/>
      </w:pPr>
      <w:r w:rsidRPr="00D23139">
        <w:t>Specific conditions of registration applying to these goods</w:t>
      </w:r>
    </w:p>
    <w:p w14:paraId="38D9D27D" w14:textId="26E79C49" w:rsidR="00456765" w:rsidRDefault="00C45775" w:rsidP="00D360FE">
      <w:pPr>
        <w:pStyle w:val="ListBullet"/>
      </w:pPr>
      <w:r>
        <w:t xml:space="preserve">The Lipiodol Ultra Fluid Global </w:t>
      </w:r>
      <w:r w:rsidR="00D360FE">
        <w:t>RMP</w:t>
      </w:r>
      <w:r>
        <w:t xml:space="preserve"> (version 1, dated 24 May 2018, data lock point 30 Se</w:t>
      </w:r>
      <w:r w:rsidR="00D360FE">
        <w:t>ptember 2017), with Australian s</w:t>
      </w:r>
      <w:r>
        <w:t>p</w:t>
      </w:r>
      <w:r w:rsidR="00D360FE">
        <w:t>ecific a</w:t>
      </w:r>
      <w:r>
        <w:t>nnex (version 1, dated February 2019), included with submission PM-2018-05773-1-2, to be revised to the satisfaction of the TGA, will be implemented in Australia.</w:t>
      </w:r>
    </w:p>
    <w:p w14:paraId="7BF867CD" w14:textId="651EA460" w:rsidR="00C45775" w:rsidRDefault="00C45775" w:rsidP="00D360FE">
      <w:pPr>
        <w:pStyle w:val="ListBullet"/>
      </w:pPr>
      <w:r>
        <w:t xml:space="preserve">For all injectable products the </w:t>
      </w:r>
      <w:r w:rsidR="00D360FE">
        <w:t>PI</w:t>
      </w:r>
      <w:r>
        <w:t xml:space="preserve"> must be included with the product</w:t>
      </w:r>
      <w:r w:rsidR="00D360FE">
        <w:t xml:space="preserve"> as a package insert.</w:t>
      </w:r>
    </w:p>
    <w:p w14:paraId="4C9F36D5" w14:textId="35BDADDA" w:rsidR="008E7846" w:rsidRDefault="00A80B5B" w:rsidP="00D23139">
      <w:pPr>
        <w:pStyle w:val="Heading2"/>
      </w:pPr>
      <w:bookmarkStart w:id="69" w:name="_Toc61253627"/>
      <w:r>
        <w:t xml:space="preserve">Attachment 1. </w:t>
      </w:r>
      <w:r w:rsidR="008E7846">
        <w:t xml:space="preserve">Product </w:t>
      </w:r>
      <w:r w:rsidR="00AA0ED0">
        <w:t>I</w:t>
      </w:r>
      <w:r w:rsidR="008E7846">
        <w:t>nformation</w:t>
      </w:r>
      <w:bookmarkEnd w:id="67"/>
      <w:bookmarkEnd w:id="68"/>
      <w:bookmarkEnd w:id="69"/>
    </w:p>
    <w:p w14:paraId="2D67B6B5" w14:textId="615EAAA3" w:rsidR="00770CAC" w:rsidRPr="0086610F" w:rsidRDefault="006136D7" w:rsidP="0086610F">
      <w:pPr>
        <w:rPr>
          <w:color w:val="000000"/>
          <w:lang w:eastAsia="en-AU"/>
        </w:rPr>
      </w:pPr>
      <w:r w:rsidRPr="002B3624">
        <w:t xml:space="preserve">The </w:t>
      </w:r>
      <w:r>
        <w:t>PI</w:t>
      </w:r>
      <w:r w:rsidRPr="002B3624">
        <w:t xml:space="preserve"> for </w:t>
      </w:r>
      <w:r w:rsidR="00C45775">
        <w:t>Lipiodol Ultra Fluid</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C45775">
        <w:t>&gt;.</w:t>
      </w:r>
    </w:p>
    <w:p w14:paraId="7ED8FA25" w14:textId="77777777" w:rsidR="00291957" w:rsidRDefault="00291957" w:rsidP="00291957">
      <w:pPr>
        <w:rPr>
          <w:lang w:eastAsia="ja-JP"/>
        </w:rPr>
      </w:pPr>
    </w:p>
    <w:p w14:paraId="650146B7"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CFD31C0" w14:textId="77777777" w:rsidTr="00A05FA4">
        <w:trPr>
          <w:trHeight w:hRule="exact" w:val="704"/>
        </w:trPr>
        <w:tc>
          <w:tcPr>
            <w:tcW w:w="9175" w:type="dxa"/>
          </w:tcPr>
          <w:p w14:paraId="7D02BC42" w14:textId="77777777" w:rsidR="001C32CD" w:rsidRPr="00487162" w:rsidRDefault="001C32CD" w:rsidP="00A05FA4">
            <w:pPr>
              <w:pStyle w:val="TGASignoff"/>
            </w:pPr>
            <w:r w:rsidRPr="00487162">
              <w:lastRenderedPageBreak/>
              <w:t>Therapeutic Goods Administration</w:t>
            </w:r>
          </w:p>
        </w:tc>
      </w:tr>
      <w:tr w:rsidR="001C32CD" w:rsidRPr="004C239D" w14:paraId="5FA33AE4" w14:textId="77777777" w:rsidTr="00A05FA4">
        <w:trPr>
          <w:trHeight w:val="1221"/>
        </w:trPr>
        <w:tc>
          <w:tcPr>
            <w:tcW w:w="9175" w:type="dxa"/>
            <w:tcMar>
              <w:top w:w="28" w:type="dxa"/>
            </w:tcMar>
          </w:tcPr>
          <w:p w14:paraId="486A83AB" w14:textId="77777777" w:rsidR="001C32CD" w:rsidRPr="00487162" w:rsidRDefault="001C32CD" w:rsidP="00A05FA4">
            <w:pPr>
              <w:pStyle w:val="Address"/>
            </w:pPr>
            <w:r w:rsidRPr="00487162">
              <w:t>PO Box 100 Woden ACT 2606 Australia</w:t>
            </w:r>
          </w:p>
          <w:p w14:paraId="394A06C5" w14:textId="07C50A7B"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14:paraId="67F290A0" w14:textId="2D2FCD4D" w:rsidR="001C32CD" w:rsidRPr="004C239D" w:rsidRDefault="008C18C7"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141724D5"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803FE5" w16cid:durableId="237DE309"/>
  <w16cid:commentId w16cid:paraId="6E385620" w16cid:durableId="237DE4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33480" w14:textId="77777777" w:rsidR="008C18C7" w:rsidRDefault="008C18C7" w:rsidP="00C40A36">
      <w:pPr>
        <w:spacing w:after="0"/>
      </w:pPr>
      <w:r>
        <w:separator/>
      </w:r>
    </w:p>
  </w:endnote>
  <w:endnote w:type="continuationSeparator" w:id="0">
    <w:p w14:paraId="519ECB4F" w14:textId="77777777" w:rsidR="008C18C7" w:rsidRDefault="008C18C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A6C1" w14:textId="77777777" w:rsidR="008C18C7" w:rsidRDefault="008C1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C18C7" w:rsidRPr="00487162" w14:paraId="782952A9" w14:textId="77777777" w:rsidTr="00DB750B">
      <w:trPr>
        <w:trHeight w:val="269"/>
      </w:trPr>
      <w:tc>
        <w:tcPr>
          <w:tcW w:w="7371" w:type="dxa"/>
          <w:tcMar>
            <w:top w:w="142" w:type="dxa"/>
            <w:bottom w:w="0" w:type="dxa"/>
          </w:tcMar>
        </w:tcPr>
        <w:p w14:paraId="39A4AE15" w14:textId="349B571D" w:rsidR="008C18C7" w:rsidRPr="00487162" w:rsidRDefault="008C18C7" w:rsidP="000C48E6">
          <w:pPr>
            <w:pStyle w:val="Footer"/>
          </w:pPr>
          <w:r w:rsidRPr="00487162">
            <w:t>AusPA</w:t>
          </w:r>
          <w:r>
            <w:t xml:space="preserve">R – LIPIODOL ULTRA FLUID </w:t>
          </w:r>
          <w:r w:rsidRPr="00460036">
            <w:t xml:space="preserve">– </w:t>
          </w:r>
          <w:r>
            <w:t>iodised oil</w:t>
          </w:r>
          <w:r w:rsidRPr="00460036">
            <w:t xml:space="preserve"> </w:t>
          </w:r>
          <w:r>
            <w:t>– Guerbet Australia – PM-2018</w:t>
          </w:r>
          <w:r w:rsidRPr="00487162">
            <w:t>-</w:t>
          </w:r>
          <w:r>
            <w:t>05773-1-2</w:t>
          </w:r>
          <w:r>
            <w:br/>
            <w:t>FINAL 23 December 2020</w:t>
          </w:r>
        </w:p>
      </w:tc>
      <w:tc>
        <w:tcPr>
          <w:tcW w:w="1490" w:type="dxa"/>
          <w:tcMar>
            <w:top w:w="142" w:type="dxa"/>
            <w:bottom w:w="0" w:type="dxa"/>
          </w:tcMar>
        </w:tcPr>
        <w:p w14:paraId="7DB732EB" w14:textId="512F443C" w:rsidR="008C18C7" w:rsidRPr="00487162" w:rsidRDefault="008C18C7" w:rsidP="00DB750B">
          <w:pPr>
            <w:pStyle w:val="Footer"/>
            <w:jc w:val="right"/>
          </w:pPr>
          <w:r w:rsidRPr="00487162">
            <w:t xml:space="preserve">Page </w:t>
          </w:r>
          <w:r>
            <w:fldChar w:fldCharType="begin"/>
          </w:r>
          <w:r>
            <w:instrText xml:space="preserve"> PAGE  \* Arabic </w:instrText>
          </w:r>
          <w:r>
            <w:fldChar w:fldCharType="separate"/>
          </w:r>
          <w:r w:rsidR="004C2A83">
            <w:rPr>
              <w:noProof/>
            </w:rPr>
            <w:t>21</w:t>
          </w:r>
          <w:r>
            <w:fldChar w:fldCharType="end"/>
          </w:r>
          <w:r w:rsidRPr="00487162">
            <w:t xml:space="preserve"> of </w:t>
          </w:r>
          <w:fldSimple w:instr=" NUMPAGES  \* Arabic ">
            <w:r w:rsidR="004C2A83">
              <w:rPr>
                <w:noProof/>
              </w:rPr>
              <w:t>23</w:t>
            </w:r>
          </w:fldSimple>
        </w:p>
      </w:tc>
    </w:tr>
  </w:tbl>
  <w:p w14:paraId="64550FCF" w14:textId="77777777" w:rsidR="008C18C7" w:rsidRDefault="008C18C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D56C2" w14:textId="77777777" w:rsidR="008C18C7" w:rsidRDefault="008C18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C18C7" w:rsidRPr="00487162" w14:paraId="4031EE27" w14:textId="77777777" w:rsidTr="00E45619">
      <w:trPr>
        <w:trHeight w:val="269"/>
      </w:trPr>
      <w:tc>
        <w:tcPr>
          <w:tcW w:w="4519" w:type="dxa"/>
          <w:tcBorders>
            <w:top w:val="single" w:sz="4" w:space="0" w:color="auto"/>
          </w:tcBorders>
          <w:tcMar>
            <w:top w:w="142" w:type="dxa"/>
            <w:bottom w:w="0" w:type="dxa"/>
          </w:tcMar>
        </w:tcPr>
        <w:p w14:paraId="7178ABF6" w14:textId="77777777" w:rsidR="008C18C7" w:rsidRPr="00487162" w:rsidRDefault="008C18C7" w:rsidP="00FE1DEE">
          <w:pPr>
            <w:pStyle w:val="Footer"/>
          </w:pPr>
          <w:r w:rsidRPr="00487162">
            <w:t>Document title, Part #, Section # - Section title</w:t>
          </w:r>
        </w:p>
        <w:p w14:paraId="3D69EE55" w14:textId="77777777" w:rsidR="008C18C7" w:rsidRPr="00487162" w:rsidRDefault="008C18C7" w:rsidP="00FE1DEE">
          <w:pPr>
            <w:pStyle w:val="Footer"/>
          </w:pPr>
          <w:r w:rsidRPr="00487162">
            <w:t>V1.0 October 2010</w:t>
          </w:r>
        </w:p>
      </w:tc>
      <w:tc>
        <w:tcPr>
          <w:tcW w:w="4342" w:type="dxa"/>
          <w:tcBorders>
            <w:top w:val="single" w:sz="4" w:space="0" w:color="auto"/>
          </w:tcBorders>
          <w:tcMar>
            <w:top w:w="142" w:type="dxa"/>
            <w:bottom w:w="0" w:type="dxa"/>
          </w:tcMar>
        </w:tcPr>
        <w:p w14:paraId="23E9175C" w14:textId="77777777" w:rsidR="008C18C7" w:rsidRPr="00487162" w:rsidRDefault="008C18C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w:t>
            </w:r>
          </w:fldSimple>
        </w:p>
      </w:tc>
    </w:tr>
  </w:tbl>
  <w:p w14:paraId="568A1DD1" w14:textId="77777777" w:rsidR="008C18C7" w:rsidRDefault="008C18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67B6F" w14:textId="77777777" w:rsidR="008C18C7" w:rsidRPr="001C32CD" w:rsidRDefault="008C18C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C18C7" w14:paraId="008D0E79" w14:textId="77777777" w:rsidTr="0010601F">
      <w:trPr>
        <w:trHeight w:val="108"/>
      </w:trPr>
      <w:tc>
        <w:tcPr>
          <w:tcW w:w="8875" w:type="dxa"/>
          <w:gridSpan w:val="2"/>
          <w:tcBorders>
            <w:bottom w:val="single" w:sz="4" w:space="0" w:color="auto"/>
          </w:tcBorders>
          <w:tcMar>
            <w:right w:w="284" w:type="dxa"/>
          </w:tcMar>
        </w:tcPr>
        <w:p w14:paraId="67996E7D" w14:textId="77777777" w:rsidR="008C18C7" w:rsidRDefault="008C18C7" w:rsidP="006E08B3">
          <w:pPr>
            <w:pStyle w:val="Heading3"/>
          </w:pPr>
          <w:r>
            <w:t>Copyright</w:t>
          </w:r>
        </w:p>
        <w:p w14:paraId="0430A853" w14:textId="77777777" w:rsidR="008C18C7" w:rsidRDefault="008C18C7" w:rsidP="006E08B3">
          <w:r>
            <w:rPr>
              <w:rFonts w:cs="Arial"/>
            </w:rPr>
            <w:t>©</w:t>
          </w:r>
          <w:r>
            <w:t xml:space="preserve"> Commonwealth of Australia [add year]</w:t>
          </w:r>
        </w:p>
        <w:p w14:paraId="59B635BE" w14:textId="77777777" w:rsidR="008C18C7" w:rsidRDefault="008C18C7" w:rsidP="006E08B3"/>
        <w:p w14:paraId="3E389FB4" w14:textId="77777777" w:rsidR="008C18C7" w:rsidRDefault="008C18C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D538287" w14:textId="77777777" w:rsidR="008C18C7" w:rsidRDefault="008C18C7" w:rsidP="006E08B3"/>
        <w:p w14:paraId="27C3291F" w14:textId="77777777" w:rsidR="008C18C7" w:rsidRDefault="008C18C7" w:rsidP="006E08B3">
          <w:pPr>
            <w:pStyle w:val="Heading3"/>
          </w:pPr>
          <w:r>
            <w:t>Confidentiality</w:t>
          </w:r>
        </w:p>
        <w:p w14:paraId="050D46F5" w14:textId="77777777" w:rsidR="008C18C7" w:rsidRDefault="008C18C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67DD6C" w14:textId="77777777" w:rsidR="008C18C7" w:rsidRDefault="008C18C7" w:rsidP="006E08B3"/>
        <w:p w14:paraId="50A66FD2" w14:textId="77777777" w:rsidR="008C18C7" w:rsidRDefault="008C18C7" w:rsidP="006E08B3">
          <w:r>
            <w:t>For submission made by individuals, all personal details, other than your name, will be removed from your submission before it is published on the TGA’s Internet site.</w:t>
          </w:r>
        </w:p>
        <w:p w14:paraId="1C1CA13C" w14:textId="77777777" w:rsidR="008C18C7" w:rsidRDefault="008C18C7" w:rsidP="006E08B3"/>
        <w:p w14:paraId="11623B63" w14:textId="77777777" w:rsidR="008C18C7" w:rsidRDefault="008C18C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C18C7" w14:paraId="486FBCA6" w14:textId="77777777" w:rsidTr="0010601F">
      <w:trPr>
        <w:trHeight w:val="417"/>
      </w:trPr>
      <w:tc>
        <w:tcPr>
          <w:tcW w:w="4519" w:type="dxa"/>
          <w:tcBorders>
            <w:top w:val="single" w:sz="4" w:space="0" w:color="auto"/>
          </w:tcBorders>
          <w:tcMar>
            <w:top w:w="142" w:type="dxa"/>
            <w:bottom w:w="0" w:type="dxa"/>
          </w:tcMar>
        </w:tcPr>
        <w:p w14:paraId="3E70F2B4" w14:textId="77777777" w:rsidR="008C18C7" w:rsidRDefault="008C18C7" w:rsidP="006E08B3">
          <w:r>
            <w:t>Document title, Part #, Section # - Section title</w:t>
          </w:r>
        </w:p>
        <w:p w14:paraId="0E1BA675" w14:textId="77777777" w:rsidR="008C18C7" w:rsidRDefault="008C18C7" w:rsidP="006E08B3">
          <w:r>
            <w:t>V1.0 October 2010</w:t>
          </w:r>
        </w:p>
      </w:tc>
      <w:tc>
        <w:tcPr>
          <w:tcW w:w="4356" w:type="dxa"/>
          <w:tcBorders>
            <w:top w:val="single" w:sz="4" w:space="0" w:color="auto"/>
          </w:tcBorders>
          <w:tcMar>
            <w:top w:w="142" w:type="dxa"/>
            <w:bottom w:w="0" w:type="dxa"/>
          </w:tcMar>
        </w:tcPr>
        <w:p w14:paraId="55CD84E2" w14:textId="77777777" w:rsidR="008C18C7" w:rsidRDefault="008C18C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w:t>
            </w:r>
          </w:fldSimple>
          <w:r>
            <w:t xml:space="preserve">  </w:t>
          </w:r>
        </w:p>
      </w:tc>
    </w:tr>
  </w:tbl>
  <w:p w14:paraId="01A51163" w14:textId="77777777" w:rsidR="008C18C7" w:rsidRDefault="008C18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0DCEB" w14:textId="77777777" w:rsidR="008C18C7" w:rsidRDefault="008C18C7" w:rsidP="00C40A36">
      <w:pPr>
        <w:spacing w:after="0"/>
      </w:pPr>
      <w:r>
        <w:separator/>
      </w:r>
    </w:p>
  </w:footnote>
  <w:footnote w:type="continuationSeparator" w:id="0">
    <w:p w14:paraId="42F44CC9" w14:textId="77777777" w:rsidR="008C18C7" w:rsidRDefault="008C18C7" w:rsidP="00C40A36">
      <w:pPr>
        <w:spacing w:after="0"/>
      </w:pPr>
      <w:r>
        <w:continuationSeparator/>
      </w:r>
    </w:p>
  </w:footnote>
  <w:footnote w:id="1">
    <w:p w14:paraId="30EE1382" w14:textId="77777777" w:rsidR="008C18C7" w:rsidRDefault="008C18C7">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86F2B35" w14:textId="7E36AB7B" w:rsidR="008C18C7" w:rsidRDefault="008C18C7" w:rsidP="000E12EB">
      <w:pPr>
        <w:pStyle w:val="FootnoteText"/>
      </w:pPr>
      <w:r>
        <w:rPr>
          <w:rStyle w:val="FootnoteReference"/>
        </w:rPr>
        <w:footnoteRef/>
      </w:r>
      <w:r>
        <w:t xml:space="preserve"> </w:t>
      </w:r>
      <w:r w:rsidRPr="00910972">
        <w:t>Barc</w:t>
      </w:r>
      <w:r>
        <w:t>elona Clinic Liver Cancer</w:t>
      </w:r>
      <w:r w:rsidRPr="00910972">
        <w:t xml:space="preserve"> </w:t>
      </w:r>
      <w:r>
        <w:t xml:space="preserve">stage B (BCLC), or </w:t>
      </w:r>
      <w:r w:rsidRPr="00910972">
        <w:t xml:space="preserve">intermediate stage </w:t>
      </w:r>
      <w:r>
        <w:t xml:space="preserve">hepatocellular carcinoma </w:t>
      </w:r>
      <w:r w:rsidRPr="00910972">
        <w:t>according to the guidelines of the American Association for the Study of Liver Diseases</w:t>
      </w:r>
      <w:r>
        <w:t>.</w:t>
      </w:r>
    </w:p>
  </w:footnote>
  <w:footnote w:id="3">
    <w:p w14:paraId="63317589" w14:textId="5CEB98BF" w:rsidR="008C18C7" w:rsidRDefault="008C18C7">
      <w:pPr>
        <w:pStyle w:val="FootnoteText"/>
      </w:pPr>
      <w:r>
        <w:rPr>
          <w:rStyle w:val="FootnoteReference"/>
        </w:rPr>
        <w:footnoteRef/>
      </w:r>
      <w:r>
        <w:t xml:space="preserve"> </w:t>
      </w:r>
      <w:r>
        <w:rPr>
          <w:rFonts w:asciiTheme="minorHAnsi" w:hAnsiTheme="minorHAnsi"/>
          <w:color w:val="000000"/>
        </w:rPr>
        <w:t xml:space="preserve">Sahara, S. </w:t>
      </w:r>
      <w:r>
        <w:rPr>
          <w:rFonts w:asciiTheme="minorHAnsi" w:hAnsiTheme="minorHAnsi"/>
          <w:i/>
          <w:color w:val="000000"/>
        </w:rPr>
        <w:t>et al</w:t>
      </w:r>
      <w:r>
        <w:rPr>
          <w:rFonts w:asciiTheme="minorHAnsi" w:hAnsiTheme="minorHAnsi"/>
          <w:color w:val="000000"/>
        </w:rPr>
        <w:t xml:space="preserve">. Effects of hepatic artery </w:t>
      </w:r>
      <w:proofErr w:type="spellStart"/>
      <w:r>
        <w:rPr>
          <w:rFonts w:asciiTheme="minorHAnsi" w:hAnsiTheme="minorHAnsi"/>
          <w:color w:val="000000"/>
        </w:rPr>
        <w:t>chemoembolism</w:t>
      </w:r>
      <w:proofErr w:type="spellEnd"/>
      <w:r>
        <w:rPr>
          <w:rFonts w:asciiTheme="minorHAnsi" w:hAnsiTheme="minorHAnsi"/>
          <w:color w:val="000000"/>
        </w:rPr>
        <w:t xml:space="preserve"> using cisplatin-Lipiodol suspension with </w:t>
      </w:r>
      <w:proofErr w:type="spellStart"/>
      <w:r>
        <w:rPr>
          <w:rFonts w:asciiTheme="minorHAnsi" w:hAnsiTheme="minorHAnsi"/>
          <w:color w:val="000000"/>
        </w:rPr>
        <w:t>gelatin</w:t>
      </w:r>
      <w:proofErr w:type="spellEnd"/>
      <w:r>
        <w:rPr>
          <w:rFonts w:asciiTheme="minorHAnsi" w:hAnsiTheme="minorHAnsi"/>
          <w:color w:val="000000"/>
        </w:rPr>
        <w:t xml:space="preserve"> sponge particles on swine liver. </w:t>
      </w:r>
      <w:r>
        <w:rPr>
          <w:rFonts w:asciiTheme="minorHAnsi" w:hAnsiTheme="minorHAnsi"/>
          <w:i/>
          <w:color w:val="000000"/>
        </w:rPr>
        <w:t>Journal of Vascular Interventional Radiology,</w:t>
      </w:r>
      <w:r>
        <w:rPr>
          <w:rFonts w:asciiTheme="minorHAnsi" w:hAnsiTheme="minorHAnsi"/>
          <w:color w:val="000000"/>
        </w:rPr>
        <w:t xml:space="preserve"> 2009</w:t>
      </w:r>
      <w:r w:rsidRPr="00A6162C">
        <w:rPr>
          <w:rFonts w:asciiTheme="minorHAnsi" w:hAnsiTheme="minorHAnsi"/>
          <w:color w:val="000000"/>
        </w:rPr>
        <w:t>; 20:</w:t>
      </w:r>
      <w:r>
        <w:rPr>
          <w:rFonts w:asciiTheme="minorHAnsi" w:hAnsiTheme="minorHAnsi"/>
          <w:color w:val="000000"/>
        </w:rPr>
        <w:t xml:space="preserve"> 1359-1364.</w:t>
      </w:r>
    </w:p>
  </w:footnote>
  <w:footnote w:id="4">
    <w:p w14:paraId="4504FE70" w14:textId="1E01FC5D" w:rsidR="008C18C7" w:rsidRPr="00892399" w:rsidRDefault="008C18C7" w:rsidP="00A6162C">
      <w:pPr>
        <w:pStyle w:val="FootnoteText"/>
        <w:rPr>
          <w:lang w:val="en-US"/>
        </w:rPr>
      </w:pPr>
      <w:r>
        <w:rPr>
          <w:rStyle w:val="FootnoteReference"/>
        </w:rPr>
        <w:footnoteRef/>
      </w:r>
      <w:r>
        <w:t xml:space="preserve"> </w:t>
      </w:r>
      <w:r w:rsidRPr="00892399">
        <w:t xml:space="preserve">LI J. </w:t>
      </w:r>
      <w:r w:rsidRPr="00892399">
        <w:rPr>
          <w:i/>
        </w:rPr>
        <w:t>et al</w:t>
      </w:r>
      <w:r w:rsidRPr="00892399">
        <w:t>. Tissue tolerance to pelvic intra-arterial chemoembolization with cisplatin-</w:t>
      </w:r>
      <w:proofErr w:type="spellStart"/>
      <w:r w:rsidRPr="00892399">
        <w:t>lipiodol</w:t>
      </w:r>
      <w:proofErr w:type="spellEnd"/>
      <w:r w:rsidRPr="00892399">
        <w:t xml:space="preserve"> suspension. </w:t>
      </w:r>
      <w:proofErr w:type="spellStart"/>
      <w:r w:rsidRPr="00892399">
        <w:rPr>
          <w:i/>
        </w:rPr>
        <w:t>Gynecol</w:t>
      </w:r>
      <w:proofErr w:type="spellEnd"/>
      <w:r w:rsidRPr="00892399">
        <w:rPr>
          <w:i/>
        </w:rPr>
        <w:t xml:space="preserve"> </w:t>
      </w:r>
      <w:proofErr w:type="spellStart"/>
      <w:r w:rsidRPr="00892399">
        <w:rPr>
          <w:i/>
        </w:rPr>
        <w:t>Oncol</w:t>
      </w:r>
      <w:proofErr w:type="spellEnd"/>
      <w:r>
        <w:t xml:space="preserve">. 1993; </w:t>
      </w:r>
      <w:r w:rsidRPr="00A6162C">
        <w:t>50(1):</w:t>
      </w:r>
      <w:r w:rsidRPr="00892399">
        <w:t xml:space="preserve"> 10-14</w:t>
      </w:r>
      <w:r>
        <w:t>.</w:t>
      </w:r>
    </w:p>
  </w:footnote>
  <w:footnote w:id="5">
    <w:p w14:paraId="2834BF99" w14:textId="24229006" w:rsidR="008C18C7" w:rsidRDefault="008C18C7">
      <w:pPr>
        <w:pStyle w:val="FootnoteText"/>
      </w:pPr>
      <w:r>
        <w:rPr>
          <w:rStyle w:val="FootnoteReference"/>
        </w:rPr>
        <w:footnoteRef/>
      </w:r>
      <w:r>
        <w:t xml:space="preserve"> </w:t>
      </w:r>
      <w:r w:rsidRPr="00920707">
        <w:rPr>
          <w:b/>
        </w:rPr>
        <w:t>Australian Pregnancy Category C</w:t>
      </w:r>
      <w:r>
        <w:t xml:space="preserve">: </w:t>
      </w:r>
      <w:r w:rsidRPr="00015A00">
        <w:t xml:space="preserve">Drugs which, owing to their pharmacological effects, have caused or may be suspected of causing, harmful effects on the human </w:t>
      </w:r>
      <w:proofErr w:type="spellStart"/>
      <w:r w:rsidRPr="00015A00">
        <w:t>fetus</w:t>
      </w:r>
      <w:proofErr w:type="spellEnd"/>
      <w:r w:rsidRPr="00015A00">
        <w:t xml:space="preserve"> or neonate without causing malformations. These effects may be reversible. Accompanying texts should be consulted for further details.</w:t>
      </w:r>
    </w:p>
  </w:footnote>
  <w:footnote w:id="6">
    <w:p w14:paraId="7F1B18FB" w14:textId="455AC1FB" w:rsidR="008C18C7" w:rsidRPr="000C4036" w:rsidRDefault="008C18C7" w:rsidP="000C4036">
      <w:pPr>
        <w:pStyle w:val="FootnoteText"/>
      </w:pPr>
      <w:r>
        <w:rPr>
          <w:rStyle w:val="FootnoteReference"/>
        </w:rPr>
        <w:footnoteRef/>
      </w:r>
      <w:r>
        <w:t xml:space="preserve"> The </w:t>
      </w:r>
      <w:r w:rsidRPr="00920707">
        <w:rPr>
          <w:b/>
        </w:rPr>
        <w:t>Standard for the Uniform Scheduling of Medicines and Poisons</w:t>
      </w:r>
      <w:r>
        <w:t xml:space="preserve"> (</w:t>
      </w:r>
      <w:r w:rsidRPr="00920707">
        <w:rPr>
          <w:b/>
        </w:rPr>
        <w:t>SUSMP</w:t>
      </w:r>
      <w:r>
        <w:t>): the SUSMP is a record of decisions regarding the classification of medicines and chemicals into Schedules for inclusion in relevant legislation of the states and territories; includes model provisions about containers and labels, and recommendations about other controls on medicines and chemicals; and is registered on the Federal Register of Legislation as the Poisons Standard.</w:t>
      </w:r>
    </w:p>
  </w:footnote>
  <w:footnote w:id="7">
    <w:p w14:paraId="3195E6A7" w14:textId="0EB84F79" w:rsidR="008C18C7" w:rsidRPr="004C6E61" w:rsidRDefault="008C18C7" w:rsidP="00D26535">
      <w:pPr>
        <w:pStyle w:val="FootnoteText"/>
        <w:rPr>
          <w:lang w:val="fr-FR" w:eastAsia="ja-JP"/>
        </w:rPr>
      </w:pPr>
      <w:r>
        <w:rPr>
          <w:rStyle w:val="FootnoteReference"/>
        </w:rPr>
        <w:footnoteRef/>
      </w:r>
      <w:r w:rsidRPr="004C6E61">
        <w:rPr>
          <w:lang w:val="fr-FR"/>
        </w:rPr>
        <w:t xml:space="preserve"> </w:t>
      </w:r>
      <w:proofErr w:type="spellStart"/>
      <w:r w:rsidRPr="004C6E61">
        <w:rPr>
          <w:lang w:val="fr-FR" w:eastAsia="ja-JP"/>
        </w:rPr>
        <w:t>cTACE</w:t>
      </w:r>
      <w:proofErr w:type="spellEnd"/>
      <w:r w:rsidRPr="004C6E61">
        <w:rPr>
          <w:lang w:val="fr-FR" w:eastAsia="ja-JP"/>
        </w:rPr>
        <w:t xml:space="preserve"> = </w:t>
      </w:r>
      <w:proofErr w:type="spellStart"/>
      <w:r w:rsidRPr="004C6E61">
        <w:rPr>
          <w:lang w:val="fr-FR" w:eastAsia="ja-JP"/>
        </w:rPr>
        <w:t>conventional</w:t>
      </w:r>
      <w:proofErr w:type="spellEnd"/>
      <w:r w:rsidRPr="004C6E61">
        <w:rPr>
          <w:lang w:val="fr-FR" w:eastAsia="ja-JP"/>
        </w:rPr>
        <w:t xml:space="preserve"> </w:t>
      </w:r>
      <w:proofErr w:type="spellStart"/>
      <w:r w:rsidRPr="004C6E61">
        <w:rPr>
          <w:lang w:val="fr-FR" w:eastAsia="ja-JP"/>
        </w:rPr>
        <w:t>trans-catheter</w:t>
      </w:r>
      <w:proofErr w:type="spellEnd"/>
      <w:r w:rsidRPr="004C6E61">
        <w:rPr>
          <w:lang w:val="fr-FR" w:eastAsia="ja-JP"/>
        </w:rPr>
        <w:t xml:space="preserve"> </w:t>
      </w:r>
      <w:proofErr w:type="spellStart"/>
      <w:r w:rsidRPr="004C6E61">
        <w:rPr>
          <w:lang w:val="fr-FR" w:eastAsia="ja-JP"/>
        </w:rPr>
        <w:t>arterial</w:t>
      </w:r>
      <w:proofErr w:type="spellEnd"/>
      <w:r w:rsidRPr="004C6E61">
        <w:rPr>
          <w:lang w:val="fr-FR" w:eastAsia="ja-JP"/>
        </w:rPr>
        <w:t xml:space="preserve"> </w:t>
      </w:r>
      <w:proofErr w:type="spellStart"/>
      <w:r w:rsidRPr="004C6E61">
        <w:rPr>
          <w:lang w:val="fr-FR" w:eastAsia="ja-JP"/>
        </w:rPr>
        <w:t>chemoembolisation</w:t>
      </w:r>
      <w:proofErr w:type="spellEnd"/>
      <w:r w:rsidRPr="004C6E61">
        <w:rPr>
          <w:lang w:val="fr-FR" w:eastAsia="ja-JP"/>
        </w:rPr>
        <w:t xml:space="preserve"> </w:t>
      </w:r>
      <w:proofErr w:type="spellStart"/>
      <w:r w:rsidRPr="004C6E61">
        <w:rPr>
          <w:lang w:val="fr-FR" w:eastAsia="ja-JP"/>
        </w:rPr>
        <w:t>with</w:t>
      </w:r>
      <w:proofErr w:type="spellEnd"/>
      <w:r w:rsidRPr="004C6E61">
        <w:rPr>
          <w:lang w:val="fr-FR" w:eastAsia="ja-JP"/>
        </w:rPr>
        <w:t xml:space="preserve"> Lipiodol.</w:t>
      </w:r>
    </w:p>
  </w:footnote>
  <w:footnote w:id="8">
    <w:p w14:paraId="407198F1" w14:textId="672C70D6" w:rsidR="008C18C7" w:rsidRDefault="008C18C7">
      <w:pPr>
        <w:pStyle w:val="FootnoteText"/>
      </w:pPr>
      <w:r>
        <w:rPr>
          <w:rStyle w:val="FootnoteReference"/>
        </w:rPr>
        <w:footnoteRef/>
      </w:r>
      <w:r w:rsidRPr="004C6E61">
        <w:rPr>
          <w:lang w:val="fr-FR"/>
        </w:rPr>
        <w:t xml:space="preserve"> Groupe d'Etude et de Traitement du Carcinome </w:t>
      </w:r>
      <w:proofErr w:type="spellStart"/>
      <w:r w:rsidRPr="004C6E61">
        <w:rPr>
          <w:lang w:val="fr-FR"/>
        </w:rPr>
        <w:t>Hepatocellulaire</w:t>
      </w:r>
      <w:proofErr w:type="spellEnd"/>
      <w:r w:rsidRPr="004C6E61">
        <w:rPr>
          <w:lang w:val="fr-FR"/>
        </w:rPr>
        <w:t xml:space="preserve">. </w:t>
      </w:r>
      <w:r w:rsidRPr="00D26535">
        <w:t xml:space="preserve">A comparison of </w:t>
      </w:r>
      <w:proofErr w:type="spellStart"/>
      <w:r w:rsidRPr="00D26535">
        <w:t>lipiodol</w:t>
      </w:r>
      <w:proofErr w:type="spellEnd"/>
      <w:r w:rsidRPr="00D26535">
        <w:t xml:space="preserve"> chemoembolization and conservative treatment for unresectable hepatocellular carcinoma. </w:t>
      </w:r>
      <w:r w:rsidRPr="00D26535">
        <w:rPr>
          <w:i/>
        </w:rPr>
        <w:t>New England Journal of Medicine</w:t>
      </w:r>
      <w:r>
        <w:t>,</w:t>
      </w:r>
      <w:r w:rsidRPr="00D26535">
        <w:t xml:space="preserve"> 1995;</w:t>
      </w:r>
      <w:r>
        <w:t xml:space="preserve"> </w:t>
      </w:r>
      <w:r w:rsidRPr="00D26535">
        <w:t>332(19):</w:t>
      </w:r>
      <w:r>
        <w:t xml:space="preserve"> </w:t>
      </w:r>
      <w:r w:rsidRPr="00D26535">
        <w:t>1256‐</w:t>
      </w:r>
      <w:r>
        <w:t>12</w:t>
      </w:r>
      <w:r w:rsidRPr="00D26535">
        <w:t>61.</w:t>
      </w:r>
    </w:p>
  </w:footnote>
  <w:footnote w:id="9">
    <w:p w14:paraId="2C743195" w14:textId="6635D522" w:rsidR="008C18C7" w:rsidRDefault="008C18C7">
      <w:pPr>
        <w:pStyle w:val="FootnoteText"/>
      </w:pPr>
      <w:r>
        <w:rPr>
          <w:rStyle w:val="FootnoteReference"/>
        </w:rPr>
        <w:footnoteRef/>
      </w:r>
      <w:r>
        <w:t xml:space="preserve"> </w:t>
      </w:r>
      <w:proofErr w:type="spellStart"/>
      <w:r>
        <w:t>Llovet</w:t>
      </w:r>
      <w:proofErr w:type="spellEnd"/>
      <w:r>
        <w:t xml:space="preserve">, J.M. </w:t>
      </w:r>
      <w:r w:rsidRPr="00D26535">
        <w:t xml:space="preserve">et al. Arterial embolisation or </w:t>
      </w:r>
      <w:proofErr w:type="spellStart"/>
      <w:r w:rsidRPr="00D26535">
        <w:t>chemoembolisation</w:t>
      </w:r>
      <w:proofErr w:type="spellEnd"/>
      <w:r w:rsidRPr="00D26535">
        <w:t xml:space="preserve"> versus symptomatic treatment in patients with unresectable hepatocellular carcinoma: a randomised controlled trial. </w:t>
      </w:r>
      <w:r w:rsidRPr="00D26535">
        <w:rPr>
          <w:i/>
        </w:rPr>
        <w:t>Lancet</w:t>
      </w:r>
      <w:r>
        <w:t>,</w:t>
      </w:r>
      <w:r w:rsidRPr="00D26535">
        <w:t xml:space="preserve"> 2002;</w:t>
      </w:r>
      <w:r>
        <w:t xml:space="preserve"> </w:t>
      </w:r>
      <w:r w:rsidRPr="00D26535">
        <w:t>359(9319):</w:t>
      </w:r>
      <w:r>
        <w:t xml:space="preserve"> </w:t>
      </w:r>
      <w:r w:rsidRPr="00D26535">
        <w:t>1734‐</w:t>
      </w:r>
      <w:r>
        <w:t>173</w:t>
      </w:r>
      <w:r w:rsidRPr="00D26535">
        <w:t>9.</w:t>
      </w:r>
    </w:p>
  </w:footnote>
  <w:footnote w:id="10">
    <w:p w14:paraId="5EA6C56F" w14:textId="0424FB0A" w:rsidR="008C18C7" w:rsidRDefault="008C18C7">
      <w:pPr>
        <w:pStyle w:val="FootnoteText"/>
      </w:pPr>
      <w:r>
        <w:rPr>
          <w:rStyle w:val="FootnoteReference"/>
        </w:rPr>
        <w:footnoteRef/>
      </w:r>
      <w:r>
        <w:t xml:space="preserve"> Lo, C.M. </w:t>
      </w:r>
      <w:r w:rsidRPr="00A92AE1">
        <w:t xml:space="preserve">et al. Randomized controlled trial of </w:t>
      </w:r>
      <w:proofErr w:type="spellStart"/>
      <w:r w:rsidRPr="00A92AE1">
        <w:t>transarterial</w:t>
      </w:r>
      <w:proofErr w:type="spellEnd"/>
      <w:r w:rsidRPr="00A92AE1">
        <w:t xml:space="preserve"> </w:t>
      </w:r>
      <w:proofErr w:type="spellStart"/>
      <w:r w:rsidRPr="00A92AE1">
        <w:t>lipiodol</w:t>
      </w:r>
      <w:proofErr w:type="spellEnd"/>
      <w:r w:rsidRPr="00A92AE1">
        <w:t xml:space="preserve"> chemoembolization for unresectable hepatocellular carcinoma. </w:t>
      </w:r>
      <w:proofErr w:type="spellStart"/>
      <w:r w:rsidRPr="00A92AE1">
        <w:rPr>
          <w:i/>
        </w:rPr>
        <w:t>Hepatology</w:t>
      </w:r>
      <w:proofErr w:type="spellEnd"/>
      <w:r w:rsidRPr="00A92AE1">
        <w:t xml:space="preserve"> 2002;</w:t>
      </w:r>
      <w:r>
        <w:t xml:space="preserve"> </w:t>
      </w:r>
      <w:r w:rsidRPr="00A92AE1">
        <w:t>35(5):</w:t>
      </w:r>
      <w:r>
        <w:t xml:space="preserve"> </w:t>
      </w:r>
      <w:r w:rsidRPr="00A92AE1">
        <w:t>1164‐</w:t>
      </w:r>
      <w:r>
        <w:t>11</w:t>
      </w:r>
      <w:r w:rsidRPr="00A92AE1">
        <w:t>71.</w:t>
      </w:r>
    </w:p>
  </w:footnote>
  <w:footnote w:id="11">
    <w:p w14:paraId="5EBE5302" w14:textId="77777777" w:rsidR="008C18C7" w:rsidRDefault="008C18C7" w:rsidP="00B709DA">
      <w:pPr>
        <w:pStyle w:val="FootnoteText"/>
      </w:pPr>
      <w:r>
        <w:rPr>
          <w:rStyle w:val="FootnoteReference"/>
        </w:rPr>
        <w:footnoteRef/>
      </w:r>
      <w:r>
        <w:t xml:space="preserve"> </w:t>
      </w:r>
      <w:r>
        <w:rPr>
          <w:lang w:val="en-US"/>
        </w:rPr>
        <w:t xml:space="preserve">Percentage </w:t>
      </w:r>
      <w:r w:rsidRPr="00722BA9">
        <w:rPr>
          <w:lang w:val="en-US"/>
        </w:rPr>
        <w:t>of patients with complete or partial response</w:t>
      </w:r>
      <w:r>
        <w:rPr>
          <w:lang w:val="en-US"/>
        </w:rPr>
        <w:t>.</w:t>
      </w:r>
    </w:p>
  </w:footnote>
  <w:footnote w:id="12">
    <w:p w14:paraId="0C3EDF43" w14:textId="5AE1A111" w:rsidR="008C18C7" w:rsidRDefault="008C18C7">
      <w:pPr>
        <w:pStyle w:val="FootnoteText"/>
      </w:pPr>
      <w:r>
        <w:rPr>
          <w:rStyle w:val="FootnoteReference"/>
        </w:rPr>
        <w:footnoteRef/>
      </w:r>
      <w:r>
        <w:t xml:space="preserve"> </w:t>
      </w:r>
      <w:r>
        <w:rPr>
          <w:rStyle w:val="mixed-citation"/>
          <w:lang w:val="en"/>
        </w:rPr>
        <w:t xml:space="preserve">Sacco, R, et al. Conventional versus doxorubicin-eluting bead </w:t>
      </w:r>
      <w:proofErr w:type="spellStart"/>
      <w:r>
        <w:rPr>
          <w:rStyle w:val="mixed-citation"/>
          <w:lang w:val="en"/>
        </w:rPr>
        <w:t>transarterial</w:t>
      </w:r>
      <w:proofErr w:type="spellEnd"/>
      <w:r>
        <w:rPr>
          <w:rStyle w:val="mixed-citation"/>
          <w:lang w:val="en"/>
        </w:rPr>
        <w:t xml:space="preserve"> chemoembolization for hepatocellular carcinoma. </w:t>
      </w:r>
      <w:r w:rsidRPr="00B256C8">
        <w:rPr>
          <w:rStyle w:val="ref-journal"/>
          <w:i/>
          <w:lang w:val="en"/>
        </w:rPr>
        <w:t xml:space="preserve">J </w:t>
      </w:r>
      <w:proofErr w:type="spellStart"/>
      <w:r w:rsidRPr="00B256C8">
        <w:rPr>
          <w:rStyle w:val="ref-journal"/>
          <w:i/>
          <w:lang w:val="en"/>
        </w:rPr>
        <w:t>Vasc</w:t>
      </w:r>
      <w:proofErr w:type="spellEnd"/>
      <w:r w:rsidRPr="00B256C8">
        <w:rPr>
          <w:rStyle w:val="ref-journal"/>
          <w:i/>
          <w:lang w:val="en"/>
        </w:rPr>
        <w:t xml:space="preserve"> </w:t>
      </w:r>
      <w:proofErr w:type="spellStart"/>
      <w:r w:rsidRPr="00B256C8">
        <w:rPr>
          <w:rStyle w:val="ref-journal"/>
          <w:i/>
          <w:lang w:val="en"/>
        </w:rPr>
        <w:t>Interv</w:t>
      </w:r>
      <w:proofErr w:type="spellEnd"/>
      <w:r w:rsidRPr="00B256C8">
        <w:rPr>
          <w:rStyle w:val="ref-journal"/>
          <w:i/>
          <w:lang w:val="en"/>
        </w:rPr>
        <w:t xml:space="preserve"> </w:t>
      </w:r>
      <w:proofErr w:type="spellStart"/>
      <w:r w:rsidRPr="00B256C8">
        <w:rPr>
          <w:rStyle w:val="ref-journal"/>
          <w:i/>
          <w:lang w:val="en"/>
        </w:rPr>
        <w:t>Radiol</w:t>
      </w:r>
      <w:proofErr w:type="spellEnd"/>
      <w:r>
        <w:rPr>
          <w:rStyle w:val="ref-journal"/>
          <w:lang w:val="en"/>
        </w:rPr>
        <w:t xml:space="preserve">. </w:t>
      </w:r>
      <w:r>
        <w:rPr>
          <w:rStyle w:val="mixed-citation"/>
          <w:lang w:val="en"/>
        </w:rPr>
        <w:t xml:space="preserve">2011; </w:t>
      </w:r>
      <w:r>
        <w:rPr>
          <w:rStyle w:val="ref-vol"/>
          <w:lang w:val="en"/>
        </w:rPr>
        <w:t>22</w:t>
      </w:r>
      <w:r>
        <w:rPr>
          <w:rStyle w:val="mixed-citation"/>
          <w:lang w:val="en"/>
        </w:rPr>
        <w:t>: 1545–1552.</w:t>
      </w:r>
    </w:p>
  </w:footnote>
  <w:footnote w:id="13">
    <w:p w14:paraId="7222B308" w14:textId="2EB73DA9" w:rsidR="008C18C7" w:rsidRDefault="008C18C7" w:rsidP="00B256C8">
      <w:pPr>
        <w:pStyle w:val="FootnoteText"/>
      </w:pPr>
      <w:r>
        <w:rPr>
          <w:rStyle w:val="FootnoteReference"/>
        </w:rPr>
        <w:footnoteRef/>
      </w:r>
      <w:r>
        <w:t xml:space="preserve"> </w:t>
      </w:r>
      <w:proofErr w:type="spellStart"/>
      <w:r>
        <w:t>Golfieri</w:t>
      </w:r>
      <w:proofErr w:type="spellEnd"/>
      <w:r>
        <w:t xml:space="preserve">, R et al. </w:t>
      </w:r>
      <w:r w:rsidRPr="00B256C8">
        <w:t xml:space="preserve">Randomised controlled trial of doxorubicin-eluting beads vs conventional </w:t>
      </w:r>
      <w:proofErr w:type="spellStart"/>
      <w:r w:rsidRPr="00B256C8">
        <w:t>chemoembolisation</w:t>
      </w:r>
      <w:proofErr w:type="spellEnd"/>
      <w:r w:rsidRPr="00B256C8">
        <w:t xml:space="preserve"> for hepatocellular carcinoma</w:t>
      </w:r>
      <w:r>
        <w:t xml:space="preserve">. </w:t>
      </w:r>
      <w:r w:rsidRPr="00B256C8">
        <w:rPr>
          <w:i/>
        </w:rPr>
        <w:t>Br J Cancer</w:t>
      </w:r>
      <w:r>
        <w:t>, 2014; 111(2): 255-264.</w:t>
      </w:r>
    </w:p>
  </w:footnote>
  <w:footnote w:id="14">
    <w:p w14:paraId="4FDD3367" w14:textId="77777777" w:rsidR="008C18C7" w:rsidRPr="00855D1B" w:rsidRDefault="008C18C7" w:rsidP="008D70BC">
      <w:pPr>
        <w:pStyle w:val="FootnoteText"/>
      </w:pPr>
      <w:r>
        <w:rPr>
          <w:rStyle w:val="FootnoteReference"/>
        </w:rPr>
        <w:footnoteRef/>
      </w:r>
      <w:r>
        <w:t xml:space="preserve"> Nakamura et al, 1994, Five-year survival after </w:t>
      </w:r>
      <w:proofErr w:type="spellStart"/>
      <w:r>
        <w:t>transcatheter</w:t>
      </w:r>
      <w:proofErr w:type="spellEnd"/>
      <w:r>
        <w:t xml:space="preserve"> chemoembolization for hepatocellular carcinoma, </w:t>
      </w:r>
      <w:r>
        <w:rPr>
          <w:i/>
        </w:rPr>
        <w:t>Cancer, Chemotherapy and Pharmacology</w:t>
      </w:r>
      <w:r>
        <w:t>, 33, 89-92</w:t>
      </w:r>
    </w:p>
  </w:footnote>
  <w:footnote w:id="15">
    <w:p w14:paraId="1BD966F3" w14:textId="77777777" w:rsidR="008C18C7" w:rsidRDefault="008C18C7"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E4F31D2" w14:textId="77777777" w:rsidR="008C18C7" w:rsidRDefault="008C18C7" w:rsidP="007D53B6">
      <w:pPr>
        <w:pStyle w:val="FootnoteText"/>
      </w:pPr>
      <w:r w:rsidRPr="007D53B6">
        <w:rPr>
          <w:i/>
        </w:rPr>
        <w:t>Routine pharmacovigilance</w:t>
      </w:r>
      <w:r>
        <w:t xml:space="preserve"> practices involve the following activities:</w:t>
      </w:r>
    </w:p>
    <w:p w14:paraId="3F37324F" w14:textId="77777777" w:rsidR="008C18C7" w:rsidRDefault="008C18C7" w:rsidP="007D53B6">
      <w:pPr>
        <w:pStyle w:val="FootnoteText"/>
        <w:numPr>
          <w:ilvl w:val="0"/>
          <w:numId w:val="32"/>
        </w:numPr>
        <w:ind w:left="284" w:hanging="284"/>
      </w:pPr>
      <w:r>
        <w:t>All suspected adverse reactions that are reported to the personnel of the company are collected and collated in an accessible manner;</w:t>
      </w:r>
    </w:p>
    <w:p w14:paraId="4391E5A1" w14:textId="77777777" w:rsidR="008C18C7" w:rsidRDefault="008C18C7" w:rsidP="007D53B6">
      <w:pPr>
        <w:pStyle w:val="FootnoteText"/>
        <w:numPr>
          <w:ilvl w:val="0"/>
          <w:numId w:val="32"/>
        </w:numPr>
        <w:ind w:left="284" w:hanging="284"/>
      </w:pPr>
      <w:r>
        <w:t>Reporting to regulatory authorities;</w:t>
      </w:r>
    </w:p>
    <w:p w14:paraId="4F231EAA" w14:textId="77777777" w:rsidR="008C18C7" w:rsidRDefault="008C18C7" w:rsidP="007D53B6">
      <w:pPr>
        <w:pStyle w:val="FootnoteText"/>
        <w:numPr>
          <w:ilvl w:val="0"/>
          <w:numId w:val="32"/>
        </w:numPr>
        <w:ind w:left="284" w:hanging="284"/>
      </w:pPr>
      <w:r>
        <w:t>Continuous monitoring of the safety profiles of approved products including signal detection and updating of labelling;</w:t>
      </w:r>
    </w:p>
    <w:p w14:paraId="115C3D0C" w14:textId="77777777" w:rsidR="008C18C7" w:rsidRDefault="008C18C7" w:rsidP="007D53B6">
      <w:pPr>
        <w:pStyle w:val="FootnoteText"/>
        <w:numPr>
          <w:ilvl w:val="0"/>
          <w:numId w:val="32"/>
        </w:numPr>
        <w:ind w:left="284" w:hanging="284"/>
      </w:pPr>
      <w:r>
        <w:t>Submission of PSURs;</w:t>
      </w:r>
    </w:p>
    <w:p w14:paraId="1A9EAE4F" w14:textId="77777777" w:rsidR="008C18C7" w:rsidRDefault="008C18C7" w:rsidP="007D53B6">
      <w:pPr>
        <w:pStyle w:val="FootnoteText"/>
        <w:numPr>
          <w:ilvl w:val="0"/>
          <w:numId w:val="32"/>
        </w:numPr>
        <w:ind w:left="284" w:hanging="284"/>
      </w:pPr>
      <w:r>
        <w:t>Meeting other local regulatory agency requirements.</w:t>
      </w:r>
    </w:p>
  </w:footnote>
  <w:footnote w:id="16">
    <w:p w14:paraId="2ADA43A0" w14:textId="76CA598C" w:rsidR="008C18C7" w:rsidRDefault="008C18C7" w:rsidP="00B709DA">
      <w:pPr>
        <w:pStyle w:val="FootnoteText"/>
        <w:spacing w:before="40"/>
      </w:pPr>
      <w:r>
        <w:rPr>
          <w:rStyle w:val="FootnoteReference"/>
        </w:rPr>
        <w:footnoteRef/>
      </w:r>
      <w:r>
        <w:t xml:space="preserve"> Sato et al</w:t>
      </w:r>
      <w:r w:rsidRPr="000978F9">
        <w:t xml:space="preserve">. Effects of hepatic artery embolization with Lipiodol and </w:t>
      </w:r>
      <w:proofErr w:type="spellStart"/>
      <w:r w:rsidRPr="000978F9">
        <w:t>gelatin</w:t>
      </w:r>
      <w:proofErr w:type="spellEnd"/>
      <w:r w:rsidRPr="000978F9">
        <w:t xml:space="preserve"> sponge particles on normal swine liver. </w:t>
      </w:r>
      <w:proofErr w:type="spellStart"/>
      <w:r w:rsidRPr="0069342B">
        <w:rPr>
          <w:i/>
        </w:rPr>
        <w:t>Cardiovasc</w:t>
      </w:r>
      <w:proofErr w:type="spellEnd"/>
      <w:r w:rsidRPr="0069342B">
        <w:rPr>
          <w:i/>
        </w:rPr>
        <w:t xml:space="preserve"> </w:t>
      </w:r>
      <w:proofErr w:type="spellStart"/>
      <w:r w:rsidRPr="0069342B">
        <w:rPr>
          <w:i/>
        </w:rPr>
        <w:t>Intervent</w:t>
      </w:r>
      <w:proofErr w:type="spellEnd"/>
      <w:r w:rsidRPr="0069342B">
        <w:rPr>
          <w:i/>
        </w:rPr>
        <w:t xml:space="preserve"> </w:t>
      </w:r>
      <w:proofErr w:type="spellStart"/>
      <w:r w:rsidRPr="0069342B">
        <w:rPr>
          <w:i/>
        </w:rPr>
        <w:t>Radiol</w:t>
      </w:r>
      <w:proofErr w:type="spellEnd"/>
      <w:r>
        <w:t xml:space="preserve">. 1993; </w:t>
      </w:r>
      <w:r w:rsidRPr="000978F9">
        <w:t>16(6):</w:t>
      </w:r>
      <w:r>
        <w:t xml:space="preserve"> </w:t>
      </w:r>
      <w:r w:rsidRPr="000978F9">
        <w:t>348-</w:t>
      </w:r>
      <w:r>
        <w:t>3</w:t>
      </w:r>
      <w:r w:rsidRPr="000978F9">
        <w:t>54.</w:t>
      </w:r>
    </w:p>
  </w:footnote>
  <w:footnote w:id="17">
    <w:p w14:paraId="76CB4CEA" w14:textId="77777777" w:rsidR="008C18C7" w:rsidRDefault="008C18C7"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0529694" w14:textId="77777777" w:rsidR="008C18C7" w:rsidRPr="00456765" w:rsidRDefault="008C18C7"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D5E6" w14:textId="77777777" w:rsidR="008C18C7" w:rsidRDefault="008C18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C6AF0" w14:textId="77777777" w:rsidR="008C18C7" w:rsidRDefault="008C18C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082FE" w14:textId="77777777" w:rsidR="008C18C7" w:rsidRDefault="008C18C7">
    <w:pPr>
      <w:rPr>
        <w:noProof/>
        <w:lang w:eastAsia="en-AU"/>
      </w:rPr>
    </w:pPr>
    <w:r w:rsidRPr="00347824">
      <w:rPr>
        <w:noProof/>
        <w:lang w:eastAsia="en-AU"/>
      </w:rPr>
      <w:drawing>
        <wp:anchor distT="0" distB="0" distL="114300" distR="114300" simplePos="0" relativeHeight="251659264" behindDoc="1" locked="0" layoutInCell="1" allowOverlap="1" wp14:anchorId="0D96F1ED" wp14:editId="72CBCC37">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B7E1C2B" w14:textId="77777777" w:rsidR="008C18C7" w:rsidRDefault="008C18C7"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3783C" w14:textId="77777777" w:rsidR="008C18C7" w:rsidRDefault="008C18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E4843" w14:textId="77777777" w:rsidR="008C18C7" w:rsidRDefault="008C18C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58EB5" w14:textId="77777777" w:rsidR="008C18C7" w:rsidRDefault="008C18C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2F51" w14:textId="77777777" w:rsidR="008C18C7" w:rsidRDefault="008C18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5C27" w14:textId="77777777" w:rsidR="008C18C7" w:rsidRDefault="008C18C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892E" w14:textId="77777777" w:rsidR="008C18C7" w:rsidRDefault="008C18C7" w:rsidP="006E08B3">
    <w:r>
      <w:t>Therapeutic Goods Administration</w:t>
    </w:r>
  </w:p>
  <w:p w14:paraId="16266D00" w14:textId="77777777" w:rsidR="008C18C7" w:rsidRDefault="008C18C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32D80B8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6A8075B"/>
    <w:multiLevelType w:val="hybridMultilevel"/>
    <w:tmpl w:val="3A147C84"/>
    <w:lvl w:ilvl="0" w:tplc="C8C0F472">
      <w:start w:val="1"/>
      <w:numFmt w:val="decimal"/>
      <w:lvlText w:val="(%1)"/>
      <w:lvlJc w:val="left"/>
      <w:pPr>
        <w:ind w:left="720" w:hanging="360"/>
      </w:pPr>
      <w:rPr>
        <w:rFonts w:asciiTheme="minorHAnsi" w:eastAsia="MS Mincho" w:hAnsi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DA555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num>
  <w:num w:numId="29">
    <w:abstractNumId w:val="6"/>
  </w:num>
  <w:num w:numId="30">
    <w:abstractNumId w:val="9"/>
  </w:num>
  <w:num w:numId="31">
    <w:abstractNumId w:val="4"/>
  </w:num>
  <w:num w:numId="32">
    <w:abstractNumId w:val="12"/>
  </w:num>
  <w:num w:numId="33">
    <w:abstractNumId w:val="8"/>
  </w:num>
  <w:num w:numId="34">
    <w:abstractNumId w:val="10"/>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12"/>
    <w:rsid w:val="00002031"/>
    <w:rsid w:val="00004734"/>
    <w:rsid w:val="00006B22"/>
    <w:rsid w:val="00006FAB"/>
    <w:rsid w:val="0001276A"/>
    <w:rsid w:val="00015A00"/>
    <w:rsid w:val="000246AE"/>
    <w:rsid w:val="00025C67"/>
    <w:rsid w:val="000407AC"/>
    <w:rsid w:val="00044772"/>
    <w:rsid w:val="0004541C"/>
    <w:rsid w:val="0005559E"/>
    <w:rsid w:val="000604D6"/>
    <w:rsid w:val="000734D8"/>
    <w:rsid w:val="00077775"/>
    <w:rsid w:val="00090471"/>
    <w:rsid w:val="00096AA7"/>
    <w:rsid w:val="000A3AED"/>
    <w:rsid w:val="000B3532"/>
    <w:rsid w:val="000B3A75"/>
    <w:rsid w:val="000C00C2"/>
    <w:rsid w:val="000C4036"/>
    <w:rsid w:val="000C48E6"/>
    <w:rsid w:val="000C690F"/>
    <w:rsid w:val="000D1295"/>
    <w:rsid w:val="000D391B"/>
    <w:rsid w:val="000D3D6D"/>
    <w:rsid w:val="000D4FC7"/>
    <w:rsid w:val="000E12EB"/>
    <w:rsid w:val="000E6196"/>
    <w:rsid w:val="000F4869"/>
    <w:rsid w:val="000F5492"/>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282"/>
    <w:rsid w:val="00162D14"/>
    <w:rsid w:val="00163780"/>
    <w:rsid w:val="00165389"/>
    <w:rsid w:val="00165E3F"/>
    <w:rsid w:val="00171882"/>
    <w:rsid w:val="0017693F"/>
    <w:rsid w:val="0018110E"/>
    <w:rsid w:val="00181684"/>
    <w:rsid w:val="001843C6"/>
    <w:rsid w:val="001850E0"/>
    <w:rsid w:val="001960D3"/>
    <w:rsid w:val="001A03AF"/>
    <w:rsid w:val="001A2158"/>
    <w:rsid w:val="001A525F"/>
    <w:rsid w:val="001B09F9"/>
    <w:rsid w:val="001B5C90"/>
    <w:rsid w:val="001B6448"/>
    <w:rsid w:val="001C32CD"/>
    <w:rsid w:val="001D2984"/>
    <w:rsid w:val="001D5977"/>
    <w:rsid w:val="001E07CF"/>
    <w:rsid w:val="001E12DB"/>
    <w:rsid w:val="001E59F1"/>
    <w:rsid w:val="001F2CEE"/>
    <w:rsid w:val="001F49EB"/>
    <w:rsid w:val="001F6CBA"/>
    <w:rsid w:val="001F7068"/>
    <w:rsid w:val="00201D4E"/>
    <w:rsid w:val="002076C9"/>
    <w:rsid w:val="00220B8A"/>
    <w:rsid w:val="002257F3"/>
    <w:rsid w:val="00226A1B"/>
    <w:rsid w:val="00233456"/>
    <w:rsid w:val="002339A5"/>
    <w:rsid w:val="00250271"/>
    <w:rsid w:val="00257848"/>
    <w:rsid w:val="002578E8"/>
    <w:rsid w:val="0027084A"/>
    <w:rsid w:val="002734C5"/>
    <w:rsid w:val="00280265"/>
    <w:rsid w:val="00286434"/>
    <w:rsid w:val="00286C59"/>
    <w:rsid w:val="00291957"/>
    <w:rsid w:val="002942D1"/>
    <w:rsid w:val="0029501A"/>
    <w:rsid w:val="002A3721"/>
    <w:rsid w:val="002B1638"/>
    <w:rsid w:val="002B3624"/>
    <w:rsid w:val="002D0952"/>
    <w:rsid w:val="002D42A7"/>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09C8"/>
    <w:rsid w:val="003521E8"/>
    <w:rsid w:val="00370CE3"/>
    <w:rsid w:val="003728F3"/>
    <w:rsid w:val="003735BC"/>
    <w:rsid w:val="0037496E"/>
    <w:rsid w:val="00383221"/>
    <w:rsid w:val="00386150"/>
    <w:rsid w:val="003874CE"/>
    <w:rsid w:val="00390900"/>
    <w:rsid w:val="003A7F6C"/>
    <w:rsid w:val="003B4D60"/>
    <w:rsid w:val="003B7E39"/>
    <w:rsid w:val="003C16F0"/>
    <w:rsid w:val="003C58DC"/>
    <w:rsid w:val="003D1E62"/>
    <w:rsid w:val="003D57CB"/>
    <w:rsid w:val="003D76DF"/>
    <w:rsid w:val="003E0B99"/>
    <w:rsid w:val="003E2486"/>
    <w:rsid w:val="003E3208"/>
    <w:rsid w:val="003F0B04"/>
    <w:rsid w:val="003F2447"/>
    <w:rsid w:val="0040134E"/>
    <w:rsid w:val="004334C7"/>
    <w:rsid w:val="00440A2D"/>
    <w:rsid w:val="00441C3F"/>
    <w:rsid w:val="00444D1A"/>
    <w:rsid w:val="0045186A"/>
    <w:rsid w:val="0045457C"/>
    <w:rsid w:val="004564A7"/>
    <w:rsid w:val="00456765"/>
    <w:rsid w:val="00460036"/>
    <w:rsid w:val="0046038B"/>
    <w:rsid w:val="004617BF"/>
    <w:rsid w:val="00463658"/>
    <w:rsid w:val="004637A0"/>
    <w:rsid w:val="004722CC"/>
    <w:rsid w:val="00484412"/>
    <w:rsid w:val="00490483"/>
    <w:rsid w:val="004936E4"/>
    <w:rsid w:val="00494E60"/>
    <w:rsid w:val="00497487"/>
    <w:rsid w:val="004A2771"/>
    <w:rsid w:val="004A6189"/>
    <w:rsid w:val="004A7390"/>
    <w:rsid w:val="004B7B76"/>
    <w:rsid w:val="004C239D"/>
    <w:rsid w:val="004C2A83"/>
    <w:rsid w:val="004C2DCA"/>
    <w:rsid w:val="004C4FBE"/>
    <w:rsid w:val="004C61D2"/>
    <w:rsid w:val="004C6E61"/>
    <w:rsid w:val="004D3989"/>
    <w:rsid w:val="004F0C4A"/>
    <w:rsid w:val="004F0F38"/>
    <w:rsid w:val="004F47D6"/>
    <w:rsid w:val="00500337"/>
    <w:rsid w:val="00501921"/>
    <w:rsid w:val="0052363E"/>
    <w:rsid w:val="00530354"/>
    <w:rsid w:val="0053625B"/>
    <w:rsid w:val="005434C6"/>
    <w:rsid w:val="00543B39"/>
    <w:rsid w:val="00546154"/>
    <w:rsid w:val="005474DC"/>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B7D93"/>
    <w:rsid w:val="005C312E"/>
    <w:rsid w:val="005C5570"/>
    <w:rsid w:val="005C5B66"/>
    <w:rsid w:val="005C79A4"/>
    <w:rsid w:val="005D5442"/>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67A8A"/>
    <w:rsid w:val="006763D2"/>
    <w:rsid w:val="006800CF"/>
    <w:rsid w:val="00680C08"/>
    <w:rsid w:val="006916A0"/>
    <w:rsid w:val="006931B1"/>
    <w:rsid w:val="0069342B"/>
    <w:rsid w:val="00695622"/>
    <w:rsid w:val="006A15C0"/>
    <w:rsid w:val="006A58A8"/>
    <w:rsid w:val="006C3E2A"/>
    <w:rsid w:val="006C642F"/>
    <w:rsid w:val="006D03E5"/>
    <w:rsid w:val="006D5D3E"/>
    <w:rsid w:val="006E08B3"/>
    <w:rsid w:val="006F17AC"/>
    <w:rsid w:val="006F25B8"/>
    <w:rsid w:val="006F572E"/>
    <w:rsid w:val="007015FC"/>
    <w:rsid w:val="007046D6"/>
    <w:rsid w:val="00705DB0"/>
    <w:rsid w:val="00722B57"/>
    <w:rsid w:val="00730F8A"/>
    <w:rsid w:val="00735A8C"/>
    <w:rsid w:val="0074253D"/>
    <w:rsid w:val="0074429B"/>
    <w:rsid w:val="007615BC"/>
    <w:rsid w:val="00762F05"/>
    <w:rsid w:val="00763373"/>
    <w:rsid w:val="007652FF"/>
    <w:rsid w:val="00770CAC"/>
    <w:rsid w:val="00770EF1"/>
    <w:rsid w:val="00773EF7"/>
    <w:rsid w:val="00774E1D"/>
    <w:rsid w:val="007765D8"/>
    <w:rsid w:val="0077675A"/>
    <w:rsid w:val="00780355"/>
    <w:rsid w:val="007819FD"/>
    <w:rsid w:val="00785717"/>
    <w:rsid w:val="00785721"/>
    <w:rsid w:val="00793A59"/>
    <w:rsid w:val="00797231"/>
    <w:rsid w:val="007A46F5"/>
    <w:rsid w:val="007A6505"/>
    <w:rsid w:val="007B6132"/>
    <w:rsid w:val="007B6E9F"/>
    <w:rsid w:val="007C1216"/>
    <w:rsid w:val="007C1AF7"/>
    <w:rsid w:val="007C6B9B"/>
    <w:rsid w:val="007D53B6"/>
    <w:rsid w:val="007E7163"/>
    <w:rsid w:val="00805D27"/>
    <w:rsid w:val="00806DCB"/>
    <w:rsid w:val="00821776"/>
    <w:rsid w:val="00823234"/>
    <w:rsid w:val="00823252"/>
    <w:rsid w:val="008321F5"/>
    <w:rsid w:val="00832369"/>
    <w:rsid w:val="00834660"/>
    <w:rsid w:val="00835027"/>
    <w:rsid w:val="00836BC2"/>
    <w:rsid w:val="0085156D"/>
    <w:rsid w:val="00852B28"/>
    <w:rsid w:val="00855D1B"/>
    <w:rsid w:val="0085641B"/>
    <w:rsid w:val="00857136"/>
    <w:rsid w:val="0086610F"/>
    <w:rsid w:val="00875A6B"/>
    <w:rsid w:val="00885B11"/>
    <w:rsid w:val="00886D15"/>
    <w:rsid w:val="00887DD8"/>
    <w:rsid w:val="00891BA9"/>
    <w:rsid w:val="0089330C"/>
    <w:rsid w:val="00896018"/>
    <w:rsid w:val="008960DD"/>
    <w:rsid w:val="0089635C"/>
    <w:rsid w:val="008A2B9D"/>
    <w:rsid w:val="008A3D9F"/>
    <w:rsid w:val="008A5E0B"/>
    <w:rsid w:val="008A6D59"/>
    <w:rsid w:val="008A7EC4"/>
    <w:rsid w:val="008B2F00"/>
    <w:rsid w:val="008B4B03"/>
    <w:rsid w:val="008B596F"/>
    <w:rsid w:val="008C159F"/>
    <w:rsid w:val="008C1623"/>
    <w:rsid w:val="008C1850"/>
    <w:rsid w:val="008C18C7"/>
    <w:rsid w:val="008C51A9"/>
    <w:rsid w:val="008D70BC"/>
    <w:rsid w:val="008E7846"/>
    <w:rsid w:val="008F02E5"/>
    <w:rsid w:val="008F1CCC"/>
    <w:rsid w:val="008F2967"/>
    <w:rsid w:val="008F6943"/>
    <w:rsid w:val="00902A21"/>
    <w:rsid w:val="00906BB8"/>
    <w:rsid w:val="0091523F"/>
    <w:rsid w:val="00920330"/>
    <w:rsid w:val="00920707"/>
    <w:rsid w:val="009219D7"/>
    <w:rsid w:val="00922D53"/>
    <w:rsid w:val="00923B70"/>
    <w:rsid w:val="00924482"/>
    <w:rsid w:val="00930237"/>
    <w:rsid w:val="00937C17"/>
    <w:rsid w:val="00940A89"/>
    <w:rsid w:val="00941F77"/>
    <w:rsid w:val="00946EA5"/>
    <w:rsid w:val="009512CB"/>
    <w:rsid w:val="00960520"/>
    <w:rsid w:val="00963C08"/>
    <w:rsid w:val="009752A5"/>
    <w:rsid w:val="0098585A"/>
    <w:rsid w:val="009A4CED"/>
    <w:rsid w:val="009A690D"/>
    <w:rsid w:val="009B1D12"/>
    <w:rsid w:val="009B416B"/>
    <w:rsid w:val="009C4BD5"/>
    <w:rsid w:val="009D7B77"/>
    <w:rsid w:val="009E0BB0"/>
    <w:rsid w:val="009E3FBB"/>
    <w:rsid w:val="009F7353"/>
    <w:rsid w:val="00A04F85"/>
    <w:rsid w:val="00A05FA4"/>
    <w:rsid w:val="00A102E4"/>
    <w:rsid w:val="00A1219C"/>
    <w:rsid w:val="00A12C42"/>
    <w:rsid w:val="00A14DF7"/>
    <w:rsid w:val="00A22D57"/>
    <w:rsid w:val="00A3246D"/>
    <w:rsid w:val="00A35A0C"/>
    <w:rsid w:val="00A36FA7"/>
    <w:rsid w:val="00A44DDB"/>
    <w:rsid w:val="00A475B7"/>
    <w:rsid w:val="00A47AF7"/>
    <w:rsid w:val="00A47C3E"/>
    <w:rsid w:val="00A50226"/>
    <w:rsid w:val="00A60BAD"/>
    <w:rsid w:val="00A6145E"/>
    <w:rsid w:val="00A6162C"/>
    <w:rsid w:val="00A77F87"/>
    <w:rsid w:val="00A80B5B"/>
    <w:rsid w:val="00A84E36"/>
    <w:rsid w:val="00A92AE1"/>
    <w:rsid w:val="00A93C4E"/>
    <w:rsid w:val="00A964D1"/>
    <w:rsid w:val="00AA0ED0"/>
    <w:rsid w:val="00AA46C1"/>
    <w:rsid w:val="00AA77B8"/>
    <w:rsid w:val="00AB17AD"/>
    <w:rsid w:val="00AC2B40"/>
    <w:rsid w:val="00AC2BB2"/>
    <w:rsid w:val="00AC2C3C"/>
    <w:rsid w:val="00AC512D"/>
    <w:rsid w:val="00AD0083"/>
    <w:rsid w:val="00AD3935"/>
    <w:rsid w:val="00AE523D"/>
    <w:rsid w:val="00AE65EB"/>
    <w:rsid w:val="00AE67A7"/>
    <w:rsid w:val="00AF1D94"/>
    <w:rsid w:val="00AF60C5"/>
    <w:rsid w:val="00B009C6"/>
    <w:rsid w:val="00B01548"/>
    <w:rsid w:val="00B11840"/>
    <w:rsid w:val="00B130C5"/>
    <w:rsid w:val="00B13EBD"/>
    <w:rsid w:val="00B21D29"/>
    <w:rsid w:val="00B2308D"/>
    <w:rsid w:val="00B25034"/>
    <w:rsid w:val="00B256C8"/>
    <w:rsid w:val="00B26B36"/>
    <w:rsid w:val="00B33588"/>
    <w:rsid w:val="00B33863"/>
    <w:rsid w:val="00B37D17"/>
    <w:rsid w:val="00B4175E"/>
    <w:rsid w:val="00B41C85"/>
    <w:rsid w:val="00B452CE"/>
    <w:rsid w:val="00B54C25"/>
    <w:rsid w:val="00B709DA"/>
    <w:rsid w:val="00B76B91"/>
    <w:rsid w:val="00B77EB1"/>
    <w:rsid w:val="00B811C6"/>
    <w:rsid w:val="00B855B0"/>
    <w:rsid w:val="00B9065E"/>
    <w:rsid w:val="00B92E08"/>
    <w:rsid w:val="00BC622A"/>
    <w:rsid w:val="00BE0A78"/>
    <w:rsid w:val="00BE79F0"/>
    <w:rsid w:val="00BF046D"/>
    <w:rsid w:val="00BF1190"/>
    <w:rsid w:val="00BF3774"/>
    <w:rsid w:val="00BF5D04"/>
    <w:rsid w:val="00C009AA"/>
    <w:rsid w:val="00C06492"/>
    <w:rsid w:val="00C1164D"/>
    <w:rsid w:val="00C14879"/>
    <w:rsid w:val="00C14A3F"/>
    <w:rsid w:val="00C16861"/>
    <w:rsid w:val="00C179A6"/>
    <w:rsid w:val="00C346AB"/>
    <w:rsid w:val="00C404A6"/>
    <w:rsid w:val="00C40A36"/>
    <w:rsid w:val="00C44419"/>
    <w:rsid w:val="00C45775"/>
    <w:rsid w:val="00C45E7B"/>
    <w:rsid w:val="00C471B1"/>
    <w:rsid w:val="00C525A2"/>
    <w:rsid w:val="00C52E24"/>
    <w:rsid w:val="00C6316B"/>
    <w:rsid w:val="00C634A9"/>
    <w:rsid w:val="00C637B6"/>
    <w:rsid w:val="00C64586"/>
    <w:rsid w:val="00C70A36"/>
    <w:rsid w:val="00C70D53"/>
    <w:rsid w:val="00C733F5"/>
    <w:rsid w:val="00C73D0B"/>
    <w:rsid w:val="00C74F5C"/>
    <w:rsid w:val="00C772FF"/>
    <w:rsid w:val="00C80137"/>
    <w:rsid w:val="00C801AF"/>
    <w:rsid w:val="00C80256"/>
    <w:rsid w:val="00C94CD4"/>
    <w:rsid w:val="00C9747E"/>
    <w:rsid w:val="00CB6BC0"/>
    <w:rsid w:val="00CC1B7C"/>
    <w:rsid w:val="00CC727F"/>
    <w:rsid w:val="00CF15C3"/>
    <w:rsid w:val="00CF2B6F"/>
    <w:rsid w:val="00CF2F3E"/>
    <w:rsid w:val="00CF58B6"/>
    <w:rsid w:val="00CF5DAD"/>
    <w:rsid w:val="00D0062D"/>
    <w:rsid w:val="00D017ED"/>
    <w:rsid w:val="00D040D3"/>
    <w:rsid w:val="00D04C65"/>
    <w:rsid w:val="00D153D8"/>
    <w:rsid w:val="00D17FD8"/>
    <w:rsid w:val="00D201D2"/>
    <w:rsid w:val="00D224FE"/>
    <w:rsid w:val="00D23139"/>
    <w:rsid w:val="00D24690"/>
    <w:rsid w:val="00D26535"/>
    <w:rsid w:val="00D360FE"/>
    <w:rsid w:val="00D425BB"/>
    <w:rsid w:val="00D453FA"/>
    <w:rsid w:val="00D53D04"/>
    <w:rsid w:val="00D6493E"/>
    <w:rsid w:val="00D7195D"/>
    <w:rsid w:val="00D7301E"/>
    <w:rsid w:val="00D83937"/>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0C24"/>
    <w:rsid w:val="00DE39D1"/>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5CB0"/>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E74CE"/>
    <w:rsid w:val="00EF4BAD"/>
    <w:rsid w:val="00EF59DC"/>
    <w:rsid w:val="00EF5BEA"/>
    <w:rsid w:val="00F033EC"/>
    <w:rsid w:val="00F04F68"/>
    <w:rsid w:val="00F06F8E"/>
    <w:rsid w:val="00F12670"/>
    <w:rsid w:val="00F140D4"/>
    <w:rsid w:val="00F14B27"/>
    <w:rsid w:val="00F165EF"/>
    <w:rsid w:val="00F3148D"/>
    <w:rsid w:val="00F325C5"/>
    <w:rsid w:val="00F32FE0"/>
    <w:rsid w:val="00F35298"/>
    <w:rsid w:val="00F40456"/>
    <w:rsid w:val="00F47333"/>
    <w:rsid w:val="00F47E37"/>
    <w:rsid w:val="00F53C07"/>
    <w:rsid w:val="00F54B65"/>
    <w:rsid w:val="00F640B6"/>
    <w:rsid w:val="00F66DF2"/>
    <w:rsid w:val="00F7142D"/>
    <w:rsid w:val="00F80E40"/>
    <w:rsid w:val="00F848D9"/>
    <w:rsid w:val="00FA2367"/>
    <w:rsid w:val="00FA3C2E"/>
    <w:rsid w:val="00FA5069"/>
    <w:rsid w:val="00FA5B82"/>
    <w:rsid w:val="00FA639E"/>
    <w:rsid w:val="00FB6DB3"/>
    <w:rsid w:val="00FC1FCA"/>
    <w:rsid w:val="00FC25E4"/>
    <w:rsid w:val="00FC4EF7"/>
    <w:rsid w:val="00FC7138"/>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8E9B4E"/>
  <w15:docId w15:val="{B49CC659-6EA1-45E6-B91E-2AE34EEF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C18C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B709DA"/>
    <w:pPr>
      <w:adjustRightInd w:val="0"/>
      <w:snapToGrid w:val="0"/>
      <w:spacing w:before="180" w:after="180"/>
      <w:ind w:left="720"/>
      <w:contextualSpacing/>
    </w:pPr>
    <w:rPr>
      <w:rFonts w:eastAsia="MS Mincho"/>
      <w:szCs w:val="20"/>
      <w:lang w:eastAsia="ja-JP"/>
    </w:rPr>
  </w:style>
  <w:style w:type="paragraph" w:customStyle="1" w:styleId="Default">
    <w:name w:val="Default"/>
    <w:rsid w:val="00B709D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B709DA"/>
    <w:pPr>
      <w:widowControl w:val="0"/>
      <w:autoSpaceDE w:val="0"/>
      <w:autoSpaceDN w:val="0"/>
      <w:spacing w:before="0" w:after="0" w:line="240" w:lineRule="auto"/>
      <w:ind w:left="239"/>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B709DA"/>
    <w:rPr>
      <w:rFonts w:ascii="Times New Roman" w:eastAsia="Times New Roman" w:hAnsi="Times New Roman" w:cs="Times New Roman"/>
      <w:sz w:val="23"/>
      <w:szCs w:val="23"/>
      <w:lang w:val="en-US"/>
    </w:rPr>
  </w:style>
  <w:style w:type="character" w:customStyle="1" w:styleId="TabletextChar">
    <w:name w:val="Table text Char"/>
    <w:basedOn w:val="DefaultParagraphFont"/>
    <w:link w:val="Tabletext"/>
    <w:rsid w:val="00B709D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B709D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B709DA"/>
    <w:rPr>
      <w:rFonts w:ascii="Cambria" w:eastAsia="Times New Roman" w:hAnsi="Cambria" w:cs="Times New Roman"/>
      <w:b/>
      <w:snapToGrid w:val="0"/>
      <w:kern w:val="16"/>
      <w:sz w:val="20"/>
      <w:szCs w:val="24"/>
    </w:rPr>
  </w:style>
  <w:style w:type="character" w:customStyle="1" w:styleId="mixed-citation">
    <w:name w:val="mixed-citation"/>
    <w:basedOn w:val="DefaultParagraphFont"/>
    <w:rsid w:val="00B256C8"/>
  </w:style>
  <w:style w:type="character" w:customStyle="1" w:styleId="ref-journal">
    <w:name w:val="ref-journal"/>
    <w:basedOn w:val="DefaultParagraphFont"/>
    <w:rsid w:val="00B256C8"/>
  </w:style>
  <w:style w:type="character" w:customStyle="1" w:styleId="ref-vol">
    <w:name w:val="ref-vol"/>
    <w:basedOn w:val="DefaultParagraphFont"/>
    <w:rsid w:val="00B25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652537">
      <w:bodyDiv w:val="1"/>
      <w:marLeft w:val="0"/>
      <w:marRight w:val="0"/>
      <w:marTop w:val="0"/>
      <w:marBottom w:val="0"/>
      <w:divBdr>
        <w:top w:val="none" w:sz="0" w:space="0" w:color="auto"/>
        <w:left w:val="none" w:sz="0" w:space="0" w:color="auto"/>
        <w:bottom w:val="none" w:sz="0" w:space="0" w:color="auto"/>
        <w:right w:val="none" w:sz="0" w:space="0" w:color="auto"/>
      </w:divBdr>
      <w:divsChild>
        <w:div w:id="2004893329">
          <w:marLeft w:val="0"/>
          <w:marRight w:val="0"/>
          <w:marTop w:val="0"/>
          <w:marBottom w:val="0"/>
          <w:divBdr>
            <w:top w:val="none" w:sz="0" w:space="0" w:color="auto"/>
            <w:left w:val="none" w:sz="0" w:space="0" w:color="auto"/>
            <w:bottom w:val="none" w:sz="0" w:space="0" w:color="auto"/>
            <w:right w:val="none" w:sz="0" w:space="0" w:color="auto"/>
          </w:divBdr>
          <w:divsChild>
            <w:div w:id="2040278125">
              <w:marLeft w:val="0"/>
              <w:marRight w:val="0"/>
              <w:marTop w:val="0"/>
              <w:marBottom w:val="0"/>
              <w:divBdr>
                <w:top w:val="none" w:sz="0" w:space="0" w:color="auto"/>
                <w:left w:val="none" w:sz="0" w:space="0" w:color="auto"/>
                <w:bottom w:val="none" w:sz="0" w:space="0" w:color="auto"/>
                <w:right w:val="none" w:sz="0" w:space="0" w:color="auto"/>
              </w:divBdr>
              <w:divsChild>
                <w:div w:id="1040088740">
                  <w:marLeft w:val="0"/>
                  <w:marRight w:val="0"/>
                  <w:marTop w:val="0"/>
                  <w:marBottom w:val="0"/>
                  <w:divBdr>
                    <w:top w:val="none" w:sz="0" w:space="0" w:color="auto"/>
                    <w:left w:val="none" w:sz="0" w:space="0" w:color="auto"/>
                    <w:bottom w:val="none" w:sz="0" w:space="0" w:color="auto"/>
                    <w:right w:val="none" w:sz="0" w:space="0" w:color="auto"/>
                  </w:divBdr>
                  <w:divsChild>
                    <w:div w:id="278873832">
                      <w:marLeft w:val="0"/>
                      <w:marRight w:val="0"/>
                      <w:marTop w:val="0"/>
                      <w:marBottom w:val="0"/>
                      <w:divBdr>
                        <w:top w:val="none" w:sz="0" w:space="0" w:color="auto"/>
                        <w:left w:val="none" w:sz="0" w:space="0" w:color="auto"/>
                        <w:bottom w:val="none" w:sz="0" w:space="0" w:color="auto"/>
                        <w:right w:val="none" w:sz="0" w:space="0" w:color="auto"/>
                      </w:divBdr>
                      <w:divsChild>
                        <w:div w:id="852305663">
                          <w:marLeft w:val="0"/>
                          <w:marRight w:val="0"/>
                          <w:marTop w:val="0"/>
                          <w:marBottom w:val="0"/>
                          <w:divBdr>
                            <w:top w:val="none" w:sz="0" w:space="0" w:color="auto"/>
                            <w:left w:val="none" w:sz="0" w:space="0" w:color="auto"/>
                            <w:bottom w:val="none" w:sz="0" w:space="0" w:color="auto"/>
                            <w:right w:val="none" w:sz="0" w:space="0" w:color="auto"/>
                          </w:divBdr>
                          <w:divsChild>
                            <w:div w:id="608706877">
                              <w:marLeft w:val="0"/>
                              <w:marRight w:val="0"/>
                              <w:marTop w:val="0"/>
                              <w:marBottom w:val="0"/>
                              <w:divBdr>
                                <w:top w:val="none" w:sz="0" w:space="0" w:color="auto"/>
                                <w:left w:val="none" w:sz="0" w:space="0" w:color="auto"/>
                                <w:bottom w:val="none" w:sz="0" w:space="0" w:color="auto"/>
                                <w:right w:val="none" w:sz="0" w:space="0" w:color="auto"/>
                              </w:divBdr>
                              <w:divsChild>
                                <w:div w:id="1554776839">
                                  <w:marLeft w:val="0"/>
                                  <w:marRight w:val="0"/>
                                  <w:marTop w:val="0"/>
                                  <w:marBottom w:val="0"/>
                                  <w:divBdr>
                                    <w:top w:val="none" w:sz="0" w:space="0" w:color="auto"/>
                                    <w:left w:val="none" w:sz="0" w:space="0" w:color="auto"/>
                                    <w:bottom w:val="none" w:sz="0" w:space="0" w:color="auto"/>
                                    <w:right w:val="none" w:sz="0" w:space="0" w:color="auto"/>
                                  </w:divBdr>
                                </w:div>
                                <w:div w:id="17036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bacr\AppData\Roaming\Hewlett-Packard\HP%20TRIM\TEMP\HPTRIM.18140\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E4AB085E41164BA82E5FDE0A0438F9" ma:contentTypeVersion="10" ma:contentTypeDescription="Crée un document." ma:contentTypeScope="" ma:versionID="449b28edfef2f506fd27f751d6a09c10">
  <xsd:schema xmlns:xsd="http://www.w3.org/2001/XMLSchema" xmlns:xs="http://www.w3.org/2001/XMLSchema" xmlns:p="http://schemas.microsoft.com/office/2006/metadata/properties" xmlns:ns3="ac1f16ba-ac14-48cf-99b9-1d7fa7bb8aee" targetNamespace="http://schemas.microsoft.com/office/2006/metadata/properties" ma:root="true" ma:fieldsID="1d40d2d66b2857b75bb8c3b5a08301ed" ns3:_="">
    <xsd:import namespace="ac1f16ba-ac14-48cf-99b9-1d7fa7bb8a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f16ba-ac14-48cf-99b9-1d7fa7bb8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A153-D7EF-4494-80FB-3F03CDB5A364}">
  <ds:schemaRefs>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ac1f16ba-ac14-48cf-99b9-1d7fa7bb8ae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1EF8678-0887-476A-A946-B34CD2FEE138}">
  <ds:schemaRefs>
    <ds:schemaRef ds:uri="http://schemas.microsoft.com/sharepoint/v3/contenttype/forms"/>
  </ds:schemaRefs>
</ds:datastoreItem>
</file>

<file path=customXml/itemProps3.xml><?xml version="1.0" encoding="utf-8"?>
<ds:datastoreItem xmlns:ds="http://schemas.openxmlformats.org/officeDocument/2006/customXml" ds:itemID="{45E4BA2F-D0C0-4C71-AE9F-35D848F46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f16ba-ac14-48cf-99b9-1d7fa7bb8a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9A3D44-7242-4329-99BF-E217127D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54</TotalTime>
  <Pages>23</Pages>
  <Words>5641</Words>
  <Characters>32157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Australian public assessment report for Iodised oil</vt:lpstr>
    </vt:vector>
  </TitlesOfParts>
  <Company>Department of Health Therapeutic Goods Administration</Company>
  <LinksUpToDate>false</LinksUpToDate>
  <CharactersWithSpaces>37723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Iodised oil</dc:title>
  <dc:subject>prescription medicines</dc:subject>
  <dc:creator>Therapeutic Goods Administration</dc:creator>
  <cp:keywords/>
  <cp:lastPrinted>2020-12-08T23:12:00Z</cp:lastPrinted>
  <dcterms:created xsi:type="dcterms:W3CDTF">2021-01-10T22:43:00Z</dcterms:created>
  <dcterms:modified xsi:type="dcterms:W3CDTF">2021-01-10T23:39:00Z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0x01010034E4AB085E41164BA82E5FDE0A0438F9</vt:lpwstr>
  </property>
</Properties>
</file>