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0B7B1B" w:rsidP="005B1E2C">
            <w:pPr>
              <w:rPr>
                <w:rFonts w:ascii="Arial" w:hAnsi="Arial" w:cs="Arial"/>
                <w:b/>
                <w:color w:val="002C47"/>
                <w:sz w:val="36"/>
                <w:szCs w:val="36"/>
              </w:rPr>
            </w:pPr>
            <w:r>
              <w:rPr>
                <w:rFonts w:ascii="Arial" w:hAnsi="Arial" w:cs="Arial"/>
                <w:b/>
                <w:color w:val="002C47"/>
                <w:sz w:val="36"/>
                <w:szCs w:val="36"/>
              </w:rPr>
              <w:t>Octo</w:t>
            </w:r>
            <w:r w:rsidR="00256CEC">
              <w:rPr>
                <w:rFonts w:ascii="Arial" w:hAnsi="Arial" w:cs="Arial"/>
                <w:b/>
                <w:color w:val="002C47"/>
                <w:sz w:val="36"/>
                <w:szCs w:val="36"/>
              </w:rPr>
              <w:t>be</w:t>
            </w:r>
            <w:r w:rsidR="005B1E2C">
              <w:rPr>
                <w:rFonts w:ascii="Arial" w:hAnsi="Arial" w:cs="Arial"/>
                <w:b/>
                <w:color w:val="002C47"/>
                <w:sz w:val="36"/>
                <w:szCs w:val="36"/>
              </w:rPr>
              <w:t>r 2013</w:t>
            </w: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0E4D7E">
            <w:pPr>
              <w:pStyle w:val="Title"/>
              <w:rPr>
                <w:color w:val="FFFFFF"/>
              </w:rPr>
            </w:pPr>
            <w:r w:rsidRPr="00A964D1">
              <w:rPr>
                <w:color w:val="FFFFFF"/>
              </w:rPr>
              <w:t xml:space="preserve">Australian Public Assessment Report for </w:t>
            </w:r>
            <w:r w:rsidR="000E4D7E">
              <w:rPr>
                <w:color w:val="FFFFFF"/>
              </w:rPr>
              <w:t>i</w:t>
            </w:r>
            <w:r w:rsidR="000E4D7E" w:rsidRPr="000E4D7E">
              <w:rPr>
                <w:color w:val="FFFFFF"/>
              </w:rPr>
              <w:t xml:space="preserve">nterferon </w:t>
            </w:r>
            <w:r w:rsidR="000E4D7E">
              <w:rPr>
                <w:color w:val="FFFFFF"/>
              </w:rPr>
              <w:t>b</w:t>
            </w:r>
            <w:r w:rsidR="000E4D7E" w:rsidRPr="000E4D7E">
              <w:rPr>
                <w:color w:val="FFFFFF"/>
              </w:rPr>
              <w:t>eta-1a</w:t>
            </w:r>
          </w:p>
        </w:tc>
      </w:tr>
      <w:tr w:rsidR="0032583B" w:rsidRPr="00B64760" w:rsidTr="0032583B">
        <w:tc>
          <w:tcPr>
            <w:tcW w:w="9079" w:type="dxa"/>
          </w:tcPr>
          <w:p w:rsidR="0032583B" w:rsidRPr="008E7846" w:rsidRDefault="0032583B" w:rsidP="000E4D7E">
            <w:pPr>
              <w:pStyle w:val="Subtitle"/>
              <w:rPr>
                <w:color w:val="FFFFFF"/>
              </w:rPr>
            </w:pPr>
            <w:r w:rsidRPr="008E7846">
              <w:rPr>
                <w:color w:val="FFFFFF"/>
              </w:rPr>
              <w:t xml:space="preserve">Proprietary Product Name: </w:t>
            </w:r>
            <w:proofErr w:type="spellStart"/>
            <w:r w:rsidR="000E4D7E">
              <w:rPr>
                <w:color w:val="FFFFFF"/>
              </w:rPr>
              <w:t>Rebif</w:t>
            </w:r>
            <w:proofErr w:type="spellEnd"/>
          </w:p>
        </w:tc>
      </w:tr>
      <w:tr w:rsidR="0032583B" w:rsidRPr="00B64760" w:rsidTr="0032583B">
        <w:trPr>
          <w:trHeight w:val="486"/>
        </w:trPr>
        <w:tc>
          <w:tcPr>
            <w:tcW w:w="9079" w:type="dxa"/>
          </w:tcPr>
          <w:p w:rsidR="0032583B" w:rsidRPr="008E7846" w:rsidRDefault="000E4D7E" w:rsidP="0032583B">
            <w:pPr>
              <w:pStyle w:val="Subtitle"/>
              <w:rPr>
                <w:color w:val="FFFFFF"/>
              </w:rPr>
            </w:pPr>
            <w:r>
              <w:rPr>
                <w:color w:val="FFFFFF"/>
              </w:rPr>
              <w:t xml:space="preserve">Sponsor: </w:t>
            </w:r>
            <w:r w:rsidRPr="000E4D7E">
              <w:rPr>
                <w:color w:val="FFFFFF"/>
              </w:rPr>
              <w:t xml:space="preserve">Merck </w:t>
            </w:r>
            <w:proofErr w:type="spellStart"/>
            <w:r w:rsidRPr="000E4D7E">
              <w:rPr>
                <w:color w:val="FFFFFF"/>
              </w:rPr>
              <w:t>Serono</w:t>
            </w:r>
            <w:proofErr w:type="spellEnd"/>
            <w:r w:rsidRPr="000E4D7E">
              <w:rPr>
                <w:color w:val="FFFFFF"/>
              </w:rPr>
              <w:t xml:space="preserve"> Australia Pty Ltd</w:t>
            </w:r>
          </w:p>
        </w:tc>
      </w:tr>
    </w:tbl>
    <w:p w:rsidR="008E7846" w:rsidRPr="001F6CBA" w:rsidRDefault="008E7846" w:rsidP="008E7846">
      <w:pPr>
        <w:pStyle w:val="NonTOCHeading2"/>
      </w:pPr>
      <w:r>
        <w:br w:type="page"/>
      </w: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8" w:history="1">
        <w:r w:rsidR="00587F3D" w:rsidRPr="00907BCE">
          <w:rPr>
            <w:rStyle w:val="Hyperlink"/>
          </w:rPr>
          <w:t>http://www.tga.gov.au</w:t>
        </w:r>
      </w:hyperlink>
      <w:r w:rsidR="00112F56">
        <w:t>&gt;</w:t>
      </w:r>
      <w:r>
        <w:t>.</w:t>
      </w:r>
    </w:p>
    <w:p w:rsidR="008E7846" w:rsidRDefault="008E7846" w:rsidP="008E7846">
      <w:pPr>
        <w:pStyle w:val="NonTOCHeading2"/>
      </w:pPr>
      <w:r>
        <w:t>About AusPARs</w:t>
      </w:r>
    </w:p>
    <w:p w:rsidR="008E7846" w:rsidRDefault="008E7846" w:rsidP="008E7846">
      <w:pPr>
        <w:pStyle w:val="ListBullet"/>
        <w:numPr>
          <w:ilvl w:val="0"/>
          <w:numId w:val="3"/>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8E7846">
      <w:pPr>
        <w:pStyle w:val="ListBullet"/>
        <w:numPr>
          <w:ilvl w:val="0"/>
          <w:numId w:val="3"/>
        </w:numPr>
        <w:ind w:left="357" w:hanging="357"/>
      </w:pPr>
      <w:r>
        <w:t>AusPARs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 in that it will provide information that relates to a submission at a particular point in time.</w:t>
      </w:r>
    </w:p>
    <w:p w:rsidR="000871C1" w:rsidRDefault="008E7846" w:rsidP="000871C1">
      <w:pPr>
        <w:pStyle w:val="ListBullet"/>
        <w:numPr>
          <w:ilvl w:val="0"/>
          <w:numId w:val="3"/>
        </w:numPr>
        <w:ind w:left="357" w:hanging="357"/>
      </w:pPr>
      <w:r>
        <w:t>A new AusPAR will be developed to reflect changes to indications and/or major variations to a prescription medicine subject to evaluation by the TGA.</w:t>
      </w:r>
    </w:p>
    <w:p w:rsidR="000871C1" w:rsidRDefault="000871C1" w:rsidP="00587F3D">
      <w:pPr>
        <w:pStyle w:val="LegalCopy"/>
        <w:spacing w:before="3120"/>
        <w:rPr>
          <w:rFonts w:cs="Arial"/>
          <w:lang w:val="en-GB"/>
        </w:rPr>
      </w:pPr>
      <w:r w:rsidRPr="000871C1">
        <w:rPr>
          <w:rFonts w:cs="Arial"/>
          <w:b/>
          <w:lang w:val="en-GB"/>
        </w:rPr>
        <w:t>Copyright</w:t>
      </w:r>
      <w:r w:rsidRPr="000871C1">
        <w:rPr>
          <w:rFonts w:cs="Arial"/>
          <w:b/>
          <w:lang w:val="en-GB"/>
        </w:rPr>
        <w:br/>
      </w:r>
      <w:r w:rsidR="00924482" w:rsidRPr="00191B3B">
        <w:rPr>
          <w:rFonts w:cs="Arial"/>
          <w:lang w:val="en-GB"/>
        </w:rPr>
        <w:t>© Comm</w:t>
      </w:r>
      <w:r w:rsidR="00924482">
        <w:rPr>
          <w:rFonts w:cs="Arial"/>
          <w:lang w:val="en-GB"/>
        </w:rPr>
        <w:t>onwealth of Australia 201</w:t>
      </w:r>
      <w:r w:rsidR="00BF1190">
        <w:rPr>
          <w:rFonts w:cs="Arial"/>
          <w:lang w:val="en-GB"/>
        </w:rPr>
        <w:t>3</w:t>
      </w:r>
    </w:p>
    <w:p w:rsidR="000871C1" w:rsidRDefault="00924482" w:rsidP="00924482">
      <w:pPr>
        <w:pStyle w:val="LegalCopy"/>
      </w:pPr>
      <w:r w:rsidRPr="00191B3B">
        <w:rPr>
          <w:rFonts w:cs="Arial"/>
          <w:lang w:val="en-GB"/>
        </w:rP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0"/>
          <w:footerReference w:type="default" r:id="rId11"/>
          <w:headerReference w:type="first" r:id="rId12"/>
          <w:pgSz w:w="11906" w:h="16838" w:code="9"/>
          <w:pgMar w:top="426" w:right="1701" w:bottom="0" w:left="1701" w:header="907" w:footer="142" w:gutter="0"/>
          <w:pgNumType w:fmt="lowerRoman" w:start="1"/>
          <w:cols w:space="708"/>
          <w:titlePg/>
          <w:docGrid w:linePitch="360"/>
        </w:sectPr>
      </w:pPr>
    </w:p>
    <w:p w:rsidR="0089635C" w:rsidRPr="0089635C" w:rsidRDefault="0089635C" w:rsidP="0010788A">
      <w:pPr>
        <w:pStyle w:val="Contents"/>
      </w:pPr>
      <w:bookmarkStart w:id="0" w:name="_Toc247691501"/>
      <w:bookmarkStart w:id="1" w:name="_Toc196046425"/>
      <w:r w:rsidRPr="0010788A">
        <w:lastRenderedPageBreak/>
        <w:t>Contents</w:t>
      </w:r>
    </w:p>
    <w:p w:rsidR="00587F3D" w:rsidRDefault="00773D97">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73929677" w:history="1">
        <w:r w:rsidR="00587F3D" w:rsidRPr="0057515F">
          <w:rPr>
            <w:rStyle w:val="Hyperlink"/>
            <w:noProof/>
          </w:rPr>
          <w:t>I. Introduction to product submission</w:t>
        </w:r>
        <w:r w:rsidR="00587F3D">
          <w:rPr>
            <w:noProof/>
            <w:webHidden/>
          </w:rPr>
          <w:tab/>
        </w:r>
        <w:r w:rsidR="00587F3D">
          <w:rPr>
            <w:noProof/>
            <w:webHidden/>
          </w:rPr>
          <w:fldChar w:fldCharType="begin"/>
        </w:r>
        <w:r w:rsidR="00587F3D">
          <w:rPr>
            <w:noProof/>
            <w:webHidden/>
          </w:rPr>
          <w:instrText xml:space="preserve"> PAGEREF _Toc373929677 \h </w:instrText>
        </w:r>
        <w:r w:rsidR="00587F3D">
          <w:rPr>
            <w:noProof/>
            <w:webHidden/>
          </w:rPr>
        </w:r>
        <w:r w:rsidR="00587F3D">
          <w:rPr>
            <w:noProof/>
            <w:webHidden/>
          </w:rPr>
          <w:fldChar w:fldCharType="separate"/>
        </w:r>
        <w:r w:rsidR="00587F3D">
          <w:rPr>
            <w:noProof/>
            <w:webHidden/>
          </w:rPr>
          <w:t>4</w:t>
        </w:r>
        <w:r w:rsidR="00587F3D">
          <w:rPr>
            <w:noProof/>
            <w:webHidden/>
          </w:rPr>
          <w:fldChar w:fldCharType="end"/>
        </w:r>
      </w:hyperlink>
    </w:p>
    <w:p w:rsidR="00587F3D" w:rsidRDefault="00587F3D">
      <w:pPr>
        <w:pStyle w:val="TOC3"/>
        <w:rPr>
          <w:rFonts w:asciiTheme="minorHAnsi" w:eastAsiaTheme="minorEastAsia" w:hAnsiTheme="minorHAnsi" w:cstheme="minorBidi"/>
          <w:noProof/>
          <w:lang w:eastAsia="en-AU"/>
        </w:rPr>
      </w:pPr>
      <w:hyperlink w:anchor="_Toc373929678" w:history="1">
        <w:r w:rsidRPr="0057515F">
          <w:rPr>
            <w:rStyle w:val="Hyperlink"/>
            <w:noProof/>
            <w:lang w:eastAsia="en-AU"/>
          </w:rPr>
          <w:t>Submission details</w:t>
        </w:r>
        <w:r>
          <w:rPr>
            <w:noProof/>
            <w:webHidden/>
          </w:rPr>
          <w:tab/>
        </w:r>
        <w:r>
          <w:rPr>
            <w:noProof/>
            <w:webHidden/>
          </w:rPr>
          <w:fldChar w:fldCharType="begin"/>
        </w:r>
        <w:r>
          <w:rPr>
            <w:noProof/>
            <w:webHidden/>
          </w:rPr>
          <w:instrText xml:space="preserve"> PAGEREF _Toc373929678 \h </w:instrText>
        </w:r>
        <w:r>
          <w:rPr>
            <w:noProof/>
            <w:webHidden/>
          </w:rPr>
        </w:r>
        <w:r>
          <w:rPr>
            <w:noProof/>
            <w:webHidden/>
          </w:rPr>
          <w:fldChar w:fldCharType="separate"/>
        </w:r>
        <w:r>
          <w:rPr>
            <w:noProof/>
            <w:webHidden/>
          </w:rPr>
          <w:t>4</w:t>
        </w:r>
        <w:r>
          <w:rPr>
            <w:noProof/>
            <w:webHidden/>
          </w:rPr>
          <w:fldChar w:fldCharType="end"/>
        </w:r>
      </w:hyperlink>
    </w:p>
    <w:p w:rsidR="00587F3D" w:rsidRDefault="00587F3D">
      <w:pPr>
        <w:pStyle w:val="TOC3"/>
        <w:rPr>
          <w:rFonts w:asciiTheme="minorHAnsi" w:eastAsiaTheme="minorEastAsia" w:hAnsiTheme="minorHAnsi" w:cstheme="minorBidi"/>
          <w:noProof/>
          <w:lang w:eastAsia="en-AU"/>
        </w:rPr>
      </w:pPr>
      <w:hyperlink w:anchor="_Toc373929679" w:history="1">
        <w:r w:rsidRPr="0057515F">
          <w:rPr>
            <w:rStyle w:val="Hyperlink"/>
            <w:noProof/>
          </w:rPr>
          <w:t>Product background</w:t>
        </w:r>
        <w:r>
          <w:rPr>
            <w:noProof/>
            <w:webHidden/>
          </w:rPr>
          <w:tab/>
        </w:r>
        <w:r>
          <w:rPr>
            <w:noProof/>
            <w:webHidden/>
          </w:rPr>
          <w:fldChar w:fldCharType="begin"/>
        </w:r>
        <w:r>
          <w:rPr>
            <w:noProof/>
            <w:webHidden/>
          </w:rPr>
          <w:instrText xml:space="preserve"> PAGEREF _Toc373929679 \h </w:instrText>
        </w:r>
        <w:r>
          <w:rPr>
            <w:noProof/>
            <w:webHidden/>
          </w:rPr>
        </w:r>
        <w:r>
          <w:rPr>
            <w:noProof/>
            <w:webHidden/>
          </w:rPr>
          <w:fldChar w:fldCharType="separate"/>
        </w:r>
        <w:r>
          <w:rPr>
            <w:noProof/>
            <w:webHidden/>
          </w:rPr>
          <w:t>4</w:t>
        </w:r>
        <w:r>
          <w:rPr>
            <w:noProof/>
            <w:webHidden/>
          </w:rPr>
          <w:fldChar w:fldCharType="end"/>
        </w:r>
      </w:hyperlink>
    </w:p>
    <w:p w:rsidR="00587F3D" w:rsidRDefault="00587F3D">
      <w:pPr>
        <w:pStyle w:val="TOC3"/>
        <w:rPr>
          <w:rFonts w:asciiTheme="minorHAnsi" w:eastAsiaTheme="minorEastAsia" w:hAnsiTheme="minorHAnsi" w:cstheme="minorBidi"/>
          <w:noProof/>
          <w:lang w:eastAsia="en-AU"/>
        </w:rPr>
      </w:pPr>
      <w:hyperlink w:anchor="_Toc373929680" w:history="1">
        <w:r w:rsidRPr="0057515F">
          <w:rPr>
            <w:rStyle w:val="Hyperlink"/>
            <w:noProof/>
          </w:rPr>
          <w:t>Regulatory status</w:t>
        </w:r>
        <w:r>
          <w:rPr>
            <w:noProof/>
            <w:webHidden/>
          </w:rPr>
          <w:tab/>
        </w:r>
        <w:r>
          <w:rPr>
            <w:noProof/>
            <w:webHidden/>
          </w:rPr>
          <w:fldChar w:fldCharType="begin"/>
        </w:r>
        <w:r>
          <w:rPr>
            <w:noProof/>
            <w:webHidden/>
          </w:rPr>
          <w:instrText xml:space="preserve"> PAGEREF _Toc373929680 \h </w:instrText>
        </w:r>
        <w:r>
          <w:rPr>
            <w:noProof/>
            <w:webHidden/>
          </w:rPr>
        </w:r>
        <w:r>
          <w:rPr>
            <w:noProof/>
            <w:webHidden/>
          </w:rPr>
          <w:fldChar w:fldCharType="separate"/>
        </w:r>
        <w:r>
          <w:rPr>
            <w:noProof/>
            <w:webHidden/>
          </w:rPr>
          <w:t>5</w:t>
        </w:r>
        <w:r>
          <w:rPr>
            <w:noProof/>
            <w:webHidden/>
          </w:rPr>
          <w:fldChar w:fldCharType="end"/>
        </w:r>
      </w:hyperlink>
    </w:p>
    <w:p w:rsidR="00587F3D" w:rsidRDefault="00587F3D">
      <w:pPr>
        <w:pStyle w:val="TOC3"/>
        <w:rPr>
          <w:rFonts w:asciiTheme="minorHAnsi" w:eastAsiaTheme="minorEastAsia" w:hAnsiTheme="minorHAnsi" w:cstheme="minorBidi"/>
          <w:noProof/>
          <w:lang w:eastAsia="en-AU"/>
        </w:rPr>
      </w:pPr>
      <w:hyperlink w:anchor="_Toc373929681" w:history="1">
        <w:r w:rsidRPr="0057515F">
          <w:rPr>
            <w:rStyle w:val="Hyperlink"/>
            <w:noProof/>
          </w:rPr>
          <w:t>Product Information</w:t>
        </w:r>
        <w:r>
          <w:rPr>
            <w:noProof/>
            <w:webHidden/>
          </w:rPr>
          <w:tab/>
        </w:r>
        <w:r>
          <w:rPr>
            <w:noProof/>
            <w:webHidden/>
          </w:rPr>
          <w:fldChar w:fldCharType="begin"/>
        </w:r>
        <w:r>
          <w:rPr>
            <w:noProof/>
            <w:webHidden/>
          </w:rPr>
          <w:instrText xml:space="preserve"> PAGEREF _Toc373929681 \h </w:instrText>
        </w:r>
        <w:r>
          <w:rPr>
            <w:noProof/>
            <w:webHidden/>
          </w:rPr>
        </w:r>
        <w:r>
          <w:rPr>
            <w:noProof/>
            <w:webHidden/>
          </w:rPr>
          <w:fldChar w:fldCharType="separate"/>
        </w:r>
        <w:r>
          <w:rPr>
            <w:noProof/>
            <w:webHidden/>
          </w:rPr>
          <w:t>5</w:t>
        </w:r>
        <w:r>
          <w:rPr>
            <w:noProof/>
            <w:webHidden/>
          </w:rPr>
          <w:fldChar w:fldCharType="end"/>
        </w:r>
      </w:hyperlink>
    </w:p>
    <w:p w:rsidR="00587F3D" w:rsidRDefault="00587F3D">
      <w:pPr>
        <w:pStyle w:val="TOC2"/>
        <w:rPr>
          <w:rFonts w:asciiTheme="minorHAnsi" w:eastAsiaTheme="minorEastAsia" w:hAnsiTheme="minorHAnsi" w:cstheme="minorBidi"/>
          <w:b w:val="0"/>
          <w:noProof/>
          <w:sz w:val="22"/>
          <w:lang w:eastAsia="en-AU"/>
        </w:rPr>
      </w:pPr>
      <w:hyperlink w:anchor="_Toc373929682" w:history="1">
        <w:r w:rsidRPr="0057515F">
          <w:rPr>
            <w:rStyle w:val="Hyperlink"/>
            <w:noProof/>
          </w:rPr>
          <w:t>II. Quality findings</w:t>
        </w:r>
        <w:r>
          <w:rPr>
            <w:noProof/>
            <w:webHidden/>
          </w:rPr>
          <w:tab/>
        </w:r>
        <w:r>
          <w:rPr>
            <w:noProof/>
            <w:webHidden/>
          </w:rPr>
          <w:fldChar w:fldCharType="begin"/>
        </w:r>
        <w:r>
          <w:rPr>
            <w:noProof/>
            <w:webHidden/>
          </w:rPr>
          <w:instrText xml:space="preserve"> PAGEREF _Toc373929682 \h </w:instrText>
        </w:r>
        <w:r>
          <w:rPr>
            <w:noProof/>
            <w:webHidden/>
          </w:rPr>
        </w:r>
        <w:r>
          <w:rPr>
            <w:noProof/>
            <w:webHidden/>
          </w:rPr>
          <w:fldChar w:fldCharType="separate"/>
        </w:r>
        <w:r>
          <w:rPr>
            <w:noProof/>
            <w:webHidden/>
          </w:rPr>
          <w:t>5</w:t>
        </w:r>
        <w:r>
          <w:rPr>
            <w:noProof/>
            <w:webHidden/>
          </w:rPr>
          <w:fldChar w:fldCharType="end"/>
        </w:r>
      </w:hyperlink>
    </w:p>
    <w:p w:rsidR="00587F3D" w:rsidRDefault="00587F3D">
      <w:pPr>
        <w:pStyle w:val="TOC2"/>
        <w:rPr>
          <w:rFonts w:asciiTheme="minorHAnsi" w:eastAsiaTheme="minorEastAsia" w:hAnsiTheme="minorHAnsi" w:cstheme="minorBidi"/>
          <w:b w:val="0"/>
          <w:noProof/>
          <w:sz w:val="22"/>
          <w:lang w:eastAsia="en-AU"/>
        </w:rPr>
      </w:pPr>
      <w:hyperlink w:anchor="_Toc373929683" w:history="1">
        <w:r w:rsidRPr="0057515F">
          <w:rPr>
            <w:rStyle w:val="Hyperlink"/>
            <w:noProof/>
          </w:rPr>
          <w:t>III. Nonclinical findings</w:t>
        </w:r>
        <w:r>
          <w:rPr>
            <w:noProof/>
            <w:webHidden/>
          </w:rPr>
          <w:tab/>
        </w:r>
        <w:r>
          <w:rPr>
            <w:noProof/>
            <w:webHidden/>
          </w:rPr>
          <w:fldChar w:fldCharType="begin"/>
        </w:r>
        <w:r>
          <w:rPr>
            <w:noProof/>
            <w:webHidden/>
          </w:rPr>
          <w:instrText xml:space="preserve"> PAGEREF _Toc373929683 \h </w:instrText>
        </w:r>
        <w:r>
          <w:rPr>
            <w:noProof/>
            <w:webHidden/>
          </w:rPr>
        </w:r>
        <w:r>
          <w:rPr>
            <w:noProof/>
            <w:webHidden/>
          </w:rPr>
          <w:fldChar w:fldCharType="separate"/>
        </w:r>
        <w:r>
          <w:rPr>
            <w:noProof/>
            <w:webHidden/>
          </w:rPr>
          <w:t>5</w:t>
        </w:r>
        <w:r>
          <w:rPr>
            <w:noProof/>
            <w:webHidden/>
          </w:rPr>
          <w:fldChar w:fldCharType="end"/>
        </w:r>
      </w:hyperlink>
    </w:p>
    <w:p w:rsidR="00587F3D" w:rsidRDefault="00587F3D">
      <w:pPr>
        <w:pStyle w:val="TOC2"/>
        <w:rPr>
          <w:rFonts w:asciiTheme="minorHAnsi" w:eastAsiaTheme="minorEastAsia" w:hAnsiTheme="minorHAnsi" w:cstheme="minorBidi"/>
          <w:b w:val="0"/>
          <w:noProof/>
          <w:sz w:val="22"/>
          <w:lang w:eastAsia="en-AU"/>
        </w:rPr>
      </w:pPr>
      <w:hyperlink w:anchor="_Toc373929684" w:history="1">
        <w:r w:rsidRPr="0057515F">
          <w:rPr>
            <w:rStyle w:val="Hyperlink"/>
            <w:noProof/>
          </w:rPr>
          <w:t>IV. Clinical findings</w:t>
        </w:r>
        <w:r>
          <w:rPr>
            <w:noProof/>
            <w:webHidden/>
          </w:rPr>
          <w:tab/>
        </w:r>
        <w:r>
          <w:rPr>
            <w:noProof/>
            <w:webHidden/>
          </w:rPr>
          <w:fldChar w:fldCharType="begin"/>
        </w:r>
        <w:r>
          <w:rPr>
            <w:noProof/>
            <w:webHidden/>
          </w:rPr>
          <w:instrText xml:space="preserve"> PAGEREF _Toc373929684 \h </w:instrText>
        </w:r>
        <w:r>
          <w:rPr>
            <w:noProof/>
            <w:webHidden/>
          </w:rPr>
        </w:r>
        <w:r>
          <w:rPr>
            <w:noProof/>
            <w:webHidden/>
          </w:rPr>
          <w:fldChar w:fldCharType="separate"/>
        </w:r>
        <w:r>
          <w:rPr>
            <w:noProof/>
            <w:webHidden/>
          </w:rPr>
          <w:t>5</w:t>
        </w:r>
        <w:r>
          <w:rPr>
            <w:noProof/>
            <w:webHidden/>
          </w:rPr>
          <w:fldChar w:fldCharType="end"/>
        </w:r>
      </w:hyperlink>
    </w:p>
    <w:p w:rsidR="00587F3D" w:rsidRDefault="00587F3D">
      <w:pPr>
        <w:pStyle w:val="TOC3"/>
        <w:rPr>
          <w:rFonts w:asciiTheme="minorHAnsi" w:eastAsiaTheme="minorEastAsia" w:hAnsiTheme="minorHAnsi" w:cstheme="minorBidi"/>
          <w:noProof/>
          <w:lang w:eastAsia="en-AU"/>
        </w:rPr>
      </w:pPr>
      <w:hyperlink w:anchor="_Toc373929685" w:history="1">
        <w:r w:rsidRPr="0057515F">
          <w:rPr>
            <w:rStyle w:val="Hyperlink"/>
            <w:noProof/>
          </w:rPr>
          <w:t>Introduction</w:t>
        </w:r>
        <w:r>
          <w:rPr>
            <w:noProof/>
            <w:webHidden/>
          </w:rPr>
          <w:tab/>
        </w:r>
        <w:r>
          <w:rPr>
            <w:noProof/>
            <w:webHidden/>
          </w:rPr>
          <w:fldChar w:fldCharType="begin"/>
        </w:r>
        <w:r>
          <w:rPr>
            <w:noProof/>
            <w:webHidden/>
          </w:rPr>
          <w:instrText xml:space="preserve"> PAGEREF _Toc373929685 \h </w:instrText>
        </w:r>
        <w:r>
          <w:rPr>
            <w:noProof/>
            <w:webHidden/>
          </w:rPr>
        </w:r>
        <w:r>
          <w:rPr>
            <w:noProof/>
            <w:webHidden/>
          </w:rPr>
          <w:fldChar w:fldCharType="separate"/>
        </w:r>
        <w:r>
          <w:rPr>
            <w:noProof/>
            <w:webHidden/>
          </w:rPr>
          <w:t>5</w:t>
        </w:r>
        <w:r>
          <w:rPr>
            <w:noProof/>
            <w:webHidden/>
          </w:rPr>
          <w:fldChar w:fldCharType="end"/>
        </w:r>
      </w:hyperlink>
    </w:p>
    <w:p w:rsidR="00587F3D" w:rsidRDefault="00587F3D">
      <w:pPr>
        <w:pStyle w:val="TOC3"/>
        <w:rPr>
          <w:rFonts w:asciiTheme="minorHAnsi" w:eastAsiaTheme="minorEastAsia" w:hAnsiTheme="minorHAnsi" w:cstheme="minorBidi"/>
          <w:noProof/>
          <w:lang w:eastAsia="en-AU"/>
        </w:rPr>
      </w:pPr>
      <w:hyperlink w:anchor="_Toc373929686" w:history="1">
        <w:r w:rsidRPr="0057515F">
          <w:rPr>
            <w:rStyle w:val="Hyperlink"/>
            <w:noProof/>
          </w:rPr>
          <w:t>Pharmacokinetics</w:t>
        </w:r>
        <w:r>
          <w:rPr>
            <w:noProof/>
            <w:webHidden/>
          </w:rPr>
          <w:tab/>
        </w:r>
        <w:r>
          <w:rPr>
            <w:noProof/>
            <w:webHidden/>
          </w:rPr>
          <w:fldChar w:fldCharType="begin"/>
        </w:r>
        <w:r>
          <w:rPr>
            <w:noProof/>
            <w:webHidden/>
          </w:rPr>
          <w:instrText xml:space="preserve"> PAGEREF _Toc373929686 \h </w:instrText>
        </w:r>
        <w:r>
          <w:rPr>
            <w:noProof/>
            <w:webHidden/>
          </w:rPr>
        </w:r>
        <w:r>
          <w:rPr>
            <w:noProof/>
            <w:webHidden/>
          </w:rPr>
          <w:fldChar w:fldCharType="separate"/>
        </w:r>
        <w:r>
          <w:rPr>
            <w:noProof/>
            <w:webHidden/>
          </w:rPr>
          <w:t>6</w:t>
        </w:r>
        <w:r>
          <w:rPr>
            <w:noProof/>
            <w:webHidden/>
          </w:rPr>
          <w:fldChar w:fldCharType="end"/>
        </w:r>
      </w:hyperlink>
    </w:p>
    <w:p w:rsidR="00587F3D" w:rsidRDefault="00587F3D">
      <w:pPr>
        <w:pStyle w:val="TOC3"/>
        <w:rPr>
          <w:rFonts w:asciiTheme="minorHAnsi" w:eastAsiaTheme="minorEastAsia" w:hAnsiTheme="minorHAnsi" w:cstheme="minorBidi"/>
          <w:noProof/>
          <w:lang w:eastAsia="en-AU"/>
        </w:rPr>
      </w:pPr>
      <w:hyperlink w:anchor="_Toc373929687" w:history="1">
        <w:r w:rsidRPr="0057515F">
          <w:rPr>
            <w:rStyle w:val="Hyperlink"/>
            <w:noProof/>
          </w:rPr>
          <w:t>Pharmacodynamics</w:t>
        </w:r>
        <w:r>
          <w:rPr>
            <w:noProof/>
            <w:webHidden/>
          </w:rPr>
          <w:tab/>
        </w:r>
        <w:r>
          <w:rPr>
            <w:noProof/>
            <w:webHidden/>
          </w:rPr>
          <w:fldChar w:fldCharType="begin"/>
        </w:r>
        <w:r>
          <w:rPr>
            <w:noProof/>
            <w:webHidden/>
          </w:rPr>
          <w:instrText xml:space="preserve"> PAGEREF _Toc373929687 \h </w:instrText>
        </w:r>
        <w:r>
          <w:rPr>
            <w:noProof/>
            <w:webHidden/>
          </w:rPr>
        </w:r>
        <w:r>
          <w:rPr>
            <w:noProof/>
            <w:webHidden/>
          </w:rPr>
          <w:fldChar w:fldCharType="separate"/>
        </w:r>
        <w:r>
          <w:rPr>
            <w:noProof/>
            <w:webHidden/>
          </w:rPr>
          <w:t>6</w:t>
        </w:r>
        <w:r>
          <w:rPr>
            <w:noProof/>
            <w:webHidden/>
          </w:rPr>
          <w:fldChar w:fldCharType="end"/>
        </w:r>
      </w:hyperlink>
    </w:p>
    <w:p w:rsidR="00587F3D" w:rsidRDefault="00587F3D">
      <w:pPr>
        <w:pStyle w:val="TOC3"/>
        <w:rPr>
          <w:rFonts w:asciiTheme="minorHAnsi" w:eastAsiaTheme="minorEastAsia" w:hAnsiTheme="minorHAnsi" w:cstheme="minorBidi"/>
          <w:noProof/>
          <w:lang w:eastAsia="en-AU"/>
        </w:rPr>
      </w:pPr>
      <w:hyperlink w:anchor="_Toc373929688" w:history="1">
        <w:r w:rsidRPr="0057515F">
          <w:rPr>
            <w:rStyle w:val="Hyperlink"/>
            <w:noProof/>
          </w:rPr>
          <w:t>Efficacy</w:t>
        </w:r>
        <w:r>
          <w:rPr>
            <w:noProof/>
            <w:webHidden/>
          </w:rPr>
          <w:tab/>
        </w:r>
        <w:r>
          <w:rPr>
            <w:noProof/>
            <w:webHidden/>
          </w:rPr>
          <w:fldChar w:fldCharType="begin"/>
        </w:r>
        <w:r>
          <w:rPr>
            <w:noProof/>
            <w:webHidden/>
          </w:rPr>
          <w:instrText xml:space="preserve"> PAGEREF _Toc373929688 \h </w:instrText>
        </w:r>
        <w:r>
          <w:rPr>
            <w:noProof/>
            <w:webHidden/>
          </w:rPr>
        </w:r>
        <w:r>
          <w:rPr>
            <w:noProof/>
            <w:webHidden/>
          </w:rPr>
          <w:fldChar w:fldCharType="separate"/>
        </w:r>
        <w:r>
          <w:rPr>
            <w:noProof/>
            <w:webHidden/>
          </w:rPr>
          <w:t>7</w:t>
        </w:r>
        <w:r>
          <w:rPr>
            <w:noProof/>
            <w:webHidden/>
          </w:rPr>
          <w:fldChar w:fldCharType="end"/>
        </w:r>
      </w:hyperlink>
    </w:p>
    <w:p w:rsidR="00587F3D" w:rsidRDefault="00587F3D">
      <w:pPr>
        <w:pStyle w:val="TOC3"/>
        <w:rPr>
          <w:rFonts w:asciiTheme="minorHAnsi" w:eastAsiaTheme="minorEastAsia" w:hAnsiTheme="minorHAnsi" w:cstheme="minorBidi"/>
          <w:noProof/>
          <w:lang w:eastAsia="en-AU"/>
        </w:rPr>
      </w:pPr>
      <w:hyperlink w:anchor="_Toc373929689" w:history="1">
        <w:r w:rsidRPr="0057515F">
          <w:rPr>
            <w:rStyle w:val="Hyperlink"/>
            <w:noProof/>
          </w:rPr>
          <w:t>Safety</w:t>
        </w:r>
        <w:r>
          <w:rPr>
            <w:noProof/>
            <w:webHidden/>
          </w:rPr>
          <w:tab/>
        </w:r>
        <w:r>
          <w:rPr>
            <w:noProof/>
            <w:webHidden/>
          </w:rPr>
          <w:fldChar w:fldCharType="begin"/>
        </w:r>
        <w:r>
          <w:rPr>
            <w:noProof/>
            <w:webHidden/>
          </w:rPr>
          <w:instrText xml:space="preserve"> PAGEREF _Toc373929689 \h </w:instrText>
        </w:r>
        <w:r>
          <w:rPr>
            <w:noProof/>
            <w:webHidden/>
          </w:rPr>
        </w:r>
        <w:r>
          <w:rPr>
            <w:noProof/>
            <w:webHidden/>
          </w:rPr>
          <w:fldChar w:fldCharType="separate"/>
        </w:r>
        <w:r>
          <w:rPr>
            <w:noProof/>
            <w:webHidden/>
          </w:rPr>
          <w:t>9</w:t>
        </w:r>
        <w:r>
          <w:rPr>
            <w:noProof/>
            <w:webHidden/>
          </w:rPr>
          <w:fldChar w:fldCharType="end"/>
        </w:r>
      </w:hyperlink>
    </w:p>
    <w:p w:rsidR="00587F3D" w:rsidRDefault="00587F3D">
      <w:pPr>
        <w:pStyle w:val="TOC3"/>
        <w:rPr>
          <w:rFonts w:asciiTheme="minorHAnsi" w:eastAsiaTheme="minorEastAsia" w:hAnsiTheme="minorHAnsi" w:cstheme="minorBidi"/>
          <w:noProof/>
          <w:lang w:eastAsia="en-AU"/>
        </w:rPr>
      </w:pPr>
      <w:hyperlink w:anchor="_Toc373929690" w:history="1">
        <w:r w:rsidRPr="0057515F">
          <w:rPr>
            <w:rStyle w:val="Hyperlink"/>
            <w:noProof/>
          </w:rPr>
          <w:t>First round benefit-risk assessment</w:t>
        </w:r>
        <w:r>
          <w:rPr>
            <w:noProof/>
            <w:webHidden/>
          </w:rPr>
          <w:tab/>
        </w:r>
        <w:r>
          <w:rPr>
            <w:noProof/>
            <w:webHidden/>
          </w:rPr>
          <w:fldChar w:fldCharType="begin"/>
        </w:r>
        <w:r>
          <w:rPr>
            <w:noProof/>
            <w:webHidden/>
          </w:rPr>
          <w:instrText xml:space="preserve"> PAGEREF _Toc373929690 \h </w:instrText>
        </w:r>
        <w:r>
          <w:rPr>
            <w:noProof/>
            <w:webHidden/>
          </w:rPr>
        </w:r>
        <w:r>
          <w:rPr>
            <w:noProof/>
            <w:webHidden/>
          </w:rPr>
          <w:fldChar w:fldCharType="separate"/>
        </w:r>
        <w:r>
          <w:rPr>
            <w:noProof/>
            <w:webHidden/>
          </w:rPr>
          <w:t>10</w:t>
        </w:r>
        <w:r>
          <w:rPr>
            <w:noProof/>
            <w:webHidden/>
          </w:rPr>
          <w:fldChar w:fldCharType="end"/>
        </w:r>
      </w:hyperlink>
    </w:p>
    <w:p w:rsidR="00587F3D" w:rsidRDefault="00587F3D">
      <w:pPr>
        <w:pStyle w:val="TOC3"/>
        <w:rPr>
          <w:rFonts w:asciiTheme="minorHAnsi" w:eastAsiaTheme="minorEastAsia" w:hAnsiTheme="minorHAnsi" w:cstheme="minorBidi"/>
          <w:noProof/>
          <w:lang w:eastAsia="en-AU"/>
        </w:rPr>
      </w:pPr>
      <w:hyperlink w:anchor="_Toc373929691" w:history="1">
        <w:r w:rsidRPr="0057515F">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_Toc373929691 \h </w:instrText>
        </w:r>
        <w:r>
          <w:rPr>
            <w:noProof/>
            <w:webHidden/>
          </w:rPr>
        </w:r>
        <w:r>
          <w:rPr>
            <w:noProof/>
            <w:webHidden/>
          </w:rPr>
          <w:fldChar w:fldCharType="separate"/>
        </w:r>
        <w:r>
          <w:rPr>
            <w:noProof/>
            <w:webHidden/>
          </w:rPr>
          <w:t>12</w:t>
        </w:r>
        <w:r>
          <w:rPr>
            <w:noProof/>
            <w:webHidden/>
          </w:rPr>
          <w:fldChar w:fldCharType="end"/>
        </w:r>
      </w:hyperlink>
    </w:p>
    <w:p w:rsidR="00587F3D" w:rsidRDefault="00587F3D">
      <w:pPr>
        <w:pStyle w:val="TOC3"/>
        <w:rPr>
          <w:rFonts w:asciiTheme="minorHAnsi" w:eastAsiaTheme="minorEastAsia" w:hAnsiTheme="minorHAnsi" w:cstheme="minorBidi"/>
          <w:noProof/>
          <w:lang w:eastAsia="en-AU"/>
        </w:rPr>
      </w:pPr>
      <w:hyperlink w:anchor="_Toc373929692" w:history="1">
        <w:r w:rsidRPr="0057515F">
          <w:rPr>
            <w:rStyle w:val="Hyperlink"/>
            <w:noProof/>
          </w:rPr>
          <w:t>Second round benefit-risk assessment</w:t>
        </w:r>
        <w:r>
          <w:rPr>
            <w:noProof/>
            <w:webHidden/>
          </w:rPr>
          <w:tab/>
        </w:r>
        <w:r>
          <w:rPr>
            <w:noProof/>
            <w:webHidden/>
          </w:rPr>
          <w:fldChar w:fldCharType="begin"/>
        </w:r>
        <w:r>
          <w:rPr>
            <w:noProof/>
            <w:webHidden/>
          </w:rPr>
          <w:instrText xml:space="preserve"> PAGEREF _Toc373929692 \h </w:instrText>
        </w:r>
        <w:r>
          <w:rPr>
            <w:noProof/>
            <w:webHidden/>
          </w:rPr>
        </w:r>
        <w:r>
          <w:rPr>
            <w:noProof/>
            <w:webHidden/>
          </w:rPr>
          <w:fldChar w:fldCharType="separate"/>
        </w:r>
        <w:r>
          <w:rPr>
            <w:noProof/>
            <w:webHidden/>
          </w:rPr>
          <w:t>18</w:t>
        </w:r>
        <w:r>
          <w:rPr>
            <w:noProof/>
            <w:webHidden/>
          </w:rPr>
          <w:fldChar w:fldCharType="end"/>
        </w:r>
      </w:hyperlink>
    </w:p>
    <w:p w:rsidR="00587F3D" w:rsidRDefault="00587F3D">
      <w:pPr>
        <w:pStyle w:val="TOC3"/>
        <w:rPr>
          <w:rFonts w:asciiTheme="minorHAnsi" w:eastAsiaTheme="minorEastAsia" w:hAnsiTheme="minorHAnsi" w:cstheme="minorBidi"/>
          <w:noProof/>
          <w:lang w:eastAsia="en-AU"/>
        </w:rPr>
      </w:pPr>
      <w:hyperlink w:anchor="_Toc373929693" w:history="1">
        <w:r w:rsidRPr="0057515F">
          <w:rPr>
            <w:rStyle w:val="Hyperlink"/>
            <w:noProof/>
          </w:rPr>
          <w:t>Second round recommendation regarding authorisation</w:t>
        </w:r>
        <w:r>
          <w:rPr>
            <w:noProof/>
            <w:webHidden/>
          </w:rPr>
          <w:tab/>
        </w:r>
        <w:r>
          <w:rPr>
            <w:noProof/>
            <w:webHidden/>
          </w:rPr>
          <w:fldChar w:fldCharType="begin"/>
        </w:r>
        <w:r>
          <w:rPr>
            <w:noProof/>
            <w:webHidden/>
          </w:rPr>
          <w:instrText xml:space="preserve"> PAGEREF _Toc373929693 \h </w:instrText>
        </w:r>
        <w:r>
          <w:rPr>
            <w:noProof/>
            <w:webHidden/>
          </w:rPr>
        </w:r>
        <w:r>
          <w:rPr>
            <w:noProof/>
            <w:webHidden/>
          </w:rPr>
          <w:fldChar w:fldCharType="separate"/>
        </w:r>
        <w:r>
          <w:rPr>
            <w:noProof/>
            <w:webHidden/>
          </w:rPr>
          <w:t>18</w:t>
        </w:r>
        <w:r>
          <w:rPr>
            <w:noProof/>
            <w:webHidden/>
          </w:rPr>
          <w:fldChar w:fldCharType="end"/>
        </w:r>
      </w:hyperlink>
    </w:p>
    <w:p w:rsidR="00587F3D" w:rsidRDefault="00587F3D">
      <w:pPr>
        <w:pStyle w:val="TOC2"/>
        <w:rPr>
          <w:rFonts w:asciiTheme="minorHAnsi" w:eastAsiaTheme="minorEastAsia" w:hAnsiTheme="minorHAnsi" w:cstheme="minorBidi"/>
          <w:b w:val="0"/>
          <w:noProof/>
          <w:sz w:val="22"/>
          <w:lang w:eastAsia="en-AU"/>
        </w:rPr>
      </w:pPr>
      <w:hyperlink w:anchor="_Toc373929694" w:history="1">
        <w:r w:rsidRPr="0057515F">
          <w:rPr>
            <w:rStyle w:val="Hyperlink"/>
            <w:noProof/>
          </w:rPr>
          <w:t>V. Pharmacovigilance findings</w:t>
        </w:r>
        <w:r>
          <w:rPr>
            <w:noProof/>
            <w:webHidden/>
          </w:rPr>
          <w:tab/>
        </w:r>
        <w:r>
          <w:rPr>
            <w:noProof/>
            <w:webHidden/>
          </w:rPr>
          <w:fldChar w:fldCharType="begin"/>
        </w:r>
        <w:r>
          <w:rPr>
            <w:noProof/>
            <w:webHidden/>
          </w:rPr>
          <w:instrText xml:space="preserve"> PAGEREF _Toc373929694 \h </w:instrText>
        </w:r>
        <w:r>
          <w:rPr>
            <w:noProof/>
            <w:webHidden/>
          </w:rPr>
        </w:r>
        <w:r>
          <w:rPr>
            <w:noProof/>
            <w:webHidden/>
          </w:rPr>
          <w:fldChar w:fldCharType="separate"/>
        </w:r>
        <w:r>
          <w:rPr>
            <w:noProof/>
            <w:webHidden/>
          </w:rPr>
          <w:t>19</w:t>
        </w:r>
        <w:r>
          <w:rPr>
            <w:noProof/>
            <w:webHidden/>
          </w:rPr>
          <w:fldChar w:fldCharType="end"/>
        </w:r>
      </w:hyperlink>
    </w:p>
    <w:p w:rsidR="00587F3D" w:rsidRDefault="00587F3D">
      <w:pPr>
        <w:pStyle w:val="TOC3"/>
        <w:rPr>
          <w:rFonts w:asciiTheme="minorHAnsi" w:eastAsiaTheme="minorEastAsia" w:hAnsiTheme="minorHAnsi" w:cstheme="minorBidi"/>
          <w:noProof/>
          <w:lang w:eastAsia="en-AU"/>
        </w:rPr>
      </w:pPr>
      <w:hyperlink w:anchor="_Toc373929695" w:history="1">
        <w:r w:rsidRPr="0057515F">
          <w:rPr>
            <w:rStyle w:val="Hyperlink"/>
            <w:noProof/>
            <w:lang w:eastAsia="en-AU"/>
          </w:rPr>
          <w:t>Risk management plan</w:t>
        </w:r>
        <w:r>
          <w:rPr>
            <w:noProof/>
            <w:webHidden/>
          </w:rPr>
          <w:tab/>
        </w:r>
        <w:r>
          <w:rPr>
            <w:noProof/>
            <w:webHidden/>
          </w:rPr>
          <w:fldChar w:fldCharType="begin"/>
        </w:r>
        <w:r>
          <w:rPr>
            <w:noProof/>
            <w:webHidden/>
          </w:rPr>
          <w:instrText xml:space="preserve"> PAGEREF _Toc373929695 \h </w:instrText>
        </w:r>
        <w:r>
          <w:rPr>
            <w:noProof/>
            <w:webHidden/>
          </w:rPr>
        </w:r>
        <w:r>
          <w:rPr>
            <w:noProof/>
            <w:webHidden/>
          </w:rPr>
          <w:fldChar w:fldCharType="separate"/>
        </w:r>
        <w:r>
          <w:rPr>
            <w:noProof/>
            <w:webHidden/>
          </w:rPr>
          <w:t>19</w:t>
        </w:r>
        <w:r>
          <w:rPr>
            <w:noProof/>
            <w:webHidden/>
          </w:rPr>
          <w:fldChar w:fldCharType="end"/>
        </w:r>
      </w:hyperlink>
    </w:p>
    <w:p w:rsidR="00587F3D" w:rsidRDefault="00587F3D">
      <w:pPr>
        <w:pStyle w:val="TOC2"/>
        <w:rPr>
          <w:rFonts w:asciiTheme="minorHAnsi" w:eastAsiaTheme="minorEastAsia" w:hAnsiTheme="minorHAnsi" w:cstheme="minorBidi"/>
          <w:b w:val="0"/>
          <w:noProof/>
          <w:sz w:val="22"/>
          <w:lang w:eastAsia="en-AU"/>
        </w:rPr>
      </w:pPr>
      <w:hyperlink w:anchor="_Toc373929696" w:history="1">
        <w:r w:rsidRPr="0057515F">
          <w:rPr>
            <w:rStyle w:val="Hyperlink"/>
            <w:noProof/>
          </w:rPr>
          <w:t>VI. Overall conclusion and risk/benefit assessment</w:t>
        </w:r>
        <w:r>
          <w:rPr>
            <w:noProof/>
            <w:webHidden/>
          </w:rPr>
          <w:tab/>
        </w:r>
        <w:r>
          <w:rPr>
            <w:noProof/>
            <w:webHidden/>
          </w:rPr>
          <w:fldChar w:fldCharType="begin"/>
        </w:r>
        <w:r>
          <w:rPr>
            <w:noProof/>
            <w:webHidden/>
          </w:rPr>
          <w:instrText xml:space="preserve"> PAGEREF _Toc373929696 \h </w:instrText>
        </w:r>
        <w:r>
          <w:rPr>
            <w:noProof/>
            <w:webHidden/>
          </w:rPr>
        </w:r>
        <w:r>
          <w:rPr>
            <w:noProof/>
            <w:webHidden/>
          </w:rPr>
          <w:fldChar w:fldCharType="separate"/>
        </w:r>
        <w:r>
          <w:rPr>
            <w:noProof/>
            <w:webHidden/>
          </w:rPr>
          <w:t>25</w:t>
        </w:r>
        <w:r>
          <w:rPr>
            <w:noProof/>
            <w:webHidden/>
          </w:rPr>
          <w:fldChar w:fldCharType="end"/>
        </w:r>
      </w:hyperlink>
    </w:p>
    <w:p w:rsidR="00587F3D" w:rsidRDefault="00587F3D">
      <w:pPr>
        <w:pStyle w:val="TOC3"/>
        <w:rPr>
          <w:rFonts w:asciiTheme="minorHAnsi" w:eastAsiaTheme="minorEastAsia" w:hAnsiTheme="minorHAnsi" w:cstheme="minorBidi"/>
          <w:noProof/>
          <w:lang w:eastAsia="en-AU"/>
        </w:rPr>
      </w:pPr>
      <w:hyperlink w:anchor="_Toc373929697" w:history="1">
        <w:r w:rsidRPr="0057515F">
          <w:rPr>
            <w:rStyle w:val="Hyperlink"/>
            <w:noProof/>
          </w:rPr>
          <w:t>Quality</w:t>
        </w:r>
        <w:r>
          <w:rPr>
            <w:noProof/>
            <w:webHidden/>
          </w:rPr>
          <w:tab/>
        </w:r>
        <w:r>
          <w:rPr>
            <w:noProof/>
            <w:webHidden/>
          </w:rPr>
          <w:fldChar w:fldCharType="begin"/>
        </w:r>
        <w:r>
          <w:rPr>
            <w:noProof/>
            <w:webHidden/>
          </w:rPr>
          <w:instrText xml:space="preserve"> PAGEREF _Toc373929697 \h </w:instrText>
        </w:r>
        <w:r>
          <w:rPr>
            <w:noProof/>
            <w:webHidden/>
          </w:rPr>
        </w:r>
        <w:r>
          <w:rPr>
            <w:noProof/>
            <w:webHidden/>
          </w:rPr>
          <w:fldChar w:fldCharType="separate"/>
        </w:r>
        <w:r>
          <w:rPr>
            <w:noProof/>
            <w:webHidden/>
          </w:rPr>
          <w:t>25</w:t>
        </w:r>
        <w:r>
          <w:rPr>
            <w:noProof/>
            <w:webHidden/>
          </w:rPr>
          <w:fldChar w:fldCharType="end"/>
        </w:r>
      </w:hyperlink>
    </w:p>
    <w:p w:rsidR="00587F3D" w:rsidRDefault="00587F3D">
      <w:pPr>
        <w:pStyle w:val="TOC3"/>
        <w:rPr>
          <w:rFonts w:asciiTheme="minorHAnsi" w:eastAsiaTheme="minorEastAsia" w:hAnsiTheme="minorHAnsi" w:cstheme="minorBidi"/>
          <w:noProof/>
          <w:lang w:eastAsia="en-AU"/>
        </w:rPr>
      </w:pPr>
      <w:hyperlink w:anchor="_Toc373929698" w:history="1">
        <w:r w:rsidRPr="0057515F">
          <w:rPr>
            <w:rStyle w:val="Hyperlink"/>
            <w:noProof/>
          </w:rPr>
          <w:t>Nonclinical</w:t>
        </w:r>
        <w:r>
          <w:rPr>
            <w:noProof/>
            <w:webHidden/>
          </w:rPr>
          <w:tab/>
        </w:r>
        <w:r>
          <w:rPr>
            <w:noProof/>
            <w:webHidden/>
          </w:rPr>
          <w:fldChar w:fldCharType="begin"/>
        </w:r>
        <w:r>
          <w:rPr>
            <w:noProof/>
            <w:webHidden/>
          </w:rPr>
          <w:instrText xml:space="preserve"> PAGEREF _Toc373929698 \h </w:instrText>
        </w:r>
        <w:r>
          <w:rPr>
            <w:noProof/>
            <w:webHidden/>
          </w:rPr>
        </w:r>
        <w:r>
          <w:rPr>
            <w:noProof/>
            <w:webHidden/>
          </w:rPr>
          <w:fldChar w:fldCharType="separate"/>
        </w:r>
        <w:r>
          <w:rPr>
            <w:noProof/>
            <w:webHidden/>
          </w:rPr>
          <w:t>25</w:t>
        </w:r>
        <w:r>
          <w:rPr>
            <w:noProof/>
            <w:webHidden/>
          </w:rPr>
          <w:fldChar w:fldCharType="end"/>
        </w:r>
      </w:hyperlink>
    </w:p>
    <w:p w:rsidR="00587F3D" w:rsidRDefault="00587F3D">
      <w:pPr>
        <w:pStyle w:val="TOC3"/>
        <w:rPr>
          <w:rFonts w:asciiTheme="minorHAnsi" w:eastAsiaTheme="minorEastAsia" w:hAnsiTheme="minorHAnsi" w:cstheme="minorBidi"/>
          <w:noProof/>
          <w:lang w:eastAsia="en-AU"/>
        </w:rPr>
      </w:pPr>
      <w:hyperlink w:anchor="_Toc373929699" w:history="1">
        <w:r w:rsidRPr="0057515F">
          <w:rPr>
            <w:rStyle w:val="Hyperlink"/>
            <w:noProof/>
          </w:rPr>
          <w:t>Clinical</w:t>
        </w:r>
        <w:r>
          <w:rPr>
            <w:noProof/>
            <w:webHidden/>
          </w:rPr>
          <w:tab/>
        </w:r>
        <w:r>
          <w:rPr>
            <w:noProof/>
            <w:webHidden/>
          </w:rPr>
          <w:fldChar w:fldCharType="begin"/>
        </w:r>
        <w:r>
          <w:rPr>
            <w:noProof/>
            <w:webHidden/>
          </w:rPr>
          <w:instrText xml:space="preserve"> PAGEREF _Toc373929699 \h </w:instrText>
        </w:r>
        <w:r>
          <w:rPr>
            <w:noProof/>
            <w:webHidden/>
          </w:rPr>
        </w:r>
        <w:r>
          <w:rPr>
            <w:noProof/>
            <w:webHidden/>
          </w:rPr>
          <w:fldChar w:fldCharType="separate"/>
        </w:r>
        <w:r>
          <w:rPr>
            <w:noProof/>
            <w:webHidden/>
          </w:rPr>
          <w:t>26</w:t>
        </w:r>
        <w:r>
          <w:rPr>
            <w:noProof/>
            <w:webHidden/>
          </w:rPr>
          <w:fldChar w:fldCharType="end"/>
        </w:r>
      </w:hyperlink>
    </w:p>
    <w:p w:rsidR="00587F3D" w:rsidRDefault="00587F3D">
      <w:pPr>
        <w:pStyle w:val="TOC3"/>
        <w:rPr>
          <w:rFonts w:asciiTheme="minorHAnsi" w:eastAsiaTheme="minorEastAsia" w:hAnsiTheme="minorHAnsi" w:cstheme="minorBidi"/>
          <w:noProof/>
          <w:lang w:eastAsia="en-AU"/>
        </w:rPr>
      </w:pPr>
      <w:hyperlink w:anchor="_Toc373929700" w:history="1">
        <w:r w:rsidRPr="0057515F">
          <w:rPr>
            <w:rStyle w:val="Hyperlink"/>
            <w:noProof/>
            <w:lang w:eastAsia="en-AU"/>
          </w:rPr>
          <w:t>Risk management plan</w:t>
        </w:r>
        <w:r>
          <w:rPr>
            <w:noProof/>
            <w:webHidden/>
          </w:rPr>
          <w:tab/>
        </w:r>
        <w:r>
          <w:rPr>
            <w:noProof/>
            <w:webHidden/>
          </w:rPr>
          <w:fldChar w:fldCharType="begin"/>
        </w:r>
        <w:r>
          <w:rPr>
            <w:noProof/>
            <w:webHidden/>
          </w:rPr>
          <w:instrText xml:space="preserve"> PAGEREF _Toc373929700 \h </w:instrText>
        </w:r>
        <w:r>
          <w:rPr>
            <w:noProof/>
            <w:webHidden/>
          </w:rPr>
        </w:r>
        <w:r>
          <w:rPr>
            <w:noProof/>
            <w:webHidden/>
          </w:rPr>
          <w:fldChar w:fldCharType="separate"/>
        </w:r>
        <w:r>
          <w:rPr>
            <w:noProof/>
            <w:webHidden/>
          </w:rPr>
          <w:t>30</w:t>
        </w:r>
        <w:r>
          <w:rPr>
            <w:noProof/>
            <w:webHidden/>
          </w:rPr>
          <w:fldChar w:fldCharType="end"/>
        </w:r>
      </w:hyperlink>
    </w:p>
    <w:p w:rsidR="00587F3D" w:rsidRDefault="00587F3D">
      <w:pPr>
        <w:pStyle w:val="TOC3"/>
        <w:rPr>
          <w:rFonts w:asciiTheme="minorHAnsi" w:eastAsiaTheme="minorEastAsia" w:hAnsiTheme="minorHAnsi" w:cstheme="minorBidi"/>
          <w:noProof/>
          <w:lang w:eastAsia="en-AU"/>
        </w:rPr>
      </w:pPr>
      <w:hyperlink w:anchor="_Toc373929701" w:history="1">
        <w:r w:rsidRPr="0057515F">
          <w:rPr>
            <w:rStyle w:val="Hyperlink"/>
            <w:noProof/>
          </w:rPr>
          <w:t>Risk-benefit analysis</w:t>
        </w:r>
        <w:r>
          <w:rPr>
            <w:noProof/>
            <w:webHidden/>
          </w:rPr>
          <w:tab/>
        </w:r>
        <w:r>
          <w:rPr>
            <w:noProof/>
            <w:webHidden/>
          </w:rPr>
          <w:fldChar w:fldCharType="begin"/>
        </w:r>
        <w:r>
          <w:rPr>
            <w:noProof/>
            <w:webHidden/>
          </w:rPr>
          <w:instrText xml:space="preserve"> PAGEREF _Toc373929701 \h </w:instrText>
        </w:r>
        <w:r>
          <w:rPr>
            <w:noProof/>
            <w:webHidden/>
          </w:rPr>
        </w:r>
        <w:r>
          <w:rPr>
            <w:noProof/>
            <w:webHidden/>
          </w:rPr>
          <w:fldChar w:fldCharType="separate"/>
        </w:r>
        <w:r>
          <w:rPr>
            <w:noProof/>
            <w:webHidden/>
          </w:rPr>
          <w:t>31</w:t>
        </w:r>
        <w:r>
          <w:rPr>
            <w:noProof/>
            <w:webHidden/>
          </w:rPr>
          <w:fldChar w:fldCharType="end"/>
        </w:r>
      </w:hyperlink>
    </w:p>
    <w:p w:rsidR="00587F3D" w:rsidRDefault="00587F3D">
      <w:pPr>
        <w:pStyle w:val="TOC3"/>
        <w:rPr>
          <w:rFonts w:asciiTheme="minorHAnsi" w:eastAsiaTheme="minorEastAsia" w:hAnsiTheme="minorHAnsi" w:cstheme="minorBidi"/>
          <w:noProof/>
          <w:lang w:eastAsia="en-AU"/>
        </w:rPr>
      </w:pPr>
      <w:hyperlink w:anchor="_Toc373929702" w:history="1">
        <w:r w:rsidRPr="0057515F">
          <w:rPr>
            <w:rStyle w:val="Hyperlink"/>
            <w:noProof/>
          </w:rPr>
          <w:t>Outcome</w:t>
        </w:r>
        <w:r>
          <w:rPr>
            <w:noProof/>
            <w:webHidden/>
          </w:rPr>
          <w:tab/>
        </w:r>
        <w:r>
          <w:rPr>
            <w:noProof/>
            <w:webHidden/>
          </w:rPr>
          <w:fldChar w:fldCharType="begin"/>
        </w:r>
        <w:r>
          <w:rPr>
            <w:noProof/>
            <w:webHidden/>
          </w:rPr>
          <w:instrText xml:space="preserve"> PAGEREF _Toc373929702 \h </w:instrText>
        </w:r>
        <w:r>
          <w:rPr>
            <w:noProof/>
            <w:webHidden/>
          </w:rPr>
        </w:r>
        <w:r>
          <w:rPr>
            <w:noProof/>
            <w:webHidden/>
          </w:rPr>
          <w:fldChar w:fldCharType="separate"/>
        </w:r>
        <w:r>
          <w:rPr>
            <w:noProof/>
            <w:webHidden/>
          </w:rPr>
          <w:t>36</w:t>
        </w:r>
        <w:r>
          <w:rPr>
            <w:noProof/>
            <w:webHidden/>
          </w:rPr>
          <w:fldChar w:fldCharType="end"/>
        </w:r>
      </w:hyperlink>
    </w:p>
    <w:p w:rsidR="00587F3D" w:rsidRDefault="00587F3D">
      <w:pPr>
        <w:pStyle w:val="TOC2"/>
        <w:rPr>
          <w:rFonts w:asciiTheme="minorHAnsi" w:eastAsiaTheme="minorEastAsia" w:hAnsiTheme="minorHAnsi" w:cstheme="minorBidi"/>
          <w:b w:val="0"/>
          <w:noProof/>
          <w:sz w:val="22"/>
          <w:lang w:eastAsia="en-AU"/>
        </w:rPr>
      </w:pPr>
      <w:hyperlink w:anchor="_Toc373929703" w:history="1">
        <w:r w:rsidRPr="0057515F">
          <w:rPr>
            <w:rStyle w:val="Hyperlink"/>
            <w:noProof/>
          </w:rPr>
          <w:t>Attachment 1. Product Information</w:t>
        </w:r>
        <w:r>
          <w:rPr>
            <w:noProof/>
            <w:webHidden/>
          </w:rPr>
          <w:tab/>
        </w:r>
        <w:r>
          <w:rPr>
            <w:noProof/>
            <w:webHidden/>
          </w:rPr>
          <w:fldChar w:fldCharType="begin"/>
        </w:r>
        <w:r>
          <w:rPr>
            <w:noProof/>
            <w:webHidden/>
          </w:rPr>
          <w:instrText xml:space="preserve"> PAGEREF _Toc373929703 \h </w:instrText>
        </w:r>
        <w:r>
          <w:rPr>
            <w:noProof/>
            <w:webHidden/>
          </w:rPr>
        </w:r>
        <w:r>
          <w:rPr>
            <w:noProof/>
            <w:webHidden/>
          </w:rPr>
          <w:fldChar w:fldCharType="separate"/>
        </w:r>
        <w:r>
          <w:rPr>
            <w:noProof/>
            <w:webHidden/>
          </w:rPr>
          <w:t>37</w:t>
        </w:r>
        <w:r>
          <w:rPr>
            <w:noProof/>
            <w:webHidden/>
          </w:rPr>
          <w:fldChar w:fldCharType="end"/>
        </w:r>
      </w:hyperlink>
    </w:p>
    <w:p w:rsidR="00587F3D" w:rsidRDefault="00587F3D">
      <w:pPr>
        <w:pStyle w:val="TOC2"/>
        <w:rPr>
          <w:rFonts w:asciiTheme="minorHAnsi" w:eastAsiaTheme="minorEastAsia" w:hAnsiTheme="minorHAnsi" w:cstheme="minorBidi"/>
          <w:b w:val="0"/>
          <w:noProof/>
          <w:sz w:val="22"/>
          <w:lang w:eastAsia="en-AU"/>
        </w:rPr>
      </w:pPr>
      <w:hyperlink w:anchor="_Toc373929704" w:history="1">
        <w:r w:rsidRPr="0057515F">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_Toc373929704 \h </w:instrText>
        </w:r>
        <w:r>
          <w:rPr>
            <w:noProof/>
            <w:webHidden/>
          </w:rPr>
        </w:r>
        <w:r>
          <w:rPr>
            <w:noProof/>
            <w:webHidden/>
          </w:rPr>
          <w:fldChar w:fldCharType="separate"/>
        </w:r>
        <w:r>
          <w:rPr>
            <w:noProof/>
            <w:webHidden/>
          </w:rPr>
          <w:t>37</w:t>
        </w:r>
        <w:r>
          <w:rPr>
            <w:noProof/>
            <w:webHidden/>
          </w:rPr>
          <w:fldChar w:fldCharType="end"/>
        </w:r>
      </w:hyperlink>
    </w:p>
    <w:p w:rsidR="006B50AE" w:rsidRDefault="00773D97" w:rsidP="00B811C6">
      <w:pPr>
        <w:pStyle w:val="TOC2"/>
      </w:pPr>
      <w:r>
        <w:fldChar w:fldCharType="end"/>
      </w:r>
      <w:bookmarkStart w:id="2" w:name="_Toc314842482"/>
    </w:p>
    <w:p w:rsidR="003A7F6C" w:rsidRPr="00B811C6" w:rsidRDefault="006B50AE" w:rsidP="006B50AE">
      <w:r>
        <w:br w:type="page"/>
      </w:r>
    </w:p>
    <w:p w:rsidR="008E7846" w:rsidRDefault="00F53C07" w:rsidP="008E7846">
      <w:pPr>
        <w:pStyle w:val="Heading2"/>
      </w:pPr>
      <w:bookmarkStart w:id="3" w:name="_Toc373929677"/>
      <w:r>
        <w:lastRenderedPageBreak/>
        <w:t>I.</w:t>
      </w:r>
      <w:r w:rsidR="008E7846">
        <w:t xml:space="preserve"> Introduction to product submission</w:t>
      </w:r>
      <w:bookmarkEnd w:id="0"/>
      <w:bookmarkEnd w:id="2"/>
      <w:bookmarkEnd w:id="3"/>
    </w:p>
    <w:p w:rsidR="008E7846" w:rsidRDefault="008E7846" w:rsidP="008E7846">
      <w:pPr>
        <w:pStyle w:val="Heading3"/>
        <w:rPr>
          <w:lang w:eastAsia="en-AU"/>
        </w:rPr>
      </w:pPr>
      <w:bookmarkStart w:id="4" w:name="_Toc247691502"/>
      <w:bookmarkStart w:id="5" w:name="_Toc314842483"/>
      <w:bookmarkStart w:id="6" w:name="_Toc373929678"/>
      <w:r>
        <w:rPr>
          <w:lang w:eastAsia="en-AU"/>
        </w:rPr>
        <w:t>Submission details</w:t>
      </w:r>
      <w:bookmarkEnd w:id="4"/>
      <w:bookmarkEnd w:id="5"/>
      <w:bookmarkEnd w:id="6"/>
    </w:p>
    <w:tbl>
      <w:tblPr>
        <w:tblW w:w="9497" w:type="dxa"/>
        <w:tblInd w:w="108" w:type="dxa"/>
        <w:tblLook w:val="01E0"/>
      </w:tblPr>
      <w:tblGrid>
        <w:gridCol w:w="2907"/>
        <w:gridCol w:w="6590"/>
      </w:tblGrid>
      <w:tr w:rsidR="008E7846" w:rsidRPr="003D1E62" w:rsidTr="0089635C">
        <w:trPr>
          <w:trHeight w:hRule="exact" w:val="454"/>
        </w:trPr>
        <w:tc>
          <w:tcPr>
            <w:tcW w:w="2907" w:type="dxa"/>
          </w:tcPr>
          <w:p w:rsidR="008E7846" w:rsidRPr="003D1E62" w:rsidRDefault="00587F3D" w:rsidP="003D1E62">
            <w:pPr>
              <w:rPr>
                <w:i/>
              </w:rPr>
            </w:pPr>
            <w:r>
              <w:rPr>
                <w:i/>
              </w:rPr>
              <w:t>Type of s</w:t>
            </w:r>
            <w:r w:rsidR="008E7846" w:rsidRPr="003D1E62">
              <w:rPr>
                <w:i/>
              </w:rPr>
              <w:t>ubmission</w:t>
            </w:r>
            <w:r w:rsidR="00796E53">
              <w:rPr>
                <w:i/>
              </w:rPr>
              <w:t>:</w:t>
            </w:r>
          </w:p>
        </w:tc>
        <w:tc>
          <w:tcPr>
            <w:tcW w:w="6590" w:type="dxa"/>
          </w:tcPr>
          <w:p w:rsidR="008E7846" w:rsidRPr="003D1E62" w:rsidRDefault="00690DAB" w:rsidP="00690DAB">
            <w:r>
              <w:t>Extension of indications</w:t>
            </w:r>
          </w:p>
        </w:tc>
      </w:tr>
      <w:tr w:rsidR="008E7846" w:rsidRPr="003D1E62" w:rsidTr="0089635C">
        <w:trPr>
          <w:trHeight w:hRule="exact" w:val="454"/>
        </w:trPr>
        <w:tc>
          <w:tcPr>
            <w:tcW w:w="2907" w:type="dxa"/>
          </w:tcPr>
          <w:p w:rsidR="008E7846" w:rsidRPr="003D1E62" w:rsidRDefault="008E7846" w:rsidP="003D1E62">
            <w:r w:rsidRPr="003D1E62">
              <w:rPr>
                <w:i/>
              </w:rPr>
              <w:t>Decision</w:t>
            </w:r>
            <w:r w:rsidRPr="003D1E62">
              <w:t>:</w:t>
            </w:r>
          </w:p>
        </w:tc>
        <w:tc>
          <w:tcPr>
            <w:tcW w:w="6590" w:type="dxa"/>
          </w:tcPr>
          <w:p w:rsidR="008E7846" w:rsidRPr="003D1E62" w:rsidRDefault="008E7846" w:rsidP="00924A48">
            <w:r w:rsidRPr="003D1E62">
              <w:t>Approved</w:t>
            </w:r>
          </w:p>
        </w:tc>
      </w:tr>
      <w:tr w:rsidR="008E7846" w:rsidRPr="003D1E62" w:rsidTr="0089635C">
        <w:trPr>
          <w:trHeight w:hRule="exact" w:val="454"/>
        </w:trPr>
        <w:tc>
          <w:tcPr>
            <w:tcW w:w="2907" w:type="dxa"/>
          </w:tcPr>
          <w:p w:rsidR="008E7846" w:rsidRPr="003D1E62" w:rsidRDefault="008E7846" w:rsidP="00587F3D">
            <w:pPr>
              <w:rPr>
                <w:i/>
              </w:rPr>
            </w:pPr>
            <w:r w:rsidRPr="003D1E62">
              <w:rPr>
                <w:i/>
              </w:rPr>
              <w:t xml:space="preserve">Date of </w:t>
            </w:r>
            <w:r w:rsidR="00587F3D">
              <w:rPr>
                <w:i/>
              </w:rPr>
              <w:t>d</w:t>
            </w:r>
            <w:r w:rsidRPr="003D1E62">
              <w:rPr>
                <w:i/>
              </w:rPr>
              <w:t>ecision:</w:t>
            </w:r>
          </w:p>
        </w:tc>
        <w:tc>
          <w:tcPr>
            <w:tcW w:w="6590" w:type="dxa"/>
          </w:tcPr>
          <w:p w:rsidR="008E7846" w:rsidRPr="003D1E62" w:rsidRDefault="00924A48" w:rsidP="003D1E62">
            <w:r>
              <w:t>15 May 2013</w:t>
            </w:r>
          </w:p>
        </w:tc>
      </w:tr>
    </w:tbl>
    <w:p w:rsidR="008E7846" w:rsidRDefault="008E7846" w:rsidP="008E7846"/>
    <w:tbl>
      <w:tblPr>
        <w:tblW w:w="9214" w:type="dxa"/>
        <w:tblInd w:w="108" w:type="dxa"/>
        <w:tblLook w:val="01E0"/>
      </w:tblPr>
      <w:tblGrid>
        <w:gridCol w:w="2907"/>
        <w:gridCol w:w="6307"/>
      </w:tblGrid>
      <w:tr w:rsidR="008E7846" w:rsidRPr="00487162" w:rsidTr="00BF1190">
        <w:tc>
          <w:tcPr>
            <w:tcW w:w="2907" w:type="dxa"/>
          </w:tcPr>
          <w:p w:rsidR="008E7846" w:rsidRPr="00487162" w:rsidRDefault="00796E53" w:rsidP="00796E53">
            <w:pPr>
              <w:rPr>
                <w:i/>
              </w:rPr>
            </w:pPr>
            <w:r>
              <w:rPr>
                <w:i/>
              </w:rPr>
              <w:t>Active ingredient</w:t>
            </w:r>
            <w:r w:rsidR="008E7846" w:rsidRPr="00487162">
              <w:rPr>
                <w:i/>
              </w:rPr>
              <w:t>:</w:t>
            </w:r>
          </w:p>
        </w:tc>
        <w:tc>
          <w:tcPr>
            <w:tcW w:w="6307" w:type="dxa"/>
          </w:tcPr>
          <w:p w:rsidR="008E7846" w:rsidRPr="00487162" w:rsidRDefault="00924A48" w:rsidP="00E45619">
            <w:r>
              <w:t>I</w:t>
            </w:r>
            <w:r w:rsidRPr="00924A48">
              <w:t>nterferon beta-1a</w:t>
            </w:r>
          </w:p>
        </w:tc>
      </w:tr>
      <w:tr w:rsidR="008E7846" w:rsidRPr="00487162" w:rsidTr="00BF1190">
        <w:tc>
          <w:tcPr>
            <w:tcW w:w="2907" w:type="dxa"/>
          </w:tcPr>
          <w:p w:rsidR="008E7846" w:rsidRPr="00487162" w:rsidRDefault="00796E53" w:rsidP="00587F3D">
            <w:pPr>
              <w:rPr>
                <w:i/>
              </w:rPr>
            </w:pPr>
            <w:r>
              <w:rPr>
                <w:i/>
              </w:rPr>
              <w:t xml:space="preserve">Product </w:t>
            </w:r>
            <w:r w:rsidR="00587F3D">
              <w:rPr>
                <w:i/>
              </w:rPr>
              <w:t>n</w:t>
            </w:r>
            <w:r>
              <w:rPr>
                <w:i/>
              </w:rPr>
              <w:t>ame</w:t>
            </w:r>
            <w:r w:rsidR="008E7846" w:rsidRPr="00487162">
              <w:rPr>
                <w:i/>
              </w:rPr>
              <w:t>:</w:t>
            </w:r>
          </w:p>
        </w:tc>
        <w:tc>
          <w:tcPr>
            <w:tcW w:w="6307" w:type="dxa"/>
          </w:tcPr>
          <w:p w:rsidR="008E7846" w:rsidRPr="00487162" w:rsidRDefault="00924A48" w:rsidP="00E45619">
            <w:proofErr w:type="spellStart"/>
            <w:r>
              <w:t>Rebif</w:t>
            </w:r>
            <w:proofErr w:type="spellEnd"/>
          </w:p>
        </w:tc>
      </w:tr>
      <w:tr w:rsidR="008E7846" w:rsidRPr="00487162" w:rsidTr="00BF1190">
        <w:tc>
          <w:tcPr>
            <w:tcW w:w="2907" w:type="dxa"/>
          </w:tcPr>
          <w:p w:rsidR="008E7846" w:rsidRPr="00487162" w:rsidRDefault="00587F3D" w:rsidP="00587F3D">
            <w:pPr>
              <w:rPr>
                <w:i/>
              </w:rPr>
            </w:pPr>
            <w:r>
              <w:rPr>
                <w:i/>
              </w:rPr>
              <w:t>Sponsor’s n</w:t>
            </w:r>
            <w:r w:rsidR="00796E53">
              <w:rPr>
                <w:i/>
              </w:rPr>
              <w:t>a</w:t>
            </w:r>
            <w:r w:rsidR="008E7846" w:rsidRPr="00487162">
              <w:rPr>
                <w:i/>
              </w:rPr>
              <w:t xml:space="preserve">me and </w:t>
            </w:r>
            <w:r>
              <w:rPr>
                <w:i/>
              </w:rPr>
              <w:t>a</w:t>
            </w:r>
            <w:r w:rsidR="008E7846" w:rsidRPr="00487162">
              <w:rPr>
                <w:i/>
              </w:rPr>
              <w:t>ddress:</w:t>
            </w:r>
          </w:p>
        </w:tc>
        <w:tc>
          <w:tcPr>
            <w:tcW w:w="6307" w:type="dxa"/>
          </w:tcPr>
          <w:p w:rsidR="0001195A" w:rsidRPr="00487162" w:rsidRDefault="0001195A" w:rsidP="00796E53">
            <w:r>
              <w:t xml:space="preserve">Merck </w:t>
            </w:r>
            <w:proofErr w:type="spellStart"/>
            <w:r>
              <w:t>Serono</w:t>
            </w:r>
            <w:proofErr w:type="spellEnd"/>
            <w:r>
              <w:t xml:space="preserve"> Australia Pty Ltd</w:t>
            </w:r>
            <w:r w:rsidR="00796E53">
              <w:br/>
            </w:r>
            <w:r>
              <w:t>Unit 3-4, 25 Frenchs Forest Road East</w:t>
            </w:r>
            <w:r w:rsidR="00796E53">
              <w:br/>
            </w:r>
            <w:r>
              <w:t>Frenchs Forest NSW 2086</w:t>
            </w:r>
          </w:p>
        </w:tc>
      </w:tr>
      <w:tr w:rsidR="008E7846" w:rsidRPr="00487162" w:rsidTr="00BF1190">
        <w:tc>
          <w:tcPr>
            <w:tcW w:w="2907" w:type="dxa"/>
          </w:tcPr>
          <w:p w:rsidR="008E7846" w:rsidRPr="00487162" w:rsidRDefault="00796E53" w:rsidP="00796E53">
            <w:pPr>
              <w:rPr>
                <w:i/>
              </w:rPr>
            </w:pPr>
            <w:r>
              <w:rPr>
                <w:i/>
              </w:rPr>
              <w:t>Dose form</w:t>
            </w:r>
            <w:r w:rsidR="008E7846" w:rsidRPr="00487162">
              <w:rPr>
                <w:i/>
              </w:rPr>
              <w:t>s:</w:t>
            </w:r>
          </w:p>
        </w:tc>
        <w:tc>
          <w:tcPr>
            <w:tcW w:w="6307" w:type="dxa"/>
          </w:tcPr>
          <w:p w:rsidR="00EF60EC" w:rsidRDefault="00EF60EC" w:rsidP="00EF60EC">
            <w:r w:rsidRPr="00BF13DD">
              <w:t>Solution for inj</w:t>
            </w:r>
            <w:r>
              <w:t>ection in pre-filled syringe</w:t>
            </w:r>
          </w:p>
          <w:p w:rsidR="00EF60EC" w:rsidRDefault="00EF60EC" w:rsidP="00EF60EC">
            <w:r>
              <w:t>S</w:t>
            </w:r>
            <w:r w:rsidRPr="00BF13DD">
              <w:t>olu</w:t>
            </w:r>
            <w:r w:rsidR="00746B33">
              <w:t>tion for injection in cartridge</w:t>
            </w:r>
          </w:p>
          <w:p w:rsidR="008E7846" w:rsidRPr="00487162" w:rsidRDefault="00EF60EC" w:rsidP="00EF60EC">
            <w:r w:rsidRPr="00BF13DD">
              <w:t>Solution for injection in pre-filled pen</w:t>
            </w:r>
          </w:p>
        </w:tc>
      </w:tr>
      <w:tr w:rsidR="008E7846" w:rsidRPr="00487162" w:rsidTr="00BF1190">
        <w:tc>
          <w:tcPr>
            <w:tcW w:w="2907" w:type="dxa"/>
          </w:tcPr>
          <w:p w:rsidR="008E7846" w:rsidRPr="00487162" w:rsidRDefault="00796E53" w:rsidP="00796E53">
            <w:pPr>
              <w:rPr>
                <w:i/>
              </w:rPr>
            </w:pPr>
            <w:r>
              <w:rPr>
                <w:i/>
              </w:rPr>
              <w:t>Strength</w:t>
            </w:r>
            <w:r w:rsidR="008E7846" w:rsidRPr="00487162">
              <w:rPr>
                <w:i/>
              </w:rPr>
              <w:t>s:</w:t>
            </w:r>
          </w:p>
        </w:tc>
        <w:tc>
          <w:tcPr>
            <w:tcW w:w="6307" w:type="dxa"/>
          </w:tcPr>
          <w:p w:rsidR="00EF60EC" w:rsidRDefault="00EF60EC" w:rsidP="00E45619">
            <w:r>
              <w:t>Pre-filled syringe/pen: 22 µg/0.5 ml, 44 µ</w:t>
            </w:r>
            <w:r w:rsidRPr="00BF13DD">
              <w:t>g/0.5 ml</w:t>
            </w:r>
            <w:r>
              <w:t>;</w:t>
            </w:r>
          </w:p>
          <w:p w:rsidR="008E7846" w:rsidRPr="00487162" w:rsidRDefault="00EF60EC" w:rsidP="00E45619">
            <w:r>
              <w:t>Multi-dose c</w:t>
            </w:r>
            <w:r w:rsidRPr="00BF13DD">
              <w:t xml:space="preserve">artridge: 66 </w:t>
            </w:r>
            <w:r>
              <w:t>µ</w:t>
            </w:r>
            <w:r w:rsidRPr="00BF13DD">
              <w:t xml:space="preserve">g/1.5 ml, 132 </w:t>
            </w:r>
            <w:r>
              <w:t>µ</w:t>
            </w:r>
            <w:r w:rsidRPr="00BF13DD">
              <w:t>g /1.5 ml</w:t>
            </w:r>
          </w:p>
        </w:tc>
      </w:tr>
      <w:tr w:rsidR="008E7846" w:rsidRPr="00487162" w:rsidTr="00BF1190">
        <w:tc>
          <w:tcPr>
            <w:tcW w:w="2907" w:type="dxa"/>
          </w:tcPr>
          <w:p w:rsidR="008E7846" w:rsidRPr="00487162" w:rsidRDefault="00796E53" w:rsidP="00587F3D">
            <w:pPr>
              <w:rPr>
                <w:i/>
              </w:rPr>
            </w:pPr>
            <w:r>
              <w:rPr>
                <w:i/>
              </w:rPr>
              <w:t xml:space="preserve">New </w:t>
            </w:r>
            <w:r w:rsidR="00587F3D">
              <w:rPr>
                <w:i/>
              </w:rPr>
              <w:t>a</w:t>
            </w:r>
            <w:r w:rsidR="008E7846" w:rsidRPr="00487162">
              <w:rPr>
                <w:i/>
              </w:rPr>
              <w:t xml:space="preserve">pproved </w:t>
            </w:r>
            <w:r w:rsidR="00587F3D">
              <w:rPr>
                <w:i/>
              </w:rPr>
              <w:t>t</w:t>
            </w:r>
            <w:r w:rsidR="008E7846" w:rsidRPr="00487162">
              <w:rPr>
                <w:i/>
              </w:rPr>
              <w:t>herapeutic use:</w:t>
            </w:r>
          </w:p>
        </w:tc>
        <w:tc>
          <w:tcPr>
            <w:tcW w:w="6307" w:type="dxa"/>
          </w:tcPr>
          <w:p w:rsidR="008E7846" w:rsidRPr="00487162" w:rsidRDefault="003D08FC" w:rsidP="00E45619">
            <w:pPr>
              <w:rPr>
                <w:rFonts w:eastAsia="MS Mincho"/>
                <w:lang w:eastAsia="ja-JP"/>
              </w:rPr>
            </w:pPr>
            <w:r w:rsidRPr="003D08FC">
              <w:t xml:space="preserve">Patients with a single </w:t>
            </w:r>
            <w:proofErr w:type="spellStart"/>
            <w:r w:rsidRPr="003D08FC">
              <w:t>demyelinating</w:t>
            </w:r>
            <w:proofErr w:type="spellEnd"/>
            <w:r w:rsidRPr="003D08FC">
              <w:t xml:space="preserve"> event in the central nervous system with an active</w:t>
            </w:r>
            <w:r>
              <w:t xml:space="preserve"> </w:t>
            </w:r>
            <w:r w:rsidRPr="003D08FC">
              <w:t>inflammatory process, if alternative diagnoses have</w:t>
            </w:r>
            <w:r>
              <w:t xml:space="preserve"> been excluded, and if they are </w:t>
            </w:r>
            <w:r w:rsidRPr="003D08FC">
              <w:t xml:space="preserve">determined to be at </w:t>
            </w:r>
            <w:r>
              <w:t>h</w:t>
            </w:r>
            <w:r w:rsidRPr="003D08FC">
              <w:t>igh risk of developing clinically definit</w:t>
            </w:r>
            <w:r>
              <w:t xml:space="preserve">e multiple sclerosis. High risk </w:t>
            </w:r>
            <w:r w:rsidRPr="003D08FC">
              <w:t>can be inferred from cerebral MRI with 2 or more lesions suggestive of demyelination</w:t>
            </w:r>
            <w:r w:rsidR="00881AEA">
              <w:t>.</w:t>
            </w:r>
          </w:p>
        </w:tc>
      </w:tr>
      <w:tr w:rsidR="008E7846" w:rsidRPr="00487162" w:rsidTr="00BF1190">
        <w:tc>
          <w:tcPr>
            <w:tcW w:w="2907" w:type="dxa"/>
          </w:tcPr>
          <w:p w:rsidR="008E7846" w:rsidRPr="00487162" w:rsidRDefault="00746B33" w:rsidP="00E45619">
            <w:pPr>
              <w:rPr>
                <w:i/>
              </w:rPr>
            </w:pPr>
            <w:r>
              <w:rPr>
                <w:i/>
              </w:rPr>
              <w:t>Route</w:t>
            </w:r>
            <w:r w:rsidR="008E7846" w:rsidRPr="00487162">
              <w:rPr>
                <w:i/>
              </w:rPr>
              <w:t xml:space="preserve"> of administration:</w:t>
            </w:r>
          </w:p>
        </w:tc>
        <w:tc>
          <w:tcPr>
            <w:tcW w:w="6307" w:type="dxa"/>
          </w:tcPr>
          <w:p w:rsidR="008E7846" w:rsidRPr="00487162" w:rsidRDefault="007953FA" w:rsidP="00E45619">
            <w:r>
              <w:t>Subcutaneous</w:t>
            </w:r>
            <w:r w:rsidR="00746B33">
              <w:t xml:space="preserve"> injection</w:t>
            </w:r>
          </w:p>
        </w:tc>
      </w:tr>
      <w:tr w:rsidR="008E7846" w:rsidRPr="00487162" w:rsidTr="00BF1190">
        <w:tc>
          <w:tcPr>
            <w:tcW w:w="2907" w:type="dxa"/>
          </w:tcPr>
          <w:p w:rsidR="008E7846" w:rsidRPr="00487162" w:rsidRDefault="008E7846" w:rsidP="00E45619">
            <w:pPr>
              <w:rPr>
                <w:i/>
              </w:rPr>
            </w:pPr>
            <w:r w:rsidRPr="00487162">
              <w:rPr>
                <w:i/>
              </w:rPr>
              <w:t>Dosage:</w:t>
            </w:r>
          </w:p>
        </w:tc>
        <w:tc>
          <w:tcPr>
            <w:tcW w:w="6307" w:type="dxa"/>
          </w:tcPr>
          <w:p w:rsidR="008E7846" w:rsidRPr="00487162" w:rsidRDefault="007953FA" w:rsidP="00E45619">
            <w:r>
              <w:t>44 µ</w:t>
            </w:r>
            <w:r w:rsidRPr="007953FA">
              <w:t>g three times weekly</w:t>
            </w:r>
            <w:r w:rsidR="00A546EE">
              <w:t xml:space="preserve"> (</w:t>
            </w:r>
            <w:proofErr w:type="spellStart"/>
            <w:r w:rsidR="00A546EE">
              <w:t>tiw</w:t>
            </w:r>
            <w:proofErr w:type="spellEnd"/>
            <w:r w:rsidR="00A546EE">
              <w:t>)</w:t>
            </w:r>
          </w:p>
        </w:tc>
      </w:tr>
      <w:tr w:rsidR="008E7846" w:rsidRPr="00487162" w:rsidTr="00BF1190">
        <w:tc>
          <w:tcPr>
            <w:tcW w:w="2907" w:type="dxa"/>
          </w:tcPr>
          <w:p w:rsidR="008E7846" w:rsidRPr="00487162" w:rsidRDefault="00587F3D" w:rsidP="00E45619">
            <w:pPr>
              <w:rPr>
                <w:i/>
              </w:rPr>
            </w:pPr>
            <w:r>
              <w:rPr>
                <w:i/>
              </w:rPr>
              <w:t>ARTG n</w:t>
            </w:r>
            <w:r w:rsidR="007755BD">
              <w:rPr>
                <w:i/>
              </w:rPr>
              <w:t>umbers:</w:t>
            </w:r>
          </w:p>
        </w:tc>
        <w:tc>
          <w:tcPr>
            <w:tcW w:w="6307" w:type="dxa"/>
          </w:tcPr>
          <w:p w:rsidR="008E7846" w:rsidRPr="00487162" w:rsidRDefault="00DE2F38" w:rsidP="00796E53">
            <w:r>
              <w:t>133809, 133813, 165745, 165746, 174478, 174479</w:t>
            </w:r>
          </w:p>
        </w:tc>
      </w:tr>
    </w:tbl>
    <w:p w:rsidR="008E7846" w:rsidRDefault="008E7846" w:rsidP="00772AC5">
      <w:pPr>
        <w:pStyle w:val="Heading3"/>
      </w:pPr>
      <w:bookmarkStart w:id="7" w:name="_Toc247691503"/>
      <w:bookmarkStart w:id="8" w:name="_Toc314842484"/>
      <w:bookmarkStart w:id="9" w:name="_Toc373929679"/>
      <w:r>
        <w:t>Product background</w:t>
      </w:r>
      <w:bookmarkEnd w:id="7"/>
      <w:bookmarkEnd w:id="8"/>
      <w:bookmarkEnd w:id="9"/>
    </w:p>
    <w:p w:rsidR="008E7846" w:rsidRDefault="00B9654F" w:rsidP="00772AC5">
      <w:r w:rsidRPr="00E74882">
        <w:t xml:space="preserve">This AusPAR describes an application by the sponsor, </w:t>
      </w:r>
      <w:r>
        <w:t xml:space="preserve">Merck </w:t>
      </w:r>
      <w:proofErr w:type="spellStart"/>
      <w:r>
        <w:t>Serono</w:t>
      </w:r>
      <w:proofErr w:type="spellEnd"/>
      <w:r>
        <w:t xml:space="preserve"> Australia Pty Ltd, to extend the indications for </w:t>
      </w:r>
      <w:r w:rsidR="00F72668">
        <w:t>interferon beta-1a (</w:t>
      </w:r>
      <w:proofErr w:type="spellStart"/>
      <w:r w:rsidR="00F72668">
        <w:t>Rebif</w:t>
      </w:r>
      <w:proofErr w:type="spellEnd"/>
      <w:r w:rsidR="00F72668">
        <w:t xml:space="preserve">) </w:t>
      </w:r>
      <w:r>
        <w:t xml:space="preserve">to include patients with a single </w:t>
      </w:r>
      <w:proofErr w:type="spellStart"/>
      <w:r>
        <w:t>demyelinating</w:t>
      </w:r>
      <w:proofErr w:type="spellEnd"/>
      <w:r>
        <w:t xml:space="preserve"> event of the central nervous system</w:t>
      </w:r>
      <w:r w:rsidR="00557662">
        <w:t xml:space="preserve"> (CNS)</w:t>
      </w:r>
      <w:r>
        <w:t>: so called Clinically Isolated Syndrome (CIS).</w:t>
      </w:r>
    </w:p>
    <w:p w:rsidR="00F72668" w:rsidRDefault="00F72668" w:rsidP="00772AC5">
      <w:r>
        <w:t xml:space="preserve">Interferon beta-1a is a recombinant analogue of a naturally occurring human immune protein, beta interferon, which has complex regulatory actions on the immune system. </w:t>
      </w:r>
      <w:proofErr w:type="spellStart"/>
      <w:r>
        <w:t>Rebif</w:t>
      </w:r>
      <w:proofErr w:type="spellEnd"/>
      <w:r>
        <w:t xml:space="preserve"> is one of three commercial beta interferon preparations used to treat multiple sclerosis (MS) in Australia. One of these, </w:t>
      </w:r>
      <w:proofErr w:type="spellStart"/>
      <w:r>
        <w:t>Avonex</w:t>
      </w:r>
      <w:proofErr w:type="spellEnd"/>
      <w:r>
        <w:t xml:space="preserve">, is also designated interferon beta-1a and is very similar to </w:t>
      </w:r>
      <w:proofErr w:type="spellStart"/>
      <w:r>
        <w:t>Rebif</w:t>
      </w:r>
      <w:proofErr w:type="spellEnd"/>
      <w:r>
        <w:t xml:space="preserve"> in its composition; both share the amino</w:t>
      </w:r>
      <w:r w:rsidR="00A02135">
        <w:t xml:space="preserve"> </w:t>
      </w:r>
      <w:r>
        <w:t xml:space="preserve">acid sequence of the </w:t>
      </w:r>
      <w:r>
        <w:lastRenderedPageBreak/>
        <w:t>native human protein. The third commercial beta</w:t>
      </w:r>
      <w:r w:rsidR="00A02135">
        <w:t xml:space="preserve"> </w:t>
      </w:r>
      <w:r>
        <w:t xml:space="preserve">interferon, </w:t>
      </w:r>
      <w:proofErr w:type="spellStart"/>
      <w:r>
        <w:t>Betaferon</w:t>
      </w:r>
      <w:proofErr w:type="spellEnd"/>
      <w:r>
        <w:t>, is designated interferon beta-1b and has a couple of amino</w:t>
      </w:r>
      <w:r w:rsidR="00A02135">
        <w:t xml:space="preserve"> </w:t>
      </w:r>
      <w:r>
        <w:t>acid substitutions.</w:t>
      </w:r>
    </w:p>
    <w:p w:rsidR="00F72668" w:rsidRDefault="00F72668" w:rsidP="00F72668">
      <w:r w:rsidRPr="00357123">
        <w:t xml:space="preserve">The </w:t>
      </w:r>
      <w:r>
        <w:t xml:space="preserve">currently approved indication for </w:t>
      </w:r>
      <w:proofErr w:type="spellStart"/>
      <w:r>
        <w:t>Rebif</w:t>
      </w:r>
      <w:proofErr w:type="spellEnd"/>
      <w:r>
        <w:t xml:space="preserve"> is</w:t>
      </w:r>
    </w:p>
    <w:p w:rsidR="00F72668" w:rsidRDefault="00F72668" w:rsidP="00F72668">
      <w:pPr>
        <w:ind w:left="720"/>
        <w:rPr>
          <w:i/>
          <w:iCs/>
        </w:rPr>
      </w:pPr>
      <w:r w:rsidRPr="00FA52AA">
        <w:rPr>
          <w:i/>
          <w:iCs/>
        </w:rPr>
        <w:t>“</w:t>
      </w:r>
      <w:proofErr w:type="gramStart"/>
      <w:r w:rsidRPr="00FA52AA">
        <w:rPr>
          <w:i/>
          <w:iCs/>
        </w:rPr>
        <w:t>the</w:t>
      </w:r>
      <w:proofErr w:type="gramEnd"/>
      <w:r w:rsidRPr="00FA52AA">
        <w:rPr>
          <w:i/>
          <w:iCs/>
        </w:rPr>
        <w:t xml:space="preserve"> treatment of ambulatory patients with multiple sclerosis who have experienced two or more r</w:t>
      </w:r>
      <w:r>
        <w:rPr>
          <w:i/>
          <w:iCs/>
        </w:rPr>
        <w:t>elapses within the last 2 years”</w:t>
      </w:r>
    </w:p>
    <w:p w:rsidR="00F72668" w:rsidRDefault="00F72668" w:rsidP="00F72668">
      <w:proofErr w:type="gramStart"/>
      <w:r>
        <w:t>with</w:t>
      </w:r>
      <w:proofErr w:type="gramEnd"/>
      <w:r>
        <w:t xml:space="preserve"> the proviso that</w:t>
      </w:r>
    </w:p>
    <w:p w:rsidR="00F72668" w:rsidRDefault="00F72668" w:rsidP="00F72668">
      <w:pPr>
        <w:ind w:left="720"/>
      </w:pPr>
      <w:r>
        <w:rPr>
          <w:i/>
          <w:iCs/>
        </w:rPr>
        <w:t>“</w:t>
      </w:r>
      <w:proofErr w:type="spellStart"/>
      <w:r w:rsidRPr="00FA52AA">
        <w:rPr>
          <w:i/>
          <w:iCs/>
        </w:rPr>
        <w:t>Rebif</w:t>
      </w:r>
      <w:proofErr w:type="spellEnd"/>
      <w:r w:rsidRPr="00FA52AA">
        <w:rPr>
          <w:i/>
          <w:iCs/>
        </w:rPr>
        <w:t xml:space="preserve"> </w:t>
      </w:r>
      <w:r w:rsidR="00CE4363">
        <w:rPr>
          <w:i/>
          <w:iCs/>
        </w:rPr>
        <w:t xml:space="preserve">therapy </w:t>
      </w:r>
      <w:r w:rsidRPr="00FA52AA">
        <w:rPr>
          <w:i/>
          <w:iCs/>
        </w:rPr>
        <w:t>should not be initiated in secondary progressive MS patients who no longer experience relapses.”</w:t>
      </w:r>
    </w:p>
    <w:p w:rsidR="00A95D48" w:rsidRDefault="00F72668" w:rsidP="00F72668">
      <w:r w:rsidRPr="002E351E">
        <w:t xml:space="preserve">The proposed additional indication is the treatment of patients with a single, </w:t>
      </w:r>
      <w:r w:rsidRPr="002E351E">
        <w:rPr>
          <w:rFonts w:eastAsia="MS Mincho"/>
        </w:rPr>
        <w:t>first clinical event suggestive</w:t>
      </w:r>
      <w:r>
        <w:rPr>
          <w:rFonts w:eastAsia="MS Mincho"/>
        </w:rPr>
        <w:t xml:space="preserve"> of </w:t>
      </w:r>
      <w:r w:rsidR="00557662">
        <w:rPr>
          <w:rFonts w:eastAsia="MS Mincho"/>
        </w:rPr>
        <w:t xml:space="preserve">CNS </w:t>
      </w:r>
      <w:r>
        <w:rPr>
          <w:rFonts w:eastAsia="MS Mincho"/>
        </w:rPr>
        <w:t xml:space="preserve">demyelination, who are thought to be at risk </w:t>
      </w:r>
      <w:r w:rsidR="00E43A5E">
        <w:rPr>
          <w:rFonts w:eastAsia="MS Mincho"/>
        </w:rPr>
        <w:t>of developing MS</w:t>
      </w:r>
      <w:r>
        <w:rPr>
          <w:rFonts w:eastAsia="MS Mincho"/>
        </w:rPr>
        <w:t xml:space="preserve">. </w:t>
      </w:r>
      <w:r>
        <w:t>The proposed Product Information (PI)</w:t>
      </w:r>
      <w:r w:rsidR="00A95D48">
        <w:t xml:space="preserve"> describes this target group as</w:t>
      </w:r>
    </w:p>
    <w:p w:rsidR="00F72668" w:rsidRPr="002E351E" w:rsidRDefault="00F72668" w:rsidP="00A95D48">
      <w:pPr>
        <w:ind w:left="720"/>
        <w:rPr>
          <w:rFonts w:eastAsia="MS Mincho"/>
        </w:rPr>
      </w:pPr>
      <w:r w:rsidRPr="009A209E">
        <w:rPr>
          <w:i/>
        </w:rPr>
        <w:t xml:space="preserve">“patients with a single </w:t>
      </w:r>
      <w:proofErr w:type="spellStart"/>
      <w:r w:rsidRPr="009A209E">
        <w:rPr>
          <w:i/>
        </w:rPr>
        <w:t>demyelinating</w:t>
      </w:r>
      <w:proofErr w:type="spellEnd"/>
      <w:r w:rsidRPr="009A209E">
        <w:rPr>
          <w:i/>
        </w:rPr>
        <w:t xml:space="preserve"> event with an active inflammatory process, if alternative diagnoses have been excluded, and if they are determined to be at risk of developing relapsing multiple sclerosis.”</w:t>
      </w:r>
    </w:p>
    <w:p w:rsidR="008E7846" w:rsidRPr="003F31A2" w:rsidRDefault="00386150" w:rsidP="008E7846">
      <w:pPr>
        <w:pStyle w:val="Heading3"/>
      </w:pPr>
      <w:bookmarkStart w:id="10" w:name="_Toc314842485"/>
      <w:bookmarkStart w:id="11" w:name="_Toc247691504"/>
      <w:bookmarkStart w:id="12" w:name="_Toc373929680"/>
      <w:r>
        <w:t>Regulatory s</w:t>
      </w:r>
      <w:r w:rsidR="008E7846">
        <w:t>tatus</w:t>
      </w:r>
      <w:bookmarkEnd w:id="10"/>
      <w:bookmarkEnd w:id="11"/>
      <w:bookmarkEnd w:id="12"/>
    </w:p>
    <w:p w:rsidR="008E7846" w:rsidRDefault="00796E53" w:rsidP="00E43A5E">
      <w:r>
        <w:t xml:space="preserve">At the time the TGA considered this application, </w:t>
      </w:r>
      <w:proofErr w:type="spellStart"/>
      <w:r w:rsidR="00E43A5E">
        <w:t>Rebif</w:t>
      </w:r>
      <w:proofErr w:type="spellEnd"/>
      <w:r w:rsidR="00E43A5E">
        <w:t xml:space="preserve"> for the proposed CIS indication </w:t>
      </w:r>
      <w:r>
        <w:t>had been approved in the European Union (January 2012), Canada (June 2012), Switzerland (October 2012)</w:t>
      </w:r>
      <w:r w:rsidR="00772AC5">
        <w:t xml:space="preserve"> and in 5 additional countries.</w:t>
      </w:r>
    </w:p>
    <w:p w:rsidR="008E7846" w:rsidRDefault="008E7846" w:rsidP="00772AC5">
      <w:pPr>
        <w:pStyle w:val="Heading3"/>
      </w:pPr>
      <w:bookmarkStart w:id="13" w:name="_Toc247691505"/>
      <w:bookmarkStart w:id="14" w:name="_Toc314842486"/>
      <w:bookmarkStart w:id="15" w:name="_Toc373929681"/>
      <w:r>
        <w:t>Product Information</w:t>
      </w:r>
      <w:bookmarkEnd w:id="13"/>
      <w:bookmarkEnd w:id="14"/>
      <w:bookmarkEnd w:id="15"/>
    </w:p>
    <w:p w:rsidR="008E7846" w:rsidRDefault="008E7846" w:rsidP="008E7846">
      <w:r>
        <w:t>The approv</w:t>
      </w:r>
      <w:r w:rsidR="00EE56B6">
        <w:t>ed PI</w:t>
      </w:r>
      <w:r>
        <w:t xml:space="preserve"> current at the time this AusPAR was prepared can be found as Attachment 1.</w:t>
      </w:r>
      <w:bookmarkStart w:id="16" w:name="_Toc247691506"/>
      <w:bookmarkStart w:id="17" w:name="_Toc314842487"/>
    </w:p>
    <w:p w:rsidR="008E7846" w:rsidRPr="003602A9" w:rsidRDefault="008E7846" w:rsidP="008E7846">
      <w:pPr>
        <w:pStyle w:val="Heading2"/>
        <w:ind w:left="-11"/>
      </w:pPr>
      <w:bookmarkStart w:id="18" w:name="_Toc373929682"/>
      <w:r>
        <w:t>II. Quality</w:t>
      </w:r>
      <w:bookmarkEnd w:id="1"/>
      <w:r>
        <w:t xml:space="preserve"> findings</w:t>
      </w:r>
      <w:bookmarkEnd w:id="16"/>
      <w:bookmarkEnd w:id="17"/>
      <w:bookmarkEnd w:id="18"/>
    </w:p>
    <w:p w:rsidR="008E7846" w:rsidRDefault="008E7846" w:rsidP="008E7846">
      <w:r>
        <w:t>There was no requirement for a quality evaluation in a submission of this type.</w:t>
      </w:r>
    </w:p>
    <w:p w:rsidR="008E7846" w:rsidRDefault="008E7846" w:rsidP="008E7846">
      <w:pPr>
        <w:pStyle w:val="Heading2"/>
      </w:pPr>
      <w:bookmarkStart w:id="19" w:name="_Toc196046439"/>
      <w:bookmarkStart w:id="20" w:name="_Toc247691510"/>
      <w:bookmarkStart w:id="21" w:name="_Toc314842494"/>
      <w:bookmarkStart w:id="22" w:name="_Toc373929683"/>
      <w:r>
        <w:t>III. Nonclinical</w:t>
      </w:r>
      <w:bookmarkEnd w:id="19"/>
      <w:r>
        <w:t xml:space="preserve"> findings</w:t>
      </w:r>
      <w:bookmarkEnd w:id="20"/>
      <w:bookmarkEnd w:id="21"/>
      <w:bookmarkEnd w:id="22"/>
    </w:p>
    <w:p w:rsidR="008E7846" w:rsidRDefault="008E7846" w:rsidP="00E26130">
      <w:r>
        <w:t>There was no requirement for a nonclinical evaluation in a submission of this type.</w:t>
      </w:r>
    </w:p>
    <w:p w:rsidR="008E7846" w:rsidRPr="00254787" w:rsidRDefault="008E7846" w:rsidP="008E7846">
      <w:pPr>
        <w:pStyle w:val="Heading2"/>
      </w:pPr>
      <w:bookmarkStart w:id="23" w:name="_Toc196046462"/>
      <w:bookmarkStart w:id="24" w:name="_Toc247691516"/>
      <w:bookmarkStart w:id="25" w:name="_Toc314842500"/>
      <w:bookmarkStart w:id="26" w:name="_Toc163441353"/>
      <w:bookmarkStart w:id="27" w:name="_Toc163441348"/>
      <w:bookmarkStart w:id="28" w:name="_Toc373929684"/>
      <w:r>
        <w:t xml:space="preserve">IV. </w:t>
      </w:r>
      <w:r w:rsidRPr="00254787">
        <w:t>Clinical</w:t>
      </w:r>
      <w:bookmarkEnd w:id="23"/>
      <w:r>
        <w:t xml:space="preserve"> </w:t>
      </w:r>
      <w:r w:rsidR="003A7F6C">
        <w:t>f</w:t>
      </w:r>
      <w:r>
        <w:t>indings</w:t>
      </w:r>
      <w:bookmarkEnd w:id="24"/>
      <w:bookmarkEnd w:id="25"/>
      <w:bookmarkEnd w:id="28"/>
    </w:p>
    <w:p w:rsidR="00C80137" w:rsidRPr="00812EFD" w:rsidRDefault="00C80137" w:rsidP="008E7846">
      <w:pPr>
        <w:rPr>
          <w:iCs/>
        </w:rPr>
      </w:pPr>
      <w:bookmarkStart w:id="29" w:name="_Toc196046463"/>
      <w:r w:rsidRPr="00812EFD">
        <w:rPr>
          <w:iCs/>
        </w:rPr>
        <w:t>A summary of the clinical findings is presented in this section. Further details of these clinical findings can be found in Attachment 2.</w:t>
      </w:r>
    </w:p>
    <w:p w:rsidR="008E7846" w:rsidRDefault="008E7846" w:rsidP="008E7846">
      <w:pPr>
        <w:pStyle w:val="Heading3"/>
      </w:pPr>
      <w:bookmarkStart w:id="30" w:name="_Toc247691517"/>
      <w:bookmarkStart w:id="31" w:name="_Toc314842501"/>
      <w:bookmarkStart w:id="32" w:name="_Toc373929685"/>
      <w:r w:rsidRPr="00254787">
        <w:t>Introduction</w:t>
      </w:r>
      <w:bookmarkEnd w:id="29"/>
      <w:bookmarkEnd w:id="30"/>
      <w:bookmarkEnd w:id="31"/>
      <w:bookmarkEnd w:id="32"/>
    </w:p>
    <w:p w:rsidR="007F0222" w:rsidRDefault="007F0222" w:rsidP="007F0222">
      <w:r>
        <w:t>This was a small submission, with a single pivotal study (IMP27025, published as the ‘REFLEX’ study) and one open</w:t>
      </w:r>
      <w:r w:rsidR="007E2B1C">
        <w:t xml:space="preserve"> </w:t>
      </w:r>
      <w:r>
        <w:t>label extension study (IMP28981).</w:t>
      </w:r>
    </w:p>
    <w:p w:rsidR="007F0222" w:rsidRPr="00297B1D" w:rsidRDefault="007F0222" w:rsidP="008E7846">
      <w:r>
        <w:t xml:space="preserve">The sponsor also submitted a number of relevant references relating to CIS and definitions of </w:t>
      </w:r>
      <w:r w:rsidRPr="007F0222">
        <w:t xml:space="preserve">Clinically Definite Multiple Sclerosis </w:t>
      </w:r>
      <w:r>
        <w:t>(CDMS)</w:t>
      </w:r>
      <w:r w:rsidR="00A2315D">
        <w:t>.</w:t>
      </w:r>
    </w:p>
    <w:p w:rsidR="008E7846" w:rsidRPr="00254787" w:rsidRDefault="008E7846" w:rsidP="008E7846">
      <w:pPr>
        <w:pStyle w:val="Heading3"/>
      </w:pPr>
      <w:bookmarkStart w:id="33" w:name="_Toc196046464"/>
      <w:bookmarkStart w:id="34" w:name="_Toc247691518"/>
      <w:bookmarkStart w:id="35" w:name="_Toc314842502"/>
      <w:bookmarkStart w:id="36" w:name="_Toc373929686"/>
      <w:r w:rsidRPr="00254787">
        <w:lastRenderedPageBreak/>
        <w:t>Pharmacokinetics</w:t>
      </w:r>
      <w:bookmarkEnd w:id="26"/>
      <w:bookmarkEnd w:id="33"/>
      <w:bookmarkEnd w:id="34"/>
      <w:bookmarkEnd w:id="35"/>
      <w:bookmarkEnd w:id="36"/>
    </w:p>
    <w:p w:rsidR="00A77048" w:rsidRDefault="00A77048" w:rsidP="00A77048">
      <w:bookmarkStart w:id="37" w:name="_Ref271017296"/>
      <w:bookmarkStart w:id="38" w:name="_Ref271018924"/>
      <w:bookmarkStart w:id="39" w:name="_Ref271018934"/>
      <w:bookmarkStart w:id="40" w:name="_Toc272414614"/>
      <w:bookmarkStart w:id="41" w:name="_Toc290846238"/>
      <w:r>
        <w:t>No pharmacokinetic studies</w:t>
      </w:r>
      <w:bookmarkEnd w:id="37"/>
      <w:bookmarkEnd w:id="38"/>
      <w:bookmarkEnd w:id="39"/>
      <w:r>
        <w:t xml:space="preserve"> were submitted. The pharmacokinetic properties of </w:t>
      </w:r>
      <w:proofErr w:type="spellStart"/>
      <w:r>
        <w:t>Rebif</w:t>
      </w:r>
      <w:proofErr w:type="spellEnd"/>
      <w:r>
        <w:t xml:space="preserve"> have been adequately explored in previous submissions but an assessment of that data is beyond the scope of this evaluation. The pharmacokinetic profile of </w:t>
      </w:r>
      <w:proofErr w:type="spellStart"/>
      <w:r>
        <w:t>Rebif</w:t>
      </w:r>
      <w:proofErr w:type="spellEnd"/>
      <w:r>
        <w:t xml:space="preserve"> is described in the approved PI as follows:</w:t>
      </w:r>
    </w:p>
    <w:p w:rsidR="00A77048" w:rsidRPr="00461923" w:rsidRDefault="00A77048" w:rsidP="00461923">
      <w:pPr>
        <w:ind w:left="720"/>
        <w:rPr>
          <w:i/>
        </w:rPr>
      </w:pPr>
      <w:r w:rsidRPr="00461923">
        <w:rPr>
          <w:i/>
        </w:rPr>
        <w:t xml:space="preserve">The pharmacokinetic and pharmacodynamic profiles of the </w:t>
      </w:r>
      <w:proofErr w:type="spellStart"/>
      <w:r w:rsidR="001F7916">
        <w:rPr>
          <w:i/>
        </w:rPr>
        <w:t>Rebif</w:t>
      </w:r>
      <w:proofErr w:type="spellEnd"/>
      <w:r w:rsidRPr="00461923">
        <w:rPr>
          <w:i/>
        </w:rPr>
        <w:t xml:space="preserve"> </w:t>
      </w:r>
      <w:r w:rsidR="00450AE7">
        <w:rPr>
          <w:i/>
        </w:rPr>
        <w:t xml:space="preserve">HSA </w:t>
      </w:r>
      <w:r w:rsidRPr="00461923">
        <w:rPr>
          <w:i/>
        </w:rPr>
        <w:t>free fo</w:t>
      </w:r>
      <w:r w:rsidR="001E0207" w:rsidRPr="00461923">
        <w:rPr>
          <w:i/>
        </w:rPr>
        <w:t>rmulation were investigated in P</w:t>
      </w:r>
      <w:r w:rsidRPr="00461923">
        <w:rPr>
          <w:i/>
        </w:rPr>
        <w:t xml:space="preserve">hase I </w:t>
      </w:r>
      <w:r w:rsidR="001E0207" w:rsidRPr="00461923">
        <w:rPr>
          <w:i/>
        </w:rPr>
        <w:t>S</w:t>
      </w:r>
      <w:r w:rsidRPr="00461923">
        <w:rPr>
          <w:i/>
        </w:rPr>
        <w:t>tudy 25827, a double</w:t>
      </w:r>
      <w:r w:rsidR="00450AE7">
        <w:rPr>
          <w:i/>
        </w:rPr>
        <w:t xml:space="preserve"> </w:t>
      </w:r>
      <w:r w:rsidRPr="00461923">
        <w:rPr>
          <w:i/>
        </w:rPr>
        <w:t>b</w:t>
      </w:r>
      <w:r w:rsidR="001E0207" w:rsidRPr="00461923">
        <w:rPr>
          <w:i/>
        </w:rPr>
        <w:t>lind, randomised, two</w:t>
      </w:r>
      <w:r w:rsidRPr="00461923">
        <w:rPr>
          <w:i/>
        </w:rPr>
        <w:t xml:space="preserve"> period, crossover study in which 41 heal</w:t>
      </w:r>
      <w:r w:rsidR="00450AE7">
        <w:rPr>
          <w:i/>
        </w:rPr>
        <w:t xml:space="preserve">thy subjects received single 44 µg </w:t>
      </w:r>
      <w:r w:rsidRPr="00461923">
        <w:rPr>
          <w:i/>
        </w:rPr>
        <w:t xml:space="preserve">doses of </w:t>
      </w:r>
      <w:proofErr w:type="spellStart"/>
      <w:r w:rsidR="001F7916">
        <w:rPr>
          <w:i/>
        </w:rPr>
        <w:t>Rebif</w:t>
      </w:r>
      <w:proofErr w:type="spellEnd"/>
      <w:r w:rsidRPr="00461923">
        <w:rPr>
          <w:i/>
        </w:rPr>
        <w:t xml:space="preserve"> (containing Human Serum Albumin (HSA)) and the </w:t>
      </w:r>
      <w:proofErr w:type="spellStart"/>
      <w:r w:rsidR="001F7916">
        <w:rPr>
          <w:i/>
        </w:rPr>
        <w:t>Rebif</w:t>
      </w:r>
      <w:proofErr w:type="spellEnd"/>
      <w:r w:rsidRPr="00461923">
        <w:rPr>
          <w:i/>
        </w:rPr>
        <w:t xml:space="preserve"> </w:t>
      </w:r>
      <w:r w:rsidR="00450AE7">
        <w:rPr>
          <w:i/>
        </w:rPr>
        <w:t xml:space="preserve">HSA </w:t>
      </w:r>
      <w:r w:rsidRPr="00461923">
        <w:rPr>
          <w:i/>
        </w:rPr>
        <w:t xml:space="preserve">free formulation. The geometric mean </w:t>
      </w:r>
      <w:proofErr w:type="spellStart"/>
      <w:r w:rsidRPr="00461923">
        <w:rPr>
          <w:i/>
        </w:rPr>
        <w:t>Cmax</w:t>
      </w:r>
      <w:proofErr w:type="spellEnd"/>
      <w:r w:rsidRPr="00461923">
        <w:rPr>
          <w:i/>
        </w:rPr>
        <w:t xml:space="preserve"> (17.1 IU/</w:t>
      </w:r>
      <w:proofErr w:type="spellStart"/>
      <w:r w:rsidRPr="00461923">
        <w:rPr>
          <w:i/>
        </w:rPr>
        <w:t>mL</w:t>
      </w:r>
      <w:proofErr w:type="spellEnd"/>
      <w:r w:rsidRPr="00461923">
        <w:rPr>
          <w:i/>
        </w:rPr>
        <w:t xml:space="preserve">) and AUC (54.0 </w:t>
      </w:r>
      <w:proofErr w:type="spellStart"/>
      <w:r w:rsidRPr="00461923">
        <w:rPr>
          <w:i/>
        </w:rPr>
        <w:t>IU·h</w:t>
      </w:r>
      <w:proofErr w:type="spellEnd"/>
      <w:r w:rsidRPr="00461923">
        <w:rPr>
          <w:i/>
        </w:rPr>
        <w:t>/</w:t>
      </w:r>
      <w:proofErr w:type="spellStart"/>
      <w:r w:rsidRPr="00461923">
        <w:rPr>
          <w:i/>
        </w:rPr>
        <w:t>mL</w:t>
      </w:r>
      <w:proofErr w:type="spellEnd"/>
      <w:r w:rsidRPr="00461923">
        <w:rPr>
          <w:i/>
        </w:rPr>
        <w:t>) of the current formulation were approximately 70% higher than that of the previous formulation (10.2 IU/</w:t>
      </w:r>
      <w:proofErr w:type="spellStart"/>
      <w:r w:rsidRPr="00461923">
        <w:rPr>
          <w:i/>
        </w:rPr>
        <w:t>mL</w:t>
      </w:r>
      <w:proofErr w:type="spellEnd"/>
      <w:r w:rsidRPr="00461923">
        <w:rPr>
          <w:i/>
        </w:rPr>
        <w:t xml:space="preserve"> and 31.9 </w:t>
      </w:r>
      <w:proofErr w:type="spellStart"/>
      <w:r w:rsidRPr="00461923">
        <w:rPr>
          <w:i/>
        </w:rPr>
        <w:t>IU·h</w:t>
      </w:r>
      <w:proofErr w:type="spellEnd"/>
      <w:r w:rsidRPr="00461923">
        <w:rPr>
          <w:i/>
        </w:rPr>
        <w:t>/</w:t>
      </w:r>
      <w:proofErr w:type="spellStart"/>
      <w:r w:rsidRPr="00461923">
        <w:rPr>
          <w:i/>
        </w:rPr>
        <w:t>mL</w:t>
      </w:r>
      <w:proofErr w:type="spellEnd"/>
      <w:r w:rsidRPr="00461923">
        <w:rPr>
          <w:i/>
        </w:rPr>
        <w:t>, respectively)</w:t>
      </w:r>
      <w:r w:rsidR="00847705">
        <w:rPr>
          <w:i/>
        </w:rPr>
        <w:t xml:space="preserve">. The median </w:t>
      </w:r>
      <w:proofErr w:type="spellStart"/>
      <w:r w:rsidR="00847705">
        <w:rPr>
          <w:i/>
        </w:rPr>
        <w:t>Tmax</w:t>
      </w:r>
      <w:proofErr w:type="spellEnd"/>
      <w:r w:rsidR="00847705">
        <w:rPr>
          <w:i/>
        </w:rPr>
        <w:t xml:space="preserve"> was 0.25 </w:t>
      </w:r>
      <w:r w:rsidR="00450AE7">
        <w:rPr>
          <w:i/>
        </w:rPr>
        <w:t>h (versus</w:t>
      </w:r>
      <w:r w:rsidRPr="00461923">
        <w:rPr>
          <w:i/>
        </w:rPr>
        <w:t xml:space="preserve"> 0.33 h for the previous formulation). There was high inter</w:t>
      </w:r>
      <w:r w:rsidR="00450AE7">
        <w:rPr>
          <w:i/>
        </w:rPr>
        <w:t xml:space="preserve"> </w:t>
      </w:r>
      <w:r w:rsidRPr="00461923">
        <w:rPr>
          <w:i/>
        </w:rPr>
        <w:t xml:space="preserve">patient variability in the pharmacokinetics of interferon beta-1a with both formulations. Bioequivalence was not demonstrated for PK parameters. However, in this study, both </w:t>
      </w:r>
      <w:proofErr w:type="spellStart"/>
      <w:r w:rsidR="001F7916">
        <w:rPr>
          <w:i/>
        </w:rPr>
        <w:t>Rebif</w:t>
      </w:r>
      <w:proofErr w:type="spellEnd"/>
      <w:r w:rsidRPr="00461923">
        <w:rPr>
          <w:i/>
        </w:rPr>
        <w:t xml:space="preserve"> HSA and </w:t>
      </w:r>
      <w:proofErr w:type="spellStart"/>
      <w:r w:rsidR="001F7916">
        <w:rPr>
          <w:i/>
        </w:rPr>
        <w:t>Rebif</w:t>
      </w:r>
      <w:proofErr w:type="spellEnd"/>
      <w:r w:rsidRPr="00461923">
        <w:rPr>
          <w:i/>
        </w:rPr>
        <w:t xml:space="preserve"> HSA</w:t>
      </w:r>
      <w:r w:rsidR="00450AE7">
        <w:rPr>
          <w:i/>
        </w:rPr>
        <w:t xml:space="preserve"> </w:t>
      </w:r>
      <w:r w:rsidRPr="00461923">
        <w:rPr>
          <w:i/>
        </w:rPr>
        <w:t>free formulations were shown to be bioequivalent on the basis of two markers of biol</w:t>
      </w:r>
      <w:r w:rsidR="005A1F60">
        <w:rPr>
          <w:i/>
        </w:rPr>
        <w:t xml:space="preserve">ogical activity, </w:t>
      </w:r>
      <w:proofErr w:type="spellStart"/>
      <w:r w:rsidR="005A1F60">
        <w:rPr>
          <w:i/>
        </w:rPr>
        <w:t>neopterin</w:t>
      </w:r>
      <w:proofErr w:type="spellEnd"/>
      <w:r w:rsidR="005A1F60">
        <w:rPr>
          <w:i/>
        </w:rPr>
        <w:t xml:space="preserve"> and beta</w:t>
      </w:r>
      <w:r w:rsidRPr="00461923">
        <w:rPr>
          <w:i/>
        </w:rPr>
        <w:t xml:space="preserve">-2 </w:t>
      </w:r>
      <w:proofErr w:type="spellStart"/>
      <w:r w:rsidRPr="00461923">
        <w:rPr>
          <w:i/>
        </w:rPr>
        <w:t>microglobulin</w:t>
      </w:r>
      <w:proofErr w:type="spellEnd"/>
      <w:r w:rsidRPr="00461923">
        <w:rPr>
          <w:i/>
        </w:rPr>
        <w:t>.</w:t>
      </w:r>
    </w:p>
    <w:p w:rsidR="00A77048" w:rsidRPr="00461923" w:rsidRDefault="00A77048" w:rsidP="00461923">
      <w:pPr>
        <w:ind w:left="720"/>
        <w:rPr>
          <w:i/>
        </w:rPr>
      </w:pPr>
      <w:r w:rsidRPr="00461923">
        <w:rPr>
          <w:i/>
        </w:rPr>
        <w:t xml:space="preserve">The raw </w:t>
      </w:r>
      <w:proofErr w:type="spellStart"/>
      <w:r w:rsidRPr="00461923">
        <w:rPr>
          <w:i/>
        </w:rPr>
        <w:t>neopterin</w:t>
      </w:r>
      <w:proofErr w:type="spellEnd"/>
      <w:r w:rsidRPr="00461923">
        <w:rPr>
          <w:i/>
        </w:rPr>
        <w:t xml:space="preserve"> responses measured for </w:t>
      </w:r>
      <w:proofErr w:type="spellStart"/>
      <w:r w:rsidR="001F7916">
        <w:rPr>
          <w:i/>
        </w:rPr>
        <w:t>Rebif</w:t>
      </w:r>
      <w:proofErr w:type="spellEnd"/>
      <w:r w:rsidRPr="00461923">
        <w:rPr>
          <w:i/>
        </w:rPr>
        <w:t xml:space="preserve"> HSA and </w:t>
      </w:r>
      <w:proofErr w:type="spellStart"/>
      <w:r w:rsidR="001F7916">
        <w:rPr>
          <w:i/>
        </w:rPr>
        <w:t>Rebif</w:t>
      </w:r>
      <w:proofErr w:type="spellEnd"/>
      <w:r w:rsidRPr="00461923">
        <w:rPr>
          <w:i/>
        </w:rPr>
        <w:t xml:space="preserve"> HSA</w:t>
      </w:r>
      <w:r w:rsidR="00450AE7">
        <w:rPr>
          <w:i/>
        </w:rPr>
        <w:t xml:space="preserve"> </w:t>
      </w:r>
      <w:r w:rsidRPr="00461923">
        <w:rPr>
          <w:i/>
        </w:rPr>
        <w:t>free formulations were s</w:t>
      </w:r>
      <w:r w:rsidR="00450AE7">
        <w:rPr>
          <w:i/>
        </w:rPr>
        <w:t xml:space="preserve">imilar. Median </w:t>
      </w:r>
      <w:proofErr w:type="spellStart"/>
      <w:r w:rsidR="00450AE7">
        <w:rPr>
          <w:i/>
        </w:rPr>
        <w:t>Tmax</w:t>
      </w:r>
      <w:proofErr w:type="spellEnd"/>
      <w:r w:rsidR="00450AE7">
        <w:rPr>
          <w:i/>
        </w:rPr>
        <w:t xml:space="preserve"> was 24 h</w:t>
      </w:r>
      <w:r w:rsidRPr="00461923">
        <w:rPr>
          <w:i/>
        </w:rPr>
        <w:t xml:space="preserve"> after dosing f</w:t>
      </w:r>
      <w:r w:rsidR="00A546EE">
        <w:rPr>
          <w:i/>
        </w:rPr>
        <w:t>or both formulations. Mean (± SD</w:t>
      </w:r>
      <w:r w:rsidRPr="00461923">
        <w:rPr>
          <w:i/>
        </w:rPr>
        <w:t xml:space="preserve">) </w:t>
      </w:r>
      <w:proofErr w:type="spellStart"/>
      <w:r w:rsidRPr="00461923">
        <w:rPr>
          <w:i/>
        </w:rPr>
        <w:t>Cmax</w:t>
      </w:r>
      <w:proofErr w:type="spellEnd"/>
      <w:r w:rsidRPr="00461923">
        <w:rPr>
          <w:i/>
        </w:rPr>
        <w:t xml:space="preserve"> was </w:t>
      </w:r>
      <w:proofErr w:type="gramStart"/>
      <w:r w:rsidRPr="00461923">
        <w:rPr>
          <w:i/>
        </w:rPr>
        <w:t xml:space="preserve">42 ± 21 </w:t>
      </w:r>
      <w:proofErr w:type="spellStart"/>
      <w:r w:rsidRPr="00461923">
        <w:rPr>
          <w:i/>
        </w:rPr>
        <w:t>nmol</w:t>
      </w:r>
      <w:proofErr w:type="spellEnd"/>
      <w:r w:rsidRPr="00461923">
        <w:rPr>
          <w:i/>
        </w:rPr>
        <w:t xml:space="preserve">/L for </w:t>
      </w:r>
      <w:proofErr w:type="spellStart"/>
      <w:r w:rsidR="001F7916">
        <w:rPr>
          <w:i/>
        </w:rPr>
        <w:t>Rebif</w:t>
      </w:r>
      <w:proofErr w:type="spellEnd"/>
      <w:r w:rsidRPr="00461923">
        <w:rPr>
          <w:i/>
        </w:rPr>
        <w:t xml:space="preserve"> HSA</w:t>
      </w:r>
      <w:r w:rsidR="00450AE7">
        <w:rPr>
          <w:i/>
        </w:rPr>
        <w:t xml:space="preserve"> </w:t>
      </w:r>
      <w:r w:rsidRPr="00461923">
        <w:rPr>
          <w:i/>
        </w:rPr>
        <w:t>free formulation,</w:t>
      </w:r>
      <w:proofErr w:type="gramEnd"/>
      <w:r w:rsidRPr="00461923">
        <w:rPr>
          <w:i/>
        </w:rPr>
        <w:t xml:space="preserve"> and 40 ± 19 </w:t>
      </w:r>
      <w:proofErr w:type="spellStart"/>
      <w:r w:rsidRPr="00461923">
        <w:rPr>
          <w:i/>
        </w:rPr>
        <w:t>nmol</w:t>
      </w:r>
      <w:proofErr w:type="spellEnd"/>
      <w:r w:rsidRPr="00461923">
        <w:rPr>
          <w:i/>
        </w:rPr>
        <w:t xml:space="preserve">/L for </w:t>
      </w:r>
      <w:proofErr w:type="spellStart"/>
      <w:r w:rsidR="001F7916">
        <w:rPr>
          <w:i/>
        </w:rPr>
        <w:t>Rebif</w:t>
      </w:r>
      <w:proofErr w:type="spellEnd"/>
      <w:r w:rsidRPr="00461923">
        <w:rPr>
          <w:i/>
        </w:rPr>
        <w:t xml:space="preserve"> HSA formulation. Mean </w:t>
      </w:r>
      <w:proofErr w:type="spellStart"/>
      <w:r w:rsidRPr="00461923">
        <w:rPr>
          <w:i/>
        </w:rPr>
        <w:t>AUC</w:t>
      </w:r>
      <w:r w:rsidRPr="00A546EE">
        <w:rPr>
          <w:i/>
          <w:vertAlign w:val="subscript"/>
        </w:rPr>
        <w:t>last</w:t>
      </w:r>
      <w:proofErr w:type="spellEnd"/>
      <w:r w:rsidRPr="00A546EE">
        <w:rPr>
          <w:i/>
          <w:vertAlign w:val="subscript"/>
        </w:rPr>
        <w:t xml:space="preserve"> </w:t>
      </w:r>
      <w:r w:rsidRPr="00461923">
        <w:rPr>
          <w:i/>
        </w:rPr>
        <w:t xml:space="preserve">were 3882 ± 1804 </w:t>
      </w:r>
      <w:proofErr w:type="spellStart"/>
      <w:r w:rsidRPr="00461923">
        <w:rPr>
          <w:i/>
        </w:rPr>
        <w:t>nmol·h</w:t>
      </w:r>
      <w:proofErr w:type="spellEnd"/>
      <w:r w:rsidRPr="00461923">
        <w:rPr>
          <w:i/>
        </w:rPr>
        <w:t xml:space="preserve">/L for </w:t>
      </w:r>
      <w:proofErr w:type="spellStart"/>
      <w:r w:rsidR="001F7916">
        <w:rPr>
          <w:i/>
        </w:rPr>
        <w:t>Rebif</w:t>
      </w:r>
      <w:proofErr w:type="spellEnd"/>
      <w:r w:rsidRPr="00461923">
        <w:rPr>
          <w:i/>
        </w:rPr>
        <w:t xml:space="preserve"> HSA</w:t>
      </w:r>
      <w:r w:rsidR="00450AE7">
        <w:rPr>
          <w:i/>
        </w:rPr>
        <w:t xml:space="preserve"> </w:t>
      </w:r>
      <w:r w:rsidRPr="00461923">
        <w:rPr>
          <w:i/>
        </w:rPr>
        <w:t xml:space="preserve">free formulation and 3581 ± 1475 </w:t>
      </w:r>
      <w:proofErr w:type="spellStart"/>
      <w:r w:rsidRPr="00461923">
        <w:rPr>
          <w:i/>
        </w:rPr>
        <w:t>nmol·h</w:t>
      </w:r>
      <w:proofErr w:type="spellEnd"/>
      <w:r w:rsidRPr="00461923">
        <w:rPr>
          <w:i/>
        </w:rPr>
        <w:t xml:space="preserve">/L for the </w:t>
      </w:r>
      <w:proofErr w:type="spellStart"/>
      <w:r w:rsidR="001F7916">
        <w:rPr>
          <w:i/>
        </w:rPr>
        <w:t>Rebif</w:t>
      </w:r>
      <w:proofErr w:type="spellEnd"/>
      <w:r w:rsidRPr="00461923">
        <w:rPr>
          <w:i/>
        </w:rPr>
        <w:t xml:space="preserve"> HSA formulation.</w:t>
      </w:r>
    </w:p>
    <w:p w:rsidR="00A77048" w:rsidRPr="00461923" w:rsidRDefault="005916E6" w:rsidP="00461923">
      <w:pPr>
        <w:ind w:left="720"/>
      </w:pPr>
      <w:r>
        <w:rPr>
          <w:i/>
        </w:rPr>
        <w:t>The beta</w:t>
      </w:r>
      <w:r w:rsidR="00A77048" w:rsidRPr="00461923">
        <w:rPr>
          <w:i/>
        </w:rPr>
        <w:t xml:space="preserve">-2 </w:t>
      </w:r>
      <w:proofErr w:type="spellStart"/>
      <w:r w:rsidR="00A77048" w:rsidRPr="00461923">
        <w:rPr>
          <w:i/>
        </w:rPr>
        <w:t>microglobulin</w:t>
      </w:r>
      <w:proofErr w:type="spellEnd"/>
      <w:r w:rsidR="00A77048" w:rsidRPr="00461923">
        <w:rPr>
          <w:i/>
        </w:rPr>
        <w:t xml:space="preserve"> responses of </w:t>
      </w:r>
      <w:proofErr w:type="spellStart"/>
      <w:r w:rsidR="001F7916">
        <w:rPr>
          <w:i/>
        </w:rPr>
        <w:t>Rebif</w:t>
      </w:r>
      <w:proofErr w:type="spellEnd"/>
      <w:r w:rsidR="00A77048" w:rsidRPr="00461923">
        <w:rPr>
          <w:i/>
        </w:rPr>
        <w:t xml:space="preserve"> HSA and </w:t>
      </w:r>
      <w:proofErr w:type="spellStart"/>
      <w:r w:rsidR="001F7916">
        <w:rPr>
          <w:i/>
        </w:rPr>
        <w:t>Rebif</w:t>
      </w:r>
      <w:proofErr w:type="spellEnd"/>
      <w:r w:rsidR="00A77048" w:rsidRPr="00461923">
        <w:rPr>
          <w:i/>
        </w:rPr>
        <w:t xml:space="preserve"> HSA</w:t>
      </w:r>
      <w:r w:rsidR="00450AE7">
        <w:rPr>
          <w:i/>
        </w:rPr>
        <w:t xml:space="preserve"> </w:t>
      </w:r>
      <w:r w:rsidR="00A77048" w:rsidRPr="00461923">
        <w:rPr>
          <w:i/>
        </w:rPr>
        <w:t>free formulations were similar. Fo</w:t>
      </w:r>
      <w:r w:rsidR="00450AE7">
        <w:rPr>
          <w:i/>
        </w:rPr>
        <w:t xml:space="preserve">r both formulations the median </w:t>
      </w:r>
      <w:proofErr w:type="spellStart"/>
      <w:r w:rsidR="00450AE7">
        <w:rPr>
          <w:i/>
        </w:rPr>
        <w:t>Tmax</w:t>
      </w:r>
      <w:proofErr w:type="spellEnd"/>
      <w:r w:rsidR="00450AE7">
        <w:rPr>
          <w:i/>
        </w:rPr>
        <w:t xml:space="preserve"> was 48 h</w:t>
      </w:r>
      <w:r w:rsidR="00A77048" w:rsidRPr="00461923">
        <w:rPr>
          <w:i/>
        </w:rPr>
        <w:t xml:space="preserve"> after administration. Mean </w:t>
      </w:r>
      <w:proofErr w:type="spellStart"/>
      <w:r w:rsidR="00A77048" w:rsidRPr="00461923">
        <w:rPr>
          <w:i/>
        </w:rPr>
        <w:t>Cmax</w:t>
      </w:r>
      <w:proofErr w:type="spellEnd"/>
      <w:r w:rsidR="00A77048" w:rsidRPr="00461923">
        <w:rPr>
          <w:i/>
        </w:rPr>
        <w:t xml:space="preserve"> was 3017 ± 597ng/</w:t>
      </w:r>
      <w:proofErr w:type="spellStart"/>
      <w:r w:rsidR="00A77048" w:rsidRPr="00461923">
        <w:rPr>
          <w:i/>
        </w:rPr>
        <w:t>mL</w:t>
      </w:r>
      <w:proofErr w:type="spellEnd"/>
      <w:r w:rsidR="00A77048" w:rsidRPr="00461923">
        <w:rPr>
          <w:i/>
        </w:rPr>
        <w:t xml:space="preserve"> for </w:t>
      </w:r>
      <w:proofErr w:type="spellStart"/>
      <w:r w:rsidR="001F7916">
        <w:rPr>
          <w:i/>
        </w:rPr>
        <w:t>Rebif</w:t>
      </w:r>
      <w:proofErr w:type="spellEnd"/>
      <w:r w:rsidR="00A77048" w:rsidRPr="00461923">
        <w:rPr>
          <w:i/>
        </w:rPr>
        <w:t xml:space="preserve"> HSA</w:t>
      </w:r>
      <w:r w:rsidR="00450AE7">
        <w:rPr>
          <w:i/>
        </w:rPr>
        <w:t xml:space="preserve"> </w:t>
      </w:r>
      <w:r w:rsidR="00A77048" w:rsidRPr="00461923">
        <w:rPr>
          <w:i/>
        </w:rPr>
        <w:t xml:space="preserve">free formulation, and 2970 ± </w:t>
      </w:r>
      <w:proofErr w:type="gramStart"/>
      <w:r w:rsidR="00A77048" w:rsidRPr="00461923">
        <w:rPr>
          <w:i/>
        </w:rPr>
        <w:t xml:space="preserve">646 </w:t>
      </w:r>
      <w:proofErr w:type="spellStart"/>
      <w:r w:rsidR="00A77048" w:rsidRPr="00461923">
        <w:rPr>
          <w:i/>
        </w:rPr>
        <w:t>ng</w:t>
      </w:r>
      <w:proofErr w:type="spellEnd"/>
      <w:r w:rsidR="00A77048" w:rsidRPr="00461923">
        <w:rPr>
          <w:i/>
        </w:rPr>
        <w:t>/</w:t>
      </w:r>
      <w:proofErr w:type="spellStart"/>
      <w:r w:rsidR="00A77048" w:rsidRPr="00461923">
        <w:rPr>
          <w:i/>
        </w:rPr>
        <w:t>mL</w:t>
      </w:r>
      <w:proofErr w:type="spellEnd"/>
      <w:r w:rsidR="00A77048" w:rsidRPr="00461923">
        <w:rPr>
          <w:i/>
        </w:rPr>
        <w:t xml:space="preserve"> for </w:t>
      </w:r>
      <w:proofErr w:type="spellStart"/>
      <w:r w:rsidR="001F7916">
        <w:rPr>
          <w:i/>
        </w:rPr>
        <w:t>Rebif</w:t>
      </w:r>
      <w:proofErr w:type="spellEnd"/>
      <w:r w:rsidR="00A77048" w:rsidRPr="00461923">
        <w:rPr>
          <w:i/>
        </w:rPr>
        <w:t xml:space="preserve"> HSA formulation</w:t>
      </w:r>
      <w:proofErr w:type="gramEnd"/>
      <w:r w:rsidR="00A77048" w:rsidRPr="00461923">
        <w:rPr>
          <w:i/>
        </w:rPr>
        <w:t xml:space="preserve">. Mean </w:t>
      </w:r>
      <w:proofErr w:type="spellStart"/>
      <w:r w:rsidR="00A77048" w:rsidRPr="00461923">
        <w:rPr>
          <w:i/>
        </w:rPr>
        <w:t>AUC</w:t>
      </w:r>
      <w:r w:rsidR="00A77048" w:rsidRPr="00450AE7">
        <w:rPr>
          <w:i/>
          <w:vertAlign w:val="subscript"/>
        </w:rPr>
        <w:t>last</w:t>
      </w:r>
      <w:proofErr w:type="spellEnd"/>
      <w:r w:rsidR="00A77048" w:rsidRPr="00461923">
        <w:rPr>
          <w:i/>
        </w:rPr>
        <w:t xml:space="preserve"> were 401 ± 67 </w:t>
      </w:r>
      <w:proofErr w:type="spellStart"/>
      <w:r w:rsidR="00A77048" w:rsidRPr="00461923">
        <w:rPr>
          <w:i/>
        </w:rPr>
        <w:t>μg·h</w:t>
      </w:r>
      <w:proofErr w:type="spellEnd"/>
      <w:r w:rsidR="00A77048" w:rsidRPr="00461923">
        <w:rPr>
          <w:i/>
        </w:rPr>
        <w:t>/</w:t>
      </w:r>
      <w:proofErr w:type="spellStart"/>
      <w:r w:rsidR="00A77048" w:rsidRPr="00461923">
        <w:rPr>
          <w:i/>
        </w:rPr>
        <w:t>mL</w:t>
      </w:r>
      <w:proofErr w:type="spellEnd"/>
      <w:r w:rsidR="00A77048" w:rsidRPr="00461923">
        <w:rPr>
          <w:i/>
        </w:rPr>
        <w:t xml:space="preserve"> and 392 ± 70 </w:t>
      </w:r>
      <w:proofErr w:type="spellStart"/>
      <w:r w:rsidR="00A77048" w:rsidRPr="00461923">
        <w:rPr>
          <w:i/>
        </w:rPr>
        <w:t>μg·h</w:t>
      </w:r>
      <w:proofErr w:type="spellEnd"/>
      <w:r w:rsidR="00A77048" w:rsidRPr="00461923">
        <w:rPr>
          <w:i/>
        </w:rPr>
        <w:t>/</w:t>
      </w:r>
      <w:proofErr w:type="spellStart"/>
      <w:r w:rsidR="00A77048" w:rsidRPr="00461923">
        <w:rPr>
          <w:i/>
        </w:rPr>
        <w:t>mL</w:t>
      </w:r>
      <w:proofErr w:type="spellEnd"/>
      <w:r w:rsidR="00A77048" w:rsidRPr="00461923">
        <w:rPr>
          <w:i/>
        </w:rPr>
        <w:t xml:space="preserve"> for the </w:t>
      </w:r>
      <w:proofErr w:type="spellStart"/>
      <w:r w:rsidR="001F7916">
        <w:rPr>
          <w:i/>
        </w:rPr>
        <w:t>Rebif</w:t>
      </w:r>
      <w:proofErr w:type="spellEnd"/>
      <w:r w:rsidR="00A77048" w:rsidRPr="00461923">
        <w:rPr>
          <w:i/>
        </w:rPr>
        <w:t xml:space="preserve"> HSA</w:t>
      </w:r>
      <w:r w:rsidR="00450AE7">
        <w:rPr>
          <w:i/>
        </w:rPr>
        <w:t xml:space="preserve"> </w:t>
      </w:r>
      <w:r w:rsidR="00A77048" w:rsidRPr="00461923">
        <w:rPr>
          <w:i/>
        </w:rPr>
        <w:t xml:space="preserve">free and </w:t>
      </w:r>
      <w:proofErr w:type="spellStart"/>
      <w:r w:rsidR="001F7916">
        <w:rPr>
          <w:i/>
        </w:rPr>
        <w:t>Rebif</w:t>
      </w:r>
      <w:proofErr w:type="spellEnd"/>
      <w:r w:rsidR="00A77048" w:rsidRPr="00461923">
        <w:rPr>
          <w:i/>
        </w:rPr>
        <w:t xml:space="preserve"> HSA formulations, respectively.</w:t>
      </w:r>
    </w:p>
    <w:p w:rsidR="008E7846" w:rsidRDefault="008E7846" w:rsidP="008E7846">
      <w:pPr>
        <w:pStyle w:val="Heading3"/>
      </w:pPr>
      <w:bookmarkStart w:id="42" w:name="_Toc196046481"/>
      <w:bookmarkStart w:id="43" w:name="_Toc247691520"/>
      <w:bookmarkStart w:id="44" w:name="_Toc314842503"/>
      <w:bookmarkStart w:id="45" w:name="_Toc373929687"/>
      <w:bookmarkEnd w:id="40"/>
      <w:bookmarkEnd w:id="41"/>
      <w:r w:rsidRPr="00254787">
        <w:t>Pharmacodynamics</w:t>
      </w:r>
      <w:bookmarkEnd w:id="27"/>
      <w:bookmarkEnd w:id="42"/>
      <w:bookmarkEnd w:id="43"/>
      <w:bookmarkEnd w:id="44"/>
      <w:bookmarkEnd w:id="45"/>
    </w:p>
    <w:p w:rsidR="00A546EE" w:rsidRDefault="00AC783D" w:rsidP="00A546EE">
      <w:pPr>
        <w:autoSpaceDE w:val="0"/>
        <w:autoSpaceDN w:val="0"/>
        <w:adjustRightInd w:val="0"/>
      </w:pPr>
      <w:r>
        <w:t>No new pharmacodynamic</w:t>
      </w:r>
      <w:r w:rsidR="00A546EE">
        <w:t xml:space="preserve"> studies were submitted. Given that MS plaques are relatively infrequent over the course of a year of treatment the pharmacodynamic effects of treatment on disease risk can only be inferred indirectly. </w:t>
      </w:r>
      <w:r w:rsidR="000D261C">
        <w:t xml:space="preserve">As described above, endogenous </w:t>
      </w:r>
      <w:r w:rsidR="00A546EE">
        <w:t>immune co</w:t>
      </w:r>
      <w:r w:rsidR="00F00055">
        <w:t xml:space="preserve">mpounds, such as </w:t>
      </w:r>
      <w:proofErr w:type="spellStart"/>
      <w:r w:rsidR="00F00055">
        <w:t>neopterin</w:t>
      </w:r>
      <w:proofErr w:type="spellEnd"/>
      <w:r w:rsidR="00F00055">
        <w:t xml:space="preserve"> and beta</w:t>
      </w:r>
      <w:r w:rsidR="00A546EE">
        <w:t xml:space="preserve">-2 </w:t>
      </w:r>
      <w:proofErr w:type="spellStart"/>
      <w:r w:rsidR="00A546EE">
        <w:t>microglobulin</w:t>
      </w:r>
      <w:proofErr w:type="spellEnd"/>
      <w:r w:rsidR="000D261C">
        <w:t>,</w:t>
      </w:r>
      <w:r w:rsidR="00A546EE">
        <w:t xml:space="preserve"> have been used as surrogate markers of pharmacodynamic activity.</w:t>
      </w:r>
    </w:p>
    <w:p w:rsidR="005604CD" w:rsidRDefault="00A546EE" w:rsidP="00A546EE">
      <w:pPr>
        <w:autoSpaceDE w:val="0"/>
        <w:autoSpaceDN w:val="0"/>
        <w:adjustRightInd w:val="0"/>
      </w:pPr>
      <w:r>
        <w:t xml:space="preserve">The pivotal efficacy study </w:t>
      </w:r>
      <w:r w:rsidR="00824358">
        <w:t>included two dose groups, a 44 µ</w:t>
      </w:r>
      <w:r>
        <w:t xml:space="preserve">g </w:t>
      </w:r>
      <w:r w:rsidR="00824358" w:rsidRPr="007953FA">
        <w:t>three times weekly</w:t>
      </w:r>
      <w:r w:rsidR="00824358">
        <w:t xml:space="preserve"> (</w:t>
      </w:r>
      <w:proofErr w:type="spellStart"/>
      <w:r w:rsidR="00824358">
        <w:t>tiw</w:t>
      </w:r>
      <w:proofErr w:type="spellEnd"/>
      <w:r w:rsidR="00824358">
        <w:t>)</w:t>
      </w:r>
      <w:r>
        <w:t xml:space="preserve"> dose group </w:t>
      </w:r>
      <w:r w:rsidR="00824358">
        <w:t>and a 44 µ</w:t>
      </w:r>
      <w:r>
        <w:t xml:space="preserve">g </w:t>
      </w:r>
      <w:r w:rsidR="002B55B4">
        <w:t>once weekly (</w:t>
      </w:r>
      <w:proofErr w:type="spellStart"/>
      <w:r>
        <w:t>ow</w:t>
      </w:r>
      <w:proofErr w:type="spellEnd"/>
      <w:r w:rsidR="002B55B4">
        <w:t>)</w:t>
      </w:r>
      <w:r>
        <w:t xml:space="preserve"> dose group. Endogenous markers of the biological activity of beta interferon suggest that the main effects of interferon therapy persist for 3-4 days after treatment, so once</w:t>
      </w:r>
      <w:r w:rsidR="00AC783D">
        <w:t xml:space="preserve"> </w:t>
      </w:r>
      <w:r>
        <w:t>weekly dosing may leave the patient under</w:t>
      </w:r>
      <w:r w:rsidR="00F00055">
        <w:t xml:space="preserve"> </w:t>
      </w:r>
      <w:r>
        <w:t>treated for part of each week. For i</w:t>
      </w:r>
      <w:r w:rsidR="00FC57DE">
        <w:t xml:space="preserve">nstance, </w:t>
      </w:r>
      <w:proofErr w:type="spellStart"/>
      <w:r w:rsidR="00FC57DE">
        <w:t>Durelli</w:t>
      </w:r>
      <w:proofErr w:type="spellEnd"/>
      <w:r w:rsidR="00FC57DE">
        <w:t xml:space="preserve"> </w:t>
      </w:r>
      <w:r w:rsidR="005604CD">
        <w:t>writes:</w:t>
      </w:r>
      <w:r w:rsidR="00FC57DE">
        <w:rPr>
          <w:rStyle w:val="FootnoteReference"/>
        </w:rPr>
        <w:footnoteReference w:id="1"/>
      </w:r>
    </w:p>
    <w:p w:rsidR="00A546EE" w:rsidRPr="00657480" w:rsidRDefault="00A546EE" w:rsidP="005604CD">
      <w:pPr>
        <w:autoSpaceDE w:val="0"/>
        <w:autoSpaceDN w:val="0"/>
        <w:adjustRightInd w:val="0"/>
        <w:ind w:left="720"/>
        <w:rPr>
          <w:i/>
        </w:rPr>
      </w:pPr>
      <w:r w:rsidRPr="00657480">
        <w:rPr>
          <w:i/>
        </w:rPr>
        <w:t xml:space="preserve">“Evidence from pharmacokinetic and pharmacodynamic studies </w:t>
      </w:r>
      <w:proofErr w:type="gramStart"/>
      <w:r w:rsidRPr="00657480">
        <w:rPr>
          <w:i/>
        </w:rPr>
        <w:t>have</w:t>
      </w:r>
      <w:proofErr w:type="gramEnd"/>
      <w:r w:rsidRPr="00657480">
        <w:rPr>
          <w:i/>
        </w:rPr>
        <w:t xml:space="preserve"> </w:t>
      </w:r>
      <w:r>
        <w:rPr>
          <w:i/>
        </w:rPr>
        <w:t xml:space="preserve">[sic] </w:t>
      </w:r>
      <w:r w:rsidRPr="00657480">
        <w:rPr>
          <w:i/>
        </w:rPr>
        <w:t>shown that a single dose of beta interferon</w:t>
      </w:r>
      <w:r>
        <w:rPr>
          <w:i/>
        </w:rPr>
        <w:t xml:space="preserve"> </w:t>
      </w:r>
      <w:r w:rsidRPr="00657480">
        <w:rPr>
          <w:i/>
        </w:rPr>
        <w:t>results in an increase in beta interferon activity in the serum within several hours of injection, re</w:t>
      </w:r>
      <w:r w:rsidR="0036092E">
        <w:rPr>
          <w:i/>
        </w:rPr>
        <w:t>aching a maximum level after 12-18 h</w:t>
      </w:r>
      <w:r w:rsidRPr="00657480">
        <w:rPr>
          <w:i/>
        </w:rPr>
        <w:t xml:space="preserve">, followed by a gradual decrease to baseline within 48 hours following injection. Increases in BRM </w:t>
      </w:r>
      <w:r>
        <w:rPr>
          <w:i/>
        </w:rPr>
        <w:t xml:space="preserve">[biological response marker] </w:t>
      </w:r>
      <w:r w:rsidR="0036092E">
        <w:rPr>
          <w:i/>
        </w:rPr>
        <w:t>levels reach a maximum after 24-</w:t>
      </w:r>
      <w:r w:rsidRPr="00657480">
        <w:rPr>
          <w:i/>
        </w:rPr>
        <w:t xml:space="preserve">36 hours, and return </w:t>
      </w:r>
      <w:r w:rsidR="0036092E">
        <w:rPr>
          <w:i/>
        </w:rPr>
        <w:t>to baseline levels a further 48-96 h</w:t>
      </w:r>
      <w:r w:rsidRPr="00657480">
        <w:rPr>
          <w:i/>
        </w:rPr>
        <w:t xml:space="preserve"> later.”</w:t>
      </w:r>
    </w:p>
    <w:p w:rsidR="00A546EE" w:rsidRDefault="00A546EE" w:rsidP="00A546EE">
      <w:pPr>
        <w:autoSpaceDE w:val="0"/>
        <w:autoSpaceDN w:val="0"/>
        <w:adjustRightInd w:val="0"/>
      </w:pPr>
      <w:r>
        <w:t xml:space="preserve">This could partially account for the weaker therapeutic effect of </w:t>
      </w:r>
      <w:proofErr w:type="spellStart"/>
      <w:r>
        <w:t>Rebif</w:t>
      </w:r>
      <w:proofErr w:type="spellEnd"/>
      <w:r>
        <w:t xml:space="preserve"> </w:t>
      </w:r>
      <w:proofErr w:type="spellStart"/>
      <w:r>
        <w:t>ow</w:t>
      </w:r>
      <w:proofErr w:type="spellEnd"/>
      <w:r>
        <w:t xml:space="preserve"> versus </w:t>
      </w:r>
      <w:proofErr w:type="spellStart"/>
      <w:r>
        <w:t>Rebif</w:t>
      </w:r>
      <w:proofErr w:type="spellEnd"/>
      <w:r>
        <w:t xml:space="preserve"> </w:t>
      </w:r>
      <w:proofErr w:type="spellStart"/>
      <w:r>
        <w:t>tiw</w:t>
      </w:r>
      <w:proofErr w:type="spellEnd"/>
      <w:r>
        <w:t xml:space="preserve"> in the submitted pivotal study.</w:t>
      </w:r>
    </w:p>
    <w:p w:rsidR="008E7846" w:rsidRPr="00254787" w:rsidRDefault="008E7846" w:rsidP="008E7846">
      <w:pPr>
        <w:pStyle w:val="Heading3"/>
      </w:pPr>
      <w:bookmarkStart w:id="46" w:name="_Toc163441372"/>
      <w:bookmarkStart w:id="47" w:name="_Toc196046485"/>
      <w:bookmarkStart w:id="48" w:name="_Toc247691521"/>
      <w:bookmarkStart w:id="49" w:name="_Toc314842504"/>
      <w:bookmarkStart w:id="50" w:name="_Toc373929688"/>
      <w:r w:rsidRPr="00254787">
        <w:lastRenderedPageBreak/>
        <w:t>Efficacy</w:t>
      </w:r>
      <w:bookmarkEnd w:id="46"/>
      <w:bookmarkEnd w:id="47"/>
      <w:bookmarkEnd w:id="48"/>
      <w:bookmarkEnd w:id="49"/>
      <w:bookmarkEnd w:id="50"/>
    </w:p>
    <w:p w:rsidR="001C4A83" w:rsidRDefault="001C4A83" w:rsidP="001C4A83">
      <w:pPr>
        <w:pStyle w:val="Heading4"/>
      </w:pPr>
      <w:bookmarkStart w:id="51" w:name="_Toc184439992"/>
      <w:bookmarkStart w:id="52" w:name="_Toc184440279"/>
      <w:bookmarkStart w:id="53" w:name="_Toc184444657"/>
      <w:bookmarkStart w:id="54" w:name="_Toc196046487"/>
      <w:r>
        <w:t>Studies providing efficacy data</w:t>
      </w:r>
    </w:p>
    <w:p w:rsidR="000C5752" w:rsidRDefault="000C5752" w:rsidP="000C5752">
      <w:r>
        <w:t>Only one pivotal study (IMP27025, published as the ‘REFLEX’ study) was submitted for the new indication. Its open label extension (IMP28981) was also mentioned but this extensio</w:t>
      </w:r>
      <w:r w:rsidR="00CF7112">
        <w:t>n was ongoing at the time of</w:t>
      </w:r>
      <w:r>
        <w:t xml:space="preserve"> submission and the results were unavailable. Thus, the submission rests on a single study.</w:t>
      </w:r>
    </w:p>
    <w:p w:rsidR="001C4A83" w:rsidRPr="001C4A83" w:rsidRDefault="001C4A83" w:rsidP="001C4A83">
      <w:r w:rsidRPr="001C4A83">
        <w:t xml:space="preserve">The REFLEX study was a randomised, double-blind, placebo-controlled study carried out over two-years and involving 517 patients considered at risk of developing MS due to a recently experienced isolated </w:t>
      </w:r>
      <w:proofErr w:type="spellStart"/>
      <w:r w:rsidRPr="001C4A83">
        <w:t>demyelinating</w:t>
      </w:r>
      <w:proofErr w:type="spellEnd"/>
      <w:r w:rsidRPr="001C4A83">
        <w:t xml:space="preserve"> event (CIS) of the CNS consisting of optic neuritis, </w:t>
      </w:r>
      <w:proofErr w:type="spellStart"/>
      <w:r w:rsidRPr="001C4A83">
        <w:t>myelopathy</w:t>
      </w:r>
      <w:proofErr w:type="spellEnd"/>
      <w:r w:rsidRPr="001C4A83">
        <w:t xml:space="preserve"> or a brainstem syndrome.</w:t>
      </w:r>
    </w:p>
    <w:p w:rsidR="001C4A83" w:rsidRPr="001C4A83" w:rsidRDefault="001C4A83" w:rsidP="001C4A83">
      <w:r w:rsidRPr="001C4A83">
        <w:t xml:space="preserve">Participants were randomised to receive </w:t>
      </w:r>
      <w:proofErr w:type="spellStart"/>
      <w:r w:rsidRPr="001C4A83">
        <w:t>Rebif</w:t>
      </w:r>
      <w:proofErr w:type="spellEnd"/>
      <w:r w:rsidRPr="001C4A83">
        <w:t xml:space="preserve"> 44 µg three times weekly (</w:t>
      </w:r>
      <w:proofErr w:type="spellStart"/>
      <w:r w:rsidRPr="001C4A83">
        <w:t>tiw</w:t>
      </w:r>
      <w:proofErr w:type="spellEnd"/>
      <w:r w:rsidRPr="001C4A83">
        <w:t xml:space="preserve">), </w:t>
      </w:r>
      <w:proofErr w:type="spellStart"/>
      <w:r w:rsidRPr="001C4A83">
        <w:t>Rebif</w:t>
      </w:r>
      <w:proofErr w:type="spellEnd"/>
      <w:r w:rsidRPr="001C4A83">
        <w:t xml:space="preserve"> 44 µg once weekly (</w:t>
      </w:r>
      <w:proofErr w:type="spellStart"/>
      <w:r w:rsidRPr="001C4A83">
        <w:t>ow</w:t>
      </w:r>
      <w:proofErr w:type="spellEnd"/>
      <w:r w:rsidRPr="001C4A83">
        <w:t xml:space="preserve">) or placebo as a subcutaneous injection for a period of two years (or up to the time when they experienced a second clinical attack leading to a diagnosis of CDMS or experienced progression defined by a sustained increase of at least 1·5 points in the </w:t>
      </w:r>
      <w:r w:rsidR="00557662" w:rsidRPr="00557662">
        <w:t xml:space="preserve">Expanded Disability Status Scale </w:t>
      </w:r>
      <w:r w:rsidR="00557662">
        <w:t>(</w:t>
      </w:r>
      <w:r w:rsidRPr="001C4A83">
        <w:t>EDSS</w:t>
      </w:r>
      <w:r w:rsidR="00557662">
        <w:t>)</w:t>
      </w:r>
      <w:r w:rsidRPr="001C4A83">
        <w:t xml:space="preserve">, at which time they qualified for open-label </w:t>
      </w:r>
      <w:proofErr w:type="spellStart"/>
      <w:r w:rsidRPr="001C4A83">
        <w:t>Rebif</w:t>
      </w:r>
      <w:proofErr w:type="spellEnd"/>
      <w:r w:rsidRPr="001C4A83">
        <w:t xml:space="preserve"> treatment).</w:t>
      </w:r>
    </w:p>
    <w:p w:rsidR="001C4A83" w:rsidRPr="001C4A83" w:rsidRDefault="001C4A83" w:rsidP="001C4A83">
      <w:r w:rsidRPr="001C4A83">
        <w:t xml:space="preserve">The primary endpoint was the time to progression to MS, as defined by the McDonald 2005 criteria. In practice this meant the development of a second clinical episode, a new </w:t>
      </w:r>
      <w:r w:rsidR="00557662">
        <w:t>m</w:t>
      </w:r>
      <w:r w:rsidR="00557662" w:rsidRPr="00557662">
        <w:t xml:space="preserve">agnetic </w:t>
      </w:r>
      <w:r w:rsidR="00557662">
        <w:t>r</w:t>
      </w:r>
      <w:r w:rsidR="00557662" w:rsidRPr="00557662">
        <w:t xml:space="preserve">esonance </w:t>
      </w:r>
      <w:r w:rsidR="00557662">
        <w:t>i</w:t>
      </w:r>
      <w:r w:rsidR="00557662" w:rsidRPr="00557662">
        <w:t xml:space="preserve">maging </w:t>
      </w:r>
      <w:r w:rsidR="00557662">
        <w:t>(</w:t>
      </w:r>
      <w:r w:rsidRPr="001C4A83">
        <w:t>MRI</w:t>
      </w:r>
      <w:r w:rsidR="00557662">
        <w:t>)</w:t>
      </w:r>
      <w:r w:rsidRPr="001C4A83">
        <w:t xml:space="preserve"> lesion, or progression of disability.</w:t>
      </w:r>
    </w:p>
    <w:p w:rsidR="00C15D20" w:rsidRDefault="00C15D20" w:rsidP="000C5752">
      <w:r>
        <w:t>T</w:t>
      </w:r>
      <w:r w:rsidRPr="00C15D20">
        <w:t xml:space="preserve">he study recruited adult patients of either sex with a single, first clinical event suggestive of MS within </w:t>
      </w:r>
      <w:r w:rsidR="00772AC5">
        <w:t>60 days prior to randomisation.</w:t>
      </w:r>
    </w:p>
    <w:p w:rsidR="00650E93" w:rsidRDefault="00557662" w:rsidP="000C5752">
      <w:r>
        <w:t>T</w:t>
      </w:r>
      <w:r w:rsidR="00B23DCB">
        <w:t>he e</w:t>
      </w:r>
      <w:r w:rsidR="001C4A83" w:rsidRPr="001C4A83">
        <w:t>xclusion of patients with &lt;2 clinically silent MRI lesions and exclusions based on the McDonald 2005 criteria for diagnosing MS</w:t>
      </w:r>
      <w:r>
        <w:t xml:space="preserve"> were particularly noted</w:t>
      </w:r>
      <w:r w:rsidR="00B23DCB">
        <w:t>:</w:t>
      </w:r>
    </w:p>
    <w:p w:rsidR="00B23DCB" w:rsidRPr="00B23DCB" w:rsidRDefault="00B23DCB" w:rsidP="00B23DCB">
      <w:pPr>
        <w:tabs>
          <w:tab w:val="num" w:pos="1418"/>
        </w:tabs>
        <w:rPr>
          <w:b/>
          <w:bCs/>
          <w:i/>
        </w:rPr>
      </w:pPr>
      <w:bookmarkStart w:id="55" w:name="_Toc348083942"/>
      <w:bookmarkStart w:id="56" w:name="_Ref324496516"/>
      <w:r w:rsidRPr="00B23DCB">
        <w:rPr>
          <w:b/>
          <w:bCs/>
          <w:i/>
        </w:rPr>
        <w:t>Requirement for ≥2 silent MRI lesions</w:t>
      </w:r>
      <w:bookmarkEnd w:id="55"/>
    </w:p>
    <w:p w:rsidR="00B23DCB" w:rsidRPr="00B23DCB" w:rsidRDefault="00B23DCB" w:rsidP="00B23DCB">
      <w:r w:rsidRPr="00B23DCB">
        <w:t xml:space="preserve">The population of CIS subjects recruited to the pivotal study all had at least 2 cerebral MRI lesions. Subjects with only one MRI lesion or no lesion would be expected to have a lower risk of developing MS. It is unknown if </w:t>
      </w:r>
      <w:proofErr w:type="spellStart"/>
      <w:r w:rsidRPr="00B23DCB">
        <w:t>Rebif</w:t>
      </w:r>
      <w:proofErr w:type="spellEnd"/>
      <w:r w:rsidRPr="00B23DCB">
        <w:t xml:space="preserve"> is useful in subjects with ≤ 1 lesion, and the PI </w:t>
      </w:r>
      <w:r w:rsidR="00557662">
        <w:t xml:space="preserve">[Indication] </w:t>
      </w:r>
      <w:r w:rsidRPr="00B23DCB">
        <w:t>should reflect this.</w:t>
      </w:r>
    </w:p>
    <w:p w:rsidR="00B23DCB" w:rsidRPr="00B23DCB" w:rsidRDefault="00B23DCB" w:rsidP="00B23DCB">
      <w:pPr>
        <w:tabs>
          <w:tab w:val="num" w:pos="1418"/>
        </w:tabs>
        <w:rPr>
          <w:b/>
          <w:bCs/>
          <w:i/>
        </w:rPr>
      </w:pPr>
      <w:bookmarkStart w:id="57" w:name="_Ref329769050"/>
      <w:bookmarkStart w:id="58" w:name="_Ref329769054"/>
      <w:bookmarkStart w:id="59" w:name="_Toc348083943"/>
      <w:r w:rsidRPr="00B23DCB">
        <w:rPr>
          <w:b/>
          <w:bCs/>
          <w:i/>
        </w:rPr>
        <w:t>Changes in McDonald Criteria from 2005 to 2010</w:t>
      </w:r>
      <w:bookmarkEnd w:id="56"/>
      <w:bookmarkEnd w:id="57"/>
      <w:bookmarkEnd w:id="58"/>
      <w:bookmarkEnd w:id="59"/>
    </w:p>
    <w:p w:rsidR="00C15D20" w:rsidRDefault="00C15D20" w:rsidP="00B23DCB">
      <w:r>
        <w:t>Subjects with a d</w:t>
      </w:r>
      <w:r w:rsidRPr="00C15D20">
        <w:t xml:space="preserve">iagnosis of </w:t>
      </w:r>
      <w:r>
        <w:t xml:space="preserve">MS according to </w:t>
      </w:r>
      <w:r w:rsidRPr="00C15D20">
        <w:t xml:space="preserve">McDonald </w:t>
      </w:r>
      <w:r>
        <w:t xml:space="preserve">2005 </w:t>
      </w:r>
      <w:r w:rsidRPr="00C15D20">
        <w:t xml:space="preserve">criteria </w:t>
      </w:r>
      <w:r>
        <w:t>were excluded from the study.</w:t>
      </w:r>
    </w:p>
    <w:p w:rsidR="00B23DCB" w:rsidRPr="00B23DCB" w:rsidRDefault="00B23DCB" w:rsidP="00B23DCB">
      <w:r w:rsidRPr="00B23DCB">
        <w:t xml:space="preserve">The McDonald criteria for diagnosing MS were first published in 2001; they have since been revised in 2005 and 2010 (McDonald </w:t>
      </w:r>
      <w:r w:rsidR="00FA0DE5" w:rsidRPr="00FA0DE5">
        <w:rPr>
          <w:i/>
          <w:iCs/>
        </w:rPr>
        <w:t>et al.</w:t>
      </w:r>
      <w:r w:rsidR="00FA0DE5">
        <w:t xml:space="preserve">, </w:t>
      </w:r>
      <w:r w:rsidRPr="00B23DCB">
        <w:t>2001</w:t>
      </w:r>
      <w:r w:rsidR="00EA6B68">
        <w:rPr>
          <w:rStyle w:val="FootnoteReference"/>
        </w:rPr>
        <w:footnoteReference w:id="2"/>
      </w:r>
      <w:r w:rsidRPr="00B23DCB">
        <w:t xml:space="preserve">, </w:t>
      </w:r>
      <w:proofErr w:type="spellStart"/>
      <w:r w:rsidRPr="00B23DCB">
        <w:t>Polman</w:t>
      </w:r>
      <w:proofErr w:type="spellEnd"/>
      <w:r w:rsidRPr="00B23DCB">
        <w:t xml:space="preserve"> </w:t>
      </w:r>
      <w:r w:rsidR="00FA0DE5" w:rsidRPr="00FA0DE5">
        <w:rPr>
          <w:i/>
          <w:iCs/>
        </w:rPr>
        <w:t>et al.</w:t>
      </w:r>
      <w:r w:rsidR="00FA0DE5" w:rsidRPr="00FA0DE5">
        <w:t xml:space="preserve">, </w:t>
      </w:r>
      <w:r w:rsidRPr="00B23DCB">
        <w:t>2005</w:t>
      </w:r>
      <w:r w:rsidR="00EA6B68">
        <w:rPr>
          <w:rStyle w:val="FootnoteReference"/>
        </w:rPr>
        <w:footnoteReference w:id="3"/>
      </w:r>
      <w:r w:rsidRPr="00B23DCB">
        <w:t xml:space="preserve">, </w:t>
      </w:r>
      <w:proofErr w:type="spellStart"/>
      <w:r w:rsidRPr="00B23DCB">
        <w:t>Polman</w:t>
      </w:r>
      <w:proofErr w:type="spellEnd"/>
      <w:r w:rsidRPr="00B23DCB">
        <w:t xml:space="preserve"> </w:t>
      </w:r>
      <w:r w:rsidR="00FA0DE5" w:rsidRPr="00FA0DE5">
        <w:rPr>
          <w:i/>
          <w:iCs/>
        </w:rPr>
        <w:t>et al.</w:t>
      </w:r>
      <w:r w:rsidR="00FA0DE5" w:rsidRPr="00FA0DE5">
        <w:t xml:space="preserve">, </w:t>
      </w:r>
      <w:r w:rsidRPr="00B23DCB">
        <w:t>2011</w:t>
      </w:r>
      <w:r w:rsidR="00EA6B68">
        <w:rPr>
          <w:rStyle w:val="FootnoteReference"/>
        </w:rPr>
        <w:footnoteReference w:id="4"/>
      </w:r>
      <w:r w:rsidRPr="00B23DCB">
        <w:t>). In the sponsor’s submission and in th</w:t>
      </w:r>
      <w:r>
        <w:t>e clinical evaluation report</w:t>
      </w:r>
      <w:r w:rsidRPr="00B23DCB">
        <w:t>, the term “McDonald MS” refers to the 2005 criteria unless the 2010 criteria are explicitly mentioned.</w:t>
      </w:r>
    </w:p>
    <w:p w:rsidR="00B23DCB" w:rsidRPr="00B23DCB" w:rsidRDefault="00B23DCB" w:rsidP="00B23DCB">
      <w:r w:rsidRPr="00B23DCB">
        <w:t>Some patients who would have been considered CIS patients according to old clinical criteria were (appropriately) excluded from the REFLEX study on the basis that they could already be diagnosed with MS by the newer MRI-based criteria. In particular, those with MS according to the McDonald 2005 criteria were explicitly excluded</w:t>
      </w:r>
      <w:r w:rsidR="00557662">
        <w:t xml:space="preserve"> as</w:t>
      </w:r>
      <w:r w:rsidRPr="00B23DCB">
        <w:t xml:space="preserve"> these patients had </w:t>
      </w:r>
      <w:r w:rsidRPr="00B23DCB">
        <w:lastRenderedPageBreak/>
        <w:t>already reached the primary endpoint</w:t>
      </w:r>
      <w:r w:rsidR="00644120">
        <w:t xml:space="preserve"> (</w:t>
      </w:r>
      <w:r w:rsidR="00644120" w:rsidRPr="00644120">
        <w:t>time to progression to MS, as defined by the McDonald 2005 criteria</w:t>
      </w:r>
      <w:r w:rsidR="00644120">
        <w:t>)</w:t>
      </w:r>
      <w:r w:rsidRPr="00B23DCB">
        <w:t>.</w:t>
      </w:r>
    </w:p>
    <w:p w:rsidR="00B23DCB" w:rsidRPr="00B23DCB" w:rsidRDefault="00B23DCB" w:rsidP="00B23DCB">
      <w:r w:rsidRPr="00B23DCB">
        <w:t>After the study was already underway, further revisions of the McDonald criteria were agreed upon in 2010 and published in 2011 (</w:t>
      </w:r>
      <w:proofErr w:type="spellStart"/>
      <w:r w:rsidRPr="00B23DCB">
        <w:t>Polman</w:t>
      </w:r>
      <w:proofErr w:type="spellEnd"/>
      <w:r w:rsidRPr="00B23DCB">
        <w:t xml:space="preserve"> </w:t>
      </w:r>
      <w:r w:rsidR="00FA0DE5" w:rsidRPr="00FA0DE5">
        <w:rPr>
          <w:i/>
          <w:iCs/>
        </w:rPr>
        <w:t>et al.</w:t>
      </w:r>
      <w:r w:rsidR="00FA0DE5" w:rsidRPr="00FA0DE5">
        <w:t xml:space="preserve">, </w:t>
      </w:r>
      <w:r w:rsidRPr="00B23DCB">
        <w:t>2011</w:t>
      </w:r>
      <w:r w:rsidR="00812EFD" w:rsidRPr="00812EFD">
        <w:rPr>
          <w:vertAlign w:val="superscript"/>
        </w:rPr>
        <w:t>4</w:t>
      </w:r>
      <w:r w:rsidRPr="00B23DCB">
        <w:t xml:space="preserve">). Both sets of criteria (2005 and 2010) allow the results of MRI scans to be used for demonstrating dissemination in time (DIT) and dissemination in space (DIS), but the 2010 criteria are more inclusive, implying that some subjects in REFLEX are likely to have had MS </w:t>
      </w:r>
      <w:r w:rsidR="00346F0A">
        <w:t xml:space="preserve">(rather than true CIS) </w:t>
      </w:r>
      <w:r w:rsidRPr="00B23DCB">
        <w:t>at baseline by the new criteria.</w:t>
      </w:r>
    </w:p>
    <w:p w:rsidR="00FA0DE5" w:rsidRPr="00FA0DE5" w:rsidRDefault="00E530D7" w:rsidP="00644120">
      <w:r w:rsidRPr="00E530D7">
        <w:t xml:space="preserve">McDonald </w:t>
      </w:r>
      <w:r>
        <w:t xml:space="preserve">2005 and 2010 criteria and the </w:t>
      </w:r>
      <w:r w:rsidR="00FA0DE5" w:rsidRPr="00FA0DE5">
        <w:t xml:space="preserve">key differences </w:t>
      </w:r>
      <w:r w:rsidR="00644120">
        <w:t>between the</w:t>
      </w:r>
      <w:r>
        <w:t>se</w:t>
      </w:r>
      <w:r w:rsidR="00644120">
        <w:t xml:space="preserve"> are </w:t>
      </w:r>
      <w:r>
        <w:t xml:space="preserve">described </w:t>
      </w:r>
      <w:r w:rsidR="00644120">
        <w:t>in the CER (</w:t>
      </w:r>
      <w:r w:rsidR="009C2716">
        <w:t xml:space="preserve">see </w:t>
      </w:r>
      <w:r w:rsidR="00772AC5">
        <w:t xml:space="preserve">Attachment 2 of this </w:t>
      </w:r>
      <w:proofErr w:type="spellStart"/>
      <w:r w:rsidR="00772AC5">
        <w:t>AusPAR</w:t>
      </w:r>
      <w:proofErr w:type="spellEnd"/>
      <w:r w:rsidR="00772AC5">
        <w:t>).</w:t>
      </w:r>
    </w:p>
    <w:p w:rsidR="00B23DCB" w:rsidRPr="00B23DCB" w:rsidRDefault="00B23DCB" w:rsidP="00B23DCB">
      <w:r w:rsidRPr="00B23DCB">
        <w:t xml:space="preserve">The 2010 McDonald criteria were established after reviewing all of the </w:t>
      </w:r>
      <w:r w:rsidR="00557662">
        <w:t>literature on the 2005 criteria</w:t>
      </w:r>
      <w:r w:rsidRPr="00B23DCB">
        <w:t xml:space="preserve"> and discussion with MS experts around the world. They almost certainly represent an improvement over the early criteria. They are even more sensitive in making a diagnosis of MS, without apparent loss of specificity (</w:t>
      </w:r>
      <w:proofErr w:type="spellStart"/>
      <w:r w:rsidRPr="00B23DCB">
        <w:t>Polman</w:t>
      </w:r>
      <w:proofErr w:type="spellEnd"/>
      <w:r w:rsidRPr="00B23DCB">
        <w:t xml:space="preserve"> </w:t>
      </w:r>
      <w:r w:rsidRPr="00FA0DE5">
        <w:rPr>
          <w:i/>
          <w:iCs/>
        </w:rPr>
        <w:t>et al</w:t>
      </w:r>
      <w:r w:rsidR="00FA0DE5">
        <w:t>.</w:t>
      </w:r>
      <w:r w:rsidRPr="00B23DCB">
        <w:t>, 2011). Because of this increased sensitivity, however, some patients accepted into the REFLEX study according to the 2005 criteria would have been rejected by the 2010 criteria on the basis that they could already be diagnosed with MS at baseline. In fact, the sponsor has estimated that about 38% of the study cohort already had MS by the 2010 criteria at the time of randomisation. This does n</w:t>
      </w:r>
      <w:r w:rsidR="00644120">
        <w:t>ot reflect a fault in the study</w:t>
      </w:r>
      <w:r w:rsidRPr="00B23DCB">
        <w:t xml:space="preserve"> because the best available diagnostic criteria were used at the time, but it does mean that the target population studied in REFLEX no longer closely reflects the population to whom the new indication would apply</w:t>
      </w:r>
      <w:r w:rsidR="00644120">
        <w:t xml:space="preserve"> (that is, patients with CIS)</w:t>
      </w:r>
      <w:r w:rsidRPr="00B23DCB">
        <w:t xml:space="preserve"> because clinicians will generally work from the new criteria.</w:t>
      </w:r>
      <w:r w:rsidR="00B93FDB">
        <w:t xml:space="preserve"> As stated in the </w:t>
      </w:r>
      <w:r w:rsidR="00B93FDB" w:rsidRPr="00812EFD">
        <w:rPr>
          <w:i/>
          <w:iCs/>
        </w:rPr>
        <w:t>Introduction</w:t>
      </w:r>
      <w:r w:rsidR="004B35E4">
        <w:t>, above</w:t>
      </w:r>
      <w:r w:rsidR="00B93FDB">
        <w:t xml:space="preserve">, </w:t>
      </w:r>
      <w:proofErr w:type="spellStart"/>
      <w:r w:rsidR="00B93FDB">
        <w:t>Rebif</w:t>
      </w:r>
      <w:proofErr w:type="spellEnd"/>
      <w:r w:rsidR="00B93FDB">
        <w:t xml:space="preserve"> is already approved for the treatment of </w:t>
      </w:r>
      <w:r w:rsidR="00812EFD">
        <w:t xml:space="preserve">patients with </w:t>
      </w:r>
      <w:r w:rsidR="00B93FDB">
        <w:t>MS.</w:t>
      </w:r>
    </w:p>
    <w:p w:rsidR="000C5752" w:rsidRPr="003C0A48" w:rsidRDefault="000C5752" w:rsidP="000C5752">
      <w:pPr>
        <w:pStyle w:val="Heading4"/>
      </w:pPr>
      <w:bookmarkStart w:id="60" w:name="_Ref271126605"/>
      <w:bookmarkStart w:id="61" w:name="_Toc272414657"/>
      <w:bookmarkStart w:id="62" w:name="_Toc290846282"/>
      <w:bookmarkStart w:id="63" w:name="_Toc348083964"/>
      <w:r w:rsidRPr="003C0A48">
        <w:t>Evaluator’s conclusions on clinical efficacy for</w:t>
      </w:r>
      <w:r>
        <w:t xml:space="preserve"> </w:t>
      </w:r>
      <w:proofErr w:type="spellStart"/>
      <w:r>
        <w:t>Rebif</w:t>
      </w:r>
      <w:proofErr w:type="spellEnd"/>
      <w:r>
        <w:t xml:space="preserve"> in CIS</w:t>
      </w:r>
      <w:bookmarkEnd w:id="60"/>
      <w:bookmarkEnd w:id="61"/>
      <w:bookmarkEnd w:id="62"/>
      <w:bookmarkEnd w:id="63"/>
    </w:p>
    <w:p w:rsidR="000C5752" w:rsidRDefault="000C5752" w:rsidP="000C5752">
      <w:r>
        <w:t>The submission rests on a single pivotal efficacy study. In the cohort studied, which included patients with a clinically isolate</w:t>
      </w:r>
      <w:r w:rsidR="00EE1FA5">
        <w:t xml:space="preserve">d </w:t>
      </w:r>
      <w:proofErr w:type="spellStart"/>
      <w:r w:rsidR="00EE1FA5">
        <w:t>demyelinating</w:t>
      </w:r>
      <w:proofErr w:type="spellEnd"/>
      <w:r w:rsidR="00EE1FA5">
        <w:t xml:space="preserve"> syndrome and a</w:t>
      </w:r>
      <w:r w:rsidR="00FA0DE5">
        <w:t>n</w:t>
      </w:r>
      <w:r w:rsidR="00EE1FA5" w:rsidRPr="00EE1FA5">
        <w:t xml:space="preserve"> </w:t>
      </w:r>
      <w:r>
        <w:t>MRI</w:t>
      </w:r>
      <w:r w:rsidR="00EE1FA5">
        <w:t xml:space="preserve"> scan</w:t>
      </w:r>
      <w:r>
        <w:t xml:space="preserve"> suggestive of MS, </w:t>
      </w:r>
      <w:proofErr w:type="spellStart"/>
      <w:r>
        <w:t>Rebif</w:t>
      </w:r>
      <w:proofErr w:type="spellEnd"/>
      <w:r>
        <w:t xml:space="preserve"> reduced the development of MS, including </w:t>
      </w:r>
      <w:proofErr w:type="spellStart"/>
      <w:r>
        <w:t>radiologically</w:t>
      </w:r>
      <w:proofErr w:type="spellEnd"/>
      <w:r w:rsidR="00DC6597">
        <w:t xml:space="preserve"> </w:t>
      </w:r>
      <w:r>
        <w:t>defined (McDonald</w:t>
      </w:r>
      <w:r w:rsidR="005E624B">
        <w:t>)</w:t>
      </w:r>
      <w:r>
        <w:t xml:space="preserve"> MS, which was the primary endpoint, and clinically</w:t>
      </w:r>
      <w:r w:rsidR="00DC6597">
        <w:t xml:space="preserve"> </w:t>
      </w:r>
      <w:r>
        <w:t>defined MS (CDMS), which was the main secondary endpoint. There were also clear benefits on disease activity as measured with MRI. All of these treatment effects were statistically significant.</w:t>
      </w:r>
    </w:p>
    <w:p w:rsidR="000C5752" w:rsidRDefault="000C5752" w:rsidP="000C5752">
      <w:r>
        <w:t xml:space="preserve">Over the course of the study, the total number of subjects diagnosed with McDonald MS was 106/171 (62.0%), 129/175 (73.7%), and 144/171 (84.2%) in the </w:t>
      </w:r>
      <w:proofErr w:type="spellStart"/>
      <w:r>
        <w:t>Rebif</w:t>
      </w:r>
      <w:proofErr w:type="spellEnd"/>
      <w:r>
        <w:t xml:space="preserve"> 44 </w:t>
      </w:r>
      <w:r w:rsidR="00A51BE8">
        <w:t>µ</w:t>
      </w:r>
      <w:r>
        <w:t xml:space="preserve">g </w:t>
      </w:r>
      <w:proofErr w:type="spellStart"/>
      <w:r>
        <w:t>tiw</w:t>
      </w:r>
      <w:proofErr w:type="spellEnd"/>
      <w:r>
        <w:t>, 44</w:t>
      </w:r>
      <w:r w:rsidR="00FA0DE5">
        <w:t> </w:t>
      </w:r>
      <w:r w:rsidR="00A51BE8">
        <w:t>µ</w:t>
      </w:r>
      <w:r>
        <w:t xml:space="preserve">g </w:t>
      </w:r>
      <w:proofErr w:type="spellStart"/>
      <w:r>
        <w:t>ow</w:t>
      </w:r>
      <w:proofErr w:type="spellEnd"/>
      <w:r>
        <w:t xml:space="preserve">, and placebo groups, respectively. </w:t>
      </w:r>
      <w:r w:rsidRPr="0035395A">
        <w:t>Using the stratified, adjusted model, the two</w:t>
      </w:r>
      <w:r w:rsidR="00E32617">
        <w:t xml:space="preserve"> </w:t>
      </w:r>
      <w:r w:rsidRPr="0035395A">
        <w:t>year probability of conversion was similar to the raw conversion rates (</w:t>
      </w:r>
      <w:r>
        <w:t xml:space="preserve">62.5% and </w:t>
      </w:r>
      <w:r w:rsidRPr="0035395A">
        <w:t>85.8%</w:t>
      </w:r>
      <w:r>
        <w:t xml:space="preserve"> </w:t>
      </w:r>
      <w:r w:rsidRPr="0035395A">
        <w:t>for the proposed dose and placebo, respectively, which gives an absolute risk reduction of 23.3% and a relative risk reduction of 27.1%).</w:t>
      </w:r>
    </w:p>
    <w:p w:rsidR="000C5752" w:rsidRDefault="000C5752" w:rsidP="000C5752">
      <w:r>
        <w:t>The model</w:t>
      </w:r>
      <w:r w:rsidR="00E32617">
        <w:t xml:space="preserve"> </w:t>
      </w:r>
      <w:r>
        <w:t>adjusted conversion rates to CDMS over two years were 21%, 22% and 38% in the 44</w:t>
      </w:r>
      <w:r w:rsidR="00A51BE8">
        <w:t xml:space="preserve"> µ</w:t>
      </w:r>
      <w:r>
        <w:t xml:space="preserve">g </w:t>
      </w:r>
      <w:proofErr w:type="spellStart"/>
      <w:r>
        <w:t>tiw</w:t>
      </w:r>
      <w:proofErr w:type="spellEnd"/>
      <w:r>
        <w:t xml:space="preserve"> group, 44</w:t>
      </w:r>
      <w:r w:rsidR="00A51BE8">
        <w:t xml:space="preserve"> µ</w:t>
      </w:r>
      <w:r>
        <w:t xml:space="preserve">g </w:t>
      </w:r>
      <w:proofErr w:type="spellStart"/>
      <w:r>
        <w:t>ow</w:t>
      </w:r>
      <w:proofErr w:type="spellEnd"/>
      <w:r>
        <w:t xml:space="preserve"> group and placebo group, respectively, giving an absolute risk reduction of 17% for the proposed </w:t>
      </w:r>
      <w:proofErr w:type="spellStart"/>
      <w:r>
        <w:t>tiw</w:t>
      </w:r>
      <w:proofErr w:type="spellEnd"/>
      <w:r>
        <w:t xml:space="preserve"> dose, and a relative risk reduction of 45%.</w:t>
      </w:r>
    </w:p>
    <w:p w:rsidR="000C5752" w:rsidRDefault="000C5752" w:rsidP="000C5752">
      <w:r>
        <w:t xml:space="preserve">The mean number of active lesions per subject per MRI scan was reduced from 2.58 in the placebo group to 0.95 in </w:t>
      </w:r>
      <w:proofErr w:type="gramStart"/>
      <w:r>
        <w:t xml:space="preserve">the </w:t>
      </w:r>
      <w:proofErr w:type="spellStart"/>
      <w:r>
        <w:t>ow</w:t>
      </w:r>
      <w:proofErr w:type="spellEnd"/>
      <w:proofErr w:type="gramEnd"/>
      <w:r>
        <w:t xml:space="preserve"> group and 0.50 in the </w:t>
      </w:r>
      <w:proofErr w:type="spellStart"/>
      <w:r>
        <w:t>tiw</w:t>
      </w:r>
      <w:proofErr w:type="spellEnd"/>
      <w:r>
        <w:t xml:space="preserve"> group.</w:t>
      </w:r>
    </w:p>
    <w:p w:rsidR="000C5752" w:rsidRDefault="000C5752" w:rsidP="000C5752">
      <w:r>
        <w:t xml:space="preserve">In conclusion, </w:t>
      </w:r>
      <w:proofErr w:type="spellStart"/>
      <w:r>
        <w:t>Rebif</w:t>
      </w:r>
      <w:proofErr w:type="spellEnd"/>
      <w:r>
        <w:t xml:space="preserve"> shows worthwhile efficacy in this cohort of patients. </w:t>
      </w:r>
      <w:r w:rsidR="00FC02E1" w:rsidRPr="009C49D0">
        <w:t xml:space="preserve">The only caveat is that the cohort studied included many patients who would be diagnosed with MS </w:t>
      </w:r>
      <w:r w:rsidR="00D72C3F">
        <w:t xml:space="preserve">(rather than </w:t>
      </w:r>
      <w:r w:rsidR="00B35D49">
        <w:t xml:space="preserve">true </w:t>
      </w:r>
      <w:r w:rsidR="00D72C3F">
        <w:t xml:space="preserve">CIS) </w:t>
      </w:r>
      <w:r w:rsidR="00FC02E1" w:rsidRPr="009C49D0">
        <w:t>by more recent criteria and it did not include any subjects with &lt;2 cerebral MRI lesions.</w:t>
      </w:r>
      <w:r w:rsidRPr="009C49D0">
        <w:t xml:space="preserve"> The</w:t>
      </w:r>
      <w:r>
        <w:t xml:space="preserve"> efficacy of </w:t>
      </w:r>
      <w:proofErr w:type="spellStart"/>
      <w:r>
        <w:t>Rebif</w:t>
      </w:r>
      <w:proofErr w:type="spellEnd"/>
      <w:r>
        <w:t xml:space="preserve"> in the setting of milder CIS cases is therefore unclear.</w:t>
      </w:r>
    </w:p>
    <w:p w:rsidR="008E7846" w:rsidRPr="002E238E" w:rsidRDefault="008E7846" w:rsidP="008E7846">
      <w:pPr>
        <w:pStyle w:val="Heading3"/>
      </w:pPr>
      <w:bookmarkStart w:id="64" w:name="_Toc163441378"/>
      <w:bookmarkStart w:id="65" w:name="_Toc196046495"/>
      <w:bookmarkStart w:id="66" w:name="_Toc247691522"/>
      <w:bookmarkStart w:id="67" w:name="_Toc314842505"/>
      <w:bookmarkStart w:id="68" w:name="_Toc373929689"/>
      <w:bookmarkEnd w:id="51"/>
      <w:bookmarkEnd w:id="52"/>
      <w:bookmarkEnd w:id="53"/>
      <w:bookmarkEnd w:id="54"/>
      <w:r w:rsidRPr="002E238E">
        <w:lastRenderedPageBreak/>
        <w:t>Safety</w:t>
      </w:r>
      <w:bookmarkEnd w:id="64"/>
      <w:bookmarkEnd w:id="65"/>
      <w:bookmarkEnd w:id="66"/>
      <w:bookmarkEnd w:id="67"/>
      <w:bookmarkEnd w:id="68"/>
    </w:p>
    <w:p w:rsidR="000C5752" w:rsidRPr="000C5752" w:rsidRDefault="000C5752" w:rsidP="000C5752">
      <w:bookmarkStart w:id="69" w:name="_Ref268776745"/>
      <w:r w:rsidRPr="000C5752">
        <w:t>The only new study providing safety data was the pivotal efficacy stud</w:t>
      </w:r>
      <w:bookmarkEnd w:id="69"/>
      <w:r w:rsidRPr="000C5752">
        <w:t>y, ‘REFLEX’, in which the safety data were collected</w:t>
      </w:r>
      <w:r w:rsidR="00346F0A" w:rsidRPr="00346F0A">
        <w:t xml:space="preserve"> </w:t>
      </w:r>
      <w:r w:rsidR="00346F0A">
        <w:t>as follows</w:t>
      </w:r>
      <w:r w:rsidRPr="000C5752">
        <w:t>:</w:t>
      </w:r>
    </w:p>
    <w:p w:rsidR="000C5752" w:rsidRPr="000C5752" w:rsidRDefault="000C5752" w:rsidP="000C5752">
      <w:pPr>
        <w:pStyle w:val="ListBullet"/>
      </w:pPr>
      <w:r w:rsidRPr="000C5752">
        <w:t>General adverse events (AEs)</w:t>
      </w:r>
      <w:r w:rsidR="00B35D49">
        <w:t xml:space="preserve"> were</w:t>
      </w:r>
      <w:r w:rsidRPr="000C5752">
        <w:t xml:space="preserve"> assessed by blinded treating clinicians during regular scheduled visits, unscheduled visits and hospital presentations.</w:t>
      </w:r>
    </w:p>
    <w:p w:rsidR="000C5752" w:rsidRPr="000C5752" w:rsidRDefault="000C5752" w:rsidP="000C5752">
      <w:pPr>
        <w:pStyle w:val="ListBullet"/>
      </w:pPr>
      <w:r w:rsidRPr="000C5752">
        <w:t xml:space="preserve">AEs of particular interest, including those expected from the known tolerability profile of </w:t>
      </w:r>
      <w:proofErr w:type="spellStart"/>
      <w:r w:rsidRPr="000C5752">
        <w:t>Rebif</w:t>
      </w:r>
      <w:proofErr w:type="spellEnd"/>
      <w:r w:rsidRPr="000C5752">
        <w:t xml:space="preserve">, were drawn from the main AE database. </w:t>
      </w:r>
    </w:p>
    <w:p w:rsidR="000C5752" w:rsidRPr="000C5752" w:rsidRDefault="000C5752" w:rsidP="000C5752">
      <w:pPr>
        <w:pStyle w:val="ListBullet"/>
      </w:pPr>
      <w:r w:rsidRPr="000C5752">
        <w:t xml:space="preserve">Laboratory tests, including routine haematological and biochemical monitoring (liver function tests and electrolytes), were performed at each visit. </w:t>
      </w:r>
    </w:p>
    <w:p w:rsidR="000C5752" w:rsidRPr="000C5752" w:rsidRDefault="000C5752" w:rsidP="000C5752">
      <w:pPr>
        <w:pStyle w:val="ListBullet"/>
      </w:pPr>
      <w:r w:rsidRPr="000C5752">
        <w:t>Serum samples for neutralising antibody surveillance (antibodies directed against beta</w:t>
      </w:r>
      <w:r w:rsidR="00E41DA6">
        <w:t xml:space="preserve"> </w:t>
      </w:r>
      <w:r w:rsidRPr="000C5752">
        <w:t>interferon itself) were collected at baseline and at six</w:t>
      </w:r>
      <w:r w:rsidR="00E41DA6">
        <w:t xml:space="preserve"> </w:t>
      </w:r>
      <w:r w:rsidRPr="000C5752">
        <w:t>monthly intervals; these were processed using standard methodology that distinguished between antibodies (Abs) that merely showed binding to beta interferon (</w:t>
      </w:r>
      <w:r w:rsidR="008C5A94">
        <w:t>B</w:t>
      </w:r>
      <w:r w:rsidRPr="000C5752">
        <w:t xml:space="preserve">inding Abs, </w:t>
      </w:r>
      <w:proofErr w:type="spellStart"/>
      <w:r w:rsidRPr="000C5752">
        <w:t>BAbs</w:t>
      </w:r>
      <w:proofErr w:type="spellEnd"/>
      <w:r w:rsidRPr="000C5752">
        <w:t xml:space="preserve">) and antibodies capable of neutralising the usual </w:t>
      </w:r>
      <w:r w:rsidRPr="00542ACF">
        <w:rPr>
          <w:i/>
          <w:iCs/>
        </w:rPr>
        <w:t>in vitro</w:t>
      </w:r>
      <w:r w:rsidRPr="000C5752">
        <w:t xml:space="preserve"> biological effects of beta interferon (</w:t>
      </w:r>
      <w:r w:rsidR="008C5A94">
        <w:t>N</w:t>
      </w:r>
      <w:r w:rsidRPr="000C5752">
        <w:t xml:space="preserve">eutralising Abs, </w:t>
      </w:r>
      <w:proofErr w:type="spellStart"/>
      <w:r w:rsidRPr="000C5752">
        <w:t>NAbs</w:t>
      </w:r>
      <w:proofErr w:type="spellEnd"/>
      <w:r w:rsidRPr="000C5752">
        <w:t>).</w:t>
      </w:r>
    </w:p>
    <w:p w:rsidR="00542ACF" w:rsidRDefault="00542ACF" w:rsidP="00542ACF">
      <w:pPr>
        <w:pStyle w:val="Heading4"/>
      </w:pPr>
      <w:bookmarkStart w:id="70" w:name="_Toc348083985"/>
      <w:bookmarkStart w:id="71" w:name="_Toc290846317"/>
      <w:bookmarkStart w:id="72" w:name="_Toc272414679"/>
      <w:bookmarkStart w:id="73" w:name="_Ref272333048"/>
      <w:bookmarkStart w:id="74" w:name="_Toc241374326"/>
      <w:bookmarkStart w:id="75" w:name="_Toc241374328"/>
      <w:bookmarkStart w:id="76" w:name="_Toc272414691"/>
      <w:bookmarkStart w:id="77" w:name="_Toc290846329"/>
      <w:bookmarkStart w:id="78" w:name="_Toc348083990"/>
      <w:r>
        <w:t>Post-marketing experience</w:t>
      </w:r>
      <w:bookmarkEnd w:id="70"/>
      <w:bookmarkEnd w:id="71"/>
      <w:bookmarkEnd w:id="72"/>
      <w:bookmarkEnd w:id="73"/>
      <w:bookmarkEnd w:id="74"/>
    </w:p>
    <w:p w:rsidR="00542ACF" w:rsidRDefault="00542ACF" w:rsidP="00542ACF">
      <w:proofErr w:type="spellStart"/>
      <w:r>
        <w:t>Rebif</w:t>
      </w:r>
      <w:proofErr w:type="spellEnd"/>
      <w:r>
        <w:t xml:space="preserve"> has been used as a disease-modifying agent in MS for sev</w:t>
      </w:r>
      <w:r w:rsidR="00D72C3F">
        <w:t>eral years throughout the world</w:t>
      </w:r>
      <w:r>
        <w:t xml:space="preserve"> sinc</w:t>
      </w:r>
      <w:r w:rsidR="00D72C3F">
        <w:t>e it was first launched in 1998</w:t>
      </w:r>
      <w:r>
        <w:t xml:space="preserve"> and its safety profile is therefore well established. Its use is associated with se</w:t>
      </w:r>
      <w:r w:rsidR="00D72C3F">
        <w:t>veral tolerability issues</w:t>
      </w:r>
      <w:r>
        <w:t xml:space="preserve"> but no major safety concerns.</w:t>
      </w:r>
    </w:p>
    <w:p w:rsidR="00542ACF" w:rsidRDefault="00542ACF" w:rsidP="00542ACF">
      <w:r>
        <w:t>With regard to the post-marketing data, the sponsor writes:</w:t>
      </w:r>
    </w:p>
    <w:p w:rsidR="00542ACF" w:rsidRDefault="00542ACF" w:rsidP="00542ACF">
      <w:pPr>
        <w:ind w:left="720"/>
        <w:rPr>
          <w:i/>
        </w:rPr>
      </w:pPr>
      <w:r>
        <w:rPr>
          <w:i/>
        </w:rPr>
        <w:t xml:space="preserve">“Extensive post-marketing safety data is available for </w:t>
      </w:r>
      <w:proofErr w:type="spellStart"/>
      <w:r>
        <w:rPr>
          <w:i/>
        </w:rPr>
        <w:t>Rebif</w:t>
      </w:r>
      <w:proofErr w:type="spellEnd"/>
      <w:r>
        <w:rPr>
          <w:i/>
        </w:rPr>
        <w:t>/RNF</w:t>
      </w:r>
      <w:r>
        <w:rPr>
          <w:rStyle w:val="FootnoteReference"/>
          <w:i/>
        </w:rPr>
        <w:footnoteReference w:id="5"/>
      </w:r>
      <w:r>
        <w:rPr>
          <w:i/>
        </w:rPr>
        <w:t xml:space="preserve">, regardless of its formulation, with a cumulative patient exposure in the post-marketing setting, since its first launch in 1998 up to end of October 2010, estimated to 839,084 patient-years. RNF was first launched in September 2007, and has now replaced the old formulation of </w:t>
      </w:r>
      <w:proofErr w:type="spellStart"/>
      <w:r>
        <w:rPr>
          <w:i/>
        </w:rPr>
        <w:t>Rebif</w:t>
      </w:r>
      <w:proofErr w:type="spellEnd"/>
      <w:r>
        <w:rPr>
          <w:i/>
        </w:rPr>
        <w:t xml:space="preserve"> in more than 70 countries. The cumulative exposure to RNF, estimated from its sales figures, approximates 155,000 patient-years, as of end of October 2010.</w:t>
      </w:r>
    </w:p>
    <w:p w:rsidR="00542ACF" w:rsidRDefault="00542ACF" w:rsidP="00542ACF">
      <w:pPr>
        <w:ind w:left="720"/>
        <w:rPr>
          <w:i/>
        </w:rPr>
      </w:pPr>
      <w:r>
        <w:rPr>
          <w:i/>
        </w:rPr>
        <w:t xml:space="preserve">The cumulative safety data of </w:t>
      </w:r>
      <w:proofErr w:type="spellStart"/>
      <w:r>
        <w:rPr>
          <w:i/>
        </w:rPr>
        <w:t>Rebif</w:t>
      </w:r>
      <w:proofErr w:type="spellEnd"/>
      <w:r>
        <w:rPr>
          <w:i/>
        </w:rPr>
        <w:t xml:space="preserve"> are regularly reviewed and presented in 6-monthly Periodic Safety Reports (PSURs). The safety data presented in the latest PSUR (covering the review period from 04-May-2010 and 03-Nov-2010 (PSUR23)) indicated that the benefit-risk balance of </w:t>
      </w:r>
      <w:proofErr w:type="spellStart"/>
      <w:r>
        <w:rPr>
          <w:i/>
        </w:rPr>
        <w:t>Rebif</w:t>
      </w:r>
      <w:proofErr w:type="spellEnd"/>
      <w:r>
        <w:rPr>
          <w:i/>
        </w:rPr>
        <w:t xml:space="preserve"> remains positive.”</w:t>
      </w:r>
    </w:p>
    <w:p w:rsidR="000C5752" w:rsidRDefault="000C5752" w:rsidP="000C5752">
      <w:pPr>
        <w:pStyle w:val="Heading4"/>
      </w:pPr>
      <w:r>
        <w:t>Evaluator’s overall conclusions on clinical safety</w:t>
      </w:r>
      <w:bookmarkEnd w:id="75"/>
      <w:bookmarkEnd w:id="76"/>
      <w:bookmarkEnd w:id="77"/>
      <w:bookmarkEnd w:id="78"/>
    </w:p>
    <w:p w:rsidR="000C5752" w:rsidRPr="005E344A" w:rsidRDefault="000C5752" w:rsidP="005E344A">
      <w:proofErr w:type="spellStart"/>
      <w:r w:rsidRPr="005E344A">
        <w:t>Rebif</w:t>
      </w:r>
      <w:proofErr w:type="spellEnd"/>
      <w:r w:rsidRPr="005E344A">
        <w:t xml:space="preserve"> is already </w:t>
      </w:r>
      <w:r w:rsidR="00513C16">
        <w:t>used by</w:t>
      </w:r>
      <w:r w:rsidRPr="005E344A">
        <w:t xml:space="preserve"> neurologists treating MS and its proposed use in CIS does not pose any new safety issues. The drug has some </w:t>
      </w:r>
      <w:r w:rsidR="005E344A">
        <w:t>issues</w:t>
      </w:r>
      <w:r w:rsidR="00513C16">
        <w:t xml:space="preserve"> associated with </w:t>
      </w:r>
      <w:r w:rsidR="00513C16" w:rsidRPr="005E344A">
        <w:t>tolerability</w:t>
      </w:r>
      <w:r w:rsidR="00513C16">
        <w:t xml:space="preserve"> whic</w:t>
      </w:r>
      <w:r w:rsidR="00465E9C">
        <w:t>h</w:t>
      </w:r>
      <w:r w:rsidR="005E344A">
        <w:t xml:space="preserve"> includ</w:t>
      </w:r>
      <w:r w:rsidR="00513C16">
        <w:t>e</w:t>
      </w:r>
      <w:r w:rsidR="005E344A">
        <w:t xml:space="preserve"> an influenza</w:t>
      </w:r>
      <w:r w:rsidR="00574E36">
        <w:t>-</w:t>
      </w:r>
      <w:r w:rsidRPr="005E344A">
        <w:t>like syndrome, mood disturbances</w:t>
      </w:r>
      <w:r w:rsidR="005E344A">
        <w:t xml:space="preserve">, fatigue, spasm, and injection </w:t>
      </w:r>
      <w:r w:rsidRPr="005E344A">
        <w:t>site reactions but</w:t>
      </w:r>
      <w:r w:rsidR="00465E9C">
        <w:t>, in general,</w:t>
      </w:r>
      <w:r w:rsidRPr="005E344A">
        <w:t xml:space="preserve"> it is safe. Its use is associated with an increased incidence of abnormal liver function tests and thyroid abnormalities. Some patients may develop antibodies to the product but hypersensitivity reactions are relatively rare; it remains unclear whether these antibodies have a significant effect on efficacy.</w:t>
      </w:r>
    </w:p>
    <w:p w:rsidR="0099588E" w:rsidRDefault="0099588E" w:rsidP="00B35D49">
      <w:pPr>
        <w:pStyle w:val="Heading3"/>
      </w:pPr>
      <w:bookmarkStart w:id="79" w:name="_Toc196046504"/>
      <w:bookmarkStart w:id="80" w:name="_Toc163441390"/>
      <w:bookmarkStart w:id="81" w:name="_Toc373929690"/>
      <w:r>
        <w:lastRenderedPageBreak/>
        <w:t>First round benefit-risk assessment</w:t>
      </w:r>
      <w:bookmarkEnd w:id="81"/>
    </w:p>
    <w:p w:rsidR="0099588E" w:rsidRDefault="0099588E" w:rsidP="00B35D49">
      <w:pPr>
        <w:pStyle w:val="Heading4"/>
      </w:pPr>
      <w:r>
        <w:t>First round assessment of benefits</w:t>
      </w:r>
    </w:p>
    <w:p w:rsidR="009D2452" w:rsidRPr="009D2452" w:rsidRDefault="009D2452" w:rsidP="009D2452">
      <w:r w:rsidRPr="009D2452">
        <w:t xml:space="preserve">The benefits of </w:t>
      </w:r>
      <w:proofErr w:type="spellStart"/>
      <w:r w:rsidRPr="009D2452">
        <w:t>Rebif</w:t>
      </w:r>
      <w:proofErr w:type="spellEnd"/>
      <w:r w:rsidRPr="009D2452">
        <w:t xml:space="preserve"> in the proposed CIS usage are:</w:t>
      </w:r>
    </w:p>
    <w:p w:rsidR="009D2452" w:rsidRPr="009D2452" w:rsidRDefault="009D2452" w:rsidP="009D2452">
      <w:pPr>
        <w:pStyle w:val="ListBullet"/>
      </w:pPr>
      <w:r w:rsidRPr="009D2452">
        <w:rPr>
          <w:b/>
        </w:rPr>
        <w:t xml:space="preserve">A reduced incidence of progression to </w:t>
      </w:r>
      <w:proofErr w:type="spellStart"/>
      <w:r w:rsidRPr="009D2452">
        <w:rPr>
          <w:b/>
        </w:rPr>
        <w:t>radiologically</w:t>
      </w:r>
      <w:proofErr w:type="spellEnd"/>
      <w:r w:rsidR="00B055CE">
        <w:rPr>
          <w:b/>
        </w:rPr>
        <w:t xml:space="preserve"> </w:t>
      </w:r>
      <w:r w:rsidRPr="009D2452">
        <w:rPr>
          <w:b/>
        </w:rPr>
        <w:t xml:space="preserve">defined </w:t>
      </w:r>
      <w:r w:rsidR="00F17B41">
        <w:rPr>
          <w:b/>
        </w:rPr>
        <w:t>MS</w:t>
      </w:r>
      <w:r w:rsidRPr="009D2452">
        <w:rPr>
          <w:b/>
        </w:rPr>
        <w:t xml:space="preserve"> (MS by McDonald 2005 criteria).</w:t>
      </w:r>
      <w:r w:rsidRPr="009D2452">
        <w:t xml:space="preserve"> The cumulative risk of conversion over the study was 62.0%, 73.7% and 84.2% in the </w:t>
      </w:r>
      <w:proofErr w:type="spellStart"/>
      <w:r w:rsidRPr="009D2452">
        <w:t>Rebif</w:t>
      </w:r>
      <w:proofErr w:type="spellEnd"/>
      <w:r w:rsidRPr="009D2452">
        <w:t xml:space="preserve"> 44 </w:t>
      </w:r>
      <w:r w:rsidR="00A51BE8">
        <w:t>µ</w:t>
      </w:r>
      <w:r w:rsidRPr="009D2452">
        <w:t xml:space="preserve">g </w:t>
      </w:r>
      <w:proofErr w:type="spellStart"/>
      <w:r w:rsidRPr="009D2452">
        <w:t>tiw</w:t>
      </w:r>
      <w:proofErr w:type="spellEnd"/>
      <w:r w:rsidRPr="009D2452">
        <w:t xml:space="preserve">, 44 </w:t>
      </w:r>
      <w:r w:rsidR="00A51BE8">
        <w:t>µ</w:t>
      </w:r>
      <w:r w:rsidRPr="009D2452">
        <w:t xml:space="preserve">g </w:t>
      </w:r>
      <w:proofErr w:type="spellStart"/>
      <w:r w:rsidRPr="009D2452">
        <w:t>ow</w:t>
      </w:r>
      <w:proofErr w:type="spellEnd"/>
      <w:r w:rsidRPr="009D2452">
        <w:t>, and placebo groups, respectively.</w:t>
      </w:r>
      <w:r w:rsidR="004E3734">
        <w:t xml:space="preserve"> </w:t>
      </w:r>
      <w:r w:rsidRPr="009D2452">
        <w:t xml:space="preserve">(In the adjusted model, the risk of conversion was 62.5% with the proposed </w:t>
      </w:r>
      <w:proofErr w:type="spellStart"/>
      <w:r w:rsidRPr="009D2452">
        <w:t>tiw</w:t>
      </w:r>
      <w:proofErr w:type="spellEnd"/>
      <w:r w:rsidRPr="009D2452">
        <w:t xml:space="preserve"> dose and 85.8% with placebo. In the adjusted proportional hazards model, the instantaneous risk of progression was reduced by 51% for </w:t>
      </w:r>
      <w:proofErr w:type="spellStart"/>
      <w:r w:rsidRPr="009D2452">
        <w:t>Rebif</w:t>
      </w:r>
      <w:proofErr w:type="spellEnd"/>
      <w:r w:rsidRPr="009D2452">
        <w:t xml:space="preserve"> 44</w:t>
      </w:r>
      <w:r w:rsidR="00A51BE8">
        <w:t xml:space="preserve"> µ</w:t>
      </w:r>
      <w:r w:rsidRPr="009D2452">
        <w:t xml:space="preserve">g </w:t>
      </w:r>
      <w:proofErr w:type="spellStart"/>
      <w:r w:rsidRPr="009D2452">
        <w:t>tiw</w:t>
      </w:r>
      <w:proofErr w:type="spellEnd"/>
      <w:r w:rsidRPr="009D2452">
        <w:t xml:space="preserve"> compared to placebo (HR </w:t>
      </w:r>
      <w:r w:rsidR="009963AA">
        <w:t xml:space="preserve">[Hazard Ratio] </w:t>
      </w:r>
      <w:r w:rsidRPr="009D2452">
        <w:t xml:space="preserve">= 0.49, 95% CI [0.38, 0.64]), and 31% for </w:t>
      </w:r>
      <w:proofErr w:type="spellStart"/>
      <w:r w:rsidRPr="009D2452">
        <w:t>Rebif</w:t>
      </w:r>
      <w:proofErr w:type="spellEnd"/>
      <w:r w:rsidRPr="009D2452">
        <w:t xml:space="preserve"> 44</w:t>
      </w:r>
      <w:r w:rsidR="00A51BE8">
        <w:t xml:space="preserve"> µ</w:t>
      </w:r>
      <w:r w:rsidRPr="009D2452">
        <w:t xml:space="preserve">g </w:t>
      </w:r>
      <w:proofErr w:type="spellStart"/>
      <w:r w:rsidRPr="009D2452">
        <w:t>ow</w:t>
      </w:r>
      <w:proofErr w:type="spellEnd"/>
      <w:r w:rsidRPr="009D2452">
        <w:t xml:space="preserve"> compared to placebo (HR = 0.69, 95% CI [0.54, 0.87]). The absolute risk reduction over two years was 22.2% (84.2%-62.0%) based on raw numbers or 23.3% (85.8%-62.5%) in the adjusted model.</w:t>
      </w:r>
    </w:p>
    <w:p w:rsidR="009D2452" w:rsidRPr="009D2452" w:rsidRDefault="009D2452" w:rsidP="009D2452">
      <w:pPr>
        <w:pStyle w:val="ListBullet"/>
      </w:pPr>
      <w:r w:rsidRPr="009D2452">
        <w:rPr>
          <w:b/>
        </w:rPr>
        <w:t>A delay in progression to McDonald MS.</w:t>
      </w:r>
      <w:r w:rsidRPr="009D2452">
        <w:t xml:space="preserve"> The median time for conversion to McDonald MS was 97, 182, and 310 days in the placebo, </w:t>
      </w:r>
      <w:proofErr w:type="spellStart"/>
      <w:r w:rsidRPr="009D2452">
        <w:t>Rebif</w:t>
      </w:r>
      <w:proofErr w:type="spellEnd"/>
      <w:r w:rsidRPr="009D2452">
        <w:t xml:space="preserve"> 44 </w:t>
      </w:r>
      <w:r w:rsidR="00A51BE8">
        <w:t>µ</w:t>
      </w:r>
      <w:r w:rsidRPr="009D2452">
        <w:t xml:space="preserve">g </w:t>
      </w:r>
      <w:proofErr w:type="spellStart"/>
      <w:r w:rsidRPr="009D2452">
        <w:t>ow</w:t>
      </w:r>
      <w:proofErr w:type="spellEnd"/>
      <w:r w:rsidRPr="009D2452">
        <w:t xml:space="preserve">, and 44 </w:t>
      </w:r>
      <w:r w:rsidR="00A51BE8">
        <w:t>µ</w:t>
      </w:r>
      <w:r w:rsidRPr="009D2452">
        <w:t xml:space="preserve">g </w:t>
      </w:r>
      <w:proofErr w:type="spellStart"/>
      <w:r w:rsidRPr="009D2452">
        <w:t>tiw</w:t>
      </w:r>
      <w:proofErr w:type="spellEnd"/>
      <w:r w:rsidRPr="009D2452">
        <w:t xml:space="preserve"> groups, respectively.</w:t>
      </w:r>
    </w:p>
    <w:p w:rsidR="009D2452" w:rsidRPr="009D2452" w:rsidRDefault="009D2452" w:rsidP="009D2452">
      <w:pPr>
        <w:pStyle w:val="ListBullet"/>
      </w:pPr>
      <w:r w:rsidRPr="009D2452">
        <w:rPr>
          <w:b/>
        </w:rPr>
        <w:t>A reduced incidence of conversion to Clinically Definite MS.</w:t>
      </w:r>
      <w:r w:rsidRPr="009D2452">
        <w:t xml:space="preserve"> The model</w:t>
      </w:r>
      <w:r w:rsidR="00CE4363">
        <w:t>-</w:t>
      </w:r>
      <w:r w:rsidRPr="009D2452">
        <w:t>adjusted conversion rates to CDMS over two years were 21%, 22% and 38% in the 44</w:t>
      </w:r>
      <w:r w:rsidR="00A51BE8">
        <w:t xml:space="preserve"> µ</w:t>
      </w:r>
      <w:r w:rsidRPr="009D2452">
        <w:t xml:space="preserve">g </w:t>
      </w:r>
      <w:proofErr w:type="spellStart"/>
      <w:r w:rsidRPr="009D2452">
        <w:t>tiw</w:t>
      </w:r>
      <w:proofErr w:type="spellEnd"/>
      <w:r w:rsidRPr="009D2452">
        <w:t xml:space="preserve"> group, 44</w:t>
      </w:r>
      <w:r w:rsidR="0014349F">
        <w:t xml:space="preserve"> </w:t>
      </w:r>
      <w:r w:rsidR="00A51BE8">
        <w:t>µ</w:t>
      </w:r>
      <w:r w:rsidRPr="009D2452">
        <w:t xml:space="preserve">g </w:t>
      </w:r>
      <w:proofErr w:type="spellStart"/>
      <w:r w:rsidRPr="009D2452">
        <w:t>ow</w:t>
      </w:r>
      <w:proofErr w:type="spellEnd"/>
      <w:r w:rsidRPr="009D2452">
        <w:t xml:space="preserve"> group and placebo group, respectively, giving an absolute risk reduction of 17% for the proposed </w:t>
      </w:r>
      <w:proofErr w:type="spellStart"/>
      <w:r w:rsidRPr="009D2452">
        <w:t>tiw</w:t>
      </w:r>
      <w:proofErr w:type="spellEnd"/>
      <w:r w:rsidRPr="009D2452">
        <w:t xml:space="preserve"> dose, compared to placebo, and a relative risk reduction of 45%.</w:t>
      </w:r>
    </w:p>
    <w:p w:rsidR="009D2452" w:rsidRPr="009D2452" w:rsidRDefault="009D2452" w:rsidP="009D2452">
      <w:pPr>
        <w:pStyle w:val="ListBullet"/>
      </w:pPr>
      <w:r w:rsidRPr="009D2452">
        <w:rPr>
          <w:b/>
        </w:rPr>
        <w:t>A reduced relapse rate.</w:t>
      </w:r>
      <w:r w:rsidRPr="009D2452">
        <w:t xml:space="preserve"> The annualised relapse rate (for qualifying relapses) was approximately halved by active treatment from 0.22 relapses/year in the placebo group to 0.12 relapses/year in both active groups, without any apparent difference between </w:t>
      </w:r>
      <w:proofErr w:type="spellStart"/>
      <w:r w:rsidR="0014349F">
        <w:t>ow</w:t>
      </w:r>
      <w:proofErr w:type="spellEnd"/>
      <w:r w:rsidRPr="009D2452">
        <w:t xml:space="preserve"> and </w:t>
      </w:r>
      <w:proofErr w:type="spellStart"/>
      <w:r w:rsidR="0014349F">
        <w:t>tiw</w:t>
      </w:r>
      <w:proofErr w:type="spellEnd"/>
      <w:r w:rsidRPr="009D2452">
        <w:t xml:space="preserve"> dosing (p</w:t>
      </w:r>
      <w:r w:rsidR="00C92ADD">
        <w:t>≤ 0.001 for either dose group versus</w:t>
      </w:r>
      <w:r w:rsidRPr="009D2452">
        <w:t xml:space="preserve"> placebo).</w:t>
      </w:r>
    </w:p>
    <w:p w:rsidR="009D2452" w:rsidRPr="009D2452" w:rsidRDefault="009D2452" w:rsidP="009D2452">
      <w:pPr>
        <w:pStyle w:val="ListBullet"/>
      </w:pPr>
      <w:r w:rsidRPr="009D2452">
        <w:rPr>
          <w:b/>
        </w:rPr>
        <w:t>Reduced activity on MRI, with a lower number of unique active lesions.</w:t>
      </w:r>
      <w:r w:rsidRPr="009D2452">
        <w:t xml:space="preserve"> The mean number of active lesions per subject per scan was 2.58 in the placebo group, 0.95 in </w:t>
      </w:r>
      <w:proofErr w:type="gramStart"/>
      <w:r w:rsidRPr="009D2452">
        <w:t xml:space="preserve">the </w:t>
      </w:r>
      <w:proofErr w:type="spellStart"/>
      <w:r w:rsidRPr="009D2452">
        <w:t>ow</w:t>
      </w:r>
      <w:proofErr w:type="spellEnd"/>
      <w:proofErr w:type="gramEnd"/>
      <w:r w:rsidRPr="009D2452">
        <w:t xml:space="preserve"> group and 0.50 in the </w:t>
      </w:r>
      <w:proofErr w:type="spellStart"/>
      <w:r w:rsidRPr="009D2452">
        <w:t>tiw</w:t>
      </w:r>
      <w:proofErr w:type="spellEnd"/>
      <w:r w:rsidRPr="009D2452">
        <w:t xml:space="preserve"> group (p&lt;0.001).</w:t>
      </w:r>
    </w:p>
    <w:p w:rsidR="009D2452" w:rsidRPr="009D2452" w:rsidRDefault="009D2452" w:rsidP="009D2452">
      <w:pPr>
        <w:pStyle w:val="ListBullet"/>
      </w:pPr>
      <w:r w:rsidRPr="009D2452">
        <w:rPr>
          <w:b/>
        </w:rPr>
        <w:t>Possible long</w:t>
      </w:r>
      <w:r w:rsidR="00C92ADD">
        <w:rPr>
          <w:b/>
        </w:rPr>
        <w:t xml:space="preserve"> </w:t>
      </w:r>
      <w:r w:rsidRPr="009D2452">
        <w:rPr>
          <w:b/>
        </w:rPr>
        <w:t>term benefit.</w:t>
      </w:r>
      <w:r w:rsidRPr="009D2452">
        <w:t xml:space="preserve"> A small benefit was demonstrated in the Extended Disability Status Score </w:t>
      </w:r>
      <w:r w:rsidR="005871FC">
        <w:t>(EDSS, p=0.011) over two years:</w:t>
      </w:r>
      <w:r w:rsidRPr="009D2452">
        <w:t xml:space="preserve"> this score attempts to capture cumulative disability but it is insensitive for small lesions and early disease. The brain and spinal cord have poor regenerative capacity and individual relapses may produce lasting deficits because axonal damage in the CNS is usually permanent. Eventually the cumulative effect of apparently silent lesions is likely to contribute to overall disability. </w:t>
      </w:r>
      <w:r w:rsidR="008B4AA9" w:rsidRPr="008B4AA9">
        <w:t>Avoiding radiological and clinical activity from the earliest stage of the disease is therefore likely to preserve cerebral function that would otherwise be compromised, and is a sensible treatment goal, even if short term clinical studies do not easily confirm this effect.</w:t>
      </w:r>
    </w:p>
    <w:p w:rsidR="0099588E" w:rsidRDefault="0099588E" w:rsidP="00B35D49">
      <w:pPr>
        <w:pStyle w:val="Heading4"/>
      </w:pPr>
      <w:r>
        <w:t>First round assessment of risks</w:t>
      </w:r>
    </w:p>
    <w:p w:rsidR="009D2452" w:rsidRPr="009D2452" w:rsidRDefault="009D2452" w:rsidP="009D2452">
      <w:r w:rsidRPr="009D2452">
        <w:t xml:space="preserve">The risks of </w:t>
      </w:r>
      <w:proofErr w:type="spellStart"/>
      <w:r w:rsidRPr="009D2452">
        <w:t>Rebif</w:t>
      </w:r>
      <w:proofErr w:type="spellEnd"/>
      <w:r w:rsidRPr="009D2452">
        <w:t xml:space="preserve"> in the proposed usage are:</w:t>
      </w:r>
    </w:p>
    <w:p w:rsidR="009D2452" w:rsidRPr="009D2452" w:rsidRDefault="009D2452" w:rsidP="009D2452">
      <w:pPr>
        <w:pStyle w:val="ListBullet"/>
      </w:pPr>
      <w:r w:rsidRPr="009D2452">
        <w:t>Some subjects will experience influenza</w:t>
      </w:r>
      <w:r w:rsidR="00D62144">
        <w:t xml:space="preserve"> </w:t>
      </w:r>
      <w:r w:rsidRPr="009D2452">
        <w:t>like illness, fatigue, spasm, mood changes and injection</w:t>
      </w:r>
      <w:r w:rsidR="00D62144">
        <w:t xml:space="preserve"> </w:t>
      </w:r>
      <w:r w:rsidRPr="009D2452">
        <w:t>site reactions. Drug</w:t>
      </w:r>
      <w:r w:rsidR="00D62144">
        <w:t xml:space="preserve"> </w:t>
      </w:r>
      <w:r w:rsidRPr="009D2452">
        <w:t xml:space="preserve">related </w:t>
      </w:r>
      <w:r w:rsidR="00686292">
        <w:t>Treatment Emergent Adverse Events (</w:t>
      </w:r>
      <w:r w:rsidRPr="009D2452">
        <w:t>TEAEs</w:t>
      </w:r>
      <w:r w:rsidR="00686292">
        <w:t>)</w:t>
      </w:r>
      <w:r w:rsidRPr="009D2452">
        <w:t xml:space="preserve"> were observed in 77.8% of </w:t>
      </w:r>
      <w:proofErr w:type="spellStart"/>
      <w:r w:rsidRPr="009D2452">
        <w:t>Rebif</w:t>
      </w:r>
      <w:proofErr w:type="spellEnd"/>
      <w:r w:rsidRPr="009D2452">
        <w:t xml:space="preserve"> </w:t>
      </w:r>
      <w:proofErr w:type="spellStart"/>
      <w:r w:rsidRPr="009D2452">
        <w:t>tiw</w:t>
      </w:r>
      <w:proofErr w:type="spellEnd"/>
      <w:r w:rsidRPr="009D2452">
        <w:t xml:space="preserve"> recipients, compared to 43.3% of placebo recipients, an excess of 34.5%.</w:t>
      </w:r>
    </w:p>
    <w:p w:rsidR="009D2452" w:rsidRPr="009D2452" w:rsidRDefault="009D2452" w:rsidP="009D2452">
      <w:pPr>
        <w:pStyle w:val="ListBullet"/>
      </w:pPr>
      <w:r w:rsidRPr="009D2452">
        <w:t xml:space="preserve">Subjects with CIS who are not destined to progress to MS in the near future will be exposed to </w:t>
      </w:r>
      <w:proofErr w:type="spellStart"/>
      <w:r w:rsidRPr="009D2452">
        <w:t>Rebif</w:t>
      </w:r>
      <w:proofErr w:type="spellEnd"/>
      <w:r w:rsidRPr="009D2452">
        <w:t xml:space="preserve"> side effects without apparent gain. Whether this is considered a </w:t>
      </w:r>
      <w:r w:rsidRPr="009D2452">
        <w:lastRenderedPageBreak/>
        <w:t>substantial problem depends</w:t>
      </w:r>
      <w:r w:rsidR="00615B16">
        <w:t xml:space="preserve"> </w:t>
      </w:r>
      <w:r w:rsidR="00615B16" w:rsidRPr="009D2452">
        <w:t>partly</w:t>
      </w:r>
      <w:r w:rsidRPr="009D2452">
        <w:t xml:space="preserve"> on </w:t>
      </w:r>
      <w:r w:rsidR="00291605">
        <w:t>the</w:t>
      </w:r>
      <w:r w:rsidR="00291605" w:rsidRPr="009D2452">
        <w:t xml:space="preserve"> </w:t>
      </w:r>
      <w:r w:rsidRPr="009D2452">
        <w:t>definition</w:t>
      </w:r>
      <w:r w:rsidR="00291605">
        <w:t xml:space="preserve"> used to assess</w:t>
      </w:r>
      <w:r w:rsidRPr="009D2452">
        <w:t xml:space="preserve"> MS. Over two years of treatment, this </w:t>
      </w:r>
      <w:proofErr w:type="gramStart"/>
      <w:r w:rsidRPr="009D2452">
        <w:t>non</w:t>
      </w:r>
      <w:proofErr w:type="gramEnd"/>
      <w:r w:rsidR="00A452FA">
        <w:t xml:space="preserve"> </w:t>
      </w:r>
      <w:r w:rsidRPr="009D2452">
        <w:t>progressing group would be expected to be</w:t>
      </w:r>
      <w:r w:rsidR="00B35D49">
        <w:t xml:space="preserve"> only 16% of the initial cohort,</w:t>
      </w:r>
      <w:r w:rsidRPr="009D2452">
        <w:t xml:space="preserve"> using McDonald 2005 criteria (</w:t>
      </w:r>
      <w:r w:rsidR="00291605">
        <w:t>based on the observation that</w:t>
      </w:r>
      <w:r w:rsidR="00291605" w:rsidRPr="009D2452">
        <w:t xml:space="preserve"> </w:t>
      </w:r>
      <w:r w:rsidRPr="009D2452">
        <w:t>84% of placebo recipients converted). The non</w:t>
      </w:r>
      <w:r w:rsidR="00927AFA">
        <w:t xml:space="preserve"> </w:t>
      </w:r>
      <w:r w:rsidRPr="009D2452">
        <w:t xml:space="preserve">progressing group would be much larger and would constitute the majority of the cohort if </w:t>
      </w:r>
      <w:r w:rsidR="00615B16">
        <w:t xml:space="preserve">less current </w:t>
      </w:r>
      <w:r w:rsidRPr="009D2452">
        <w:t>clinical criteria were used (62% of subjects in the placebo g</w:t>
      </w:r>
      <w:r w:rsidR="00772AC5">
        <w:t>roup did not progress to CDMS).</w:t>
      </w:r>
    </w:p>
    <w:p w:rsidR="009D2452" w:rsidRPr="009D2452" w:rsidRDefault="009D2452" w:rsidP="009D2452">
      <w:pPr>
        <w:pStyle w:val="ListBullet"/>
      </w:pPr>
      <w:r w:rsidRPr="009D2452">
        <w:t>Some subjects will progress to MS despite active treatment. Only 23% of subjects (85%-62%) treated over two years can expect to have McDonald MS prevented by active treatment and only 17% of subjects (38%-21%) treated over two years can expect to have CDMS prevented.</w:t>
      </w:r>
    </w:p>
    <w:p w:rsidR="009D2452" w:rsidRPr="009D2452" w:rsidRDefault="009D2452" w:rsidP="009D2452">
      <w:pPr>
        <w:pStyle w:val="ListBullet"/>
      </w:pPr>
      <w:r w:rsidRPr="009D2452">
        <w:t>The shifting definitions of MS</w:t>
      </w:r>
      <w:r w:rsidR="00CC4667">
        <w:t xml:space="preserve">, </w:t>
      </w:r>
      <w:r w:rsidRPr="009D2452">
        <w:t>in particular, the changes from McDonald 2005 to McDonald 2010</w:t>
      </w:r>
      <w:r w:rsidR="004B35E4">
        <w:t xml:space="preserve"> </w:t>
      </w:r>
      <w:r w:rsidRPr="009D2452">
        <w:t>criteria</w:t>
      </w:r>
      <w:r w:rsidR="00CC4667">
        <w:t>,</w:t>
      </w:r>
      <w:r w:rsidRPr="009D2452">
        <w:t xml:space="preserve"> mean that </w:t>
      </w:r>
      <w:r w:rsidRPr="009D2452">
        <w:rPr>
          <w:b/>
        </w:rPr>
        <w:t xml:space="preserve">subjects fulfilling modern CIS criteria have milder disease than those treated in the pivotal CIS study, </w:t>
      </w:r>
      <w:r w:rsidR="00B93FDB">
        <w:rPr>
          <w:b/>
        </w:rPr>
        <w:t xml:space="preserve">approximately </w:t>
      </w:r>
      <w:r w:rsidRPr="009D2452">
        <w:rPr>
          <w:b/>
        </w:rPr>
        <w:t>38% of whom already had McDonald 2010 MS at baseline</w:t>
      </w:r>
      <w:r w:rsidRPr="009D2452">
        <w:t xml:space="preserve">. The chance that these milder CIS subjects would receive </w:t>
      </w:r>
      <w:proofErr w:type="spellStart"/>
      <w:r w:rsidRPr="009D2452">
        <w:t>Rebif</w:t>
      </w:r>
      <w:proofErr w:type="spellEnd"/>
      <w:r w:rsidRPr="009D2452">
        <w:t xml:space="preserve"> “unnecessarily” (in the sense that they would not have progressed to MS) is increased under the new diagnostic criteria</w:t>
      </w:r>
      <w:r w:rsidR="00615B16">
        <w:t>. T</w:t>
      </w:r>
      <w:r w:rsidR="00615B16" w:rsidRPr="009D2452">
        <w:t xml:space="preserve">his </w:t>
      </w:r>
      <w:r w:rsidRPr="009D2452">
        <w:t>increase has not been quantified by the sponsor.</w:t>
      </w:r>
    </w:p>
    <w:p w:rsidR="009D2452" w:rsidRPr="009D2452" w:rsidRDefault="009D2452" w:rsidP="009D2452">
      <w:pPr>
        <w:pStyle w:val="ListBullet"/>
      </w:pPr>
      <w:r w:rsidRPr="009D2452">
        <w:t>Discontinuation rates with injected treatments for MS are re</w:t>
      </w:r>
      <w:r w:rsidR="00606F25">
        <w:t>latively high</w:t>
      </w:r>
      <w:r w:rsidR="00615B16">
        <w:t>.</w:t>
      </w:r>
      <w:r w:rsidR="00606F25">
        <w:rPr>
          <w:rStyle w:val="FootnoteReference"/>
        </w:rPr>
        <w:footnoteReference w:id="6"/>
      </w:r>
      <w:r w:rsidRPr="009D2452">
        <w:t xml:space="preserve"> The clinical benefit observed in the REFLEX study may not be achieved in </w:t>
      </w:r>
      <w:r w:rsidR="00615B16">
        <w:t>practice</w:t>
      </w:r>
      <w:r w:rsidRPr="009D2452">
        <w:t xml:space="preserve"> where compliance is </w:t>
      </w:r>
      <w:r w:rsidR="00615B16">
        <w:t>likely to be less tha</w:t>
      </w:r>
      <w:r w:rsidR="00F07264">
        <w:t>n</w:t>
      </w:r>
      <w:r w:rsidR="00615B16">
        <w:t xml:space="preserve"> in the study population.</w:t>
      </w:r>
      <w:r w:rsidRPr="009D2452">
        <w:t xml:space="preserve"> </w:t>
      </w:r>
      <w:r w:rsidR="004E4B39" w:rsidRPr="004E4B39">
        <w:t>Encouraging patients to start treatment very early might even mean that some abandon treatment before they get diagnosed with MS, so they are off treatment when their disease activity is greater</w:t>
      </w:r>
      <w:r w:rsidR="004E4B39">
        <w:t>.</w:t>
      </w:r>
    </w:p>
    <w:p w:rsidR="0099588E" w:rsidRDefault="0099588E" w:rsidP="00B35D49">
      <w:pPr>
        <w:pStyle w:val="Heading4"/>
      </w:pPr>
      <w:r>
        <w:t>First round assessment of benefit-risk balance</w:t>
      </w:r>
    </w:p>
    <w:p w:rsidR="009D2452" w:rsidRDefault="009D2452" w:rsidP="009D2452">
      <w:r>
        <w:t xml:space="preserve">The benefit-risk balance of </w:t>
      </w:r>
      <w:proofErr w:type="spellStart"/>
      <w:r>
        <w:t>Rebif</w:t>
      </w:r>
      <w:proofErr w:type="spellEnd"/>
      <w:r>
        <w:t>, given the proposed usage, appears favourable but there are uncertainties surrounding the group of CI</w:t>
      </w:r>
      <w:r w:rsidR="00772AC5">
        <w:t>S patients with milder disease.</w:t>
      </w:r>
    </w:p>
    <w:p w:rsidR="009D2452" w:rsidRDefault="009D2452" w:rsidP="009D2452">
      <w:r>
        <w:t xml:space="preserve">The benefit of treatment in CIS subjects with &lt;2 MRI lesions has not been </w:t>
      </w:r>
      <w:r w:rsidR="00F07264">
        <w:t>assessed</w:t>
      </w:r>
      <w:r>
        <w:t xml:space="preserve">. </w:t>
      </w:r>
      <w:r w:rsidR="00D73473">
        <w:t>T</w:t>
      </w:r>
      <w:r w:rsidR="00BA514F">
        <w:t>h</w:t>
      </w:r>
      <w:r>
        <w:t>is group</w:t>
      </w:r>
      <w:r w:rsidR="00D73473">
        <w:t xml:space="preserve"> </w:t>
      </w:r>
      <w:r w:rsidR="00CD1DE9">
        <w:t>was excluded from the pivotal study</w:t>
      </w:r>
      <w:r w:rsidR="00D73473">
        <w:t>, is</w:t>
      </w:r>
      <w:r w:rsidR="00BA514F">
        <w:t xml:space="preserve"> </w:t>
      </w:r>
      <w:r w:rsidR="00F07264">
        <w:t>expect</w:t>
      </w:r>
      <w:r w:rsidR="00D73473">
        <w:t xml:space="preserve">ed to have a relatively low chance </w:t>
      </w:r>
      <w:r w:rsidR="00F07264">
        <w:t>of conversion to MS</w:t>
      </w:r>
      <w:r w:rsidR="00CC4667">
        <w:t>,</w:t>
      </w:r>
      <w:r>
        <w:t xml:space="preserve"> </w:t>
      </w:r>
      <w:r w:rsidR="00D73473">
        <w:t xml:space="preserve">and </w:t>
      </w:r>
      <w:r>
        <w:t xml:space="preserve">the risks and side effects of </w:t>
      </w:r>
      <w:proofErr w:type="spellStart"/>
      <w:r>
        <w:t>Rebif</w:t>
      </w:r>
      <w:proofErr w:type="spellEnd"/>
      <w:r>
        <w:t xml:space="preserve"> treatment do not appear justified</w:t>
      </w:r>
      <w:r w:rsidR="00CC4667">
        <w:t>.</w:t>
      </w:r>
      <w:r>
        <w:t xml:space="preserve"> The PI </w:t>
      </w:r>
      <w:r w:rsidR="00BA514F">
        <w:t xml:space="preserve">(Indication) </w:t>
      </w:r>
      <w:r>
        <w:t>should explicitly exclude such low</w:t>
      </w:r>
      <w:r w:rsidR="00C46F3F">
        <w:t xml:space="preserve"> </w:t>
      </w:r>
      <w:r>
        <w:t>risk subjects.</w:t>
      </w:r>
    </w:p>
    <w:p w:rsidR="009D2452" w:rsidRDefault="00D73473" w:rsidP="009D2452">
      <w:r>
        <w:t>More subtly, t</w:t>
      </w:r>
      <w:r w:rsidR="009D2452">
        <w:t xml:space="preserve">he benefit of treatment is still unclear in subjects with a single clinical </w:t>
      </w:r>
      <w:proofErr w:type="spellStart"/>
      <w:r w:rsidR="009D2452">
        <w:t>demyelinating</w:t>
      </w:r>
      <w:proofErr w:type="spellEnd"/>
      <w:r w:rsidR="009D2452">
        <w:t xml:space="preserve"> event who do not have McDonald 2010 MS. The CIS cohort in the pivotal study, defined using McDonald 2005 criteria, </w:t>
      </w:r>
      <w:r w:rsidR="00CD1DE9">
        <w:t>included</w:t>
      </w:r>
      <w:r w:rsidR="009D2452">
        <w:t xml:space="preserve"> </w:t>
      </w:r>
      <w:r w:rsidR="00BA514F">
        <w:t xml:space="preserve">approximately </w:t>
      </w:r>
      <w:r w:rsidR="009D2452">
        <w:t>38% of subjects who had McDonald 2010 MS</w:t>
      </w:r>
      <w:r w:rsidR="008D7615">
        <w:t xml:space="preserve"> </w:t>
      </w:r>
      <w:r w:rsidR="009D2452">
        <w:t xml:space="preserve">and who would therefore </w:t>
      </w:r>
      <w:r w:rsidR="009D2452" w:rsidRPr="00404C22">
        <w:rPr>
          <w:i/>
        </w:rPr>
        <w:t>not</w:t>
      </w:r>
      <w:r w:rsidR="009D2452">
        <w:t xml:space="preserve"> be diagnosed with CIS by modern criteria. </w:t>
      </w:r>
      <w:r w:rsidR="00CD1DE9">
        <w:t>The inclusion of these subjects</w:t>
      </w:r>
      <w:r w:rsidR="009D2452">
        <w:t xml:space="preserve"> is likely to have inflated the apparent benefit of active treatment. </w:t>
      </w:r>
      <w:r>
        <w:t>This was not a design fault, but merely reflects shifting definitions of MS that took place as the study was underway.</w:t>
      </w:r>
    </w:p>
    <w:p w:rsidR="009D2452" w:rsidRDefault="009D2452" w:rsidP="009D2452">
      <w:r>
        <w:t xml:space="preserve">In the pivotal study, the </w:t>
      </w:r>
      <w:r w:rsidR="00B35D49">
        <w:t xml:space="preserve">proportion of </w:t>
      </w:r>
      <w:r w:rsidR="004713EB">
        <w:t>subjects</w:t>
      </w:r>
      <w:r>
        <w:t xml:space="preserve"> with McDonald 2010 MS </w:t>
      </w:r>
      <w:r w:rsidR="00F71E76">
        <w:t>(</w:t>
      </w:r>
      <w:r>
        <w:t>38%) is approximately double the proportion of patients who had progression to MS prevented by active treatment (22% by 2005 radiological criteria</w:t>
      </w:r>
      <w:r w:rsidR="004713EB">
        <w:t xml:space="preserve"> and</w:t>
      </w:r>
      <w:r>
        <w:t xml:space="preserve"> 17% by clinical criteria).</w:t>
      </w:r>
      <w:r w:rsidR="008D7820">
        <w:t xml:space="preserve"> </w:t>
      </w:r>
      <w:r w:rsidR="00E15A36" w:rsidRPr="00E15A36">
        <w:t xml:space="preserve">If it was these McDonald 2010 patients who benefited from treatment in the pivotal study, then the new CIS indication is not needed because such subjects could be treated under the </w:t>
      </w:r>
      <w:r w:rsidR="00E15A36">
        <w:t xml:space="preserve">[already approved] </w:t>
      </w:r>
      <w:r w:rsidR="00E15A36" w:rsidRPr="00E15A36">
        <w:t>indication of “MS”.</w:t>
      </w:r>
    </w:p>
    <w:p w:rsidR="009D2452" w:rsidRDefault="009D2452" w:rsidP="009D2452">
      <w:r>
        <w:t xml:space="preserve">A </w:t>
      </w:r>
      <w:bookmarkStart w:id="82" w:name="ProposedAnalysis"/>
      <w:r>
        <w:t>subgroup analysis</w:t>
      </w:r>
      <w:bookmarkEnd w:id="82"/>
      <w:r>
        <w:t xml:space="preserve"> of “true CIS” subjects without McDonald 2010 MS should be performed by the sponsor prior to finalising the PI and prior to final approval of the CIS indication. The primary and secondary endpoints of this proposed analysis should remain the same as in the original pivotal study. This analysis might prove to be underpowered, but it should at least show a quantitative benefit of treatment in “true CIS” subjects </w:t>
      </w:r>
      <w:r>
        <w:lastRenderedPageBreak/>
        <w:t>(defined using McDonald 2010 criteria) before the CIS indication is approved. Accurate assignment of subjects to the categories of “true CIS” or “McDonald 2010 MS” might be difficult in retrospect, but should be reasonably accurate in most cases. The assignment depends entirely on MRI analysis, so it could be done by blinded, independent radiologists without collecting or considering new clinical data. Statistical analysis should be performed with the same methods as in the original cohort.</w:t>
      </w:r>
    </w:p>
    <w:p w:rsidR="0099588E" w:rsidRDefault="0099588E" w:rsidP="0099588E">
      <w:pPr>
        <w:pStyle w:val="Heading4"/>
      </w:pPr>
      <w:r>
        <w:t>First round recommendation regarding authorisation</w:t>
      </w:r>
    </w:p>
    <w:p w:rsidR="009D2452" w:rsidRDefault="009D2452" w:rsidP="009D2452">
      <w:r>
        <w:t xml:space="preserve">Approval of the CIS indication for </w:t>
      </w:r>
      <w:proofErr w:type="spellStart"/>
      <w:r>
        <w:t>Rebif</w:t>
      </w:r>
      <w:proofErr w:type="spellEnd"/>
      <w:r>
        <w:t xml:space="preserve"> should be declined for now, pending clarification of efficacy in the CIS population as defined by modern criteria.</w:t>
      </w:r>
    </w:p>
    <w:p w:rsidR="009D2452" w:rsidRDefault="009D2452" w:rsidP="009D2452">
      <w:r>
        <w:t xml:space="preserve">The sponsor should perform the subgroup analysis </w:t>
      </w:r>
      <w:r w:rsidR="00014232">
        <w:t xml:space="preserve">as </w:t>
      </w:r>
      <w:r>
        <w:t>proposed above, based on modern definitions of MS (McDonald 2010 criteria)</w:t>
      </w:r>
      <w:r w:rsidR="00014232">
        <w:t>,</w:t>
      </w:r>
      <w:r>
        <w:t xml:space="preserve"> and resubmit.</w:t>
      </w:r>
    </w:p>
    <w:p w:rsidR="00416A4D" w:rsidRDefault="00416A4D" w:rsidP="002068DD">
      <w:pPr>
        <w:pStyle w:val="Heading3"/>
      </w:pPr>
      <w:bookmarkStart w:id="83" w:name="_Toc373929691"/>
      <w:r>
        <w:t>Second round evaluation of clinical data submitted in response to questions</w:t>
      </w:r>
      <w:bookmarkEnd w:id="83"/>
    </w:p>
    <w:p w:rsidR="00C40684" w:rsidRDefault="00C40684" w:rsidP="00C40684">
      <w:r>
        <w:t>The sponsor submitted data in response to the following two questions arising from the first round clinical evaluation:</w:t>
      </w:r>
    </w:p>
    <w:p w:rsidR="00C40684" w:rsidRPr="00323F8D" w:rsidRDefault="00C40684" w:rsidP="00C40684">
      <w:pPr>
        <w:pStyle w:val="Heading6"/>
      </w:pPr>
      <w:r w:rsidRPr="00323F8D">
        <w:t>Question 1</w:t>
      </w:r>
    </w:p>
    <w:p w:rsidR="00C40684" w:rsidRPr="00783250" w:rsidRDefault="00C40684" w:rsidP="00783250">
      <w:pPr>
        <w:rPr>
          <w:i/>
          <w:iCs/>
        </w:rPr>
      </w:pPr>
      <w:r w:rsidRPr="00783250">
        <w:rPr>
          <w:i/>
          <w:iCs/>
        </w:rPr>
        <w:t>The CIS cohort in the pivotal study, defined using McDonald 2005 criteria,</w:t>
      </w:r>
      <w:r w:rsidR="00996E95" w:rsidRPr="00783250">
        <w:rPr>
          <w:i/>
          <w:iCs/>
        </w:rPr>
        <w:t xml:space="preserve"> </w:t>
      </w:r>
      <w:r w:rsidRPr="00783250">
        <w:rPr>
          <w:i/>
          <w:iCs/>
        </w:rPr>
        <w:t xml:space="preserve">appeared to </w:t>
      </w:r>
      <w:r w:rsidR="009C2716" w:rsidRPr="00783250">
        <w:rPr>
          <w:i/>
          <w:iCs/>
        </w:rPr>
        <w:t xml:space="preserve">include </w:t>
      </w:r>
      <w:r w:rsidRPr="00783250">
        <w:rPr>
          <w:i/>
          <w:iCs/>
        </w:rPr>
        <w:t>38% of subjects who actually had McDonald</w:t>
      </w:r>
      <w:r w:rsidR="00996E95" w:rsidRPr="00783250">
        <w:rPr>
          <w:i/>
          <w:iCs/>
        </w:rPr>
        <w:t xml:space="preserve"> </w:t>
      </w:r>
      <w:r w:rsidRPr="00783250">
        <w:rPr>
          <w:i/>
          <w:iCs/>
        </w:rPr>
        <w:t>2010 MS, and who would therefore not be diagnosed with CIS by modern criteria.</w:t>
      </w:r>
      <w:r w:rsidR="00996E95" w:rsidRPr="00783250">
        <w:rPr>
          <w:i/>
          <w:iCs/>
        </w:rPr>
        <w:t xml:space="preserve"> </w:t>
      </w:r>
      <w:r w:rsidRPr="00783250">
        <w:rPr>
          <w:i/>
          <w:iCs/>
        </w:rPr>
        <w:t xml:space="preserve">This </w:t>
      </w:r>
      <w:r w:rsidR="009C2716" w:rsidRPr="00783250">
        <w:rPr>
          <w:i/>
          <w:iCs/>
        </w:rPr>
        <w:t xml:space="preserve">proportion of </w:t>
      </w:r>
      <w:r w:rsidRPr="00783250">
        <w:rPr>
          <w:i/>
          <w:iCs/>
        </w:rPr>
        <w:t>McDonald 2010 MS patients (38%) is</w:t>
      </w:r>
      <w:r w:rsidR="00996E95" w:rsidRPr="00783250">
        <w:rPr>
          <w:i/>
          <w:iCs/>
        </w:rPr>
        <w:t xml:space="preserve"> </w:t>
      </w:r>
      <w:r w:rsidRPr="00783250">
        <w:rPr>
          <w:i/>
          <w:iCs/>
        </w:rPr>
        <w:t>approximately double the proportion of patients who had progression to MS</w:t>
      </w:r>
      <w:r w:rsidR="00996E95" w:rsidRPr="00783250">
        <w:rPr>
          <w:i/>
          <w:iCs/>
        </w:rPr>
        <w:t xml:space="preserve"> </w:t>
      </w:r>
      <w:r w:rsidRPr="00783250">
        <w:rPr>
          <w:i/>
          <w:iCs/>
        </w:rPr>
        <w:t>prevented by active treatment (22% by 2005 radiological criteria, 17% by clinical</w:t>
      </w:r>
      <w:r w:rsidR="00996E95" w:rsidRPr="00783250">
        <w:rPr>
          <w:i/>
          <w:iCs/>
        </w:rPr>
        <w:t xml:space="preserve"> </w:t>
      </w:r>
      <w:r w:rsidRPr="00783250">
        <w:rPr>
          <w:i/>
          <w:iCs/>
        </w:rPr>
        <w:t>criteria). It is not clear whether the McDonald 2010 patients are the patients who</w:t>
      </w:r>
      <w:r w:rsidR="00996E95" w:rsidRPr="00783250">
        <w:rPr>
          <w:i/>
          <w:iCs/>
        </w:rPr>
        <w:t xml:space="preserve"> </w:t>
      </w:r>
      <w:r w:rsidRPr="00783250">
        <w:rPr>
          <w:i/>
          <w:iCs/>
        </w:rPr>
        <w:t>benefited from treatment in the pivotal study.</w:t>
      </w:r>
    </w:p>
    <w:p w:rsidR="00C40684" w:rsidRPr="00783250" w:rsidRDefault="00C40684" w:rsidP="00783250">
      <w:pPr>
        <w:rPr>
          <w:i/>
          <w:iCs/>
        </w:rPr>
      </w:pPr>
      <w:r w:rsidRPr="00783250">
        <w:rPr>
          <w:i/>
          <w:iCs/>
        </w:rPr>
        <w:t>In view of the above, please perform a subgroup analysis of “true CIS” subjects</w:t>
      </w:r>
      <w:r w:rsidR="00996E95" w:rsidRPr="00783250">
        <w:rPr>
          <w:i/>
          <w:iCs/>
        </w:rPr>
        <w:t xml:space="preserve"> </w:t>
      </w:r>
      <w:r w:rsidRPr="00783250">
        <w:rPr>
          <w:i/>
          <w:iCs/>
        </w:rPr>
        <w:t>without McDonald 2010 MS or provide justification for why this should not be</w:t>
      </w:r>
      <w:r w:rsidR="00996E95" w:rsidRPr="00783250">
        <w:rPr>
          <w:i/>
          <w:iCs/>
        </w:rPr>
        <w:t xml:space="preserve"> </w:t>
      </w:r>
      <w:r w:rsidRPr="00783250">
        <w:rPr>
          <w:i/>
          <w:iCs/>
        </w:rPr>
        <w:t>required. The primary and secondary endpoints of the subgroup analysis should</w:t>
      </w:r>
      <w:r w:rsidR="00996E95" w:rsidRPr="00783250">
        <w:rPr>
          <w:i/>
          <w:iCs/>
        </w:rPr>
        <w:t xml:space="preserve"> </w:t>
      </w:r>
      <w:r w:rsidRPr="00783250">
        <w:rPr>
          <w:i/>
          <w:iCs/>
        </w:rPr>
        <w:t>remain the same as in the original pivotal study. As the assignment of subjects to</w:t>
      </w:r>
      <w:r w:rsidR="00996E95" w:rsidRPr="00783250">
        <w:rPr>
          <w:i/>
          <w:iCs/>
        </w:rPr>
        <w:t xml:space="preserve"> </w:t>
      </w:r>
      <w:r w:rsidRPr="00783250">
        <w:rPr>
          <w:i/>
          <w:iCs/>
        </w:rPr>
        <w:t>the categories of “true CIS” or “McDonald 2010 MS” depended entirely on MRI</w:t>
      </w:r>
      <w:r w:rsidR="00996E95" w:rsidRPr="00783250">
        <w:rPr>
          <w:i/>
          <w:iCs/>
        </w:rPr>
        <w:t xml:space="preserve"> </w:t>
      </w:r>
      <w:r w:rsidRPr="00783250">
        <w:rPr>
          <w:i/>
          <w:iCs/>
        </w:rPr>
        <w:t>analysis, this could be done by blinded, independent radiologists without collecting</w:t>
      </w:r>
      <w:r w:rsidR="00996E95" w:rsidRPr="00783250">
        <w:rPr>
          <w:i/>
          <w:iCs/>
        </w:rPr>
        <w:t xml:space="preserve"> </w:t>
      </w:r>
      <w:r w:rsidRPr="00783250">
        <w:rPr>
          <w:i/>
          <w:iCs/>
        </w:rPr>
        <w:t>or considering new clinical data. Statistical analysis should be performed with the</w:t>
      </w:r>
      <w:r w:rsidR="00996E95" w:rsidRPr="00783250">
        <w:rPr>
          <w:i/>
          <w:iCs/>
        </w:rPr>
        <w:t xml:space="preserve"> </w:t>
      </w:r>
      <w:r w:rsidRPr="00783250">
        <w:rPr>
          <w:i/>
          <w:iCs/>
        </w:rPr>
        <w:t>same methods as in the original cohort.</w:t>
      </w:r>
    </w:p>
    <w:p w:rsidR="00C40684" w:rsidRPr="00323F8D" w:rsidRDefault="00C40684" w:rsidP="00C40684">
      <w:pPr>
        <w:pStyle w:val="Heading6"/>
      </w:pPr>
      <w:r w:rsidRPr="00323F8D">
        <w:t>Question 2</w:t>
      </w:r>
    </w:p>
    <w:p w:rsidR="00C40684" w:rsidRPr="00783250" w:rsidRDefault="00C40684" w:rsidP="00783250">
      <w:pPr>
        <w:rPr>
          <w:i/>
          <w:iCs/>
        </w:rPr>
      </w:pPr>
      <w:r w:rsidRPr="00783250">
        <w:rPr>
          <w:i/>
          <w:iCs/>
        </w:rPr>
        <w:t>Please clarify when patients received a spinal cord MRI and how this contributed to eligibility at baseline and the occurrence of the McDonald MS endpoint.</w:t>
      </w:r>
    </w:p>
    <w:p w:rsidR="00C40684" w:rsidRDefault="00C40684" w:rsidP="00C40684">
      <w:r>
        <w:t xml:space="preserve">The </w:t>
      </w:r>
      <w:r w:rsidR="00783250">
        <w:t xml:space="preserve">evaluator’s overview of the responses and assessment of the </w:t>
      </w:r>
      <w:r>
        <w:t xml:space="preserve">new data </w:t>
      </w:r>
      <w:r w:rsidR="00783250">
        <w:t xml:space="preserve">are </w:t>
      </w:r>
      <w:r>
        <w:t xml:space="preserve">below: </w:t>
      </w:r>
    </w:p>
    <w:p w:rsidR="00C40684" w:rsidRDefault="00772AC5" w:rsidP="00C40684">
      <w:pPr>
        <w:pStyle w:val="Heading5"/>
      </w:pPr>
      <w:bookmarkStart w:id="84" w:name="_Ref347406516"/>
      <w:bookmarkStart w:id="85" w:name="_Toc348084009"/>
      <w:r>
        <w:t>Sponsor’s r</w:t>
      </w:r>
      <w:r w:rsidR="00C40684">
        <w:t xml:space="preserve">esponse to </w:t>
      </w:r>
      <w:r>
        <w:t>q</w:t>
      </w:r>
      <w:r w:rsidR="00C40684">
        <w:t>uestion 1</w:t>
      </w:r>
      <w:bookmarkEnd w:id="84"/>
      <w:bookmarkEnd w:id="85"/>
    </w:p>
    <w:p w:rsidR="00C40684" w:rsidRDefault="00C40684" w:rsidP="00C40684">
      <w:r>
        <w:t xml:space="preserve">The pivotal CIS study (REFLEX) was intended to exclude patients who had MS because it was already clear from prior studies that </w:t>
      </w:r>
      <w:proofErr w:type="spellStart"/>
      <w:r>
        <w:t>Rebi</w:t>
      </w:r>
      <w:r w:rsidR="001F7705">
        <w:t>f</w:t>
      </w:r>
      <w:proofErr w:type="spellEnd"/>
      <w:r w:rsidR="001F7705">
        <w:t xml:space="preserve"> is useful in subjects with MS</w:t>
      </w:r>
      <w:r>
        <w:t xml:space="preserve"> and </w:t>
      </w:r>
      <w:proofErr w:type="spellStart"/>
      <w:r>
        <w:t>Rebif</w:t>
      </w:r>
      <w:proofErr w:type="spellEnd"/>
      <w:r>
        <w:t xml:space="preserve"> is already registered for this indication. At the time of recruitment, MS was diagnosed using McDonald 2005 criteria. Because definitions of MS have changed in recent years, becoming more inclusive, </w:t>
      </w:r>
      <w:r w:rsidR="00E530D7">
        <w:t xml:space="preserve">about </w:t>
      </w:r>
      <w:r>
        <w:t>38% of the original cohort recruited to the pivotal CIS study would now be considered to have had MS</w:t>
      </w:r>
      <w:r w:rsidRPr="002553D4">
        <w:rPr>
          <w:i/>
        </w:rPr>
        <w:t xml:space="preserve"> at the time of recruitment</w:t>
      </w:r>
      <w:r>
        <w:rPr>
          <w:i/>
        </w:rPr>
        <w:t xml:space="preserve">, </w:t>
      </w:r>
      <w:r>
        <w:t xml:space="preserve">using McDonald 2010 diagnostic criteria. That is, they would not have been considered to have CIS if the study had been designed at the time of the submission and evaluation, and would not be eligible; instead they would be considered to have MS already and would potentially receive </w:t>
      </w:r>
      <w:proofErr w:type="spellStart"/>
      <w:r>
        <w:t>Rebif</w:t>
      </w:r>
      <w:proofErr w:type="spellEnd"/>
      <w:r>
        <w:t xml:space="preserve"> according to existing indications.</w:t>
      </w:r>
    </w:p>
    <w:p w:rsidR="00B3393A" w:rsidRPr="00B3393A" w:rsidRDefault="00B3393A" w:rsidP="00B3393A">
      <w:r w:rsidRPr="00B3393A">
        <w:lastRenderedPageBreak/>
        <w:t xml:space="preserve">The inclusion of these borderline MS subjects raises problems in interpreting the REFLEX study. If the benefit demonstrated in REFLEX was largely due to accidental inclusion of these borderline MS subjects (positive for M by 2010 criteria, but negative for MS by 2005 criteria), then this would leave open the possibility that </w:t>
      </w:r>
      <w:proofErr w:type="spellStart"/>
      <w:r w:rsidRPr="00B3393A">
        <w:t>Rebif</w:t>
      </w:r>
      <w:proofErr w:type="spellEnd"/>
      <w:r w:rsidRPr="00B3393A">
        <w:t xml:space="preserve"> has a substantially weaker benefit in “true CIS” subjects (negative for MS by both 2010 and 2005 criteria). In that case, the new CIS indication would not be appropriate.</w:t>
      </w:r>
    </w:p>
    <w:p w:rsidR="00B3393A" w:rsidRPr="00B3393A" w:rsidRDefault="00B3393A" w:rsidP="00B3393A">
      <w:r w:rsidRPr="00B3393A">
        <w:t>In response to this concern, the sponsor has submitted a post-hoc subgroup analysis in which the original cohort of McDonald 2005-negative CIS subjects was divided into McDonald 2010-positive subjects who could, in retrospect, be diagnosed with MS, and McDonald 2010-negative subjects who would still be considered to have CIS by modern diagnostic criteria (“true CIS”). Although retrospective, this post-hoc subgroup assignment could be achieved by reassessing MRI data that was obtained prospectively, and it is likely to have been substantially accurate. (One imperfection in the data, impossible to correct in retrospect, was that spinal cord MRIs were only performed in case of spinal symptoms, for purposes of differential diagnosis at baseline. Lesions in the spinal cord can contribute to a diagnosis of McDonald 2010 MS, so a few cases of McDonald 2010-positive subjects could have been missed. This is very unlikely to have had a substantial impact on the analysis; see the discussion of Question 2).</w:t>
      </w:r>
    </w:p>
    <w:p w:rsidR="00B3393A" w:rsidRPr="00B3393A" w:rsidRDefault="00B3393A" w:rsidP="00B3393A">
      <w:r w:rsidRPr="00B3393A">
        <w:t>The sponsor reassessed the primary endpoint (conversion to McDonald 2005 MS) and the main secondary endpoint (conversion to CDMS) in this subgroup analysis, using the same statistical methods as in the intent-to-treat (ITT) cohort. Because the analysis was post hoc, it was considered to be exploratory.</w:t>
      </w:r>
    </w:p>
    <w:p w:rsidR="00B3393A" w:rsidRPr="00B3393A" w:rsidRDefault="00B3393A" w:rsidP="00B3393A">
      <w:r w:rsidRPr="00B3393A">
        <w:t>The results are shown in the tables below.</w:t>
      </w:r>
    </w:p>
    <w:p w:rsidR="00C40684" w:rsidRDefault="00B3393A" w:rsidP="00B3393A">
      <w:r w:rsidRPr="00B3393A">
        <w:t>In the overall study population, 37.7% of subjects could be retrospectively diagnosed with McDonald 2010 MS at baseline. Dissemination of disease in space (as demonstrated by MRI or multifocal presentation) was present at baseline in 83.4% of subjects, and dissemination in time was suggested by contrasting-enhancing lesions in 41% of subjects, with the McDonald 2010-positive subgroup showing both types of dissemination. The incidence of McDonald 2010 positivity was broadly similar in the group receiving the</w:t>
      </w:r>
      <w:r w:rsidR="00C40684">
        <w:t xml:space="preserve"> the standard, proposed dose of </w:t>
      </w:r>
      <w:proofErr w:type="spellStart"/>
      <w:r w:rsidR="00C40684">
        <w:t>Rebif</w:t>
      </w:r>
      <w:proofErr w:type="spellEnd"/>
      <w:r w:rsidR="00C40684">
        <w:t xml:space="preserve"> 44</w:t>
      </w:r>
      <w:r w:rsidR="00722593">
        <w:t xml:space="preserve"> </w:t>
      </w:r>
      <w:r w:rsidR="00A51BE8">
        <w:t>µ</w:t>
      </w:r>
      <w:r w:rsidR="00C40684">
        <w:t>g TIW (36.</w:t>
      </w:r>
      <w:r w:rsidR="00D62033">
        <w:t>3</w:t>
      </w:r>
      <w:r w:rsidR="00C40684">
        <w:t xml:space="preserve">%) </w:t>
      </w:r>
      <w:r w:rsidR="00D62033">
        <w:t>as in th</w:t>
      </w:r>
      <w:r w:rsidR="00346F0A">
        <w:t xml:space="preserve">e placebo group (39.2%) </w:t>
      </w:r>
      <w:proofErr w:type="gramStart"/>
      <w:r w:rsidR="00346F0A">
        <w:t>(Table 1</w:t>
      </w:r>
      <w:r w:rsidR="00D62033">
        <w:t>).</w:t>
      </w:r>
      <w:proofErr w:type="gramEnd"/>
    </w:p>
    <w:p w:rsidR="00D62144" w:rsidRDefault="00746B33" w:rsidP="00772AC5">
      <w:pPr>
        <w:pStyle w:val="TableTitle"/>
        <w:rPr>
          <w:lang w:val="en-GB"/>
        </w:rPr>
      </w:pPr>
      <w:proofErr w:type="gramStart"/>
      <w:r>
        <w:t>Table 1</w:t>
      </w:r>
      <w:r w:rsidR="00D62144">
        <w:t>:</w:t>
      </w:r>
      <w:r w:rsidR="00D62144" w:rsidRPr="004C5C28">
        <w:t xml:space="preserve"> </w:t>
      </w:r>
      <w:r w:rsidR="00D62144">
        <w:t>Baseline characteristics leading to retrospective McDonald 2010 MS diagnosis.</w:t>
      </w:r>
      <w:proofErr w:type="gramEnd"/>
    </w:p>
    <w:p w:rsidR="00416A4D" w:rsidRDefault="00226E78" w:rsidP="00772AC5">
      <w:pPr>
        <w:rPr>
          <w:noProof/>
          <w:lang w:eastAsia="en-AU"/>
        </w:rPr>
      </w:pPr>
      <w:r>
        <w:rPr>
          <w:noProof/>
          <w:lang w:eastAsia="en-AU"/>
        </w:rPr>
        <w:drawing>
          <wp:inline distT="0" distB="0" distL="0" distR="0">
            <wp:extent cx="3834130" cy="1691005"/>
            <wp:effectExtent l="19050" t="0" r="0" b="0"/>
            <wp:docPr id="4" name="Picture 4" descr="Table 1: Baseline characteristics leading to retrospective McDonald 2010 MS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le 2: Baseline characteristics leading to retrospective McDonald 2010 MS diagnosis."/>
                    <pic:cNvPicPr>
                      <a:picLocks noChangeAspect="1" noChangeArrowheads="1"/>
                    </pic:cNvPicPr>
                  </pic:nvPicPr>
                  <pic:blipFill>
                    <a:blip r:embed="rId13" cstate="print"/>
                    <a:srcRect/>
                    <a:stretch>
                      <a:fillRect/>
                    </a:stretch>
                  </pic:blipFill>
                  <pic:spPr bwMode="auto">
                    <a:xfrm>
                      <a:off x="0" y="0"/>
                      <a:ext cx="3834130" cy="1691005"/>
                    </a:xfrm>
                    <a:prstGeom prst="rect">
                      <a:avLst/>
                    </a:prstGeom>
                    <a:noFill/>
                    <a:ln w="9525">
                      <a:noFill/>
                      <a:miter lim="800000"/>
                      <a:headEnd/>
                      <a:tailEnd/>
                    </a:ln>
                  </pic:spPr>
                </pic:pic>
              </a:graphicData>
            </a:graphic>
          </wp:inline>
        </w:drawing>
      </w:r>
    </w:p>
    <w:p w:rsidR="00B3393A" w:rsidRPr="00B3393A" w:rsidRDefault="00B3393A" w:rsidP="00B3393A">
      <w:r w:rsidRPr="00B3393A">
        <w:t>Baseline disease characteristics in the McDonald 2010-positive and McDonald 2010-negativ</w:t>
      </w:r>
      <w:r w:rsidR="00746B33">
        <w:t>e subgroups are shown in Table 2</w:t>
      </w:r>
      <w:r w:rsidRPr="00B3393A">
        <w:t>. Not surprisingly, the two subgroups show substantial differences for those features leading to the McDonald 2010 diagnosis, such as multifocal disease and contrast enhancing lesions.</w:t>
      </w:r>
    </w:p>
    <w:p w:rsidR="00722593" w:rsidRDefault="00746B33" w:rsidP="00772AC5">
      <w:pPr>
        <w:pStyle w:val="TableTitle"/>
        <w:rPr>
          <w:lang w:val="en-GB"/>
        </w:rPr>
      </w:pPr>
      <w:proofErr w:type="gramStart"/>
      <w:r>
        <w:lastRenderedPageBreak/>
        <w:t>Table 2</w:t>
      </w:r>
      <w:r w:rsidR="00722593">
        <w:t>:</w:t>
      </w:r>
      <w:r w:rsidR="00722593" w:rsidRPr="004C5C28">
        <w:t xml:space="preserve"> </w:t>
      </w:r>
      <w:r w:rsidR="00722593">
        <w:t>Baseline demographic, disease and magnetic resonance imaging characteristics.</w:t>
      </w:r>
      <w:proofErr w:type="gramEnd"/>
    </w:p>
    <w:p w:rsidR="00D62144" w:rsidRDefault="00226E78" w:rsidP="00772AC5">
      <w:pPr>
        <w:rPr>
          <w:noProof/>
          <w:lang w:eastAsia="en-AU"/>
        </w:rPr>
      </w:pPr>
      <w:r>
        <w:rPr>
          <w:noProof/>
          <w:lang w:eastAsia="en-AU"/>
        </w:rPr>
        <w:drawing>
          <wp:inline distT="0" distB="0" distL="0" distR="0">
            <wp:extent cx="3533775" cy="2148205"/>
            <wp:effectExtent l="19050" t="0" r="9525" b="0"/>
            <wp:docPr id="5" name="Picture 5" descr="Table 2: Baseline demographic, disease and magnetic resonance imaging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 3: Baseline demographic, disease and magnetic resonance imaging characteristics."/>
                    <pic:cNvPicPr>
                      <a:picLocks noChangeAspect="1" noChangeArrowheads="1"/>
                    </pic:cNvPicPr>
                  </pic:nvPicPr>
                  <pic:blipFill>
                    <a:blip r:embed="rId14" cstate="print"/>
                    <a:srcRect/>
                    <a:stretch>
                      <a:fillRect/>
                    </a:stretch>
                  </pic:blipFill>
                  <pic:spPr bwMode="auto">
                    <a:xfrm>
                      <a:off x="0" y="0"/>
                      <a:ext cx="3533775" cy="2148205"/>
                    </a:xfrm>
                    <a:prstGeom prst="rect">
                      <a:avLst/>
                    </a:prstGeom>
                    <a:noFill/>
                    <a:ln w="9525">
                      <a:noFill/>
                      <a:miter lim="800000"/>
                      <a:headEnd/>
                      <a:tailEnd/>
                    </a:ln>
                  </pic:spPr>
                </pic:pic>
              </a:graphicData>
            </a:graphic>
          </wp:inline>
        </w:drawing>
      </w:r>
    </w:p>
    <w:p w:rsidR="00667AC4" w:rsidRDefault="00B3393A" w:rsidP="00667AC4">
      <w:r w:rsidRPr="00B3393A">
        <w:t xml:space="preserve">Results for the primary endpoint are in Table </w:t>
      </w:r>
      <w:r w:rsidR="00746B33">
        <w:t>3</w:t>
      </w:r>
      <w:r w:rsidRPr="00B3393A">
        <w:t xml:space="preserve">. Even in McDonald 2010-negative (“true CIS”) subjects, there was a substantial risk of converting to McDonald 2005 MS after two years, amounting to a 79% cumulative risk in the placebo treated subjects. Active treatment with the proposed 44 µg </w:t>
      </w:r>
      <w:proofErr w:type="spellStart"/>
      <w:r w:rsidRPr="00B3393A">
        <w:t>tiw</w:t>
      </w:r>
      <w:proofErr w:type="spellEnd"/>
      <w:r w:rsidRPr="00B3393A">
        <w:t xml:space="preserve"> dose reduced this risk significantly, to 53% over two years, consistent with a HR of 0.49 (95%CI 0.35; 0.69, p&lt;0.001). This HR is the same as estimated in the original cohort of McDonald 2010-positive and McDonald 2010-negative patients, but with a slightly broade</w:t>
      </w:r>
      <w:r w:rsidR="00772AC5">
        <w:t>r 95% Confidence Interval (CI).</w:t>
      </w:r>
    </w:p>
    <w:p w:rsidR="00667AC4" w:rsidRDefault="00667AC4" w:rsidP="00772AC5">
      <w:pPr>
        <w:pStyle w:val="TableTitle"/>
        <w:rPr>
          <w:lang w:val="en-GB"/>
        </w:rPr>
      </w:pPr>
      <w:r>
        <w:t xml:space="preserve">Table </w:t>
      </w:r>
      <w:r w:rsidR="00746B33">
        <w:t>3</w:t>
      </w:r>
      <w:r>
        <w:t>:</w:t>
      </w:r>
      <w:r w:rsidRPr="004C5C28">
        <w:t xml:space="preserve"> </w:t>
      </w:r>
      <w:r>
        <w:t xml:space="preserve">Analysis of the time to conversion to McDonald 2005 MS by McDonald 2010 MS status at </w:t>
      </w:r>
      <w:proofErr w:type="spellStart"/>
      <w:r>
        <w:t>baseline.</w:t>
      </w:r>
      <w:r w:rsidRPr="00667AC4">
        <w:rPr>
          <w:vertAlign w:val="superscript"/>
        </w:rPr>
        <w:t>a</w:t>
      </w:r>
      <w:proofErr w:type="spellEnd"/>
    </w:p>
    <w:p w:rsidR="00667AC4" w:rsidRDefault="00226E78" w:rsidP="00772AC5">
      <w:r>
        <w:rPr>
          <w:noProof/>
          <w:lang w:eastAsia="en-AU"/>
        </w:rPr>
        <w:drawing>
          <wp:inline distT="0" distB="0" distL="0" distR="0">
            <wp:extent cx="4676775" cy="2124075"/>
            <wp:effectExtent l="19050" t="0" r="9525" b="0"/>
            <wp:docPr id="6" name="Picture 6" descr="Table 3: Analysis of the time to conversion to McDonald 2005 MS by McDonald 2010 MS status at base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ble 4: Analysis of the time to conversion to McDonald 2005 MS by McDonald 2010 MS status at baseline.a"/>
                    <pic:cNvPicPr>
                      <a:picLocks noChangeAspect="1" noChangeArrowheads="1"/>
                    </pic:cNvPicPr>
                  </pic:nvPicPr>
                  <pic:blipFill>
                    <a:blip r:embed="rId15" cstate="print"/>
                    <a:srcRect/>
                    <a:stretch>
                      <a:fillRect/>
                    </a:stretch>
                  </pic:blipFill>
                  <pic:spPr bwMode="auto">
                    <a:xfrm>
                      <a:off x="0" y="0"/>
                      <a:ext cx="4676775" cy="2124075"/>
                    </a:xfrm>
                    <a:prstGeom prst="rect">
                      <a:avLst/>
                    </a:prstGeom>
                    <a:noFill/>
                    <a:ln w="9525">
                      <a:noFill/>
                      <a:miter lim="800000"/>
                      <a:headEnd/>
                      <a:tailEnd/>
                    </a:ln>
                  </pic:spPr>
                </pic:pic>
              </a:graphicData>
            </a:graphic>
          </wp:inline>
        </w:drawing>
      </w:r>
    </w:p>
    <w:p w:rsidR="00B3393A" w:rsidRPr="00B3393A" w:rsidRDefault="00B3393A" w:rsidP="00B3393A">
      <w:r w:rsidRPr="00B3393A">
        <w:t xml:space="preserve">In subjects who already had McDonald 2010 MS at baseline, the risk of converting to McDonald 2005 MS over two years was very high: 97% in the placebo group, confirming </w:t>
      </w:r>
      <w:proofErr w:type="gramStart"/>
      <w:r w:rsidRPr="00B3393A">
        <w:t>the</w:t>
      </w:r>
      <w:proofErr w:type="gramEnd"/>
      <w:r w:rsidRPr="00B3393A">
        <w:t xml:space="preserve"> notion that the new McDonald 2010 criteria have high specificity for MS and merely enable earlier diagnosis. Active treatment of McDonald 2010-positive patients reduced conversion to McDonald 2005 MS over two years, but a clear majority of these patients (79%) converted anyway. From one perspective, it appears disappointing that only 18% of these subjects (97%-79%) managed to avoid McDonald 2005 MS through active treatment, but from another perspective they were “converting” to a disease that they already had, and were merely crossing a subtle diagnostic threshold from one set of diagnostic criteria to another. The HR in this subgroup was favourable, at 0.54, with clear statistical significance (95% CI 0.37; 0.78. p=0.001).</w:t>
      </w:r>
    </w:p>
    <w:p w:rsidR="009560A1" w:rsidRDefault="00B3393A" w:rsidP="009560A1">
      <w:r w:rsidRPr="00B3393A">
        <w:t xml:space="preserve">For the main secondary endpoint of CDMS, broadly similar results were obtained, though this endpoint was reached less commonly and the analysis had less statistical power (Table </w:t>
      </w:r>
      <w:r w:rsidR="00746B33">
        <w:t>4</w:t>
      </w:r>
      <w:r w:rsidRPr="00B3393A">
        <w:t xml:space="preserve">). The two year risk of CDMS in placebo recipients was 38% overall, with a somewhat lower risk (32%) in McDonald 2010-negative subjects and a higher risk (46%) in McDonald 2010-positive subjects. Active treatment with </w:t>
      </w:r>
      <w:proofErr w:type="spellStart"/>
      <w:r w:rsidRPr="00B3393A">
        <w:t>Rebif</w:t>
      </w:r>
      <w:proofErr w:type="spellEnd"/>
      <w:r w:rsidRPr="00B3393A">
        <w:t xml:space="preserve"> 44 µg TIW significantly </w:t>
      </w:r>
      <w:r w:rsidRPr="00B3393A">
        <w:lastRenderedPageBreak/>
        <w:t>reduced the risk of CDMS in both McDonald 2010-negative and McDonald 2010-positive subjects, even though the study was not originally powered for such an analysis. In the McDonald 2010-negative subgroup, conversion to CDMS was reduced to 19% with active treatment, consistent with an attributable reduction of 13% and a HR of 0.53 (95%CI 0.30; 0.93, p&lt;0.028). In the higher risk McDonald 2010-positive subgroup, conversion was reduced to 24%, consistent with an attributable reduction of 22% and a HR of 0.44 (95% CI 0.23; 0.83, p=0.011).</w:t>
      </w:r>
    </w:p>
    <w:p w:rsidR="009560A1" w:rsidRPr="009975DF" w:rsidRDefault="009560A1" w:rsidP="00772AC5">
      <w:pPr>
        <w:pStyle w:val="TableTitle"/>
        <w:rPr>
          <w:vertAlign w:val="superscript"/>
          <w:lang w:val="en-GB"/>
        </w:rPr>
      </w:pPr>
      <w:r>
        <w:t xml:space="preserve">Table </w:t>
      </w:r>
      <w:r w:rsidR="00746B33">
        <w:t>4</w:t>
      </w:r>
      <w:r>
        <w:t>:</w:t>
      </w:r>
      <w:r w:rsidRPr="004C5C28">
        <w:t xml:space="preserve"> </w:t>
      </w:r>
      <w:r w:rsidR="009975DF">
        <w:t xml:space="preserve">Analysis of the time to conversion to CDMS by McDonald 2010 MS status at </w:t>
      </w:r>
      <w:proofErr w:type="spellStart"/>
      <w:r w:rsidR="009975DF">
        <w:t>baseline</w:t>
      </w:r>
      <w:r>
        <w:t>.</w:t>
      </w:r>
      <w:r w:rsidR="009975DF">
        <w:rPr>
          <w:vertAlign w:val="superscript"/>
        </w:rPr>
        <w:t>a</w:t>
      </w:r>
      <w:proofErr w:type="spellEnd"/>
    </w:p>
    <w:p w:rsidR="00667AC4" w:rsidRDefault="00226E78" w:rsidP="00772AC5">
      <w:r>
        <w:rPr>
          <w:noProof/>
          <w:lang w:eastAsia="en-AU"/>
        </w:rPr>
        <w:drawing>
          <wp:inline distT="0" distB="0" distL="0" distR="0">
            <wp:extent cx="4662805" cy="2371725"/>
            <wp:effectExtent l="19050" t="0" r="4445" b="0"/>
            <wp:docPr id="7" name="Picture 7" descr="Table 4: Analysis of the time to conversion to CDMS by McDonald 2010 MS status at base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le 5: Analysis of the time to conversion to CDMS by McDonald 2010 MS status at baseline.a"/>
                    <pic:cNvPicPr>
                      <a:picLocks noChangeAspect="1" noChangeArrowheads="1"/>
                    </pic:cNvPicPr>
                  </pic:nvPicPr>
                  <pic:blipFill>
                    <a:blip r:embed="rId16" cstate="print"/>
                    <a:srcRect/>
                    <a:stretch>
                      <a:fillRect/>
                    </a:stretch>
                  </pic:blipFill>
                  <pic:spPr bwMode="auto">
                    <a:xfrm>
                      <a:off x="0" y="0"/>
                      <a:ext cx="4662805" cy="2371725"/>
                    </a:xfrm>
                    <a:prstGeom prst="rect">
                      <a:avLst/>
                    </a:prstGeom>
                    <a:noFill/>
                    <a:ln w="9525">
                      <a:noFill/>
                      <a:miter lim="800000"/>
                      <a:headEnd/>
                      <a:tailEnd/>
                    </a:ln>
                  </pic:spPr>
                </pic:pic>
              </a:graphicData>
            </a:graphic>
          </wp:inline>
        </w:drawing>
      </w:r>
    </w:p>
    <w:p w:rsidR="009560A1" w:rsidRDefault="004F16EF" w:rsidP="009560A1">
      <w:r>
        <w:t>As part of the</w:t>
      </w:r>
      <w:r w:rsidR="009560A1" w:rsidRPr="009560A1">
        <w:t xml:space="preserve"> response to this question, the sponsor included a poster</w:t>
      </w:r>
      <w:r w:rsidR="009C178B">
        <w:rPr>
          <w:rStyle w:val="FootnoteReference"/>
        </w:rPr>
        <w:footnoteReference w:id="7"/>
      </w:r>
      <w:r w:rsidR="009560A1" w:rsidRPr="009560A1">
        <w:t xml:space="preserve"> presented at the 5</w:t>
      </w:r>
      <w:r w:rsidR="009560A1" w:rsidRPr="00783250">
        <w:rPr>
          <w:vertAlign w:val="superscript"/>
        </w:rPr>
        <w:t>th</w:t>
      </w:r>
      <w:r w:rsidR="00783250">
        <w:t xml:space="preserve"> </w:t>
      </w:r>
      <w:r w:rsidR="009560A1" w:rsidRPr="009560A1">
        <w:t>Joint Triennial Congress of the European and Americas Committees for Treatment and Research in Multiple Sclerosis (ECTRIMS/ACTRIMS)</w:t>
      </w:r>
      <w:r w:rsidR="009C178B">
        <w:t xml:space="preserve"> in 2011</w:t>
      </w:r>
      <w:r w:rsidR="009560A1" w:rsidRPr="009560A1">
        <w:t xml:space="preserve">; this poster presented </w:t>
      </w:r>
      <w:r w:rsidR="00F455C5" w:rsidRPr="009560A1">
        <w:t xml:space="preserve">essentially </w:t>
      </w:r>
      <w:r w:rsidR="009560A1" w:rsidRPr="009560A1">
        <w:t>the same analysis requested in the first round evaluation, though the analysis was performed independently of the evaluation process.</w:t>
      </w:r>
      <w:r w:rsidR="009C178B">
        <w:t xml:space="preserve"> </w:t>
      </w:r>
      <w:r w:rsidR="00B32542">
        <w:t>Figures 1-4 from that poster are reproduced below</w:t>
      </w:r>
      <w:r w:rsidR="009560A1" w:rsidRPr="009560A1">
        <w:t xml:space="preserve"> and illustrate that both </w:t>
      </w:r>
      <w:r w:rsidR="00B3393A">
        <w:t>McDonald 2010</w:t>
      </w:r>
      <w:r w:rsidR="009560A1" w:rsidRPr="009560A1">
        <w:t xml:space="preserve">-negative and </w:t>
      </w:r>
      <w:r w:rsidR="00B3393A">
        <w:t>McDonald 2010</w:t>
      </w:r>
      <w:r w:rsidR="009560A1" w:rsidRPr="009560A1">
        <w:t xml:space="preserve">-negative patients in the REFLEX study showed a significant benefit with active treatment, though the absolute risk of progression was higher, as expected, in </w:t>
      </w:r>
      <w:r w:rsidR="00B3393A">
        <w:t>McDonald 2010</w:t>
      </w:r>
      <w:r w:rsidR="009560A1" w:rsidRPr="009560A1">
        <w:t>-positive patients.</w:t>
      </w:r>
    </w:p>
    <w:p w:rsidR="009560A1" w:rsidRDefault="009560A1" w:rsidP="00783250">
      <w:pPr>
        <w:pStyle w:val="FigureTitle"/>
        <w:keepNext/>
        <w:rPr>
          <w:lang w:val="en-GB"/>
        </w:rPr>
      </w:pPr>
      <w:r>
        <w:lastRenderedPageBreak/>
        <w:t>Figure 1:</w:t>
      </w:r>
      <w:r w:rsidRPr="004C5C28">
        <w:t xml:space="preserve"> </w:t>
      </w:r>
      <w:r w:rsidR="00093DEB">
        <w:t>Conversion to McDonald 2005 MS by McDonald 2010 MS criteria status at baseline</w:t>
      </w:r>
      <w:r>
        <w:t>.</w:t>
      </w:r>
    </w:p>
    <w:p w:rsidR="009560A1" w:rsidRPr="009560A1" w:rsidRDefault="00226E78" w:rsidP="00772AC5">
      <w:r>
        <w:rPr>
          <w:noProof/>
          <w:lang w:eastAsia="en-AU"/>
        </w:rPr>
        <w:drawing>
          <wp:inline distT="0" distB="0" distL="0" distR="0">
            <wp:extent cx="4048125" cy="3200400"/>
            <wp:effectExtent l="19050" t="0" r="9525" b="0"/>
            <wp:docPr id="8" name="Picture 8" descr="Figure 1: Conversion to McDonald 2005 MS by McDonald 2010 MS criteria status at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1: Conversion to McDonald 2005 MS by McDonald 2010 MS criteria status at baseline."/>
                    <pic:cNvPicPr>
                      <a:picLocks noChangeAspect="1" noChangeArrowheads="1"/>
                    </pic:cNvPicPr>
                  </pic:nvPicPr>
                  <pic:blipFill>
                    <a:blip r:embed="rId17" cstate="print"/>
                    <a:srcRect/>
                    <a:stretch>
                      <a:fillRect/>
                    </a:stretch>
                  </pic:blipFill>
                  <pic:spPr bwMode="auto">
                    <a:xfrm>
                      <a:off x="0" y="0"/>
                      <a:ext cx="4048125" cy="3200400"/>
                    </a:xfrm>
                    <a:prstGeom prst="rect">
                      <a:avLst/>
                    </a:prstGeom>
                    <a:noFill/>
                    <a:ln w="9525">
                      <a:noFill/>
                      <a:miter lim="800000"/>
                      <a:headEnd/>
                      <a:tailEnd/>
                    </a:ln>
                  </pic:spPr>
                </pic:pic>
              </a:graphicData>
            </a:graphic>
          </wp:inline>
        </w:drawing>
      </w:r>
    </w:p>
    <w:p w:rsidR="000C39E5" w:rsidRDefault="000C39E5" w:rsidP="000C39E5">
      <w:pPr>
        <w:pStyle w:val="FigureTitle"/>
        <w:rPr>
          <w:lang w:val="en-GB"/>
        </w:rPr>
      </w:pPr>
      <w:r>
        <w:t>Figure 2:</w:t>
      </w:r>
      <w:r w:rsidRPr="004C5C28">
        <w:t xml:space="preserve"> </w:t>
      </w:r>
      <w:r w:rsidR="004462E2">
        <w:t xml:space="preserve">Time to McDonald 2005 MS by McDonald 2010 MS status at baseline: Kaplan-Meier cumulative incidence </w:t>
      </w:r>
      <w:proofErr w:type="spellStart"/>
      <w:r w:rsidR="004462E2">
        <w:t>curves</w:t>
      </w:r>
      <w:r>
        <w:t>.</w:t>
      </w:r>
      <w:r w:rsidR="004462E2" w:rsidRPr="004462E2">
        <w:rPr>
          <w:vertAlign w:val="superscript"/>
        </w:rPr>
        <w:t>a</w:t>
      </w:r>
      <w:proofErr w:type="spellEnd"/>
    </w:p>
    <w:p w:rsidR="000C39E5" w:rsidRPr="009560A1" w:rsidRDefault="00226E78" w:rsidP="00772AC5">
      <w:r>
        <w:rPr>
          <w:noProof/>
          <w:lang w:eastAsia="en-AU"/>
        </w:rPr>
        <w:drawing>
          <wp:inline distT="0" distB="0" distL="0" distR="0">
            <wp:extent cx="3838575" cy="2486025"/>
            <wp:effectExtent l="19050" t="0" r="9525" b="0"/>
            <wp:docPr id="9" name="Picture 9" descr="Figure 2: Time to McDonald 2005 MS by McDonald 2010 MS status at baseline: Kaplan-Meier cumulative incidence curv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2: Time to McDonald 2005 MS by McDonald 2010 MS status at baseline: Kaplan-Meier cumulative incidence curves.a"/>
                    <pic:cNvPicPr>
                      <a:picLocks noChangeAspect="1" noChangeArrowheads="1"/>
                    </pic:cNvPicPr>
                  </pic:nvPicPr>
                  <pic:blipFill>
                    <a:blip r:embed="rId18" cstate="print"/>
                    <a:srcRect/>
                    <a:stretch>
                      <a:fillRect/>
                    </a:stretch>
                  </pic:blipFill>
                  <pic:spPr bwMode="auto">
                    <a:xfrm>
                      <a:off x="0" y="0"/>
                      <a:ext cx="3838575" cy="2486025"/>
                    </a:xfrm>
                    <a:prstGeom prst="rect">
                      <a:avLst/>
                    </a:prstGeom>
                    <a:noFill/>
                    <a:ln w="9525">
                      <a:noFill/>
                      <a:miter lim="800000"/>
                      <a:headEnd/>
                      <a:tailEnd/>
                    </a:ln>
                  </pic:spPr>
                </pic:pic>
              </a:graphicData>
            </a:graphic>
          </wp:inline>
        </w:drawing>
      </w:r>
    </w:p>
    <w:p w:rsidR="000C39E5" w:rsidRDefault="000C39E5" w:rsidP="00783250">
      <w:pPr>
        <w:pStyle w:val="FigureTitle"/>
        <w:keepNext/>
      </w:pPr>
      <w:r>
        <w:lastRenderedPageBreak/>
        <w:t>Figure 3:</w:t>
      </w:r>
      <w:r w:rsidRPr="004C5C28">
        <w:t xml:space="preserve"> </w:t>
      </w:r>
      <w:r w:rsidR="00A57731">
        <w:t>Conversion to CDMS by McDonald 2010 MS criteria status at baseline</w:t>
      </w:r>
      <w:r>
        <w:t>.</w:t>
      </w:r>
    </w:p>
    <w:p w:rsidR="00377975" w:rsidRDefault="00226E78" w:rsidP="00772AC5">
      <w:pPr>
        <w:rPr>
          <w:lang w:val="en-GB"/>
        </w:rPr>
      </w:pPr>
      <w:r>
        <w:rPr>
          <w:noProof/>
          <w:lang w:eastAsia="en-AU"/>
        </w:rPr>
        <w:drawing>
          <wp:inline distT="0" distB="0" distL="0" distR="0">
            <wp:extent cx="4348480" cy="5462905"/>
            <wp:effectExtent l="19050" t="0" r="0" b="0"/>
            <wp:docPr id="10" name="Picture 10" descr="Figure 3: Conversion to CDMS by McDonald 2010 MS criteria status at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3: Conversion to CDMS by McDonald 2010 MS criteria status at baseline"/>
                    <pic:cNvPicPr>
                      <a:picLocks noChangeAspect="1" noChangeArrowheads="1"/>
                    </pic:cNvPicPr>
                  </pic:nvPicPr>
                  <pic:blipFill>
                    <a:blip r:embed="rId19" cstate="print"/>
                    <a:srcRect/>
                    <a:stretch>
                      <a:fillRect/>
                    </a:stretch>
                  </pic:blipFill>
                  <pic:spPr bwMode="auto">
                    <a:xfrm>
                      <a:off x="0" y="0"/>
                      <a:ext cx="4348480" cy="5462905"/>
                    </a:xfrm>
                    <a:prstGeom prst="rect">
                      <a:avLst/>
                    </a:prstGeom>
                    <a:noFill/>
                    <a:ln w="9525">
                      <a:noFill/>
                      <a:miter lim="800000"/>
                      <a:headEnd/>
                      <a:tailEnd/>
                    </a:ln>
                  </pic:spPr>
                </pic:pic>
              </a:graphicData>
            </a:graphic>
          </wp:inline>
        </w:drawing>
      </w:r>
    </w:p>
    <w:p w:rsidR="000C39E5" w:rsidRPr="00767A70" w:rsidRDefault="000C39E5" w:rsidP="000C39E5">
      <w:pPr>
        <w:pStyle w:val="FigureTitle"/>
        <w:rPr>
          <w:vertAlign w:val="superscript"/>
          <w:lang w:val="en-GB"/>
        </w:rPr>
      </w:pPr>
      <w:r>
        <w:t>Figure 4:</w:t>
      </w:r>
      <w:r w:rsidRPr="004C5C28">
        <w:t xml:space="preserve"> </w:t>
      </w:r>
      <w:r w:rsidR="00767A70">
        <w:t xml:space="preserve">Time to CDMS by McDonald 2010 MS status at baseline: Kaplan-Meier cumulative incidence </w:t>
      </w:r>
      <w:proofErr w:type="spellStart"/>
      <w:r w:rsidR="00767A70">
        <w:t>curves</w:t>
      </w:r>
      <w:r>
        <w:t>.</w:t>
      </w:r>
      <w:r w:rsidR="00767A70">
        <w:rPr>
          <w:vertAlign w:val="superscript"/>
        </w:rPr>
        <w:t>a</w:t>
      </w:r>
      <w:proofErr w:type="spellEnd"/>
    </w:p>
    <w:p w:rsidR="000C39E5" w:rsidRPr="009560A1" w:rsidRDefault="00226E78" w:rsidP="00772AC5">
      <w:r>
        <w:rPr>
          <w:noProof/>
          <w:lang w:eastAsia="en-AU"/>
        </w:rPr>
        <w:drawing>
          <wp:inline distT="0" distB="0" distL="0" distR="0">
            <wp:extent cx="3886200" cy="2700655"/>
            <wp:effectExtent l="19050" t="0" r="0" b="0"/>
            <wp:docPr id="11" name="Picture 11" descr="Figure 4: Time to CDMS by McDonald 2010 MS status at baseline: Kaplan-Meier cumulative incidence curv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4: Time to CDMS by McDonald 2010 MS status at baseline: Kaplan-Meier cumulative incidence curves.a"/>
                    <pic:cNvPicPr>
                      <a:picLocks noChangeAspect="1" noChangeArrowheads="1"/>
                    </pic:cNvPicPr>
                  </pic:nvPicPr>
                  <pic:blipFill>
                    <a:blip r:embed="rId20" cstate="print"/>
                    <a:srcRect/>
                    <a:stretch>
                      <a:fillRect/>
                    </a:stretch>
                  </pic:blipFill>
                  <pic:spPr bwMode="auto">
                    <a:xfrm>
                      <a:off x="0" y="0"/>
                      <a:ext cx="3886200" cy="2700655"/>
                    </a:xfrm>
                    <a:prstGeom prst="rect">
                      <a:avLst/>
                    </a:prstGeom>
                    <a:noFill/>
                    <a:ln w="9525">
                      <a:noFill/>
                      <a:miter lim="800000"/>
                      <a:headEnd/>
                      <a:tailEnd/>
                    </a:ln>
                  </pic:spPr>
                </pic:pic>
              </a:graphicData>
            </a:graphic>
          </wp:inline>
        </w:drawing>
      </w:r>
    </w:p>
    <w:p w:rsidR="005D0EE0" w:rsidRDefault="005D0EE0" w:rsidP="005D0EE0">
      <w:r>
        <w:lastRenderedPageBreak/>
        <w:t>Overall, the sponsor’s post</w:t>
      </w:r>
      <w:r w:rsidR="00C04AB7">
        <w:t xml:space="preserve"> </w:t>
      </w:r>
      <w:r>
        <w:t xml:space="preserve">hoc analysis is reassuring. It confirms that the purported benefits in CIS patients can be achieved in subjects who are </w:t>
      </w:r>
      <w:r w:rsidR="00B3393A">
        <w:t>McDonald 2010</w:t>
      </w:r>
      <w:r>
        <w:t xml:space="preserve">-negative or </w:t>
      </w:r>
      <w:r w:rsidR="00B3393A">
        <w:t>McDonald 2010</w:t>
      </w:r>
      <w:r>
        <w:t xml:space="preserve">-positive, and that the proposed CIS indication identifies a group of subjects who can benefit from </w:t>
      </w:r>
      <w:proofErr w:type="spellStart"/>
      <w:r>
        <w:t>Rebif</w:t>
      </w:r>
      <w:proofErr w:type="spellEnd"/>
      <w:r>
        <w:t>, regardless of which MS criteria are applied in defining CIS.</w:t>
      </w:r>
    </w:p>
    <w:p w:rsidR="005D0EE0" w:rsidRDefault="005D0EE0" w:rsidP="005D0EE0">
      <w:r>
        <w:t>The results must be interpreted wit</w:t>
      </w:r>
      <w:r w:rsidR="00B86425">
        <w:t>h one important caveat:</w:t>
      </w:r>
      <w:r>
        <w:t xml:space="preserve"> subjects in the REFLEX study were required to have </w:t>
      </w:r>
      <w:r w:rsidRPr="00CB141A">
        <w:rPr>
          <w:i/>
        </w:rPr>
        <w:t>at least two</w:t>
      </w:r>
      <w:r>
        <w:t xml:space="preserve"> cerebral MRI lesions at baseline and were therefore at higher risk than CIS subjects with a lighter MRI lesion load. The </w:t>
      </w:r>
      <w:r w:rsidR="00B3393A">
        <w:t>McDonald 2010</w:t>
      </w:r>
      <w:r>
        <w:t xml:space="preserve">-negative patients in the study were not, therefore, representative of the broader </w:t>
      </w:r>
      <w:r w:rsidR="00B3393A">
        <w:t>McDonald 2010</w:t>
      </w:r>
      <w:r>
        <w:t>-negative CIS population encountered in clinical practice, some of whom would be expected to have only one or no cerebral MRI lesions. There is still no evidence that these single</w:t>
      </w:r>
      <w:r w:rsidR="008063FD">
        <w:t xml:space="preserve"> lesion or zero </w:t>
      </w:r>
      <w:r>
        <w:t xml:space="preserve">lesion CIS subjects can obtain benefit from </w:t>
      </w:r>
      <w:proofErr w:type="spellStart"/>
      <w:r>
        <w:t>Rebif</w:t>
      </w:r>
      <w:proofErr w:type="spellEnd"/>
      <w:r>
        <w:t xml:space="preserve">. Thus, </w:t>
      </w:r>
      <w:proofErr w:type="spellStart"/>
      <w:r>
        <w:t>Rebif</w:t>
      </w:r>
      <w:proofErr w:type="spellEnd"/>
      <w:r>
        <w:t xml:space="preserve"> is indicated for CIS subjects at high risk of conversion to MS, but not in subjects at low risk.</w:t>
      </w:r>
    </w:p>
    <w:p w:rsidR="005D0EE0" w:rsidRDefault="005D0EE0" w:rsidP="005D0EE0">
      <w:r>
        <w:t>The first</w:t>
      </w:r>
      <w:r w:rsidR="002B4B2D">
        <w:t xml:space="preserve"> </w:t>
      </w:r>
      <w:r>
        <w:t xml:space="preserve">round </w:t>
      </w:r>
      <w:r w:rsidR="00783250">
        <w:t xml:space="preserve">clinical </w:t>
      </w:r>
      <w:r>
        <w:t>evaluation pointed out that the definition of high</w:t>
      </w:r>
      <w:r w:rsidR="002B4B2D">
        <w:t xml:space="preserve"> </w:t>
      </w:r>
      <w:r>
        <w:t>risk MS, in particular the requirement for at least two cerebral lesions, needs to be included in the PI. This new data does not change the need for such a definition.</w:t>
      </w:r>
    </w:p>
    <w:p w:rsidR="005D0EE0" w:rsidRDefault="005D0EE0" w:rsidP="005D0EE0">
      <w:pPr>
        <w:pStyle w:val="Heading5"/>
      </w:pPr>
      <w:bookmarkStart w:id="86" w:name="_Ref347406315"/>
      <w:bookmarkStart w:id="87" w:name="_Toc348084010"/>
      <w:r>
        <w:t>S</w:t>
      </w:r>
      <w:r w:rsidR="00772AC5">
        <w:t>ponsor’s r</w:t>
      </w:r>
      <w:r>
        <w:t xml:space="preserve">esponse to </w:t>
      </w:r>
      <w:r w:rsidR="00772AC5">
        <w:t>q</w:t>
      </w:r>
      <w:r>
        <w:t>uestion 2</w:t>
      </w:r>
      <w:bookmarkEnd w:id="86"/>
      <w:bookmarkEnd w:id="87"/>
    </w:p>
    <w:p w:rsidR="005D0EE0" w:rsidRDefault="005D0EE0" w:rsidP="005D0EE0">
      <w:r>
        <w:t xml:space="preserve">In the initial submission, it was somewhat unclear when spinal MRIs were performed. The sponsor has now indicated that spinal MRI scans were </w:t>
      </w:r>
      <w:r w:rsidRPr="00E34E28">
        <w:rPr>
          <w:i/>
        </w:rPr>
        <w:t>not</w:t>
      </w:r>
      <w:r>
        <w:t xml:space="preserve"> performed routinely in all subjects at baseline, and </w:t>
      </w:r>
      <w:r w:rsidRPr="00E34E28">
        <w:rPr>
          <w:i/>
        </w:rPr>
        <w:t>not</w:t>
      </w:r>
      <w:r>
        <w:t xml:space="preserve"> performed routinely in monitoring for conversion to </w:t>
      </w:r>
      <w:r w:rsidR="00B3393A">
        <w:t>McDonald 2005</w:t>
      </w:r>
      <w:r>
        <w:t xml:space="preserve"> MS. Instead, subjects with symptoms suggest</w:t>
      </w:r>
      <w:r w:rsidR="00DB631B">
        <w:t>ive of spinal cord disease (that is,</w:t>
      </w:r>
      <w:r>
        <w:t xml:space="preserve"> </w:t>
      </w:r>
      <w:proofErr w:type="spellStart"/>
      <w:r>
        <w:t>paraparesis</w:t>
      </w:r>
      <w:proofErr w:type="spellEnd"/>
      <w:r>
        <w:t>, a transverse sensory level, or bladder dysfunction) received an MRI at baseline to exclude alternative diagnoses and subjects developing such symptoms during th</w:t>
      </w:r>
      <w:r w:rsidR="00772AC5">
        <w:t>e study were scanned as needed.</w:t>
      </w:r>
    </w:p>
    <w:p w:rsidR="005D0EE0" w:rsidRDefault="005D0EE0" w:rsidP="005D0EE0">
      <w:r>
        <w:t>This suggests that a small number of study patients may have had asymptomatic spinal cord lesions that were missed but this is very unlikely to have significantly modified the study’s results. Firstly, the spinal cord is a region in which plaques are highly likely to become symptomatic. Secondly, the same MRI approach was used in the active and placebo groups, with no likely source of bias. Thirdly, it is common clinical practice amongst neurologists to perform cerebral MRIs to monitor disease activity, and spinal MRIs only when prompted by symptoms, so the use of MRIs in the REFLEX study is fairly typical of the expected use of MRI in the target population of CIS subjects. This indicates that the results of the REFLEX study are likely to translate well into clinical practice.</w:t>
      </w:r>
    </w:p>
    <w:p w:rsidR="005D0EE0" w:rsidRDefault="005D0EE0" w:rsidP="00783250">
      <w:pPr>
        <w:pStyle w:val="Heading3"/>
      </w:pPr>
      <w:bookmarkStart w:id="88" w:name="_Toc373929692"/>
      <w:r>
        <w:t>Second round benefit-risk assessment</w:t>
      </w:r>
      <w:bookmarkEnd w:id="88"/>
    </w:p>
    <w:p w:rsidR="005D0EE0" w:rsidRPr="005D0EE0" w:rsidRDefault="005D0EE0" w:rsidP="005D0EE0">
      <w:r w:rsidRPr="005D0EE0">
        <w:t xml:space="preserve">The second round benefit risk assessment is essentially unchanged compared to the first round assessment. The new data provides extra reassurance in that benefit has been demonstrated even in those subjects with “true CIS”, in whom a diagnosis of MS cannot be made with McDonald 2010 criteria. </w:t>
      </w:r>
      <w:r w:rsidR="009963AA">
        <w:t>H</w:t>
      </w:r>
      <w:r w:rsidR="00AF1728">
        <w:t xml:space="preserve">azard </w:t>
      </w:r>
      <w:r w:rsidR="004F16EF">
        <w:t>r</w:t>
      </w:r>
      <w:r w:rsidR="00AF1728">
        <w:t>atio</w:t>
      </w:r>
      <w:r w:rsidR="009963AA">
        <w:t>s</w:t>
      </w:r>
      <w:r w:rsidRPr="005D0EE0">
        <w:t xml:space="preserve"> in the </w:t>
      </w:r>
      <w:r w:rsidR="00B3393A">
        <w:t>McDonald 2010</w:t>
      </w:r>
      <w:r w:rsidRPr="005D0EE0">
        <w:t xml:space="preserve">-positive and </w:t>
      </w:r>
      <w:r w:rsidR="00B3393A">
        <w:t>McDonald 2010</w:t>
      </w:r>
      <w:r w:rsidRPr="005D0EE0">
        <w:t>-negative subgroups were broadly similar.</w:t>
      </w:r>
    </w:p>
    <w:p w:rsidR="005D0EE0" w:rsidRDefault="005D0EE0" w:rsidP="00783250">
      <w:pPr>
        <w:pStyle w:val="Heading3"/>
      </w:pPr>
      <w:bookmarkStart w:id="89" w:name="_Toc373929693"/>
      <w:r>
        <w:t>Second round recommendation regarding authorisation</w:t>
      </w:r>
      <w:bookmarkEnd w:id="89"/>
    </w:p>
    <w:p w:rsidR="005D0EE0" w:rsidRDefault="005D0EE0" w:rsidP="005D0EE0">
      <w:r>
        <w:t xml:space="preserve">Following the recommended revisions to the proposed PI, the sponsor’s application to register </w:t>
      </w:r>
      <w:proofErr w:type="spellStart"/>
      <w:r>
        <w:t>Rebif</w:t>
      </w:r>
      <w:proofErr w:type="spellEnd"/>
      <w:r>
        <w:t xml:space="preserve"> 44 µg </w:t>
      </w:r>
      <w:proofErr w:type="spellStart"/>
      <w:r w:rsidR="00F20BD3">
        <w:t>tiw</w:t>
      </w:r>
      <w:proofErr w:type="spellEnd"/>
      <w:r>
        <w:t xml:space="preserve"> for treatment of subjects with CIS and at least two cerebral MRI lesions should be approved.</w:t>
      </w:r>
    </w:p>
    <w:p w:rsidR="00676460" w:rsidRPr="00676460" w:rsidRDefault="00676460" w:rsidP="00676460">
      <w:r>
        <w:t xml:space="preserve">The evaluator recommended the </w:t>
      </w:r>
      <w:r w:rsidRPr="00676460">
        <w:t>Indication</w:t>
      </w:r>
      <w:r>
        <w:t xml:space="preserve"> </w:t>
      </w:r>
      <w:r w:rsidRPr="00676460">
        <w:t>should be reworded to reflect the population actually studied in the pivotal trial, as follows (additions proposed by the evaluator underlined):</w:t>
      </w:r>
    </w:p>
    <w:p w:rsidR="00676460" w:rsidRPr="00676460" w:rsidRDefault="00676460" w:rsidP="00E77BC0">
      <w:pPr>
        <w:ind w:left="720"/>
        <w:rPr>
          <w:i/>
        </w:rPr>
      </w:pPr>
      <w:r w:rsidRPr="00676460">
        <w:rPr>
          <w:i/>
        </w:rPr>
        <w:lastRenderedPageBreak/>
        <w:t xml:space="preserve">“Patients with a single </w:t>
      </w:r>
      <w:proofErr w:type="spellStart"/>
      <w:r w:rsidRPr="00676460">
        <w:rPr>
          <w:i/>
        </w:rPr>
        <w:t>demyelinating</w:t>
      </w:r>
      <w:proofErr w:type="spellEnd"/>
      <w:r w:rsidRPr="00676460">
        <w:rPr>
          <w:i/>
        </w:rPr>
        <w:t xml:space="preserve"> event </w:t>
      </w:r>
      <w:r w:rsidRPr="00E77BC0">
        <w:rPr>
          <w:i/>
          <w:u w:val="single"/>
        </w:rPr>
        <w:t>in the central nervous system</w:t>
      </w:r>
      <w:r w:rsidRPr="00676460">
        <w:rPr>
          <w:i/>
        </w:rPr>
        <w:t xml:space="preserve"> with an active inflammatory process, if alternative diagnoses have been excluded, and if they are determined to be at </w:t>
      </w:r>
      <w:r w:rsidRPr="00E77BC0">
        <w:rPr>
          <w:i/>
          <w:u w:val="single"/>
        </w:rPr>
        <w:t>high</w:t>
      </w:r>
      <w:r w:rsidRPr="00676460">
        <w:rPr>
          <w:iCs/>
        </w:rPr>
        <w:t xml:space="preserve"> </w:t>
      </w:r>
      <w:r w:rsidRPr="00676460">
        <w:rPr>
          <w:i/>
        </w:rPr>
        <w:t xml:space="preserve">risk of developing relapsing multiple sclerosis. </w:t>
      </w:r>
      <w:r w:rsidRPr="00E77BC0">
        <w:rPr>
          <w:i/>
          <w:u w:val="single"/>
        </w:rPr>
        <w:t>High risk can be inferred from a cerebral MRI with 2 or more lesions suggestive of demyelination.</w:t>
      </w:r>
      <w:r w:rsidRPr="00676460">
        <w:rPr>
          <w:i/>
        </w:rPr>
        <w:t>”</w:t>
      </w:r>
    </w:p>
    <w:p w:rsidR="008E7846" w:rsidRPr="00E41208" w:rsidRDefault="008E7846" w:rsidP="008E7846">
      <w:pPr>
        <w:pStyle w:val="Heading2"/>
      </w:pPr>
      <w:bookmarkStart w:id="90" w:name="_Toc247691524"/>
      <w:bookmarkStart w:id="91" w:name="_Toc314842508"/>
      <w:bookmarkStart w:id="92" w:name="_Toc373929694"/>
      <w:r w:rsidRPr="00E41208">
        <w:t xml:space="preserve">V. Pharmacovigilance </w:t>
      </w:r>
      <w:r>
        <w:t>f</w:t>
      </w:r>
      <w:r w:rsidRPr="00E41208">
        <w:t>indings</w:t>
      </w:r>
      <w:bookmarkEnd w:id="90"/>
      <w:bookmarkEnd w:id="91"/>
      <w:bookmarkEnd w:id="92"/>
    </w:p>
    <w:p w:rsidR="008E7846" w:rsidRDefault="00386150" w:rsidP="008E7846">
      <w:pPr>
        <w:pStyle w:val="Heading3"/>
        <w:rPr>
          <w:lang w:eastAsia="en-AU"/>
        </w:rPr>
      </w:pPr>
      <w:bookmarkStart w:id="93" w:name="_Toc247691526"/>
      <w:bookmarkStart w:id="94" w:name="_Toc314842509"/>
      <w:bookmarkStart w:id="95" w:name="_Toc373929695"/>
      <w:r>
        <w:rPr>
          <w:lang w:eastAsia="en-AU"/>
        </w:rPr>
        <w:t>Risk m</w:t>
      </w:r>
      <w:r w:rsidR="008E7846">
        <w:rPr>
          <w:lang w:eastAsia="en-AU"/>
        </w:rPr>
        <w:t xml:space="preserve">anagement </w:t>
      </w:r>
      <w:r>
        <w:rPr>
          <w:lang w:eastAsia="en-AU"/>
        </w:rPr>
        <w:t>p</w:t>
      </w:r>
      <w:r w:rsidR="008E7846">
        <w:rPr>
          <w:lang w:eastAsia="en-AU"/>
        </w:rPr>
        <w:t>lan</w:t>
      </w:r>
      <w:bookmarkEnd w:id="93"/>
      <w:bookmarkEnd w:id="94"/>
      <w:bookmarkEnd w:id="95"/>
    </w:p>
    <w:p w:rsidR="000A4895" w:rsidRDefault="008E7846" w:rsidP="008E7846">
      <w:pPr>
        <w:rPr>
          <w:lang w:eastAsia="en-AU"/>
        </w:rPr>
      </w:pPr>
      <w:r>
        <w:rPr>
          <w:lang w:eastAsia="en-AU"/>
        </w:rPr>
        <w:t xml:space="preserve">The sponsor submitted a Risk Management Plan </w:t>
      </w:r>
      <w:r w:rsidR="002F6873">
        <w:rPr>
          <w:lang w:eastAsia="en-AU"/>
        </w:rPr>
        <w:t xml:space="preserve">(RMP) </w:t>
      </w:r>
      <w:r>
        <w:rPr>
          <w:lang w:eastAsia="en-AU"/>
        </w:rPr>
        <w:t>which was reviewed by the TGA’s Office of Product Review (OPR).</w:t>
      </w:r>
      <w:r w:rsidR="00746B33">
        <w:rPr>
          <w:lang w:eastAsia="en-AU"/>
        </w:rPr>
        <w:t xml:space="preserve"> </w:t>
      </w:r>
      <w:r w:rsidR="000A4895">
        <w:rPr>
          <w:lang w:eastAsia="en-AU"/>
        </w:rPr>
        <w:t xml:space="preserve">Table </w:t>
      </w:r>
      <w:r w:rsidR="00746B33">
        <w:rPr>
          <w:lang w:eastAsia="en-AU"/>
        </w:rPr>
        <w:t>5</w:t>
      </w:r>
      <w:r w:rsidR="000A4895">
        <w:rPr>
          <w:lang w:eastAsia="en-AU"/>
        </w:rPr>
        <w:t xml:space="preserve"> shows a summary of the </w:t>
      </w:r>
      <w:proofErr w:type="spellStart"/>
      <w:r w:rsidR="00450477">
        <w:rPr>
          <w:lang w:eastAsia="en-AU"/>
        </w:rPr>
        <w:t>Rebif</w:t>
      </w:r>
      <w:proofErr w:type="spellEnd"/>
      <w:r w:rsidR="00450477">
        <w:rPr>
          <w:lang w:eastAsia="en-AU"/>
        </w:rPr>
        <w:t xml:space="preserve"> </w:t>
      </w:r>
      <w:r w:rsidR="000A4895">
        <w:rPr>
          <w:lang w:eastAsia="en-AU"/>
        </w:rPr>
        <w:t>RMP.</w:t>
      </w:r>
    </w:p>
    <w:p w:rsidR="000A4895" w:rsidRDefault="00746B33" w:rsidP="00772AC5">
      <w:pPr>
        <w:pStyle w:val="TableTitle"/>
      </w:pPr>
      <w:r>
        <w:lastRenderedPageBreak/>
        <w:t>Table 5</w:t>
      </w:r>
      <w:r w:rsidR="000A4895">
        <w:t>:</w:t>
      </w:r>
      <w:r w:rsidR="000A4895" w:rsidRPr="004C5C28">
        <w:t xml:space="preserve"> </w:t>
      </w:r>
      <w:r w:rsidR="000A4895">
        <w:t xml:space="preserve">Summary of </w:t>
      </w:r>
      <w:proofErr w:type="spellStart"/>
      <w:r w:rsidR="003B5EC8">
        <w:t>Rebif</w:t>
      </w:r>
      <w:proofErr w:type="spellEnd"/>
      <w:r w:rsidR="003B5EC8">
        <w:t xml:space="preserve"> </w:t>
      </w:r>
      <w:r w:rsidR="000A4895">
        <w:t>RMP.</w:t>
      </w:r>
    </w:p>
    <w:p w:rsidR="00103717" w:rsidRPr="009975DF" w:rsidRDefault="00226E78" w:rsidP="00772AC5">
      <w:pPr>
        <w:rPr>
          <w:vertAlign w:val="superscript"/>
          <w:lang w:val="en-GB"/>
        </w:rPr>
      </w:pPr>
      <w:r>
        <w:rPr>
          <w:noProof/>
          <w:vertAlign w:val="superscript"/>
          <w:lang w:eastAsia="en-AU"/>
        </w:rPr>
        <w:drawing>
          <wp:inline distT="0" distB="0" distL="0" distR="0">
            <wp:extent cx="5607050" cy="8569640"/>
            <wp:effectExtent l="19050" t="0" r="0" b="0"/>
            <wp:docPr id="12" name="Picture 12" descr="Table 5: Summary of Rebif R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ble 6: Summary of Rebif RMP."/>
                    <pic:cNvPicPr>
                      <a:picLocks noChangeAspect="1" noChangeArrowheads="1"/>
                    </pic:cNvPicPr>
                  </pic:nvPicPr>
                  <pic:blipFill>
                    <a:blip r:embed="rId21" cstate="print"/>
                    <a:srcRect/>
                    <a:stretch>
                      <a:fillRect/>
                    </a:stretch>
                  </pic:blipFill>
                  <pic:spPr bwMode="auto">
                    <a:xfrm>
                      <a:off x="0" y="0"/>
                      <a:ext cx="5602717" cy="8563017"/>
                    </a:xfrm>
                    <a:prstGeom prst="rect">
                      <a:avLst/>
                    </a:prstGeom>
                    <a:noFill/>
                    <a:ln w="9525">
                      <a:noFill/>
                      <a:miter lim="800000"/>
                      <a:headEnd/>
                      <a:tailEnd/>
                    </a:ln>
                  </pic:spPr>
                </pic:pic>
              </a:graphicData>
            </a:graphic>
          </wp:inline>
        </w:drawing>
      </w:r>
    </w:p>
    <w:p w:rsidR="00F20BD3" w:rsidRDefault="00746B33" w:rsidP="00772AC5">
      <w:pPr>
        <w:pStyle w:val="TableTitle"/>
      </w:pPr>
      <w:r>
        <w:lastRenderedPageBreak/>
        <w:t>Table 5</w:t>
      </w:r>
      <w:r w:rsidR="00F20BD3">
        <w:t xml:space="preserve"> (continued):</w:t>
      </w:r>
      <w:r w:rsidR="00F20BD3" w:rsidRPr="004C5C28">
        <w:t xml:space="preserve"> </w:t>
      </w:r>
      <w:r w:rsidR="00F20BD3">
        <w:t xml:space="preserve">Summary of </w:t>
      </w:r>
      <w:proofErr w:type="spellStart"/>
      <w:r w:rsidR="00F20BD3">
        <w:t>Rebif</w:t>
      </w:r>
      <w:proofErr w:type="spellEnd"/>
      <w:r w:rsidR="00F20BD3">
        <w:t xml:space="preserve"> RMP.</w:t>
      </w:r>
    </w:p>
    <w:p w:rsidR="00103717" w:rsidRPr="009975DF" w:rsidRDefault="00226E78" w:rsidP="00772AC5">
      <w:pPr>
        <w:rPr>
          <w:vertAlign w:val="superscript"/>
          <w:lang w:val="en-GB"/>
        </w:rPr>
      </w:pPr>
      <w:r>
        <w:rPr>
          <w:noProof/>
          <w:vertAlign w:val="superscript"/>
          <w:lang w:eastAsia="en-AU"/>
        </w:rPr>
        <w:drawing>
          <wp:inline distT="0" distB="0" distL="0" distR="0">
            <wp:extent cx="5478290" cy="8044543"/>
            <wp:effectExtent l="19050" t="0" r="8110" b="0"/>
            <wp:docPr id="13" name="Picture 13" descr="Table 5 (continued): Summary of Rebif R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ble 6 (continued): Summary of Rebif RMP."/>
                    <pic:cNvPicPr>
                      <a:picLocks noChangeAspect="1" noChangeArrowheads="1"/>
                    </pic:cNvPicPr>
                  </pic:nvPicPr>
                  <pic:blipFill>
                    <a:blip r:embed="rId22" cstate="print"/>
                    <a:srcRect t="872" r="1053"/>
                    <a:stretch>
                      <a:fillRect/>
                    </a:stretch>
                  </pic:blipFill>
                  <pic:spPr bwMode="auto">
                    <a:xfrm>
                      <a:off x="0" y="0"/>
                      <a:ext cx="5478290" cy="8044543"/>
                    </a:xfrm>
                    <a:prstGeom prst="rect">
                      <a:avLst/>
                    </a:prstGeom>
                    <a:noFill/>
                    <a:ln w="9525">
                      <a:noFill/>
                      <a:miter lim="800000"/>
                      <a:headEnd/>
                      <a:tailEnd/>
                    </a:ln>
                  </pic:spPr>
                </pic:pic>
              </a:graphicData>
            </a:graphic>
          </wp:inline>
        </w:drawing>
      </w:r>
    </w:p>
    <w:p w:rsidR="00BF288F" w:rsidRDefault="00746B33" w:rsidP="00772AC5">
      <w:pPr>
        <w:pStyle w:val="TableTitle"/>
      </w:pPr>
      <w:r>
        <w:lastRenderedPageBreak/>
        <w:t>Table 5</w:t>
      </w:r>
      <w:r w:rsidR="00BF288F">
        <w:t xml:space="preserve"> (continued):</w:t>
      </w:r>
      <w:r w:rsidR="00BF288F" w:rsidRPr="004C5C28">
        <w:t xml:space="preserve"> </w:t>
      </w:r>
      <w:r w:rsidR="00BF288F">
        <w:t xml:space="preserve">Summary of </w:t>
      </w:r>
      <w:proofErr w:type="spellStart"/>
      <w:r w:rsidR="00BF288F">
        <w:t>Rebif</w:t>
      </w:r>
      <w:proofErr w:type="spellEnd"/>
      <w:r w:rsidR="00BF288F">
        <w:t xml:space="preserve"> RMP.</w:t>
      </w:r>
    </w:p>
    <w:p w:rsidR="00103717" w:rsidRPr="009975DF" w:rsidRDefault="00226E78" w:rsidP="00772AC5">
      <w:pPr>
        <w:rPr>
          <w:vertAlign w:val="superscript"/>
          <w:lang w:val="en-GB"/>
        </w:rPr>
      </w:pPr>
      <w:r>
        <w:rPr>
          <w:noProof/>
          <w:vertAlign w:val="superscript"/>
          <w:lang w:eastAsia="en-AU"/>
        </w:rPr>
        <w:drawing>
          <wp:inline distT="0" distB="0" distL="0" distR="0">
            <wp:extent cx="5607050" cy="2551012"/>
            <wp:effectExtent l="19050" t="0" r="0" b="0"/>
            <wp:docPr id="14" name="Picture 14" descr="Table 5 (continued): Summary of Rebif R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ble 6 (continued): Summary of Rebif RMP."/>
                    <pic:cNvPicPr>
                      <a:picLocks noChangeAspect="1" noChangeArrowheads="1"/>
                    </pic:cNvPicPr>
                  </pic:nvPicPr>
                  <pic:blipFill>
                    <a:blip r:embed="rId23" cstate="print"/>
                    <a:srcRect/>
                    <a:stretch>
                      <a:fillRect/>
                    </a:stretch>
                  </pic:blipFill>
                  <pic:spPr bwMode="auto">
                    <a:xfrm>
                      <a:off x="0" y="0"/>
                      <a:ext cx="5607050" cy="2551012"/>
                    </a:xfrm>
                    <a:prstGeom prst="rect">
                      <a:avLst/>
                    </a:prstGeom>
                    <a:noFill/>
                    <a:ln w="9525">
                      <a:noFill/>
                      <a:miter lim="800000"/>
                      <a:headEnd/>
                      <a:tailEnd/>
                    </a:ln>
                  </pic:spPr>
                </pic:pic>
              </a:graphicData>
            </a:graphic>
          </wp:inline>
        </w:drawing>
      </w:r>
    </w:p>
    <w:p w:rsidR="00E77BC0" w:rsidRDefault="00746B33" w:rsidP="008E7846">
      <w:pPr>
        <w:rPr>
          <w:lang w:eastAsia="en-AU"/>
        </w:rPr>
        <w:sectPr w:rsidR="00E77BC0" w:rsidSect="00B452CE">
          <w:headerReference w:type="even" r:id="rId24"/>
          <w:headerReference w:type="default" r:id="rId25"/>
          <w:footerReference w:type="default" r:id="rId26"/>
          <w:headerReference w:type="first" r:id="rId27"/>
          <w:footerReference w:type="first" r:id="rId28"/>
          <w:pgSz w:w="11906" w:h="16838" w:code="9"/>
          <w:pgMar w:top="834" w:right="1701" w:bottom="1191" w:left="1701" w:header="907" w:footer="216" w:gutter="0"/>
          <w:cols w:space="708"/>
          <w:docGrid w:linePitch="360"/>
        </w:sectPr>
      </w:pPr>
      <w:r>
        <w:rPr>
          <w:lang w:eastAsia="en-AU"/>
        </w:rPr>
        <w:t>Table 6</w:t>
      </w:r>
      <w:r w:rsidR="002F6873">
        <w:rPr>
          <w:lang w:eastAsia="en-AU"/>
        </w:rPr>
        <w:t xml:space="preserve"> summarises the TGA’s evaluation of the RMP and the sponsor’s responses to the </w:t>
      </w:r>
      <w:proofErr w:type="gramStart"/>
      <w:r w:rsidR="002F6873">
        <w:rPr>
          <w:lang w:eastAsia="en-AU"/>
        </w:rPr>
        <w:t>issues</w:t>
      </w:r>
      <w:proofErr w:type="gramEnd"/>
      <w:r w:rsidR="002F6873">
        <w:rPr>
          <w:lang w:eastAsia="en-AU"/>
        </w:rPr>
        <w:t xml:space="preserve"> raised by the OPR.</w:t>
      </w:r>
    </w:p>
    <w:p w:rsidR="00E77BC0" w:rsidRPr="00E77BC0" w:rsidRDefault="00746B33" w:rsidP="00772AC5">
      <w:pPr>
        <w:pStyle w:val="TableTitle"/>
      </w:pPr>
      <w:proofErr w:type="gramStart"/>
      <w:r>
        <w:lastRenderedPageBreak/>
        <w:t>Table 6</w:t>
      </w:r>
      <w:r w:rsidR="00E77BC0" w:rsidRPr="00E77BC0">
        <w:t>.</w:t>
      </w:r>
      <w:proofErr w:type="gramEnd"/>
      <w:r w:rsidR="00E77BC0" w:rsidRPr="00E77BC0">
        <w:t xml:space="preserve"> Reconciliation of issues outlined in the RMP report</w:t>
      </w:r>
    </w:p>
    <w:tbl>
      <w:tblPr>
        <w:tblStyle w:val="TableTGAblue"/>
        <w:tblW w:w="5000" w:type="pct"/>
        <w:tblLayout w:type="fixed"/>
        <w:tblLook w:val="04A0"/>
      </w:tblPr>
      <w:tblGrid>
        <w:gridCol w:w="6222"/>
        <w:gridCol w:w="4214"/>
        <w:gridCol w:w="4593"/>
      </w:tblGrid>
      <w:tr w:rsidR="00E77BC0" w:rsidRPr="00E77BC0" w:rsidTr="00772AC5">
        <w:trPr>
          <w:cnfStyle w:val="100000000000"/>
          <w:tblHeader/>
        </w:trPr>
        <w:tc>
          <w:tcPr>
            <w:tcW w:w="2070" w:type="pct"/>
            <w:noWrap/>
          </w:tcPr>
          <w:p w:rsidR="00E77BC0" w:rsidRPr="00772AC5" w:rsidRDefault="00E77BC0" w:rsidP="00E77BC0">
            <w:pPr>
              <w:ind w:left="0"/>
              <w:rPr>
                <w:color w:val="FFFFFF" w:themeColor="background1"/>
                <w:lang w:eastAsia="en-AU"/>
              </w:rPr>
            </w:pPr>
            <w:r w:rsidRPr="00772AC5">
              <w:rPr>
                <w:color w:val="FFFFFF" w:themeColor="background1"/>
                <w:lang w:eastAsia="en-AU"/>
              </w:rPr>
              <w:t>Recommendation in RMP evaluation report</w:t>
            </w:r>
          </w:p>
        </w:tc>
        <w:tc>
          <w:tcPr>
            <w:tcW w:w="1402" w:type="pct"/>
            <w:noWrap/>
          </w:tcPr>
          <w:p w:rsidR="00E77BC0" w:rsidRPr="00772AC5" w:rsidRDefault="00E77BC0" w:rsidP="00772AC5">
            <w:pPr>
              <w:ind w:left="0"/>
              <w:rPr>
                <w:color w:val="FFFFFF" w:themeColor="background1"/>
                <w:lang w:eastAsia="en-AU"/>
              </w:rPr>
            </w:pPr>
            <w:r w:rsidRPr="00772AC5">
              <w:rPr>
                <w:color w:val="FFFFFF" w:themeColor="background1"/>
                <w:lang w:eastAsia="en-AU"/>
              </w:rPr>
              <w:t>Sponsor’s response</w:t>
            </w:r>
          </w:p>
        </w:tc>
        <w:tc>
          <w:tcPr>
            <w:tcW w:w="1528" w:type="pct"/>
            <w:noWrap/>
          </w:tcPr>
          <w:p w:rsidR="00E77BC0" w:rsidRPr="00772AC5" w:rsidRDefault="00E77BC0" w:rsidP="00E77BC0">
            <w:pPr>
              <w:ind w:left="0"/>
              <w:rPr>
                <w:color w:val="FFFFFF" w:themeColor="background1"/>
                <w:lang w:eastAsia="en-AU"/>
              </w:rPr>
            </w:pPr>
            <w:r w:rsidRPr="00772AC5">
              <w:rPr>
                <w:color w:val="FFFFFF" w:themeColor="background1"/>
                <w:lang w:eastAsia="en-AU"/>
              </w:rPr>
              <w:t>OPR evaluator’s comment</w:t>
            </w:r>
          </w:p>
        </w:tc>
      </w:tr>
      <w:tr w:rsidR="00E77BC0" w:rsidRPr="00E77BC0" w:rsidTr="00E77BC0">
        <w:tc>
          <w:tcPr>
            <w:tcW w:w="2070" w:type="pct"/>
            <w:noWrap/>
          </w:tcPr>
          <w:p w:rsidR="00E77BC0" w:rsidRPr="00E77BC0" w:rsidRDefault="00E77BC0" w:rsidP="008278C9">
            <w:pPr>
              <w:numPr>
                <w:ilvl w:val="0"/>
                <w:numId w:val="43"/>
              </w:numPr>
              <w:rPr>
                <w:color w:val="auto"/>
                <w:lang w:eastAsia="en-AU"/>
              </w:rPr>
            </w:pPr>
            <w:r w:rsidRPr="00E77BC0">
              <w:rPr>
                <w:color w:val="auto"/>
                <w:lang w:eastAsia="en-AU"/>
              </w:rPr>
              <w:t xml:space="preserve">Safety considerations may be raised by the clinical evaluator through the consolidated </w:t>
            </w:r>
            <w:r w:rsidR="008278C9">
              <w:rPr>
                <w:color w:val="auto"/>
                <w:lang w:eastAsia="en-AU"/>
              </w:rPr>
              <w:t xml:space="preserve">TGA request for information </w:t>
            </w:r>
            <w:r w:rsidRPr="00E77BC0">
              <w:rPr>
                <w:color w:val="auto"/>
                <w:lang w:eastAsia="en-AU"/>
              </w:rPr>
              <w:t>and/or the Nonclinical and Clinical Evaluation Reports respectively. It is important to ensure that the information provided in response to these includes consideration of the relevance for the Risk Management Plan, and any specific information needed to address this issue in the RMP. For any safety considerations so raised, please provide information that is relevant and necessary to address the issue in the RMP.</w:t>
            </w:r>
          </w:p>
        </w:tc>
        <w:tc>
          <w:tcPr>
            <w:tcW w:w="1402" w:type="pct"/>
            <w:noWrap/>
          </w:tcPr>
          <w:p w:rsidR="00E77BC0" w:rsidRPr="00E77BC0" w:rsidRDefault="00E77BC0" w:rsidP="00E77BC0">
            <w:pPr>
              <w:ind w:left="0"/>
              <w:rPr>
                <w:color w:val="auto"/>
                <w:lang w:eastAsia="en-AU"/>
              </w:rPr>
            </w:pPr>
            <w:r w:rsidRPr="00E77BC0">
              <w:rPr>
                <w:i/>
                <w:color w:val="auto"/>
                <w:lang w:eastAsia="en-AU"/>
              </w:rPr>
              <w:t xml:space="preserve">In case safety considerations will be raised, Merck </w:t>
            </w:r>
            <w:proofErr w:type="spellStart"/>
            <w:r w:rsidRPr="00E77BC0">
              <w:rPr>
                <w:i/>
                <w:color w:val="auto"/>
                <w:lang w:eastAsia="en-AU"/>
              </w:rPr>
              <w:t>Serono</w:t>
            </w:r>
            <w:proofErr w:type="spellEnd"/>
            <w:r w:rsidRPr="00E77BC0">
              <w:rPr>
                <w:i/>
                <w:color w:val="auto"/>
                <w:lang w:eastAsia="en-AU"/>
              </w:rPr>
              <w:t xml:space="preserve"> will address them in the next RMP update, due by June 2013.</w:t>
            </w:r>
          </w:p>
        </w:tc>
        <w:tc>
          <w:tcPr>
            <w:tcW w:w="1528" w:type="pct"/>
            <w:noWrap/>
          </w:tcPr>
          <w:p w:rsidR="00E77BC0" w:rsidRPr="00E77BC0" w:rsidRDefault="00E77BC0" w:rsidP="00E77BC0">
            <w:pPr>
              <w:ind w:left="0"/>
              <w:rPr>
                <w:color w:val="auto"/>
                <w:lang w:eastAsia="en-AU"/>
              </w:rPr>
            </w:pPr>
            <w:r w:rsidRPr="00E77BC0">
              <w:rPr>
                <w:color w:val="auto"/>
                <w:lang w:eastAsia="en-AU"/>
              </w:rPr>
              <w:t>This is acceptable.</w:t>
            </w:r>
          </w:p>
        </w:tc>
      </w:tr>
      <w:tr w:rsidR="00E77BC0" w:rsidRPr="00E77BC0" w:rsidTr="00E77BC0">
        <w:tc>
          <w:tcPr>
            <w:tcW w:w="2070" w:type="pct"/>
            <w:noWrap/>
          </w:tcPr>
          <w:p w:rsidR="00E77BC0" w:rsidRPr="00E77BC0" w:rsidRDefault="00E77BC0" w:rsidP="00E77BC0">
            <w:pPr>
              <w:numPr>
                <w:ilvl w:val="0"/>
                <w:numId w:val="43"/>
              </w:numPr>
              <w:rPr>
                <w:color w:val="auto"/>
                <w:lang w:eastAsia="en-AU"/>
              </w:rPr>
            </w:pPr>
            <w:r w:rsidRPr="00E77BC0">
              <w:rPr>
                <w:color w:val="auto"/>
                <w:lang w:eastAsia="en-AU"/>
              </w:rPr>
              <w:t>The sponsor should provide a justification for how information gathered from the European pregnancy registry will be applicable to Australian patients. The sponsor should also confirm the current status of the registry as planned or ongoing and a planned date for the submission of final data to the TGA.</w:t>
            </w:r>
          </w:p>
        </w:tc>
        <w:tc>
          <w:tcPr>
            <w:tcW w:w="1402" w:type="pct"/>
            <w:noWrap/>
          </w:tcPr>
          <w:p w:rsidR="00E77BC0" w:rsidRPr="00E77BC0" w:rsidRDefault="00E77BC0" w:rsidP="00E77BC0">
            <w:pPr>
              <w:ind w:left="0"/>
              <w:rPr>
                <w:color w:val="auto"/>
                <w:lang w:eastAsia="en-AU"/>
              </w:rPr>
            </w:pPr>
            <w:r w:rsidRPr="00E77BC0">
              <w:rPr>
                <w:color w:val="auto"/>
                <w:lang w:eastAsia="en-AU"/>
              </w:rPr>
              <w:t>The sponsor has confirmed that the registry is ongoing and has provided a justification for its applicability to Australia.</w:t>
            </w:r>
          </w:p>
          <w:p w:rsidR="00E77BC0" w:rsidRPr="00E77BC0" w:rsidRDefault="00E77BC0" w:rsidP="00E77BC0">
            <w:pPr>
              <w:ind w:left="0"/>
              <w:rPr>
                <w:color w:val="auto"/>
                <w:lang w:eastAsia="en-AU"/>
              </w:rPr>
            </w:pPr>
            <w:r w:rsidRPr="00E77BC0">
              <w:rPr>
                <w:color w:val="auto"/>
                <w:lang w:eastAsia="en-AU"/>
              </w:rPr>
              <w:t xml:space="preserve">Pregnancies will be discussed within each </w:t>
            </w:r>
            <w:proofErr w:type="spellStart"/>
            <w:r w:rsidRPr="00E77BC0">
              <w:rPr>
                <w:color w:val="auto"/>
                <w:lang w:eastAsia="en-AU"/>
              </w:rPr>
              <w:t>Rebif</w:t>
            </w:r>
            <w:proofErr w:type="spellEnd"/>
            <w:r w:rsidRPr="00E77BC0">
              <w:rPr>
                <w:color w:val="auto"/>
                <w:lang w:eastAsia="en-AU"/>
              </w:rPr>
              <w:t xml:space="preserve"> PSUR.</w:t>
            </w:r>
          </w:p>
        </w:tc>
        <w:tc>
          <w:tcPr>
            <w:tcW w:w="1528" w:type="pct"/>
            <w:noWrap/>
          </w:tcPr>
          <w:p w:rsidR="00E77BC0" w:rsidRPr="00E77BC0" w:rsidRDefault="00E77BC0" w:rsidP="00E77BC0">
            <w:pPr>
              <w:ind w:left="0"/>
              <w:rPr>
                <w:color w:val="auto"/>
                <w:lang w:eastAsia="en-AU"/>
              </w:rPr>
            </w:pPr>
            <w:r w:rsidRPr="00E77BC0">
              <w:rPr>
                <w:color w:val="auto"/>
                <w:lang w:eastAsia="en-AU"/>
              </w:rPr>
              <w:t>This is acceptable.</w:t>
            </w:r>
          </w:p>
        </w:tc>
      </w:tr>
      <w:tr w:rsidR="00E77BC0" w:rsidRPr="00E77BC0" w:rsidTr="00E77BC0">
        <w:tc>
          <w:tcPr>
            <w:tcW w:w="2070" w:type="pct"/>
            <w:noWrap/>
          </w:tcPr>
          <w:p w:rsidR="00E77BC0" w:rsidRPr="00E77BC0" w:rsidRDefault="00E77BC0" w:rsidP="00E77BC0">
            <w:pPr>
              <w:numPr>
                <w:ilvl w:val="0"/>
                <w:numId w:val="43"/>
              </w:numPr>
              <w:rPr>
                <w:color w:val="auto"/>
                <w:lang w:eastAsia="en-AU"/>
              </w:rPr>
            </w:pPr>
            <w:r w:rsidRPr="00E77BC0">
              <w:rPr>
                <w:color w:val="auto"/>
                <w:lang w:eastAsia="en-AU"/>
              </w:rPr>
              <w:t>The sponsor should confirm whether the retrospective paediatric study is ongoing or completed and provide a planned date for the submission of final data to the TGA.</w:t>
            </w:r>
          </w:p>
        </w:tc>
        <w:tc>
          <w:tcPr>
            <w:tcW w:w="1402" w:type="pct"/>
            <w:noWrap/>
          </w:tcPr>
          <w:p w:rsidR="00E77BC0" w:rsidRPr="00E77BC0" w:rsidRDefault="00E77BC0" w:rsidP="00E77BC0">
            <w:pPr>
              <w:ind w:left="0"/>
              <w:rPr>
                <w:i/>
                <w:color w:val="auto"/>
                <w:lang w:eastAsia="en-AU"/>
              </w:rPr>
            </w:pPr>
            <w:r w:rsidRPr="00E77BC0">
              <w:rPr>
                <w:i/>
                <w:color w:val="auto"/>
                <w:lang w:eastAsia="en-AU"/>
              </w:rPr>
              <w:t>The retrospective paediatric study (REPLAY, EMR2000136-024) is complete.</w:t>
            </w:r>
          </w:p>
          <w:p w:rsidR="00E77BC0" w:rsidRPr="00E77BC0" w:rsidRDefault="00E77BC0" w:rsidP="00E77BC0">
            <w:pPr>
              <w:ind w:left="0"/>
              <w:rPr>
                <w:color w:val="auto"/>
                <w:lang w:eastAsia="en-AU"/>
              </w:rPr>
            </w:pPr>
            <w:r w:rsidRPr="00E77BC0">
              <w:rPr>
                <w:i/>
                <w:color w:val="auto"/>
                <w:lang w:eastAsia="en-AU"/>
              </w:rPr>
              <w:t xml:space="preserve">It is planned to submit the final data to the TGA by Q1 2013, together with a recent cumulative safety review of </w:t>
            </w:r>
            <w:proofErr w:type="spellStart"/>
            <w:r w:rsidRPr="00E77BC0">
              <w:rPr>
                <w:i/>
                <w:color w:val="auto"/>
                <w:lang w:eastAsia="en-AU"/>
              </w:rPr>
              <w:t>Rebif</w:t>
            </w:r>
            <w:proofErr w:type="spellEnd"/>
            <w:r w:rsidRPr="00E77BC0">
              <w:rPr>
                <w:i/>
                <w:color w:val="auto"/>
                <w:lang w:eastAsia="en-AU"/>
              </w:rPr>
              <w:t xml:space="preserve"> in the paediatric population.</w:t>
            </w:r>
          </w:p>
        </w:tc>
        <w:tc>
          <w:tcPr>
            <w:tcW w:w="1528" w:type="pct"/>
            <w:noWrap/>
          </w:tcPr>
          <w:p w:rsidR="00E77BC0" w:rsidRPr="00E77BC0" w:rsidRDefault="00E77BC0" w:rsidP="00E77BC0">
            <w:pPr>
              <w:ind w:left="0"/>
              <w:rPr>
                <w:color w:val="auto"/>
                <w:lang w:eastAsia="en-AU"/>
              </w:rPr>
            </w:pPr>
            <w:r w:rsidRPr="00E77BC0">
              <w:rPr>
                <w:color w:val="auto"/>
                <w:lang w:eastAsia="en-AU"/>
              </w:rPr>
              <w:t>This is acceptable.</w:t>
            </w:r>
          </w:p>
        </w:tc>
      </w:tr>
      <w:tr w:rsidR="00E77BC0" w:rsidRPr="00E77BC0" w:rsidTr="00E77BC0">
        <w:trPr>
          <w:cantSplit/>
        </w:trPr>
        <w:tc>
          <w:tcPr>
            <w:tcW w:w="2070" w:type="pct"/>
            <w:noWrap/>
          </w:tcPr>
          <w:p w:rsidR="00E77BC0" w:rsidRPr="00E77BC0" w:rsidRDefault="00E77BC0" w:rsidP="00E77BC0">
            <w:pPr>
              <w:numPr>
                <w:ilvl w:val="0"/>
                <w:numId w:val="43"/>
              </w:numPr>
              <w:rPr>
                <w:color w:val="auto"/>
                <w:lang w:eastAsia="en-AU"/>
              </w:rPr>
            </w:pPr>
            <w:r w:rsidRPr="00E77BC0">
              <w:rPr>
                <w:color w:val="auto"/>
                <w:lang w:eastAsia="en-AU"/>
              </w:rPr>
              <w:lastRenderedPageBreak/>
              <w:t xml:space="preserve"> The sponsor should include a precaution in the Australian PI that addresses the potential for hypersensitivity and allergic reactions similar to that found in the EU </w:t>
            </w:r>
            <w:proofErr w:type="spellStart"/>
            <w:r w:rsidRPr="00E77BC0">
              <w:rPr>
                <w:color w:val="auto"/>
                <w:lang w:eastAsia="en-AU"/>
              </w:rPr>
              <w:t>SmPC</w:t>
            </w:r>
            <w:proofErr w:type="spellEnd"/>
            <w:r w:rsidRPr="00E77BC0">
              <w:rPr>
                <w:color w:val="auto"/>
                <w:lang w:eastAsia="en-AU"/>
              </w:rPr>
              <w:t xml:space="preserve"> or provide a compelling justification for its omission.</w:t>
            </w:r>
          </w:p>
        </w:tc>
        <w:tc>
          <w:tcPr>
            <w:tcW w:w="1402" w:type="pct"/>
            <w:noWrap/>
          </w:tcPr>
          <w:p w:rsidR="00E77BC0" w:rsidRPr="00E77BC0" w:rsidRDefault="00E77BC0" w:rsidP="00E77BC0">
            <w:pPr>
              <w:ind w:left="0"/>
              <w:rPr>
                <w:i/>
                <w:color w:val="auto"/>
                <w:lang w:eastAsia="en-AU"/>
              </w:rPr>
            </w:pPr>
            <w:r w:rsidRPr="00E77BC0">
              <w:rPr>
                <w:i/>
                <w:color w:val="auto"/>
                <w:lang w:eastAsia="en-AU"/>
              </w:rPr>
              <w:t xml:space="preserve">As clarified with the assessor, the text referred to is not in the EU </w:t>
            </w:r>
            <w:proofErr w:type="spellStart"/>
            <w:r w:rsidRPr="00E77BC0">
              <w:rPr>
                <w:i/>
                <w:color w:val="auto"/>
                <w:lang w:eastAsia="en-AU"/>
              </w:rPr>
              <w:t>SmPC</w:t>
            </w:r>
            <w:proofErr w:type="spellEnd"/>
            <w:r w:rsidRPr="00E77BC0">
              <w:rPr>
                <w:i/>
                <w:color w:val="auto"/>
                <w:lang w:eastAsia="en-AU"/>
              </w:rPr>
              <w:t xml:space="preserve"> but in the Canadian and US PIs. The sponsor will add the requested wording to the Australian PI.</w:t>
            </w:r>
          </w:p>
        </w:tc>
        <w:tc>
          <w:tcPr>
            <w:tcW w:w="1528" w:type="pct"/>
            <w:noWrap/>
          </w:tcPr>
          <w:p w:rsidR="00E77BC0" w:rsidRPr="00E77BC0" w:rsidRDefault="00E77BC0" w:rsidP="008278C9">
            <w:pPr>
              <w:ind w:left="0"/>
              <w:rPr>
                <w:color w:val="auto"/>
                <w:lang w:eastAsia="en-AU"/>
              </w:rPr>
            </w:pPr>
            <w:r w:rsidRPr="00E77BC0">
              <w:rPr>
                <w:color w:val="auto"/>
                <w:lang w:eastAsia="en-AU"/>
              </w:rPr>
              <w:t>This is acceptable (NB following query by the sponsor, an amended RMP report was released to accurately reflect that this question should have related to the Canadian pro</w:t>
            </w:r>
            <w:r w:rsidR="008278C9">
              <w:rPr>
                <w:color w:val="auto"/>
                <w:lang w:eastAsia="en-AU"/>
              </w:rPr>
              <w:t xml:space="preserve">duct monograph not the EU </w:t>
            </w:r>
            <w:proofErr w:type="spellStart"/>
            <w:r w:rsidR="008278C9">
              <w:rPr>
                <w:color w:val="auto"/>
                <w:lang w:eastAsia="en-AU"/>
              </w:rPr>
              <w:t>SmPC</w:t>
            </w:r>
            <w:proofErr w:type="spellEnd"/>
            <w:r w:rsidRPr="00E77BC0">
              <w:rPr>
                <w:color w:val="auto"/>
                <w:lang w:eastAsia="en-AU"/>
              </w:rPr>
              <w:t>)</w:t>
            </w:r>
            <w:r w:rsidR="00772AC5">
              <w:rPr>
                <w:color w:val="auto"/>
                <w:lang w:eastAsia="en-AU"/>
              </w:rPr>
              <w:t>.</w:t>
            </w:r>
          </w:p>
        </w:tc>
      </w:tr>
      <w:tr w:rsidR="00E77BC0" w:rsidRPr="00E77BC0" w:rsidTr="00E77BC0">
        <w:tc>
          <w:tcPr>
            <w:tcW w:w="2070" w:type="pct"/>
            <w:noWrap/>
          </w:tcPr>
          <w:p w:rsidR="00E77BC0" w:rsidRPr="00E77BC0" w:rsidRDefault="00E77BC0" w:rsidP="00E77BC0">
            <w:pPr>
              <w:numPr>
                <w:ilvl w:val="0"/>
                <w:numId w:val="43"/>
              </w:numPr>
              <w:rPr>
                <w:color w:val="auto"/>
                <w:lang w:eastAsia="en-AU"/>
              </w:rPr>
            </w:pPr>
            <w:r w:rsidRPr="00E77BC0">
              <w:rPr>
                <w:color w:val="auto"/>
                <w:lang w:eastAsia="en-AU"/>
              </w:rPr>
              <w:t xml:space="preserve">It is recommended that the precaution in the proposed PI regarding Paediatric use is updated to be consistent with advice given in the EU </w:t>
            </w:r>
            <w:proofErr w:type="spellStart"/>
            <w:r w:rsidRPr="00E77BC0">
              <w:rPr>
                <w:color w:val="auto"/>
                <w:lang w:eastAsia="en-AU"/>
              </w:rPr>
              <w:t>SmPC</w:t>
            </w:r>
            <w:proofErr w:type="spellEnd"/>
            <w:r w:rsidRPr="00E77BC0">
              <w:rPr>
                <w:color w:val="auto"/>
                <w:lang w:eastAsia="en-AU"/>
              </w:rPr>
              <w:t>.</w:t>
            </w:r>
          </w:p>
        </w:tc>
        <w:tc>
          <w:tcPr>
            <w:tcW w:w="1402" w:type="pct"/>
            <w:noWrap/>
          </w:tcPr>
          <w:p w:rsidR="00E77BC0" w:rsidRPr="00E77BC0" w:rsidRDefault="00E77BC0" w:rsidP="004F16EF">
            <w:pPr>
              <w:ind w:left="0"/>
              <w:rPr>
                <w:i/>
                <w:color w:val="auto"/>
                <w:lang w:eastAsia="en-AU"/>
              </w:rPr>
            </w:pPr>
            <w:r w:rsidRPr="00E77BC0">
              <w:rPr>
                <w:i/>
                <w:color w:val="auto"/>
                <w:lang w:eastAsia="en-AU"/>
              </w:rPr>
              <w:t>The wording for paediatric use was discussed in a previous submission to the TGA (submitted 27/10/2010, approved 13/07/2011). Based on the outcome of above application the sponsor would like to retain the precaution in the proposed PI regarding paediatric use as is.</w:t>
            </w:r>
          </w:p>
        </w:tc>
        <w:tc>
          <w:tcPr>
            <w:tcW w:w="1528" w:type="pct"/>
            <w:noWrap/>
          </w:tcPr>
          <w:p w:rsidR="00E77BC0" w:rsidRPr="00E77BC0" w:rsidRDefault="00E77BC0" w:rsidP="00E77BC0">
            <w:pPr>
              <w:ind w:left="0"/>
              <w:rPr>
                <w:color w:val="auto"/>
                <w:lang w:eastAsia="en-AU"/>
              </w:rPr>
            </w:pPr>
            <w:r w:rsidRPr="00E77BC0">
              <w:rPr>
                <w:color w:val="auto"/>
                <w:lang w:eastAsia="en-AU"/>
              </w:rPr>
              <w:t>This is acceptable.</w:t>
            </w:r>
          </w:p>
        </w:tc>
      </w:tr>
    </w:tbl>
    <w:p w:rsidR="00E77BC0" w:rsidRPr="00E77BC0" w:rsidRDefault="00E77BC0" w:rsidP="00E77BC0">
      <w:pPr>
        <w:rPr>
          <w:b/>
          <w:lang w:eastAsia="en-AU"/>
        </w:rPr>
      </w:pPr>
    </w:p>
    <w:p w:rsidR="00E77BC0" w:rsidRPr="00E77BC0" w:rsidRDefault="00E77BC0" w:rsidP="00E77BC0">
      <w:pPr>
        <w:rPr>
          <w:lang w:eastAsia="en-AU"/>
        </w:rPr>
      </w:pPr>
    </w:p>
    <w:p w:rsidR="00E77BC0" w:rsidRDefault="00E77BC0" w:rsidP="008E7846">
      <w:pPr>
        <w:rPr>
          <w:lang w:eastAsia="en-AU"/>
        </w:rPr>
        <w:sectPr w:rsidR="00E77BC0" w:rsidSect="00E77BC0">
          <w:footerReference w:type="default" r:id="rId29"/>
          <w:pgSz w:w="16838" w:h="11906" w:orient="landscape" w:code="9"/>
          <w:pgMar w:top="1701" w:right="834" w:bottom="1701" w:left="1191" w:header="907" w:footer="216" w:gutter="0"/>
          <w:cols w:space="708"/>
          <w:docGrid w:linePitch="360"/>
        </w:sectPr>
      </w:pPr>
    </w:p>
    <w:p w:rsidR="003945B2" w:rsidRDefault="00D70C44" w:rsidP="00D70C44">
      <w:pPr>
        <w:pStyle w:val="Heading4"/>
        <w:rPr>
          <w:lang w:eastAsia="en-AU"/>
        </w:rPr>
      </w:pPr>
      <w:r>
        <w:rPr>
          <w:lang w:eastAsia="en-AU"/>
        </w:rPr>
        <w:lastRenderedPageBreak/>
        <w:t>Summary of outstanding issues</w:t>
      </w:r>
    </w:p>
    <w:p w:rsidR="0045344F" w:rsidRPr="0045344F" w:rsidRDefault="00772AC5" w:rsidP="0045344F">
      <w:pPr>
        <w:pStyle w:val="Heading5"/>
      </w:pPr>
      <w:r>
        <w:t>Issues in relation to the RMP</w:t>
      </w:r>
    </w:p>
    <w:p w:rsidR="0045344F" w:rsidRPr="0045344F" w:rsidRDefault="0045344F" w:rsidP="0045344F">
      <w:r w:rsidRPr="0045344F">
        <w:t>There are no outstanding issues in relation to the RMP for this submission.</w:t>
      </w:r>
    </w:p>
    <w:p w:rsidR="0045344F" w:rsidRPr="0045344F" w:rsidRDefault="0045344F" w:rsidP="0045344F">
      <w:pPr>
        <w:pStyle w:val="Heading5"/>
      </w:pPr>
      <w:r w:rsidRPr="0045344F">
        <w:t>Advice from the Advisory Committee on the Safety of Medicines (ACSOM)</w:t>
      </w:r>
    </w:p>
    <w:p w:rsidR="0045344F" w:rsidRPr="0045344F" w:rsidRDefault="0045344F" w:rsidP="0045344F">
      <w:r w:rsidRPr="0045344F">
        <w:t>ACSOM advice was not sought for this submission.</w:t>
      </w:r>
    </w:p>
    <w:p w:rsidR="0045344F" w:rsidRPr="0045344F" w:rsidRDefault="0045344F" w:rsidP="0045344F">
      <w:pPr>
        <w:pStyle w:val="Heading4"/>
      </w:pPr>
      <w:r w:rsidRPr="0045344F">
        <w:t>Comments on the safety specification of the RMP</w:t>
      </w:r>
    </w:p>
    <w:p w:rsidR="0045344F" w:rsidRPr="0045344F" w:rsidRDefault="00731533" w:rsidP="0045344F">
      <w:pPr>
        <w:pStyle w:val="Heading5"/>
      </w:pPr>
      <w:r>
        <w:t>OMA Clinical Evaluation Report</w:t>
      </w:r>
    </w:p>
    <w:p w:rsidR="0045344F" w:rsidRPr="0045344F" w:rsidRDefault="0045344F" w:rsidP="0045344F">
      <w:r w:rsidRPr="0045344F">
        <w:t xml:space="preserve">The Safety Specification in the draft </w:t>
      </w:r>
      <w:r w:rsidR="00EB6C48">
        <w:t>RMP</w:t>
      </w:r>
      <w:r w:rsidRPr="0045344F">
        <w:t xml:space="preserve"> is satisfactory. The sponsor is performing routine post</w:t>
      </w:r>
      <w:r w:rsidR="00EB6C48">
        <w:t xml:space="preserve"> </w:t>
      </w:r>
      <w:r w:rsidRPr="0045344F">
        <w:t>marketing surveillance, flagging known safety issues including those related to hepatic dysfunction, thyroid dysfunction, depression and suicide. The sponsor has noted the relative lack of information in the paediatric age group and has proposed a retrospective paediatric cohort study, though details were lacking.</w:t>
      </w:r>
    </w:p>
    <w:p w:rsidR="0045344F" w:rsidRPr="0045344F" w:rsidRDefault="0045344F" w:rsidP="0045344F">
      <w:pPr>
        <w:pStyle w:val="Heading4"/>
      </w:pPr>
      <w:r w:rsidRPr="0045344F">
        <w:t>Key changes to the updated RMP</w:t>
      </w:r>
    </w:p>
    <w:p w:rsidR="0045344F" w:rsidRPr="0045344F" w:rsidRDefault="004F16EF" w:rsidP="0045344F">
      <w:pPr>
        <w:rPr>
          <w:highlight w:val="yellow"/>
        </w:rPr>
      </w:pPr>
      <w:r>
        <w:t>T</w:t>
      </w:r>
      <w:r w:rsidR="0045344F" w:rsidRPr="0045344F">
        <w:t xml:space="preserve">he sponsor </w:t>
      </w:r>
      <w:r>
        <w:t xml:space="preserve">has </w:t>
      </w:r>
      <w:r w:rsidR="0045344F" w:rsidRPr="0045344F">
        <w:t>provided an updated ver</w:t>
      </w:r>
      <w:r w:rsidR="003030C7">
        <w:t xml:space="preserve">sion of the RMP (version 5.0). </w:t>
      </w:r>
      <w:r w:rsidR="0045344F" w:rsidRPr="0045344F">
        <w:t>In this update</w:t>
      </w:r>
      <w:r w:rsidR="006F7AF6">
        <w:t>,</w:t>
      </w:r>
      <w:r w:rsidR="0045344F" w:rsidRPr="0045344F">
        <w:t xml:space="preserve"> drug</w:t>
      </w:r>
      <w:r w:rsidR="006F7AF6">
        <w:t xml:space="preserve"> </w:t>
      </w:r>
      <w:r w:rsidR="0045344F" w:rsidRPr="0045344F">
        <w:t xml:space="preserve">induced lupus </w:t>
      </w:r>
      <w:proofErr w:type="spellStart"/>
      <w:r w:rsidR="0045344F" w:rsidRPr="0045344F">
        <w:t>erythematosus</w:t>
      </w:r>
      <w:proofErr w:type="spellEnd"/>
      <w:r w:rsidR="0045344F" w:rsidRPr="0045344F">
        <w:t xml:space="preserve"> (DILE) (which was described together with the important potential risk ‘systemic lupus </w:t>
      </w:r>
      <w:proofErr w:type="spellStart"/>
      <w:r w:rsidR="0045344F" w:rsidRPr="0045344F">
        <w:t>erythematosus</w:t>
      </w:r>
      <w:proofErr w:type="spellEnd"/>
      <w:r w:rsidR="0045344F" w:rsidRPr="0045344F">
        <w:t xml:space="preserve"> (SLE)’ in version 4) was added as a separ</w:t>
      </w:r>
      <w:r w:rsidR="003030C7">
        <w:t xml:space="preserve">ate important identified risk. </w:t>
      </w:r>
      <w:r w:rsidR="0045344F" w:rsidRPr="0045344F">
        <w:t xml:space="preserve">Also in this version autoimmune hepatitis is discussed in more detail together with the important identified </w:t>
      </w:r>
      <w:r w:rsidR="003030C7">
        <w:t xml:space="preserve">risk ‘liver injury/hepatitis’. </w:t>
      </w:r>
      <w:r w:rsidR="0045344F" w:rsidRPr="0045344F">
        <w:t>The evaluator has no objection to these changes and recommends that version 5 is implemented as a condition of registration.</w:t>
      </w:r>
    </w:p>
    <w:p w:rsidR="0045344F" w:rsidRPr="0045344F" w:rsidRDefault="0045344F" w:rsidP="008278C9">
      <w:pPr>
        <w:pStyle w:val="Heading4"/>
      </w:pPr>
      <w:r w:rsidRPr="0045344F">
        <w:t xml:space="preserve">Evaluator’s </w:t>
      </w:r>
      <w:r w:rsidR="004F16EF">
        <w:t xml:space="preserve">comments and </w:t>
      </w:r>
      <w:r w:rsidR="008278C9">
        <w:t>recommendations</w:t>
      </w:r>
      <w:r w:rsidR="00731533">
        <w:t>:</w:t>
      </w:r>
    </w:p>
    <w:p w:rsidR="0045344F" w:rsidRPr="008278C9" w:rsidRDefault="0045344F" w:rsidP="008278C9">
      <w:pPr>
        <w:pStyle w:val="ListBullet"/>
        <w:rPr>
          <w:b/>
          <w:bCs/>
        </w:rPr>
      </w:pPr>
      <w:r w:rsidRPr="008278C9">
        <w:rPr>
          <w:b/>
          <w:bCs/>
        </w:rPr>
        <w:t>RMP</w:t>
      </w:r>
    </w:p>
    <w:p w:rsidR="0045344F" w:rsidRPr="0045344F" w:rsidRDefault="008278C9" w:rsidP="008278C9">
      <w:pPr>
        <w:ind w:left="360"/>
      </w:pPr>
      <w:r>
        <w:t>It is recommended the Delegate i</w:t>
      </w:r>
      <w:r w:rsidR="0045344F" w:rsidRPr="0045344F">
        <w:t xml:space="preserve">mplement </w:t>
      </w:r>
      <w:proofErr w:type="spellStart"/>
      <w:r w:rsidR="0045344F" w:rsidRPr="0045344F">
        <w:t>Rebif</w:t>
      </w:r>
      <w:proofErr w:type="spellEnd"/>
      <w:r w:rsidR="0045344F" w:rsidRPr="0045344F">
        <w:t xml:space="preserve"> RMP (version 5.0, dated 25 June 2012) and any future updates as a condition of registration.</w:t>
      </w:r>
    </w:p>
    <w:p w:rsidR="000109A9" w:rsidRPr="008278C9" w:rsidRDefault="000109A9" w:rsidP="008278C9">
      <w:pPr>
        <w:pStyle w:val="ListBullet"/>
        <w:rPr>
          <w:b/>
          <w:bCs/>
        </w:rPr>
      </w:pPr>
      <w:r w:rsidRPr="008278C9">
        <w:rPr>
          <w:b/>
          <w:bCs/>
        </w:rPr>
        <w:t>Periodic Safety Update Reports (PSURs)</w:t>
      </w:r>
    </w:p>
    <w:p w:rsidR="0045344F" w:rsidRPr="0045344F" w:rsidRDefault="0045344F" w:rsidP="008278C9">
      <w:pPr>
        <w:ind w:left="360"/>
      </w:pPr>
      <w:r w:rsidRPr="0045344F">
        <w:t>The Delegate is advised that the next PSUR in the EU for this product is due mid</w:t>
      </w:r>
      <w:r w:rsidR="006F7AF6">
        <w:t xml:space="preserve"> </w:t>
      </w:r>
      <w:r w:rsidRPr="0045344F">
        <w:t>2015 on a 3</w:t>
      </w:r>
      <w:r w:rsidR="006F7AF6">
        <w:t xml:space="preserve"> </w:t>
      </w:r>
      <w:r w:rsidRPr="0045344F">
        <w:t>yearly cycle (as of 31 January 2013).</w:t>
      </w:r>
    </w:p>
    <w:p w:rsidR="008E7846" w:rsidRPr="00792A32" w:rsidRDefault="008E7846" w:rsidP="008E7846">
      <w:pPr>
        <w:pStyle w:val="Heading2"/>
      </w:pPr>
      <w:bookmarkStart w:id="96" w:name="_Toc247691527"/>
      <w:bookmarkStart w:id="97" w:name="_Toc314842510"/>
      <w:bookmarkStart w:id="98" w:name="_Toc373929696"/>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79"/>
      <w:bookmarkEnd w:id="96"/>
      <w:bookmarkEnd w:id="97"/>
      <w:bookmarkEnd w:id="98"/>
    </w:p>
    <w:p w:rsidR="008E7846" w:rsidRDefault="008E7846" w:rsidP="008E7846">
      <w:bookmarkStart w:id="99"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100" w:name="_Toc314842511"/>
      <w:bookmarkStart w:id="101" w:name="_Toc373929697"/>
      <w:r>
        <w:t>Quality</w:t>
      </w:r>
      <w:bookmarkEnd w:id="99"/>
      <w:bookmarkEnd w:id="100"/>
      <w:bookmarkEnd w:id="101"/>
    </w:p>
    <w:p w:rsidR="00E45619" w:rsidRDefault="008E7846" w:rsidP="003A7F6C">
      <w:r>
        <w:t>There was no requirement for a quality evaluation in a submission of this type.</w:t>
      </w:r>
    </w:p>
    <w:p w:rsidR="008E7846" w:rsidRDefault="008E7846" w:rsidP="008E7846">
      <w:pPr>
        <w:pStyle w:val="Heading3"/>
      </w:pPr>
      <w:bookmarkStart w:id="102" w:name="_Toc314842512"/>
      <w:bookmarkStart w:id="103" w:name="_Toc373929698"/>
      <w:r>
        <w:t>Nonclinical</w:t>
      </w:r>
      <w:bookmarkEnd w:id="102"/>
      <w:bookmarkEnd w:id="103"/>
    </w:p>
    <w:p w:rsidR="008E7846" w:rsidRDefault="008E7846" w:rsidP="008E7846">
      <w:r>
        <w:t>There was no requirement for a nonclinical evaluation in a submission of this type.</w:t>
      </w:r>
    </w:p>
    <w:p w:rsidR="008E7846" w:rsidRDefault="008E7846" w:rsidP="008E7846">
      <w:pPr>
        <w:pStyle w:val="Heading3"/>
      </w:pPr>
      <w:bookmarkStart w:id="104" w:name="_Toc247691530"/>
      <w:bookmarkStart w:id="105" w:name="_Toc314842513"/>
      <w:bookmarkStart w:id="106" w:name="_Toc373929699"/>
      <w:r>
        <w:lastRenderedPageBreak/>
        <w:t>Clinical</w:t>
      </w:r>
      <w:bookmarkEnd w:id="104"/>
      <w:bookmarkEnd w:id="105"/>
      <w:bookmarkEnd w:id="106"/>
    </w:p>
    <w:p w:rsidR="008E7846" w:rsidRDefault="00CB17A7" w:rsidP="00CB17A7">
      <w:pPr>
        <w:pStyle w:val="Heading4"/>
      </w:pPr>
      <w:r>
        <w:t>Efficacy</w:t>
      </w:r>
    </w:p>
    <w:p w:rsidR="00CC0208" w:rsidRPr="001A3D92" w:rsidRDefault="00D008A0" w:rsidP="0074185B">
      <w:pPr>
        <w:pStyle w:val="Heading5"/>
      </w:pPr>
      <w:r>
        <w:t xml:space="preserve">Reflex </w:t>
      </w:r>
      <w:r w:rsidR="00731533">
        <w:t>s</w:t>
      </w:r>
      <w:r>
        <w:t xml:space="preserve">tudy (IMP 27025): </w:t>
      </w:r>
      <w:r w:rsidR="00CC0208" w:rsidRPr="001A3D92">
        <w:t>Pivotal</w:t>
      </w:r>
    </w:p>
    <w:p w:rsidR="00CC0208" w:rsidRDefault="00CC0208" w:rsidP="00CC0208">
      <w:r w:rsidRPr="00C438AB">
        <w:t>The REFLEX study was a randomised, double</w:t>
      </w:r>
      <w:r w:rsidR="009601C6">
        <w:t xml:space="preserve"> </w:t>
      </w:r>
      <w:r w:rsidRPr="00C438AB">
        <w:t>blind, placebo</w:t>
      </w:r>
      <w:r w:rsidR="009601C6">
        <w:t xml:space="preserve"> </w:t>
      </w:r>
      <w:r w:rsidRPr="00C438AB">
        <w:t>controlled study carried out over two</w:t>
      </w:r>
      <w:r w:rsidR="00D66916">
        <w:t xml:space="preserve"> </w:t>
      </w:r>
      <w:r w:rsidRPr="00C438AB">
        <w:t xml:space="preserve">years and involving 517 patients considered at risk of developing MS, due to a recently experienced isolated </w:t>
      </w:r>
      <w:proofErr w:type="spellStart"/>
      <w:r w:rsidRPr="00C438AB">
        <w:t>demyelinating</w:t>
      </w:r>
      <w:proofErr w:type="spellEnd"/>
      <w:r w:rsidRPr="00C438AB">
        <w:t xml:space="preserve"> event</w:t>
      </w:r>
      <w:r w:rsidR="004E3734">
        <w:t xml:space="preserve"> </w:t>
      </w:r>
      <w:r w:rsidRPr="00C438AB">
        <w:t xml:space="preserve">of the CNS, consisting of optic neuritis, </w:t>
      </w:r>
      <w:proofErr w:type="spellStart"/>
      <w:r w:rsidRPr="00C438AB">
        <w:t>myelopathy</w:t>
      </w:r>
      <w:proofErr w:type="spellEnd"/>
      <w:r w:rsidRPr="00C438AB">
        <w:t xml:space="preserve"> or a brainstem syndrome.</w:t>
      </w:r>
      <w:r>
        <w:t xml:space="preserve"> The 517 subjects had a mean age of 30.7 years, a median EDSS score of 1.5, and 64.2% were females, in keeping with the known gender bias of CIS and MS. The mean time from onset of the first event to randomisation was 56.7 days. </w:t>
      </w:r>
      <w:r w:rsidR="00731533">
        <w:t>Further inclusion criteria are:</w:t>
      </w:r>
    </w:p>
    <w:p w:rsidR="00CC0208" w:rsidRPr="009032D6" w:rsidRDefault="00CC0208" w:rsidP="009032D6">
      <w:pPr>
        <w:pStyle w:val="ListBullet"/>
      </w:pPr>
      <w:r w:rsidRPr="009032D6">
        <w:t>Single, first clinical event suggestive of MS with an onset within 60 days prior to randomisation. The event had to be a new neurological abnormality present for</w:t>
      </w:r>
      <w:r w:rsidR="00126218">
        <w:t xml:space="preserve"> at least 24 hours, either mono</w:t>
      </w:r>
      <w:r w:rsidRPr="009032D6">
        <w:t xml:space="preserve"> or poly</w:t>
      </w:r>
      <w:r w:rsidR="00126218">
        <w:t xml:space="preserve"> </w:t>
      </w:r>
      <w:r w:rsidRPr="009032D6">
        <w:t xml:space="preserve">symptomatic, other than </w:t>
      </w:r>
      <w:proofErr w:type="spellStart"/>
      <w:r w:rsidRPr="009032D6">
        <w:t>paraesthesia</w:t>
      </w:r>
      <w:proofErr w:type="spellEnd"/>
      <w:r w:rsidRPr="009032D6">
        <w:t>, vegetative symptoms or c</w:t>
      </w:r>
      <w:r w:rsidR="00731533">
        <w:t>erebral dysfunction.</w:t>
      </w:r>
    </w:p>
    <w:p w:rsidR="00CC0208" w:rsidRPr="009032D6" w:rsidRDefault="00CC0208" w:rsidP="009032D6">
      <w:pPr>
        <w:pStyle w:val="ListBullet"/>
      </w:pPr>
      <w:r w:rsidRPr="009032D6">
        <w:t>At least two clinically silent lesions on T2</w:t>
      </w:r>
      <w:r w:rsidR="00E4228F">
        <w:t xml:space="preserve"> </w:t>
      </w:r>
      <w:r w:rsidRPr="009032D6">
        <w:t xml:space="preserve">weighted MRI scan, with a size of at least 3 mm, at least one of which was ovoid or </w:t>
      </w:r>
      <w:proofErr w:type="spellStart"/>
      <w:r w:rsidRPr="009032D6">
        <w:t>per</w:t>
      </w:r>
      <w:r w:rsidR="00731533">
        <w:t>iventricular</w:t>
      </w:r>
      <w:proofErr w:type="spellEnd"/>
      <w:r w:rsidR="00731533">
        <w:t xml:space="preserve"> or </w:t>
      </w:r>
      <w:proofErr w:type="spellStart"/>
      <w:r w:rsidR="00731533">
        <w:t>infratentorial</w:t>
      </w:r>
      <w:proofErr w:type="spellEnd"/>
      <w:r w:rsidR="00731533">
        <w:t>.</w:t>
      </w:r>
    </w:p>
    <w:p w:rsidR="00CC0208" w:rsidRPr="009032D6" w:rsidRDefault="00CC0208" w:rsidP="009032D6">
      <w:pPr>
        <w:pStyle w:val="ListBullet"/>
      </w:pPr>
      <w:r w:rsidRPr="009032D6">
        <w:t>EDSS 0-</w:t>
      </w:r>
      <w:r w:rsidR="00731533">
        <w:t>5.0 during the screening period</w:t>
      </w:r>
    </w:p>
    <w:p w:rsidR="00CC0208" w:rsidRPr="009032D6" w:rsidRDefault="00CC0208" w:rsidP="009032D6">
      <w:pPr>
        <w:pStyle w:val="ListBullet"/>
      </w:pPr>
      <w:r w:rsidRPr="009032D6">
        <w:t xml:space="preserve">Between 18 and 50 years old, </w:t>
      </w:r>
      <w:r w:rsidR="00731533">
        <w:t>inclusive</w:t>
      </w:r>
    </w:p>
    <w:p w:rsidR="00CC0208" w:rsidRPr="009032D6" w:rsidRDefault="00CC0208" w:rsidP="009032D6">
      <w:pPr>
        <w:pStyle w:val="ListBullet"/>
      </w:pPr>
      <w:r w:rsidRPr="009032D6">
        <w:t>Wil</w:t>
      </w:r>
      <w:r w:rsidR="00731533">
        <w:t>ling to follow study procedures</w:t>
      </w:r>
    </w:p>
    <w:p w:rsidR="00CC0208" w:rsidRPr="009032D6" w:rsidRDefault="00CC0208" w:rsidP="009032D6">
      <w:pPr>
        <w:pStyle w:val="ListBullet"/>
      </w:pPr>
      <w:r w:rsidRPr="009032D6">
        <w:t>If</w:t>
      </w:r>
      <w:r w:rsidR="00731533">
        <w:t xml:space="preserve"> female, the patient had to be:</w:t>
      </w:r>
    </w:p>
    <w:p w:rsidR="00CC0208" w:rsidRPr="009032D6" w:rsidRDefault="00CC0208" w:rsidP="009032D6">
      <w:pPr>
        <w:pStyle w:val="ListBullet2"/>
      </w:pPr>
      <w:r w:rsidRPr="009032D6">
        <w:t>neither pregnant nor breast</w:t>
      </w:r>
      <w:r w:rsidR="00D66916">
        <w:t xml:space="preserve"> </w:t>
      </w:r>
      <w:r w:rsidRPr="009032D6">
        <w:t>feed</w:t>
      </w:r>
      <w:r w:rsidR="00731533">
        <w:t>ing nor attempting to conceive;</w:t>
      </w:r>
    </w:p>
    <w:p w:rsidR="00CC0208" w:rsidRPr="009032D6" w:rsidRDefault="00CC0208" w:rsidP="009032D6">
      <w:pPr>
        <w:pStyle w:val="ListBullet2"/>
      </w:pPr>
      <w:r w:rsidRPr="009032D6">
        <w:t>using a highly ef</w:t>
      </w:r>
      <w:r w:rsidR="00731533">
        <w:t>fective method of contraception</w:t>
      </w:r>
    </w:p>
    <w:p w:rsidR="00CC0208" w:rsidRPr="00517D0C" w:rsidRDefault="00CC0208" w:rsidP="00517D0C">
      <w:r w:rsidRPr="00517D0C">
        <w:t>Participants were randomi</w:t>
      </w:r>
      <w:r w:rsidR="00D66916">
        <w:t>s</w:t>
      </w:r>
      <w:r w:rsidRPr="00517D0C">
        <w:t>ed to receive subcu</w:t>
      </w:r>
      <w:r w:rsidR="00A51BE8">
        <w:t xml:space="preserve">taneously </w:t>
      </w:r>
      <w:proofErr w:type="spellStart"/>
      <w:r w:rsidR="00A51BE8">
        <w:t>Rebif</w:t>
      </w:r>
      <w:proofErr w:type="spellEnd"/>
      <w:r w:rsidR="00A51BE8">
        <w:t xml:space="preserve"> 44 µ</w:t>
      </w:r>
      <w:r w:rsidRPr="00517D0C">
        <w:t>g three times weekly (</w:t>
      </w:r>
      <w:proofErr w:type="spellStart"/>
      <w:r w:rsidRPr="00517D0C">
        <w:t>tiw</w:t>
      </w:r>
      <w:proofErr w:type="spellEnd"/>
      <w:r w:rsidRPr="00517D0C">
        <w:t xml:space="preserve">) </w:t>
      </w:r>
      <w:r w:rsidR="002200FD">
        <w:t>(n = 171) or</w:t>
      </w:r>
      <w:r w:rsidRPr="00517D0C">
        <w:t xml:space="preserve"> </w:t>
      </w:r>
      <w:proofErr w:type="spellStart"/>
      <w:r w:rsidR="00244E9F">
        <w:t>Rebif</w:t>
      </w:r>
      <w:proofErr w:type="spellEnd"/>
      <w:r w:rsidR="00244E9F">
        <w:t xml:space="preserve"> 44 µ</w:t>
      </w:r>
      <w:r w:rsidR="00244E9F" w:rsidRPr="00517D0C">
        <w:t xml:space="preserve">g </w:t>
      </w:r>
      <w:r w:rsidRPr="00517D0C">
        <w:t>once weekly (</w:t>
      </w:r>
      <w:proofErr w:type="spellStart"/>
      <w:r w:rsidRPr="00517D0C">
        <w:t>ow</w:t>
      </w:r>
      <w:proofErr w:type="spellEnd"/>
      <w:r w:rsidRPr="00517D0C">
        <w:t xml:space="preserve">) </w:t>
      </w:r>
      <w:r w:rsidR="002200FD">
        <w:t>(</w:t>
      </w:r>
      <w:r w:rsidRPr="00517D0C">
        <w:t>n=175</w:t>
      </w:r>
      <w:r w:rsidR="00244E9F">
        <w:t>) or</w:t>
      </w:r>
      <w:r w:rsidRPr="00517D0C">
        <w:t xml:space="preserve"> placebo </w:t>
      </w:r>
      <w:r w:rsidR="00244E9F">
        <w:t>(</w:t>
      </w:r>
      <w:r w:rsidRPr="00517D0C">
        <w:t>n=171</w:t>
      </w:r>
      <w:r w:rsidR="002200FD">
        <w:t>)</w:t>
      </w:r>
      <w:r w:rsidRPr="00517D0C">
        <w:t xml:space="preserve"> on a 1:1:1 basis with stratification for four fac</w:t>
      </w:r>
      <w:r w:rsidR="00731533">
        <w:t>tors known to affect prognosis:</w:t>
      </w:r>
    </w:p>
    <w:p w:rsidR="00CC0208" w:rsidRDefault="002200FD" w:rsidP="00517D0C">
      <w:pPr>
        <w:pStyle w:val="ListBullet"/>
      </w:pPr>
      <w:r>
        <w:t>Age (&lt;30 years, ≥</w:t>
      </w:r>
      <w:r w:rsidR="00731533">
        <w:t>30 years)</w:t>
      </w:r>
    </w:p>
    <w:p w:rsidR="00CC0208" w:rsidRDefault="00CC0208" w:rsidP="00517D0C">
      <w:pPr>
        <w:pStyle w:val="ListBullet"/>
      </w:pPr>
      <w:r>
        <w:t xml:space="preserve">Classification of first clinical </w:t>
      </w:r>
      <w:proofErr w:type="spellStart"/>
      <w:r>
        <w:t>demyelinatin</w:t>
      </w:r>
      <w:r w:rsidR="00731533">
        <w:t>g</w:t>
      </w:r>
      <w:proofErr w:type="spellEnd"/>
      <w:r w:rsidR="00731533">
        <w:t xml:space="preserve"> event (</w:t>
      </w:r>
      <w:proofErr w:type="spellStart"/>
      <w:r w:rsidR="00731533">
        <w:t>monofocal</w:t>
      </w:r>
      <w:proofErr w:type="spellEnd"/>
      <w:r w:rsidR="00731533">
        <w:t>, multifocal)</w:t>
      </w:r>
    </w:p>
    <w:p w:rsidR="00CC0208" w:rsidRDefault="00CC0208" w:rsidP="00517D0C">
      <w:pPr>
        <w:pStyle w:val="ListBullet"/>
      </w:pPr>
      <w:r>
        <w:t xml:space="preserve">Steroid use at first clinical </w:t>
      </w:r>
      <w:proofErr w:type="spellStart"/>
      <w:r>
        <w:t>demyelinating</w:t>
      </w:r>
      <w:proofErr w:type="spellEnd"/>
      <w:r>
        <w:t xml:space="preserve"> event (yes, no)</w:t>
      </w:r>
    </w:p>
    <w:p w:rsidR="00CC0208" w:rsidRDefault="00CC0208" w:rsidP="00517D0C">
      <w:pPr>
        <w:pStyle w:val="ListBullet"/>
      </w:pPr>
      <w:r>
        <w:t>Pres</w:t>
      </w:r>
      <w:r w:rsidR="00652183">
        <w:t xml:space="preserve">ence of at least 1 Gadolinium </w:t>
      </w:r>
      <w:r>
        <w:t>enhanci</w:t>
      </w:r>
      <w:r w:rsidR="00731533">
        <w:t>ng lesion at baseline (yes, no)</w:t>
      </w:r>
    </w:p>
    <w:p w:rsidR="00CC0208" w:rsidRDefault="00CC0208" w:rsidP="00CC0208">
      <w:r w:rsidRPr="00820E99">
        <w:t>Of</w:t>
      </w:r>
      <w:r>
        <w:t xml:space="preserve"> the 517 randomised subjects, 448 (86.7%) completed the study; the other 69 subjects (13.3%) withdrew prematurely (10.9% in the 44 </w:t>
      </w:r>
      <w:r w:rsidR="00A51BE8">
        <w:t>µ</w:t>
      </w:r>
      <w:r>
        <w:t>g</w:t>
      </w:r>
      <w:r w:rsidR="004E3734">
        <w:t xml:space="preserve"> </w:t>
      </w:r>
      <w:proofErr w:type="spellStart"/>
      <w:r>
        <w:t>ow</w:t>
      </w:r>
      <w:proofErr w:type="spellEnd"/>
      <w:r>
        <w:t xml:space="preserve"> group and 14.6% in both placebo and 44 </w:t>
      </w:r>
      <w:r w:rsidR="00A51BE8">
        <w:t>µ</w:t>
      </w:r>
      <w:r>
        <w:t>g</w:t>
      </w:r>
      <w:r w:rsidR="004E3734">
        <w:t xml:space="preserve"> </w:t>
      </w:r>
      <w:proofErr w:type="spellStart"/>
      <w:r>
        <w:t>tiw</w:t>
      </w:r>
      <w:proofErr w:type="spellEnd"/>
      <w:r>
        <w:t xml:space="preserve"> groups). This is a relatively high completion rate for a study of this duration. All subjects entered the ITT analysis, even if they withdrew. The treatment groups were reason</w:t>
      </w:r>
      <w:r w:rsidR="00731533">
        <w:t>ably well balanced at baseline.</w:t>
      </w:r>
    </w:p>
    <w:p w:rsidR="00CC0208" w:rsidRDefault="00CC0208" w:rsidP="00CC0208">
      <w:r>
        <w:t xml:space="preserve">Treatment was for a period of two years (or up to the time) when they experienced a second clinical attack leading to a diagnosis of </w:t>
      </w:r>
      <w:r w:rsidR="00FE43B3">
        <w:t>CDMS</w:t>
      </w:r>
      <w:r>
        <w:t xml:space="preserve"> or experienced progression defined by a sustained increase of at least 1.5 points in the EDSS, at which time they qualified for open</w:t>
      </w:r>
      <w:r w:rsidR="004C74A1">
        <w:t xml:space="preserve"> </w:t>
      </w:r>
      <w:r>
        <w:t xml:space="preserve">label </w:t>
      </w:r>
      <w:proofErr w:type="spellStart"/>
      <w:r>
        <w:t>Rebif</w:t>
      </w:r>
      <w:proofErr w:type="spellEnd"/>
      <w:r>
        <w:t xml:space="preserve"> treatment at 44 </w:t>
      </w:r>
      <w:r w:rsidR="00A51BE8">
        <w:t>µ</w:t>
      </w:r>
      <w:r>
        <w:t xml:space="preserve">g </w:t>
      </w:r>
      <w:proofErr w:type="spellStart"/>
      <w:r>
        <w:t>tiw</w:t>
      </w:r>
      <w:proofErr w:type="spellEnd"/>
      <w:r>
        <w:t xml:space="preserve"> while keeping their initial treatment blinded. Appropriate placebo injections were employed in the placebo group and the once-weekly </w:t>
      </w:r>
      <w:proofErr w:type="spellStart"/>
      <w:r>
        <w:t>Rebif</w:t>
      </w:r>
      <w:proofErr w:type="spellEnd"/>
      <w:r>
        <w:t xml:space="preserve"> group in a</w:t>
      </w:r>
      <w:r w:rsidR="00731533">
        <w:t>n attempt to maintain blinding.</w:t>
      </w:r>
    </w:p>
    <w:p w:rsidR="00CC0208" w:rsidRDefault="00CC0208" w:rsidP="00CC0208">
      <w:r>
        <w:t>In the active groups, patients received 20% of the full dose for 2 weeks, 50% for the next 2 weeks, and the full dose for the remainder of the study. This is a fairly standard approac</w:t>
      </w:r>
      <w:r w:rsidR="00731533">
        <w:t>h aimed at improving tolerance.</w:t>
      </w:r>
    </w:p>
    <w:p w:rsidR="00CC0208" w:rsidRDefault="00CC0208" w:rsidP="00CC0208">
      <w:r>
        <w:lastRenderedPageBreak/>
        <w:t xml:space="preserve">Patients were also advised to take ibuprofen (400 mg) or paracetamol (1000 mg) </w:t>
      </w:r>
      <w:proofErr w:type="spellStart"/>
      <w:r>
        <w:t>prophylactically</w:t>
      </w:r>
      <w:proofErr w:type="spellEnd"/>
      <w:r>
        <w:t xml:space="preserve"> with each injection during the first 12 weeks of treatment, to minimise flu</w:t>
      </w:r>
      <w:r w:rsidR="007A6B84">
        <w:t xml:space="preserve"> </w:t>
      </w:r>
      <w:r w:rsidR="00731533">
        <w:t>like symptoms.</w:t>
      </w:r>
    </w:p>
    <w:p w:rsidR="00CC0208" w:rsidRDefault="00CC0208" w:rsidP="00CC0208">
      <w:r>
        <w:t>Short courses of corticosteroid treatment for MS relapses were permitted at the discre</w:t>
      </w:r>
      <w:r w:rsidR="00731533">
        <w:t>tion of the treating physician.</w:t>
      </w:r>
    </w:p>
    <w:p w:rsidR="00CC0208" w:rsidRDefault="00CC0208" w:rsidP="00CC0208">
      <w:r>
        <w:t xml:space="preserve">The </w:t>
      </w:r>
      <w:r w:rsidRPr="00E50237">
        <w:rPr>
          <w:b/>
        </w:rPr>
        <w:t>primary efficacy variable</w:t>
      </w:r>
      <w:r>
        <w:t xml:space="preserve"> was the time to diagnosis of MS</w:t>
      </w:r>
      <w:r w:rsidR="001A707E">
        <w:t xml:space="preserve"> by the McDonald 2005 criteria.</w:t>
      </w:r>
    </w:p>
    <w:p w:rsidR="00CC0208" w:rsidRDefault="00CC0208" w:rsidP="00CC0208">
      <w:r w:rsidRPr="005058C4">
        <w:rPr>
          <w:b/>
        </w:rPr>
        <w:t>Additional major efficacy variables</w:t>
      </w:r>
      <w:r w:rsidR="00731533">
        <w:t xml:space="preserve"> were:</w:t>
      </w:r>
    </w:p>
    <w:p w:rsidR="00CC0208" w:rsidRDefault="00CC0208" w:rsidP="00517D0C">
      <w:pPr>
        <w:ind w:left="720"/>
      </w:pPr>
      <w:r>
        <w:rPr>
          <w:b/>
        </w:rPr>
        <w:t xml:space="preserve">The main secondary endpoint: </w:t>
      </w:r>
      <w:r>
        <w:t>Diagnosis of CDMS. This requires a second clinical event at a new CNS location, rather than accepting MRI lesions a</w:t>
      </w:r>
      <w:r w:rsidR="00731533">
        <w:t>s evidence of disease activity.</w:t>
      </w:r>
    </w:p>
    <w:p w:rsidR="00CC0208" w:rsidRDefault="00CC0208" w:rsidP="00517D0C">
      <w:pPr>
        <w:ind w:left="720"/>
      </w:pPr>
      <w:r>
        <w:rPr>
          <w:b/>
        </w:rPr>
        <w:t>The main MRI</w:t>
      </w:r>
      <w:r w:rsidR="00DD1FE2">
        <w:rPr>
          <w:b/>
        </w:rPr>
        <w:t xml:space="preserve"> </w:t>
      </w:r>
      <w:r>
        <w:rPr>
          <w:b/>
        </w:rPr>
        <w:t xml:space="preserve">based secondary endpoint: </w:t>
      </w:r>
      <w:r>
        <w:t xml:space="preserve">Number of combined unique active lesions (CUA </w:t>
      </w:r>
      <w:r w:rsidR="00EF0C41">
        <w:t xml:space="preserve">[combined unique active] </w:t>
      </w:r>
      <w:r>
        <w:t>lesions) on MRI. This is the combination of new or enhancing lesions on the MRI, per patient per scan, during double</w:t>
      </w:r>
      <w:r w:rsidR="00D71C18">
        <w:t xml:space="preserve"> </w:t>
      </w:r>
      <w:r w:rsidR="00731533">
        <w:t>blind treatment.</w:t>
      </w:r>
    </w:p>
    <w:p w:rsidR="00CC0208" w:rsidRPr="005058C4" w:rsidRDefault="00517D0C" w:rsidP="00517D0C">
      <w:pPr>
        <w:pStyle w:val="Heading5"/>
      </w:pPr>
      <w:r>
        <w:t>Clinical evaluator’</w:t>
      </w:r>
      <w:r w:rsidR="00731533">
        <w:t>s comment:</w:t>
      </w:r>
    </w:p>
    <w:p w:rsidR="00CC0208" w:rsidRDefault="00CC0208" w:rsidP="00CC0208">
      <w:r>
        <w:t>As discus</w:t>
      </w:r>
      <w:r w:rsidR="00E4228F">
        <w:t>sed above</w:t>
      </w:r>
      <w:r>
        <w:t xml:space="preserve">, the McDonald criteria require demonstration of dissemination in space and time using a mix of clinical and MRI criteria. If a patient developed MS by having a second clinical event, they could be diagnosed with MS by the McDonald 2005 criteria and they could also be diagnosed with CDMS, reaching two main study endpoints at once. If they developed MS by satisfying an MRI criterion but not a clinical one, they reached the primary study endpoint but not </w:t>
      </w:r>
      <w:r w:rsidR="00731533">
        <w:t>the secondary endpoint of CDMS.</w:t>
      </w:r>
    </w:p>
    <w:p w:rsidR="00CC0208" w:rsidRDefault="00CC0208" w:rsidP="00CC0208">
      <w:r>
        <w:t>The primary efficacy outcome was the time to McDonald MS for the high</w:t>
      </w:r>
      <w:r w:rsidR="00E731DC">
        <w:t xml:space="preserve"> </w:t>
      </w:r>
      <w:r>
        <w:t>d</w:t>
      </w:r>
      <w:r w:rsidR="00E731DC">
        <w:t xml:space="preserve">ose group versus </w:t>
      </w:r>
      <w:r w:rsidR="00960293">
        <w:t>placebo using a lo</w:t>
      </w:r>
      <w:r>
        <w:t>g-rank test in the</w:t>
      </w:r>
      <w:r w:rsidR="00DD29DE">
        <w:t xml:space="preserve"> ITT</w:t>
      </w:r>
      <w:r>
        <w:t xml:space="preserve"> population. Given that there were </w:t>
      </w:r>
      <w:r>
        <w:rPr>
          <w:i/>
        </w:rPr>
        <w:t>three</w:t>
      </w:r>
      <w:r>
        <w:t xml:space="preserve"> main efficacy variables (time to McDonald MS, time to CDMS and number of CUA lesions) and </w:t>
      </w:r>
      <w:r>
        <w:rPr>
          <w:i/>
        </w:rPr>
        <w:t xml:space="preserve">two </w:t>
      </w:r>
      <w:r>
        <w:t>active groups (high</w:t>
      </w:r>
      <w:r w:rsidR="007D042A">
        <w:t xml:space="preserve"> </w:t>
      </w:r>
      <w:r>
        <w:t>dose and low</w:t>
      </w:r>
      <w:r w:rsidR="007D042A">
        <w:t xml:space="preserve"> </w:t>
      </w:r>
      <w:r>
        <w:t xml:space="preserve">dose), a total of </w:t>
      </w:r>
      <w:r>
        <w:rPr>
          <w:i/>
        </w:rPr>
        <w:t xml:space="preserve">six </w:t>
      </w:r>
      <w:r>
        <w:t>major endpoints were examined in a hierarchical fashion: time to McDonald MS, time to CDMS, and number of CUA lesions for the high</w:t>
      </w:r>
      <w:r w:rsidR="00765B7D">
        <w:t xml:space="preserve"> dose group versus </w:t>
      </w:r>
      <w:r>
        <w:t>placebo, and then the s</w:t>
      </w:r>
      <w:r w:rsidR="0034488B">
        <w:t xml:space="preserve">ame three endpoints for the low </w:t>
      </w:r>
      <w:r>
        <w:t xml:space="preserve">dose group </w:t>
      </w:r>
      <w:r w:rsidR="00765B7D">
        <w:t>versus</w:t>
      </w:r>
      <w:r>
        <w:t xml:space="preserve"> placebo. Lower</w:t>
      </w:r>
      <w:r w:rsidR="00765B7D">
        <w:t xml:space="preserve"> </w:t>
      </w:r>
      <w:r>
        <w:t xml:space="preserve">ranked endpoints in the hierarchy were only considered positive if the previous endpoints had achieved significance. This approach corrects for the </w:t>
      </w:r>
      <w:r w:rsidR="00731533">
        <w:t>presence of multiple endpoints.</w:t>
      </w:r>
    </w:p>
    <w:p w:rsidR="00CC0208" w:rsidRDefault="00CC0208" w:rsidP="00CC0208">
      <w:r w:rsidRPr="005058C4">
        <w:rPr>
          <w:b/>
        </w:rPr>
        <w:t>Other efficacy outcomes</w:t>
      </w:r>
      <w:r>
        <w:t xml:space="preserve"> included:</w:t>
      </w:r>
    </w:p>
    <w:p w:rsidR="00CC0208" w:rsidRPr="00517D0C" w:rsidRDefault="0090505C" w:rsidP="00517D0C">
      <w:pPr>
        <w:pStyle w:val="ListBullet"/>
      </w:pPr>
      <w:r>
        <w:t xml:space="preserve">Other MRI </w:t>
      </w:r>
      <w:r w:rsidR="00CC0208" w:rsidRPr="00517D0C">
        <w:t>based lesion counts and lesion volumes</w:t>
      </w:r>
    </w:p>
    <w:p w:rsidR="00CC0208" w:rsidRPr="00517D0C" w:rsidRDefault="00CC0208" w:rsidP="00517D0C">
      <w:pPr>
        <w:pStyle w:val="ListBullet"/>
      </w:pPr>
      <w:r w:rsidRPr="00517D0C">
        <w:t>Annualised relapse rate</w:t>
      </w:r>
    </w:p>
    <w:p w:rsidR="00CC0208" w:rsidRPr="00517D0C" w:rsidRDefault="00CC0208" w:rsidP="00517D0C">
      <w:pPr>
        <w:pStyle w:val="ListBullet"/>
      </w:pPr>
      <w:r w:rsidRPr="00517D0C">
        <w:t>Proportion of subjects relapse</w:t>
      </w:r>
      <w:r w:rsidR="0090505C">
        <w:t xml:space="preserve"> </w:t>
      </w:r>
      <w:r w:rsidRPr="00517D0C">
        <w:t>free</w:t>
      </w:r>
    </w:p>
    <w:p w:rsidR="00CC0208" w:rsidRPr="00517D0C" w:rsidRDefault="00CC0208" w:rsidP="00517D0C">
      <w:pPr>
        <w:pStyle w:val="ListBullet"/>
      </w:pPr>
      <w:r w:rsidRPr="00517D0C">
        <w:t xml:space="preserve">Change in </w:t>
      </w:r>
      <w:r w:rsidR="0090505C">
        <w:t>EDSS</w:t>
      </w:r>
    </w:p>
    <w:p w:rsidR="00CC0208" w:rsidRPr="00517D0C" w:rsidRDefault="00CC0208" w:rsidP="00517D0C">
      <w:pPr>
        <w:pStyle w:val="ListBullet"/>
      </w:pPr>
      <w:r w:rsidRPr="00517D0C">
        <w:t>Change in MS Functional Composite (MSFC) and its components (Paced Auditory Serial Addition Test [PASAT], timed 25</w:t>
      </w:r>
      <w:r w:rsidR="0090505C">
        <w:t xml:space="preserve"> </w:t>
      </w:r>
      <w:r w:rsidRPr="00517D0C">
        <w:t>foot walk, 9</w:t>
      </w:r>
      <w:r w:rsidR="0090505C">
        <w:t xml:space="preserve"> </w:t>
      </w:r>
      <w:r w:rsidRPr="00517D0C">
        <w:t>hole peg test)</w:t>
      </w:r>
    </w:p>
    <w:p w:rsidR="00CC0208" w:rsidRPr="00517D0C" w:rsidRDefault="00CC0208" w:rsidP="00517D0C">
      <w:pPr>
        <w:pStyle w:val="ListBullet"/>
      </w:pPr>
      <w:r w:rsidRPr="00517D0C">
        <w:t>Mean improvement from baseline in the EQ-5D quality of life assessments</w:t>
      </w:r>
    </w:p>
    <w:p w:rsidR="00CC0208" w:rsidRDefault="00CC0208" w:rsidP="00CC0208">
      <w:r>
        <w:t>Sample size requirements were based on observations of the BE</w:t>
      </w:r>
      <w:r w:rsidR="00A55E92">
        <w:t>NEFIT study</w:t>
      </w:r>
      <w:r>
        <w:t>,</w:t>
      </w:r>
      <w:r w:rsidR="00C84B66">
        <w:rPr>
          <w:rStyle w:val="FootnoteReference"/>
        </w:rPr>
        <w:footnoteReference w:id="8"/>
      </w:r>
      <w:r>
        <w:t xml:space="preserve"> in which a similar population of CIS subjects were treated with </w:t>
      </w:r>
      <w:r w:rsidR="00731533">
        <w:t>interferon beta-1b (</w:t>
      </w:r>
      <w:proofErr w:type="spellStart"/>
      <w:r w:rsidR="00731533">
        <w:t>Betaferon</w:t>
      </w:r>
      <w:proofErr w:type="spellEnd"/>
      <w:r w:rsidR="00731533">
        <w:t>).</w:t>
      </w:r>
    </w:p>
    <w:p w:rsidR="00CC0208" w:rsidRDefault="00CC0208" w:rsidP="00CC0208">
      <w:r>
        <w:t xml:space="preserve">It was estimated that a total of 450 subjects (150 per treatment group) would produce </w:t>
      </w:r>
      <w:r w:rsidR="00501BFC">
        <w:t xml:space="preserve">approximately </w:t>
      </w:r>
      <w:r>
        <w:t xml:space="preserve">165 events (McDonald conversions) for the comparison </w:t>
      </w:r>
      <w:proofErr w:type="spellStart"/>
      <w:r w:rsidR="00716BA1" w:rsidRPr="00716BA1">
        <w:t>Rebif</w:t>
      </w:r>
      <w:proofErr w:type="spellEnd"/>
      <w:r w:rsidR="00716BA1" w:rsidRPr="00716BA1">
        <w:t xml:space="preserve"> New </w:t>
      </w:r>
      <w:proofErr w:type="gramStart"/>
      <w:r w:rsidR="00716BA1" w:rsidRPr="00716BA1">
        <w:lastRenderedPageBreak/>
        <w:t>Formulation</w:t>
      </w:r>
      <w:r w:rsidR="00716BA1">
        <w:t xml:space="preserve"> (RNF</w:t>
      </w:r>
      <w:r w:rsidR="00716BA1" w:rsidRPr="00716BA1">
        <w:t xml:space="preserve">, </w:t>
      </w:r>
      <w:r w:rsidR="00716BA1">
        <w:t>free from h</w:t>
      </w:r>
      <w:r w:rsidR="00716BA1" w:rsidRPr="00716BA1">
        <w:t xml:space="preserve">uman </w:t>
      </w:r>
      <w:r w:rsidR="00716BA1">
        <w:t>s</w:t>
      </w:r>
      <w:r w:rsidR="00716BA1" w:rsidRPr="00716BA1">
        <w:t xml:space="preserve">erum </w:t>
      </w:r>
      <w:r w:rsidR="00716BA1">
        <w:t>a</w:t>
      </w:r>
      <w:r w:rsidR="00716BA1" w:rsidRPr="00716BA1">
        <w:t>lbumin</w:t>
      </w:r>
      <w:r w:rsidR="00716BA1">
        <w:t>)</w:t>
      </w:r>
      <w:r w:rsidR="00716BA1" w:rsidRPr="00716BA1">
        <w:t xml:space="preserve"> </w:t>
      </w:r>
      <w:r>
        <w:t xml:space="preserve">44 </w:t>
      </w:r>
      <w:r w:rsidR="00A51BE8">
        <w:t>µ</w:t>
      </w:r>
      <w:r w:rsidR="00A55E92">
        <w:t xml:space="preserve">g </w:t>
      </w:r>
      <w:proofErr w:type="spellStart"/>
      <w:r w:rsidR="00A55E92">
        <w:t>tiw</w:t>
      </w:r>
      <w:proofErr w:type="spellEnd"/>
      <w:r w:rsidR="00A55E92">
        <w:t xml:space="preserve"> versus</w:t>
      </w:r>
      <w:r>
        <w:t xml:space="preserve"> placebo after approximately 21 months of recruitment.</w:t>
      </w:r>
      <w:proofErr w:type="gramEnd"/>
      <w:r>
        <w:t xml:space="preserve"> This number of events was sufficient</w:t>
      </w:r>
      <w:r w:rsidR="00A55E92">
        <w:t xml:space="preserve"> to provide 90% power using a two </w:t>
      </w:r>
      <w:r>
        <w:t xml:space="preserve">sided log-rank test at a 0.05 alpha-error for detecting a HR of 0.6 in the primary efficacy endpoint for the main comparison RNF 44 </w:t>
      </w:r>
      <w:r w:rsidR="00A51BE8">
        <w:t>µ</w:t>
      </w:r>
      <w:r w:rsidR="009963AA">
        <w:t xml:space="preserve">g </w:t>
      </w:r>
      <w:proofErr w:type="spellStart"/>
      <w:r w:rsidR="009963AA">
        <w:t>tiw</w:t>
      </w:r>
      <w:proofErr w:type="spellEnd"/>
      <w:r w:rsidR="009963AA">
        <w:t xml:space="preserve"> versus</w:t>
      </w:r>
      <w:r>
        <w:t xml:space="preserve"> placebo. This HR corresponded to 15% subjects being free of conversion over 24 months in the placebo group and 32% in the RNF 44 </w:t>
      </w:r>
      <w:r w:rsidR="00A51BE8">
        <w:t>µ</w:t>
      </w:r>
      <w:r>
        <w:t xml:space="preserve">g </w:t>
      </w:r>
      <w:proofErr w:type="spellStart"/>
      <w:r>
        <w:t>tiw</w:t>
      </w:r>
      <w:proofErr w:type="spellEnd"/>
      <w:r>
        <w:t xml:space="preserve"> group, a clinically worthwhile difference.</w:t>
      </w:r>
    </w:p>
    <w:p w:rsidR="00CC0208" w:rsidRDefault="00CC0208" w:rsidP="00CC0208">
      <w:r>
        <w:t>Allowing for withdrawals, the proposed sample size was increased to 480 subjects equally allocated to each</w:t>
      </w:r>
      <w:r w:rsidR="004925E6">
        <w:t xml:space="preserve"> of the 3 treatment groups (</w:t>
      </w:r>
      <w:r>
        <w:t>160 subjects per group), and this target was exceeded.</w:t>
      </w:r>
    </w:p>
    <w:p w:rsidR="00CC0208" w:rsidRDefault="00CC0208" w:rsidP="00CC0208">
      <w:r>
        <w:t>The primary analysis popu</w:t>
      </w:r>
      <w:r w:rsidR="00A55E92">
        <w:t>lation was the ITT</w:t>
      </w:r>
      <w:r>
        <w:t xml:space="preserve"> population, which included all randomised subjects (n=517). The sponsor repeate</w:t>
      </w:r>
      <w:r w:rsidR="00A55E92">
        <w:t xml:space="preserve">d all major analyses on the per </w:t>
      </w:r>
      <w:r>
        <w:t>protocol (PP) population, which consisted of all randomised subjects who did not have any major protocol deviations likely to</w:t>
      </w:r>
      <w:r w:rsidR="004E3734">
        <w:t xml:space="preserve"> </w:t>
      </w:r>
      <w:r>
        <w:t>interfere with assessment of the primary efficacy endpoint (conversion to</w:t>
      </w:r>
      <w:r w:rsidR="004E3734">
        <w:t xml:space="preserve"> </w:t>
      </w:r>
      <w:r w:rsidR="00731533">
        <w:t>McDonald MS) (n=458).</w:t>
      </w:r>
    </w:p>
    <w:p w:rsidR="00CC0208" w:rsidRDefault="00CC0208" w:rsidP="00CC0208">
      <w:r w:rsidRPr="00E476F8">
        <w:t xml:space="preserve">For the primary efficacy endpoint, </w:t>
      </w:r>
      <w:r w:rsidR="00C84B66">
        <w:t xml:space="preserve">the primary analysis was a pair </w:t>
      </w:r>
      <w:r w:rsidRPr="00E476F8">
        <w:t>wise comparison of the</w:t>
      </w:r>
      <w:r w:rsidR="00C84B66">
        <w:t xml:space="preserve"> ITT treatment groups using a two </w:t>
      </w:r>
      <w:r w:rsidRPr="00E476F8">
        <w:t xml:space="preserve">sided stratified log-rank test at the 0.05 significance level: RNF 44 </w:t>
      </w:r>
      <w:r w:rsidR="00A51BE8">
        <w:t>µ</w:t>
      </w:r>
      <w:r w:rsidRPr="00E476F8">
        <w:t>g</w:t>
      </w:r>
      <w:r>
        <w:t xml:space="preserve"> </w:t>
      </w:r>
      <w:proofErr w:type="spellStart"/>
      <w:r w:rsidR="00C84B66">
        <w:t>tiw</w:t>
      </w:r>
      <w:proofErr w:type="spellEnd"/>
      <w:r w:rsidR="00C84B66">
        <w:t xml:space="preserve"> versus</w:t>
      </w:r>
      <w:r w:rsidRPr="00E476F8">
        <w:t xml:space="preserve"> placebo and RNF 44</w:t>
      </w:r>
      <w:r w:rsidR="00A51BE8">
        <w:t xml:space="preserve"> µ</w:t>
      </w:r>
      <w:r w:rsidRPr="00E476F8">
        <w:t>g</w:t>
      </w:r>
      <w:r>
        <w:t xml:space="preserve"> </w:t>
      </w:r>
      <w:proofErr w:type="spellStart"/>
      <w:r w:rsidR="00C84B66">
        <w:t>ow</w:t>
      </w:r>
      <w:proofErr w:type="spellEnd"/>
      <w:r w:rsidR="00C84B66">
        <w:t xml:space="preserve"> versus</w:t>
      </w:r>
      <w:r w:rsidRPr="00E476F8">
        <w:t xml:space="preserve"> placebo.</w:t>
      </w:r>
      <w:r w:rsidR="004E3734">
        <w:t xml:space="preserve"> </w:t>
      </w:r>
      <w:r w:rsidRPr="00E476F8">
        <w:t xml:space="preserve">(RNF 44 </w:t>
      </w:r>
      <w:r w:rsidR="00A51BE8">
        <w:t>µ</w:t>
      </w:r>
      <w:r w:rsidRPr="00E476F8">
        <w:t xml:space="preserve">g </w:t>
      </w:r>
      <w:proofErr w:type="spellStart"/>
      <w:r>
        <w:t>tiw</w:t>
      </w:r>
      <w:proofErr w:type="spellEnd"/>
      <w:r w:rsidR="00C84B66">
        <w:t xml:space="preserve"> versus</w:t>
      </w:r>
      <w:r w:rsidRPr="00E476F8">
        <w:t xml:space="preserve"> RNF 44</w:t>
      </w:r>
      <w:r w:rsidR="00A51BE8">
        <w:t xml:space="preserve"> µ</w:t>
      </w:r>
      <w:r w:rsidRPr="00E476F8">
        <w:t xml:space="preserve">g </w:t>
      </w:r>
      <w:proofErr w:type="spellStart"/>
      <w:r w:rsidRPr="00E476F8">
        <w:t>ow</w:t>
      </w:r>
      <w:proofErr w:type="spellEnd"/>
      <w:r w:rsidRPr="00E476F8">
        <w:t xml:space="preserve"> was compared in an exploratory manner.) Stratification was performed using the same four prognostic factors that were used to stratify randomisation (age, </w:t>
      </w:r>
      <w:proofErr w:type="spellStart"/>
      <w:r w:rsidRPr="00E476F8">
        <w:t>unifocal</w:t>
      </w:r>
      <w:proofErr w:type="spellEnd"/>
      <w:r w:rsidRPr="00E476F8">
        <w:t xml:space="preserve"> v</w:t>
      </w:r>
      <w:r w:rsidR="00C84B66">
        <w:t>ersus</w:t>
      </w:r>
      <w:r w:rsidRPr="00E476F8">
        <w:t xml:space="preserve"> multifocal disease, steroid use and </w:t>
      </w:r>
      <w:r w:rsidR="00716BA1">
        <w:t>gadolinium (</w:t>
      </w:r>
      <w:proofErr w:type="spellStart"/>
      <w:r w:rsidR="00716BA1">
        <w:t>Gd</w:t>
      </w:r>
      <w:proofErr w:type="spellEnd"/>
      <w:r w:rsidR="00716BA1">
        <w:t xml:space="preserve">) </w:t>
      </w:r>
      <w:r w:rsidRPr="00E476F8">
        <w:t>contrast</w:t>
      </w:r>
      <w:r w:rsidR="00C84B66">
        <w:t xml:space="preserve"> </w:t>
      </w:r>
      <w:r w:rsidRPr="00E476F8">
        <w:t>enhancing [</w:t>
      </w:r>
      <w:proofErr w:type="spellStart"/>
      <w:r w:rsidRPr="00E476F8">
        <w:t>Gd</w:t>
      </w:r>
      <w:proofErr w:type="spellEnd"/>
      <w:r w:rsidRPr="00E476F8">
        <w:t>+] lesions).</w:t>
      </w:r>
    </w:p>
    <w:p w:rsidR="00CC0208" w:rsidRDefault="00CC0208" w:rsidP="00517D0C">
      <w:r>
        <w:t>The probability of subjects developing McDonald MS in each treatment group was estimated with survival curves using the non</w:t>
      </w:r>
      <w:r w:rsidR="00C84B66">
        <w:t xml:space="preserve"> </w:t>
      </w:r>
      <w:r>
        <w:t>parametric</w:t>
      </w:r>
      <w:r w:rsidR="00C84B66">
        <w:t xml:space="preserve"> Kaplan-Meier </w:t>
      </w:r>
      <w:r>
        <w:t>method.</w:t>
      </w:r>
    </w:p>
    <w:p w:rsidR="00CC0208" w:rsidRDefault="00CC0208" w:rsidP="00CC0208">
      <w:r>
        <w:t xml:space="preserve">The primary efficacy endpoint was also subjected to a secondary analysis to estimate the magnitude of the treatment effect in terms of the </w:t>
      </w:r>
      <w:r w:rsidR="009963AA">
        <w:t>HR</w:t>
      </w:r>
      <w:r>
        <w:t>, using an adjusted Cox’s proportional hazards model. Adjustments were performed for the original four stratification factors.</w:t>
      </w:r>
    </w:p>
    <w:p w:rsidR="00CC0208" w:rsidRDefault="00CC0208" w:rsidP="00CC0208">
      <w:r>
        <w:t>The same analyses were also performed on the PP population, to confirm robustness of the primary analysis.</w:t>
      </w:r>
    </w:p>
    <w:p w:rsidR="00CC0208" w:rsidRDefault="00CC0208" w:rsidP="00CC0208">
      <w:r>
        <w:t xml:space="preserve">On the </w:t>
      </w:r>
      <w:r w:rsidRPr="005D0EFD">
        <w:rPr>
          <w:b/>
        </w:rPr>
        <w:t>efficacy outcome</w:t>
      </w:r>
      <w:r w:rsidR="007D042A">
        <w:t xml:space="preserve"> of </w:t>
      </w:r>
      <w:proofErr w:type="spellStart"/>
      <w:r w:rsidR="007D042A">
        <w:t>Rebif</w:t>
      </w:r>
      <w:proofErr w:type="spellEnd"/>
      <w:r w:rsidR="007D042A">
        <w:t xml:space="preserve"> in CIS, the clinical evaluator</w:t>
      </w:r>
      <w:r w:rsidR="00731533">
        <w:t xml:space="preserve"> concluded that:</w:t>
      </w:r>
    </w:p>
    <w:p w:rsidR="00CC0208" w:rsidRPr="00517D0C" w:rsidRDefault="00CC0208" w:rsidP="00517D0C">
      <w:pPr>
        <w:pStyle w:val="ListBullet"/>
      </w:pPr>
      <w:r w:rsidRPr="00517D0C">
        <w:t xml:space="preserve">The submission rests on a single pivotal efficacy study. In the cohort studied, which included patients with a clinically isolated </w:t>
      </w:r>
      <w:proofErr w:type="spellStart"/>
      <w:r w:rsidRPr="00517D0C">
        <w:t>demyelinating</w:t>
      </w:r>
      <w:proofErr w:type="spellEnd"/>
      <w:r w:rsidRPr="00517D0C">
        <w:t xml:space="preserve"> syndrome and an MRI suggestive of MS, </w:t>
      </w:r>
      <w:proofErr w:type="spellStart"/>
      <w:r w:rsidRPr="00517D0C">
        <w:t>Rebif</w:t>
      </w:r>
      <w:proofErr w:type="spellEnd"/>
      <w:r w:rsidRPr="00517D0C">
        <w:t xml:space="preserve"> reduced the development </w:t>
      </w:r>
      <w:r w:rsidR="007D042A">
        <w:t xml:space="preserve">of MS, including </w:t>
      </w:r>
      <w:proofErr w:type="spellStart"/>
      <w:r w:rsidR="007D042A">
        <w:t>radiologically</w:t>
      </w:r>
      <w:proofErr w:type="spellEnd"/>
      <w:r w:rsidR="007D042A">
        <w:t xml:space="preserve"> </w:t>
      </w:r>
      <w:r w:rsidRPr="00517D0C">
        <w:t>defined (McDonald) MS, which was the p</w:t>
      </w:r>
      <w:r w:rsidR="007D042A">
        <w:t xml:space="preserve">rimary endpoint, and clinically </w:t>
      </w:r>
      <w:r w:rsidRPr="00517D0C">
        <w:t xml:space="preserve">defined MS (Clinically Definite MS, CDMS), which was the main secondary endpoint. There were also clear benefits on disease activity as measured with MRI. All of these treatment effects </w:t>
      </w:r>
      <w:r w:rsidR="00731533">
        <w:t>were statistically significant.</w:t>
      </w:r>
    </w:p>
    <w:p w:rsidR="00CC0208" w:rsidRPr="00517D0C" w:rsidRDefault="00CC0208" w:rsidP="00517D0C">
      <w:pPr>
        <w:pStyle w:val="ListBullet"/>
      </w:pPr>
      <w:r w:rsidRPr="00517D0C">
        <w:t>Over the course of the study, the total number of subjects diagnosed with McDonald MS was 106/171 (62.0%), 129/175 (73.7%), and 14</w:t>
      </w:r>
      <w:r w:rsidR="00E4228F">
        <w:t xml:space="preserve">4/171 (84.2%) in the </w:t>
      </w:r>
      <w:proofErr w:type="spellStart"/>
      <w:r w:rsidR="00E4228F">
        <w:t>Rebif</w:t>
      </w:r>
      <w:proofErr w:type="spellEnd"/>
      <w:r w:rsidR="00E4228F">
        <w:t xml:space="preserve"> 44 µ</w:t>
      </w:r>
      <w:r w:rsidRPr="00517D0C">
        <w:t xml:space="preserve">g </w:t>
      </w:r>
      <w:proofErr w:type="spellStart"/>
      <w:r w:rsidRPr="00517D0C">
        <w:t>tiw</w:t>
      </w:r>
      <w:proofErr w:type="spellEnd"/>
      <w:r w:rsidRPr="00517D0C">
        <w:t xml:space="preserve">, 44 </w:t>
      </w:r>
      <w:r w:rsidR="00E4228F">
        <w:t>µ</w:t>
      </w:r>
      <w:r w:rsidRPr="00517D0C">
        <w:t xml:space="preserve">g </w:t>
      </w:r>
      <w:proofErr w:type="spellStart"/>
      <w:r w:rsidRPr="00517D0C">
        <w:t>ow</w:t>
      </w:r>
      <w:proofErr w:type="spellEnd"/>
      <w:r w:rsidRPr="00517D0C">
        <w:t>, and placebo groups, respectively. Using the stra</w:t>
      </w:r>
      <w:r w:rsidR="007D042A">
        <w:t xml:space="preserve">tified, adjusted model, the two </w:t>
      </w:r>
      <w:r w:rsidRPr="00517D0C">
        <w:t>year probability of conversion was similar to the raw conversion rates (62.5% and 85.8% for the proposed dose and placebo, respectively, which gives an absolute risk reduction of 23.3% and a relative risk reduction of 27.1%).</w:t>
      </w:r>
    </w:p>
    <w:p w:rsidR="00CC0208" w:rsidRPr="00517D0C" w:rsidRDefault="00CC0208" w:rsidP="00517D0C">
      <w:pPr>
        <w:pStyle w:val="ListBullet"/>
      </w:pPr>
      <w:r w:rsidRPr="00517D0C">
        <w:t>The model</w:t>
      </w:r>
      <w:r w:rsidR="00C73971">
        <w:t xml:space="preserve"> </w:t>
      </w:r>
      <w:r w:rsidRPr="00517D0C">
        <w:t>adjusted conversion rates to CDMS over two years were 21%, 22% and 38% in the 44</w:t>
      </w:r>
      <w:r w:rsidR="00E4228F">
        <w:t xml:space="preserve"> µ</w:t>
      </w:r>
      <w:r w:rsidRPr="00517D0C">
        <w:t xml:space="preserve">g </w:t>
      </w:r>
      <w:proofErr w:type="spellStart"/>
      <w:r w:rsidRPr="00517D0C">
        <w:t>tiw</w:t>
      </w:r>
      <w:proofErr w:type="spellEnd"/>
      <w:r w:rsidRPr="00517D0C">
        <w:t xml:space="preserve"> group, 44</w:t>
      </w:r>
      <w:r w:rsidR="00E4228F">
        <w:t xml:space="preserve"> µ</w:t>
      </w:r>
      <w:r w:rsidRPr="00517D0C">
        <w:t xml:space="preserve">g </w:t>
      </w:r>
      <w:proofErr w:type="spellStart"/>
      <w:r w:rsidRPr="00517D0C">
        <w:t>ow</w:t>
      </w:r>
      <w:proofErr w:type="spellEnd"/>
      <w:r w:rsidRPr="00517D0C">
        <w:t xml:space="preserve"> group and placebo group, respectively, giving an absolute risk reduction of 17% for the proposed </w:t>
      </w:r>
      <w:proofErr w:type="spellStart"/>
      <w:r w:rsidRPr="00517D0C">
        <w:t>tiw</w:t>
      </w:r>
      <w:proofErr w:type="spellEnd"/>
      <w:r w:rsidRPr="00517D0C">
        <w:t xml:space="preserve"> dose, and a relative risk reduction o</w:t>
      </w:r>
      <w:r w:rsidR="00517D0C">
        <w:t>f 45%.</w:t>
      </w:r>
    </w:p>
    <w:p w:rsidR="00CC0208" w:rsidRPr="00517D0C" w:rsidRDefault="00CC0208" w:rsidP="00517D0C">
      <w:pPr>
        <w:pStyle w:val="ListBullet"/>
      </w:pPr>
      <w:r w:rsidRPr="00517D0C">
        <w:t xml:space="preserve">The mean number of active lesions per subject per MRI scan was reduced from 2.58 in the placebo group to 0.95 in </w:t>
      </w:r>
      <w:proofErr w:type="gramStart"/>
      <w:r w:rsidRPr="00517D0C">
        <w:t xml:space="preserve">the </w:t>
      </w:r>
      <w:proofErr w:type="spellStart"/>
      <w:r w:rsidRPr="00517D0C">
        <w:t>ow</w:t>
      </w:r>
      <w:proofErr w:type="spellEnd"/>
      <w:proofErr w:type="gramEnd"/>
      <w:r w:rsidRPr="00517D0C">
        <w:t xml:space="preserve"> g</w:t>
      </w:r>
      <w:r w:rsidR="00517D0C">
        <w:t xml:space="preserve">roup and 0.50 in the </w:t>
      </w:r>
      <w:proofErr w:type="spellStart"/>
      <w:r w:rsidR="00517D0C">
        <w:t>tiw</w:t>
      </w:r>
      <w:proofErr w:type="spellEnd"/>
      <w:r w:rsidR="00517D0C">
        <w:t xml:space="preserve"> group</w:t>
      </w:r>
      <w:r w:rsidR="00731533">
        <w:t>.</w:t>
      </w:r>
    </w:p>
    <w:p w:rsidR="00CC0208" w:rsidRPr="00517D0C" w:rsidRDefault="00CC0208" w:rsidP="00517D0C">
      <w:pPr>
        <w:pStyle w:val="ListBullet"/>
      </w:pPr>
      <w:proofErr w:type="spellStart"/>
      <w:r w:rsidRPr="00517D0C">
        <w:lastRenderedPageBreak/>
        <w:t>Rebif</w:t>
      </w:r>
      <w:proofErr w:type="spellEnd"/>
      <w:r w:rsidRPr="00517D0C">
        <w:t xml:space="preserve"> shows worthwhile efficacy in this cohort of CIS patients. The only caveat is that the cohort studied included many patients who would be diagnosed with MS by more recent criteria, and it did not include any subjects with &lt;2 cerebral MRI lesions. The efficacy of </w:t>
      </w:r>
      <w:proofErr w:type="spellStart"/>
      <w:r w:rsidRPr="00517D0C">
        <w:t>Rebif</w:t>
      </w:r>
      <w:proofErr w:type="spellEnd"/>
      <w:r w:rsidRPr="00517D0C">
        <w:t xml:space="preserve"> in the setting of milder CIS cases is therefore unclear.</w:t>
      </w:r>
    </w:p>
    <w:p w:rsidR="00CC0208" w:rsidRPr="00517D0C" w:rsidRDefault="00CC0208" w:rsidP="00517D0C">
      <w:r w:rsidRPr="00517D0C">
        <w:rPr>
          <w:b/>
        </w:rPr>
        <w:t>Note:</w:t>
      </w:r>
      <w:r w:rsidRPr="00517D0C">
        <w:t xml:space="preserve"> The </w:t>
      </w:r>
      <w:r w:rsidR="00716BA1">
        <w:t xml:space="preserve">clinical evaluator </w:t>
      </w:r>
      <w:r w:rsidRPr="00517D0C">
        <w:t xml:space="preserve">commented that in the sponsor’s submission and in the clinical evaluation report, the term “McDonald MS” refers to the 2005 criteria unless the 2010 criteria </w:t>
      </w:r>
      <w:r w:rsidR="00C73971">
        <w:t>are explicitly mentioned. The clinical evaluator</w:t>
      </w:r>
      <w:r w:rsidRPr="00517D0C">
        <w:t xml:space="preserve"> went on to state that some patients who would have been considered CIS patients according to old clinical criteria were (quite appropriately) excluded from the REFLEX study on the basis that they could already be diagnosed with MS by the newer MRI</w:t>
      </w:r>
      <w:r w:rsidR="00C73971">
        <w:t xml:space="preserve"> </w:t>
      </w:r>
      <w:r w:rsidRPr="00517D0C">
        <w:t>based criteria. In particular, those with MS according to the McDonald 2005 crit</w:t>
      </w:r>
      <w:r w:rsidR="00C73971">
        <w:t xml:space="preserve">eria were explicitly excluded: </w:t>
      </w:r>
      <w:r w:rsidRPr="00517D0C">
        <w:t xml:space="preserve">these patients had already reached the primary endpoint. </w:t>
      </w:r>
      <w:r w:rsidR="00B4164C">
        <w:t>From the CER (see Attachment 2 of this AusPAR):</w:t>
      </w:r>
    </w:p>
    <w:p w:rsidR="00CC0208" w:rsidRPr="00517D0C" w:rsidRDefault="00CC0208" w:rsidP="00517D0C">
      <w:r w:rsidRPr="00517D0C">
        <w:t>After the study was already underway, further revisions of the McDonald criteria were agreed upon in 2010 and</w:t>
      </w:r>
      <w:r w:rsidR="00C73971">
        <w:t xml:space="preserve"> published in 2011</w:t>
      </w:r>
      <w:r w:rsidRPr="00517D0C">
        <w:t xml:space="preserve">. Both the </w:t>
      </w:r>
      <w:r w:rsidR="009B2CDF" w:rsidRPr="00517D0C">
        <w:t xml:space="preserve">2005 criteria </w:t>
      </w:r>
      <w:r w:rsidRPr="00517D0C">
        <w:t xml:space="preserve">and </w:t>
      </w:r>
      <w:r w:rsidR="009B2CDF" w:rsidRPr="00517D0C">
        <w:t>2010 criteria</w:t>
      </w:r>
      <w:r w:rsidR="009B2CDF">
        <w:t xml:space="preserve"> </w:t>
      </w:r>
      <w:r w:rsidRPr="00517D0C">
        <w:t xml:space="preserve">allow the results of MRI scans to be used for demonstrating dissemination in time (DIT) and dissemination in space (DIS). However, the 2010 </w:t>
      </w:r>
      <w:r w:rsidR="00F314B3">
        <w:t xml:space="preserve">criteria </w:t>
      </w:r>
      <w:r w:rsidRPr="00517D0C">
        <w:t>are much simpler and even more sensitive in making a diagnosis of MS, without apparent loss of specificity</w:t>
      </w:r>
      <w:r w:rsidR="00E15A36">
        <w:t>. Because of this increased sensitivity</w:t>
      </w:r>
      <w:r w:rsidRPr="00517D0C">
        <w:t xml:space="preserve">, some patients included in the REFLEX study </w:t>
      </w:r>
      <w:r w:rsidR="00E15A36">
        <w:t xml:space="preserve">according to </w:t>
      </w:r>
      <w:r w:rsidRPr="00517D0C">
        <w:t xml:space="preserve">the 2005 criteria would have been excluded </w:t>
      </w:r>
      <w:r w:rsidR="00E15A36">
        <w:t xml:space="preserve">by </w:t>
      </w:r>
      <w:r w:rsidRPr="00517D0C">
        <w:t>the 20</w:t>
      </w:r>
      <w:r w:rsidR="00F314B3">
        <w:t>10 criteria. According to the clinical evaluator</w:t>
      </w:r>
      <w:r w:rsidRPr="00517D0C">
        <w:t>, the sponsor has in fact estimated that about 38% of the study cohort already had MS by the 2010 criteria at the time of randomisa</w:t>
      </w:r>
      <w:r w:rsidR="007C2DA7">
        <w:t>tion</w:t>
      </w:r>
      <w:r w:rsidRPr="00517D0C">
        <w:t>. This does not reflect a fault in the study, because the best available diagnostic criteria were used at the time, but it does mean that the target population studied in REFLEX no longer closely reflects the population to whom the new indication would apply, because clinicians will genera</w:t>
      </w:r>
      <w:r w:rsidR="00731533">
        <w:t>lly work from the new criteria.</w:t>
      </w:r>
    </w:p>
    <w:p w:rsidR="00CC0208" w:rsidRPr="00517D0C" w:rsidRDefault="00594D9F" w:rsidP="00517D0C">
      <w:r>
        <w:t>The clinical evaluator</w:t>
      </w:r>
      <w:r w:rsidR="00CC0208" w:rsidRPr="00517D0C">
        <w:t xml:space="preserve"> stated that importantly, the same logic is likely to apply to the other </w:t>
      </w:r>
      <w:proofErr w:type="spellStart"/>
      <w:r w:rsidR="00CC0208" w:rsidRPr="00517D0C">
        <w:t>interferons</w:t>
      </w:r>
      <w:proofErr w:type="spellEnd"/>
      <w:r w:rsidR="00CC0208" w:rsidRPr="00517D0C">
        <w:t xml:space="preserve">, which were registered for the CIS indication using old diagnostic criteria, so this is not a problem with </w:t>
      </w:r>
      <w:proofErr w:type="spellStart"/>
      <w:r w:rsidR="00CC0208" w:rsidRPr="00517D0C">
        <w:t>Rebif</w:t>
      </w:r>
      <w:proofErr w:type="spellEnd"/>
      <w:r w:rsidR="00CC0208" w:rsidRPr="00517D0C">
        <w:t xml:space="preserve"> in particular. Also, it confirms the notion that CIS and MS lie on a spectrum and that the distinction between them is somewhat arbitrary and prone to diagnostic shift – in which case, it is even more appropriate to treat CIS patients with medica</w:t>
      </w:r>
      <w:r w:rsidR="00731533">
        <w:t>tions known to be useful in MS.</w:t>
      </w:r>
    </w:p>
    <w:p w:rsidR="00CC0208" w:rsidRPr="00B4164C" w:rsidRDefault="00594D9F" w:rsidP="00517D0C">
      <w:pPr>
        <w:rPr>
          <w:bCs/>
        </w:rPr>
      </w:pPr>
      <w:r>
        <w:t>However, f</w:t>
      </w:r>
      <w:r w:rsidR="00CC0208" w:rsidRPr="00517D0C">
        <w:t xml:space="preserve">rom a purist perspective the recent changes in the diagnostic criteria for MS (and hence for CIS) weaken the sponsor’s submission. It is already accepted that </w:t>
      </w:r>
      <w:proofErr w:type="spellStart"/>
      <w:r w:rsidR="00CC0208" w:rsidRPr="00517D0C">
        <w:t>Rebif</w:t>
      </w:r>
      <w:proofErr w:type="spellEnd"/>
      <w:r w:rsidR="00CC0208" w:rsidRPr="00517D0C">
        <w:t xml:space="preserve"> is effective in MS; if 38% of the purported CIS population in the pivotal study actually had MS at baseline (by 2010 criteria), then the apparent finding of efficacy in CIS could have come, in part, from the </w:t>
      </w:r>
      <w:r w:rsidR="000B7B1B">
        <w:t xml:space="preserve">inclusion of MS patients in the </w:t>
      </w:r>
      <w:r w:rsidR="00CC0208" w:rsidRPr="00517D0C">
        <w:t xml:space="preserve">CIS study cohort. These patients would already be eligible for </w:t>
      </w:r>
      <w:proofErr w:type="spellStart"/>
      <w:r w:rsidR="00CC0208" w:rsidRPr="00517D0C">
        <w:t>Rebif</w:t>
      </w:r>
      <w:proofErr w:type="spellEnd"/>
      <w:r w:rsidR="00CC0208" w:rsidRPr="00517D0C">
        <w:t xml:space="preserve"> treatment under existing indications, and would not need the new CIS indication. </w:t>
      </w:r>
      <w:r w:rsidR="00B4164C" w:rsidRPr="00B4164C">
        <w:rPr>
          <w:bCs/>
        </w:rPr>
        <w:t>The relevant question wa</w:t>
      </w:r>
      <w:r w:rsidR="00CC0208" w:rsidRPr="00B4164C">
        <w:rPr>
          <w:bCs/>
        </w:rPr>
        <w:t xml:space="preserve">s whether the remaining 62% of patients also stand to benefit from </w:t>
      </w:r>
      <w:proofErr w:type="spellStart"/>
      <w:r w:rsidR="00CC0208" w:rsidRPr="00B4164C">
        <w:rPr>
          <w:bCs/>
        </w:rPr>
        <w:t>Rebif</w:t>
      </w:r>
      <w:proofErr w:type="spellEnd"/>
      <w:r w:rsidR="00CC0208" w:rsidRPr="00B4164C">
        <w:rPr>
          <w:bCs/>
        </w:rPr>
        <w:t>. This question could be addressed by a suitable sub</w:t>
      </w:r>
      <w:r w:rsidR="002309CE" w:rsidRPr="00B4164C">
        <w:rPr>
          <w:bCs/>
        </w:rPr>
        <w:t xml:space="preserve"> </w:t>
      </w:r>
      <w:r w:rsidR="00CC0208" w:rsidRPr="00B4164C">
        <w:rPr>
          <w:bCs/>
        </w:rPr>
        <w:t>group analysis.</w:t>
      </w:r>
    </w:p>
    <w:p w:rsidR="00731533" w:rsidRDefault="00CC0208" w:rsidP="00731533">
      <w:pPr>
        <w:rPr>
          <w:rFonts w:ascii="Arial" w:eastAsia="Times New Roman" w:hAnsi="Arial"/>
          <w:b/>
          <w:bCs/>
          <w:szCs w:val="21"/>
          <w:lang w:eastAsia="en-AU"/>
        </w:rPr>
      </w:pPr>
      <w:r w:rsidRPr="00517D0C">
        <w:t xml:space="preserve">The submission made frequent reference to “MRI” without specifying what was scanned. In most cases, context made it clear that a cerebral MRI was performed but it remained unclear if a spinal MRI was also performed. The diagnosis of McDonald MS (by either 2005 </w:t>
      </w:r>
      <w:r w:rsidR="002309CE">
        <w:t xml:space="preserve">criteria </w:t>
      </w:r>
      <w:r w:rsidRPr="00517D0C">
        <w:t xml:space="preserve">or 2010 criteria) can be made by including spinal cord lesions, </w:t>
      </w:r>
      <w:r w:rsidRPr="00B4164C">
        <w:t xml:space="preserve">so </w:t>
      </w:r>
      <w:r w:rsidR="00D6722D" w:rsidRPr="00B4164C">
        <w:t>it seems likely that all subjects had</w:t>
      </w:r>
      <w:r w:rsidRPr="00B4164C">
        <w:t xml:space="preserve"> a spinal cord MRI at baseline and at regular intervals afterwards, along with their cerebral MRI; the sponsor </w:t>
      </w:r>
      <w:r w:rsidR="00B4164C" w:rsidRPr="00B4164C">
        <w:t xml:space="preserve">was </w:t>
      </w:r>
      <w:r w:rsidR="00731533">
        <w:t>asked to confirm this.</w:t>
      </w:r>
      <w:bookmarkStart w:id="107" w:name="_Toc314842514"/>
      <w:bookmarkStart w:id="108" w:name="_Toc373929700"/>
      <w:r w:rsidR="00731533">
        <w:rPr>
          <w:lang w:eastAsia="en-AU"/>
        </w:rPr>
        <w:br w:type="page"/>
      </w:r>
    </w:p>
    <w:p w:rsidR="008E7846" w:rsidRDefault="00386150" w:rsidP="00B4164C">
      <w:pPr>
        <w:pStyle w:val="Heading3"/>
        <w:rPr>
          <w:lang w:eastAsia="en-AU"/>
        </w:rPr>
      </w:pPr>
      <w:r>
        <w:rPr>
          <w:lang w:eastAsia="en-AU"/>
        </w:rPr>
        <w:lastRenderedPageBreak/>
        <w:t>Risk m</w:t>
      </w:r>
      <w:r w:rsidR="008E7846">
        <w:rPr>
          <w:lang w:eastAsia="en-AU"/>
        </w:rPr>
        <w:t xml:space="preserve">anagement </w:t>
      </w:r>
      <w:r>
        <w:rPr>
          <w:lang w:eastAsia="en-AU"/>
        </w:rPr>
        <w:t>p</w:t>
      </w:r>
      <w:r w:rsidR="008E7846">
        <w:rPr>
          <w:lang w:eastAsia="en-AU"/>
        </w:rPr>
        <w:t>lan</w:t>
      </w:r>
      <w:bookmarkEnd w:id="107"/>
      <w:bookmarkEnd w:id="108"/>
    </w:p>
    <w:p w:rsidR="000868D1" w:rsidRPr="000868D1" w:rsidRDefault="000868D1" w:rsidP="00731533">
      <w:r w:rsidRPr="000868D1">
        <w:t>The RMP evaluator stated that:</w:t>
      </w:r>
    </w:p>
    <w:p w:rsidR="00E8646A" w:rsidRDefault="00E8646A" w:rsidP="00B4164C">
      <w:pPr>
        <w:pStyle w:val="ListBullet"/>
        <w:keepNext/>
      </w:pPr>
      <w:r>
        <w:t>The proposed extension of indications</w:t>
      </w:r>
      <w:r w:rsidR="000868D1" w:rsidRPr="000868D1">
        <w:t xml:space="preserve"> is for the treatment of “</w:t>
      </w:r>
      <w:r w:rsidR="000868D1" w:rsidRPr="003B1161">
        <w:rPr>
          <w:b/>
        </w:rPr>
        <w:t xml:space="preserve">Patients with a single </w:t>
      </w:r>
      <w:proofErr w:type="spellStart"/>
      <w:r w:rsidR="000868D1" w:rsidRPr="003B1161">
        <w:rPr>
          <w:b/>
        </w:rPr>
        <w:t>demyelinating</w:t>
      </w:r>
      <w:proofErr w:type="spellEnd"/>
      <w:r w:rsidR="000868D1" w:rsidRPr="003B1161">
        <w:rPr>
          <w:b/>
        </w:rPr>
        <w:t xml:space="preserve"> event with an active inflammatory process, if alternative diagnoses have been excluded, and if they are determined to be at risk of developing relapsing multiple sclerosis”.</w:t>
      </w:r>
      <w:r w:rsidR="004E3734" w:rsidRPr="003B1161">
        <w:rPr>
          <w:b/>
        </w:rPr>
        <w:t xml:space="preserve"> </w:t>
      </w:r>
      <w:r w:rsidR="000868D1" w:rsidRPr="000868D1">
        <w:t>A similar indication to that proposed was approved by the</w:t>
      </w:r>
      <w:r>
        <w:t xml:space="preserve"> </w:t>
      </w:r>
      <w:r w:rsidR="00AF61BD">
        <w:t>European Medicines Agency (</w:t>
      </w:r>
      <w:r>
        <w:t>EMA</w:t>
      </w:r>
      <w:r w:rsidR="00AF61BD">
        <w:t>)</w:t>
      </w:r>
      <w:r>
        <w:t xml:space="preserve"> in January 2012 and states</w:t>
      </w:r>
    </w:p>
    <w:p w:rsidR="000868D1" w:rsidRPr="00E8646A" w:rsidRDefault="000868D1" w:rsidP="00E8646A">
      <w:pPr>
        <w:pStyle w:val="ListBullet"/>
        <w:numPr>
          <w:ilvl w:val="0"/>
          <w:numId w:val="0"/>
        </w:numPr>
        <w:ind w:left="720"/>
        <w:rPr>
          <w:i/>
        </w:rPr>
      </w:pPr>
      <w:r w:rsidRPr="00E8646A">
        <w:rPr>
          <w:i/>
        </w:rPr>
        <w:t xml:space="preserve">“Patients with a single </w:t>
      </w:r>
      <w:proofErr w:type="spellStart"/>
      <w:r w:rsidRPr="00E8646A">
        <w:rPr>
          <w:i/>
        </w:rPr>
        <w:t>demyelinating</w:t>
      </w:r>
      <w:proofErr w:type="spellEnd"/>
      <w:r w:rsidRPr="00E8646A">
        <w:rPr>
          <w:i/>
        </w:rPr>
        <w:t xml:space="preserve"> event with an active inflammatory process, if alternative diagnoses have been excluded, and if they are determined to be at high risk of developing clinically definite multiple sclerosis”.</w:t>
      </w:r>
    </w:p>
    <w:p w:rsidR="000868D1" w:rsidRPr="000868D1" w:rsidRDefault="000868D1" w:rsidP="003B1161">
      <w:pPr>
        <w:pStyle w:val="ListBullet"/>
      </w:pPr>
      <w:r w:rsidRPr="000868D1">
        <w:t>It is noted that the fundamental differences between the EMA indication and that proposed for Australia is t</w:t>
      </w:r>
      <w:r w:rsidR="00902AEF">
        <w:t>he wording related to risk (that is,</w:t>
      </w:r>
      <w:r w:rsidRPr="000868D1">
        <w:t xml:space="preserve"> ‘</w:t>
      </w:r>
      <w:r w:rsidRPr="003B1161">
        <w:rPr>
          <w:b/>
        </w:rPr>
        <w:t>at high risk</w:t>
      </w:r>
      <w:r w:rsidRPr="000868D1">
        <w:t xml:space="preserve"> of’ versus ‘at </w:t>
      </w:r>
      <w:r w:rsidRPr="003B1161">
        <w:rPr>
          <w:b/>
        </w:rPr>
        <w:t>risk of</w:t>
      </w:r>
      <w:r w:rsidRPr="000868D1">
        <w:t xml:space="preserve">’) and the use of </w:t>
      </w:r>
      <w:r w:rsidRPr="003B1161">
        <w:rPr>
          <w:b/>
        </w:rPr>
        <w:t>‘clinically definite multiple sclerosis’</w:t>
      </w:r>
      <w:r w:rsidRPr="000868D1">
        <w:t xml:space="preserve"> versus </w:t>
      </w:r>
      <w:r w:rsidRPr="003B1161">
        <w:rPr>
          <w:b/>
        </w:rPr>
        <w:t>‘relapsing multiple sclerosis’</w:t>
      </w:r>
      <w:r w:rsidRPr="000868D1">
        <w:t>.</w:t>
      </w:r>
    </w:p>
    <w:p w:rsidR="000868D1" w:rsidRDefault="000868D1" w:rsidP="003B1161">
      <w:pPr>
        <w:pStyle w:val="ListBullet"/>
      </w:pPr>
      <w:r w:rsidRPr="000868D1">
        <w:t xml:space="preserve">The </w:t>
      </w:r>
      <w:r w:rsidR="00AF61BD">
        <w:t>O</w:t>
      </w:r>
      <w:r w:rsidRPr="000868D1">
        <w:t xml:space="preserve">ngoing </w:t>
      </w:r>
      <w:r w:rsidR="00AF61BD">
        <w:t>S</w:t>
      </w:r>
      <w:r w:rsidRPr="000868D1">
        <w:t xml:space="preserve">afety </w:t>
      </w:r>
      <w:r w:rsidR="00AF61BD">
        <w:t>C</w:t>
      </w:r>
      <w:r w:rsidRPr="000868D1">
        <w:t>oncerns</w:t>
      </w:r>
      <w:r w:rsidR="004E3734">
        <w:t xml:space="preserve"> </w:t>
      </w:r>
      <w:r w:rsidRPr="000868D1">
        <w:t>are:</w:t>
      </w:r>
    </w:p>
    <w:p w:rsidR="00CE4363" w:rsidRPr="000868D1" w:rsidRDefault="00CE4363" w:rsidP="003B1161">
      <w:pPr>
        <w:pStyle w:val="ListBullet"/>
      </w:pPr>
      <w:r>
        <w:t>Important identified risks</w:t>
      </w:r>
    </w:p>
    <w:p w:rsidR="000868D1" w:rsidRPr="000868D1" w:rsidRDefault="000868D1" w:rsidP="003B1161">
      <w:pPr>
        <w:pStyle w:val="ListBullet2"/>
      </w:pPr>
      <w:r w:rsidRPr="000868D1">
        <w:t>Depression</w:t>
      </w:r>
    </w:p>
    <w:p w:rsidR="000868D1" w:rsidRPr="000868D1" w:rsidRDefault="000868D1" w:rsidP="003B1161">
      <w:pPr>
        <w:pStyle w:val="ListBullet2"/>
      </w:pPr>
      <w:r w:rsidRPr="000868D1">
        <w:t>Hepatitis</w:t>
      </w:r>
    </w:p>
    <w:p w:rsidR="000868D1" w:rsidRPr="000868D1" w:rsidRDefault="000868D1" w:rsidP="003B1161">
      <w:pPr>
        <w:pStyle w:val="ListBullet2"/>
      </w:pPr>
      <w:r w:rsidRPr="000868D1">
        <w:t>Hepatic failure</w:t>
      </w:r>
    </w:p>
    <w:p w:rsidR="000868D1" w:rsidRPr="000868D1" w:rsidRDefault="000868D1" w:rsidP="003B1161">
      <w:pPr>
        <w:pStyle w:val="ListBullet2"/>
      </w:pPr>
      <w:r w:rsidRPr="000868D1">
        <w:t>Thyroid disorders</w:t>
      </w:r>
    </w:p>
    <w:p w:rsidR="000868D1" w:rsidRPr="000868D1" w:rsidRDefault="000868D1" w:rsidP="003B1161">
      <w:pPr>
        <w:pStyle w:val="ListBullet2"/>
      </w:pPr>
      <w:r w:rsidRPr="000868D1">
        <w:t>Allergic reactions</w:t>
      </w:r>
    </w:p>
    <w:p w:rsidR="000868D1" w:rsidRPr="000868D1" w:rsidRDefault="000868D1" w:rsidP="003B1161">
      <w:pPr>
        <w:pStyle w:val="ListBullet2"/>
      </w:pPr>
      <w:r w:rsidRPr="000868D1">
        <w:t>Severe skin reactions</w:t>
      </w:r>
    </w:p>
    <w:p w:rsidR="000868D1" w:rsidRPr="000868D1" w:rsidRDefault="000868D1" w:rsidP="003B1161">
      <w:pPr>
        <w:pStyle w:val="ListBullet2"/>
      </w:pPr>
      <w:r w:rsidRPr="000868D1">
        <w:t>TTP/HUS</w:t>
      </w:r>
      <w:r w:rsidR="00AF61BD">
        <w:t xml:space="preserve"> (</w:t>
      </w:r>
      <w:r w:rsidR="00AF61BD" w:rsidRPr="00AF61BD">
        <w:t xml:space="preserve">thrombotic thrombocytopenic </w:t>
      </w:r>
      <w:proofErr w:type="spellStart"/>
      <w:r w:rsidR="00AF61BD" w:rsidRPr="00AF61BD">
        <w:t>purpura</w:t>
      </w:r>
      <w:proofErr w:type="spellEnd"/>
      <w:r w:rsidR="00AF61BD">
        <w:t>/</w:t>
      </w:r>
      <w:proofErr w:type="spellStart"/>
      <w:r w:rsidR="00AF61BD">
        <w:t>hemolytic</w:t>
      </w:r>
      <w:proofErr w:type="spellEnd"/>
      <w:r w:rsidR="00AF61BD">
        <w:t xml:space="preserve"> </w:t>
      </w:r>
      <w:r w:rsidR="00AF61BD" w:rsidRPr="00AF61BD">
        <w:t>uremic syndrome</w:t>
      </w:r>
      <w:r w:rsidR="00AF61BD">
        <w:t>)</w:t>
      </w:r>
    </w:p>
    <w:p w:rsidR="000868D1" w:rsidRPr="000868D1" w:rsidRDefault="000868D1" w:rsidP="003B1161">
      <w:pPr>
        <w:pStyle w:val="ListBullet2"/>
      </w:pPr>
      <w:r w:rsidRPr="000868D1">
        <w:t>Retinal vascular disorders</w:t>
      </w:r>
    </w:p>
    <w:p w:rsidR="000868D1" w:rsidRPr="000868D1" w:rsidRDefault="000868D1" w:rsidP="003B1161">
      <w:pPr>
        <w:pStyle w:val="ListBullet2"/>
      </w:pPr>
      <w:r w:rsidRPr="000868D1">
        <w:t xml:space="preserve">Seizures </w:t>
      </w:r>
    </w:p>
    <w:p w:rsidR="000868D1" w:rsidRPr="000868D1" w:rsidRDefault="00CE4363" w:rsidP="003B1161">
      <w:pPr>
        <w:pStyle w:val="ListBullet"/>
      </w:pPr>
      <w:r>
        <w:t xml:space="preserve">Identified potential </w:t>
      </w:r>
      <w:r w:rsidR="000868D1" w:rsidRPr="000868D1">
        <w:t>risks</w:t>
      </w:r>
    </w:p>
    <w:p w:rsidR="000868D1" w:rsidRPr="000868D1" w:rsidRDefault="000868D1" w:rsidP="003B1161">
      <w:pPr>
        <w:pStyle w:val="ListBullet2"/>
      </w:pPr>
      <w:r w:rsidRPr="000868D1">
        <w:t>Serious infection</w:t>
      </w:r>
      <w:r w:rsidR="004465DA">
        <w:t>s</w:t>
      </w:r>
    </w:p>
    <w:p w:rsidR="000868D1" w:rsidRPr="000868D1" w:rsidRDefault="000868D1" w:rsidP="003B1161">
      <w:pPr>
        <w:pStyle w:val="ListBullet2"/>
      </w:pPr>
      <w:r w:rsidRPr="000868D1">
        <w:t>Malignancies</w:t>
      </w:r>
    </w:p>
    <w:p w:rsidR="000868D1" w:rsidRPr="000868D1" w:rsidRDefault="000868D1" w:rsidP="003B1161">
      <w:pPr>
        <w:pStyle w:val="ListBullet2"/>
      </w:pPr>
      <w:r w:rsidRPr="000868D1">
        <w:t>Suicide</w:t>
      </w:r>
    </w:p>
    <w:p w:rsidR="000868D1" w:rsidRPr="000868D1" w:rsidRDefault="000868D1" w:rsidP="003B1161">
      <w:pPr>
        <w:pStyle w:val="ListBullet2"/>
      </w:pPr>
      <w:proofErr w:type="spellStart"/>
      <w:r w:rsidRPr="000868D1">
        <w:t>Cardiomyopathy</w:t>
      </w:r>
      <w:proofErr w:type="spellEnd"/>
    </w:p>
    <w:p w:rsidR="000868D1" w:rsidRPr="000868D1" w:rsidRDefault="000868D1" w:rsidP="003B1161">
      <w:pPr>
        <w:pStyle w:val="ListBullet2"/>
      </w:pPr>
      <w:r w:rsidRPr="000868D1">
        <w:t>Cardiac failure</w:t>
      </w:r>
    </w:p>
    <w:p w:rsidR="000868D1" w:rsidRPr="000868D1" w:rsidRDefault="008A163E" w:rsidP="003B1161">
      <w:pPr>
        <w:pStyle w:val="ListBullet2"/>
      </w:pPr>
      <w:r>
        <w:t>SLE</w:t>
      </w:r>
      <w:r w:rsidR="00CE4363">
        <w:t xml:space="preserve"> (systemic lupus </w:t>
      </w:r>
      <w:proofErr w:type="spellStart"/>
      <w:r w:rsidR="00CE4363">
        <w:t>erythematosus</w:t>
      </w:r>
      <w:proofErr w:type="spellEnd"/>
      <w:r w:rsidR="00CE4363">
        <w:t>)</w:t>
      </w:r>
    </w:p>
    <w:p w:rsidR="000868D1" w:rsidRPr="000868D1" w:rsidRDefault="000868D1" w:rsidP="003B1161">
      <w:pPr>
        <w:pStyle w:val="ListBullet"/>
      </w:pPr>
      <w:r w:rsidRPr="000868D1">
        <w:t xml:space="preserve">Important missing information </w:t>
      </w:r>
    </w:p>
    <w:p w:rsidR="000868D1" w:rsidRPr="000868D1" w:rsidRDefault="000868D1" w:rsidP="003B1161">
      <w:pPr>
        <w:pStyle w:val="ListBullet2"/>
      </w:pPr>
      <w:r w:rsidRPr="000868D1">
        <w:t>Pregnancy</w:t>
      </w:r>
    </w:p>
    <w:p w:rsidR="000868D1" w:rsidRPr="000868D1" w:rsidRDefault="00731533" w:rsidP="003B1161">
      <w:pPr>
        <w:pStyle w:val="ListBullet2"/>
      </w:pPr>
      <w:r>
        <w:t>Children</w:t>
      </w:r>
    </w:p>
    <w:p w:rsidR="000868D1" w:rsidRPr="000868D1" w:rsidRDefault="000868D1" w:rsidP="00E46B12">
      <w:pPr>
        <w:pStyle w:val="ListBullet"/>
      </w:pPr>
      <w:r w:rsidRPr="000868D1">
        <w:t xml:space="preserve">The clinical aspects of the Safety Specification of the draft </w:t>
      </w:r>
      <w:r w:rsidR="00902AEF">
        <w:t xml:space="preserve">RMP is satisfactory as per the </w:t>
      </w:r>
      <w:r w:rsidR="007D042A">
        <w:t>c</w:t>
      </w:r>
      <w:r w:rsidR="00902AEF">
        <w:t xml:space="preserve">linical </w:t>
      </w:r>
      <w:r w:rsidR="007D042A">
        <w:t>e</w:t>
      </w:r>
      <w:r w:rsidR="00902AEF">
        <w:t>valuator</w:t>
      </w:r>
      <w:r w:rsidRPr="000868D1">
        <w:t xml:space="preserve"> and the RMP </w:t>
      </w:r>
      <w:r w:rsidR="007D042A">
        <w:t>e</w:t>
      </w:r>
      <w:r w:rsidRPr="000868D1">
        <w:t xml:space="preserve">valuator considered that the list of </w:t>
      </w:r>
      <w:r w:rsidR="00902AEF">
        <w:t>O</w:t>
      </w:r>
      <w:r w:rsidRPr="000868D1">
        <w:t xml:space="preserve">ngoing </w:t>
      </w:r>
      <w:r w:rsidR="00902AEF">
        <w:t>S</w:t>
      </w:r>
      <w:r w:rsidRPr="000868D1">
        <w:t xml:space="preserve">afety </w:t>
      </w:r>
      <w:r w:rsidR="00902AEF">
        <w:t>C</w:t>
      </w:r>
      <w:r w:rsidRPr="000868D1">
        <w:t>oncerns specified by the spons</w:t>
      </w:r>
      <w:r w:rsidR="00731533">
        <w:t>or is acceptable.</w:t>
      </w:r>
    </w:p>
    <w:p w:rsidR="000868D1" w:rsidRPr="000868D1" w:rsidRDefault="000868D1" w:rsidP="00E46B12">
      <w:pPr>
        <w:pStyle w:val="ListBullet"/>
      </w:pPr>
      <w:r w:rsidRPr="000868D1">
        <w:t>Routine pharmacovigilance is proposed by the sponsor to monitor all ongoing safety concerns.</w:t>
      </w:r>
      <w:r w:rsidR="004E3734">
        <w:t xml:space="preserve"> </w:t>
      </w:r>
      <w:r w:rsidRPr="000868D1">
        <w:t xml:space="preserve">In its review of a similar application, the EMA concluded that no further </w:t>
      </w:r>
      <w:r w:rsidRPr="000868D1">
        <w:lastRenderedPageBreak/>
        <w:t>pharmacovigilance activities other than those proposed in the EU</w:t>
      </w:r>
      <w:r w:rsidR="000109A9">
        <w:t xml:space="preserve"> </w:t>
      </w:r>
      <w:r w:rsidRPr="000868D1">
        <w:t>RMP were necessary to monitor the ongoing risks.</w:t>
      </w:r>
    </w:p>
    <w:p w:rsidR="000868D1" w:rsidRDefault="000868D1" w:rsidP="00E46B12">
      <w:pPr>
        <w:pStyle w:val="ListBullet"/>
      </w:pPr>
      <w:r w:rsidRPr="000868D1">
        <w:t>A pregnancy registry is proposed as additional pharmacovigilance for important missing information ’pregnancy’. The RMP specifies that the registry will be undertaken in designated European countries. The sponsor should also confirm the current status of the registry including the planned date for submission of final data to the TGA.</w:t>
      </w:r>
      <w:r w:rsidR="004E3734">
        <w:t xml:space="preserve"> </w:t>
      </w:r>
      <w:r w:rsidRPr="00E46B12">
        <w:rPr>
          <w:i/>
        </w:rPr>
        <w:t xml:space="preserve">The sponsor has confirmed that the registry is ongoing and has provided a justification for its applicability to Australia. The sponsor mentioned that pregnancies will be discussed within each </w:t>
      </w:r>
      <w:proofErr w:type="spellStart"/>
      <w:r w:rsidRPr="00E46B12">
        <w:rPr>
          <w:i/>
        </w:rPr>
        <w:t>Rebif</w:t>
      </w:r>
      <w:proofErr w:type="spellEnd"/>
      <w:r w:rsidRPr="00E46B12">
        <w:rPr>
          <w:i/>
        </w:rPr>
        <w:t xml:space="preserve"> PSUR.</w:t>
      </w:r>
    </w:p>
    <w:p w:rsidR="000868D1" w:rsidRPr="004B35E4" w:rsidRDefault="000868D1" w:rsidP="00E46B12">
      <w:pPr>
        <w:pStyle w:val="ListBullet"/>
      </w:pPr>
      <w:r w:rsidRPr="000868D1">
        <w:t>A retrospective paediatric study (REPLAY, EMR200136_024) has been completed by the sponsor as additional pharmacovigilance for important missing information ‘children’.</w:t>
      </w:r>
      <w:r w:rsidR="004E3734">
        <w:t xml:space="preserve"> </w:t>
      </w:r>
      <w:r w:rsidR="004B35E4">
        <w:t>I</w:t>
      </w:r>
      <w:r w:rsidRPr="004B35E4">
        <w:t xml:space="preserve">t is planned to submit the final data to the TGA by Q1 2013, together with a recent cumulative safety review of </w:t>
      </w:r>
      <w:proofErr w:type="spellStart"/>
      <w:r w:rsidRPr="004B35E4">
        <w:t>Rebif</w:t>
      </w:r>
      <w:proofErr w:type="spellEnd"/>
      <w:r w:rsidRPr="004B35E4">
        <w:t xml:space="preserve"> in the paediatric population.</w:t>
      </w:r>
    </w:p>
    <w:p w:rsidR="000868D1" w:rsidRPr="000868D1" w:rsidRDefault="000868D1" w:rsidP="00E46B12">
      <w:pPr>
        <w:pStyle w:val="ListBullet"/>
      </w:pPr>
      <w:r w:rsidRPr="000868D1">
        <w:t>Several observational post</w:t>
      </w:r>
      <w:r w:rsidR="00BC10E5">
        <w:t xml:space="preserve"> </w:t>
      </w:r>
      <w:r w:rsidRPr="000868D1">
        <w:t>authorisation safety studies (PASS) have been initiated by the sponsor and are listed in the RMP.</w:t>
      </w:r>
      <w:r w:rsidR="004E3734">
        <w:t xml:space="preserve"> </w:t>
      </w:r>
      <w:r w:rsidRPr="000868D1">
        <w:t>As these studies are ongoing their protocols have not been evaluated for the purposes of this report.</w:t>
      </w:r>
      <w:r w:rsidR="004E3734">
        <w:t xml:space="preserve"> </w:t>
      </w:r>
      <w:r w:rsidRPr="000868D1">
        <w:t>It is expected that, when available, reports of these studies will be commun</w:t>
      </w:r>
      <w:r w:rsidR="00AB15E3">
        <w:t>icated to the TGA via PSURs</w:t>
      </w:r>
      <w:r w:rsidR="00731533">
        <w:t>.</w:t>
      </w:r>
    </w:p>
    <w:p w:rsidR="000868D1" w:rsidRPr="000868D1" w:rsidRDefault="000868D1" w:rsidP="00E46B12">
      <w:pPr>
        <w:pStyle w:val="ListBullet"/>
      </w:pPr>
      <w:r w:rsidRPr="000868D1">
        <w:t>Routine risk mini</w:t>
      </w:r>
      <w:r w:rsidR="00902AEF">
        <w:t xml:space="preserve">misation (that is, </w:t>
      </w:r>
      <w:r w:rsidRPr="000868D1">
        <w:t>product labelling) is considered sufficient by the sponsor to</w:t>
      </w:r>
      <w:r w:rsidR="004E3734">
        <w:t xml:space="preserve"> </w:t>
      </w:r>
      <w:r w:rsidRPr="000868D1">
        <w:t>mitigate all ongoing safety concerns except for the important potential risks ‘serious infections’,</w:t>
      </w:r>
      <w:r w:rsidR="004E3734">
        <w:t xml:space="preserve"> </w:t>
      </w:r>
      <w:r w:rsidRPr="000868D1">
        <w:t>‘malignancies’ and ‘SLE’ for which no risk minimisation activities are proposed. This is consistent with activities in the EU and is acceptable.</w:t>
      </w:r>
      <w:r w:rsidR="004E3734">
        <w:t xml:space="preserve"> </w:t>
      </w:r>
      <w:proofErr w:type="spellStart"/>
      <w:r w:rsidRPr="000868D1">
        <w:t>Rebif</w:t>
      </w:r>
      <w:proofErr w:type="spellEnd"/>
      <w:r w:rsidRPr="000868D1">
        <w:t xml:space="preserve"> was first approved in Australia in November 2008 and the evaluator is not aware of any new safety signals that necessitate further risk minimisation activities at this time.</w:t>
      </w:r>
    </w:p>
    <w:p w:rsidR="000868D1" w:rsidRPr="000868D1" w:rsidRDefault="000868D1" w:rsidP="00E46B12">
      <w:pPr>
        <w:pStyle w:val="ListBullet"/>
      </w:pPr>
      <w:r w:rsidRPr="000868D1">
        <w:t>In regard to the important identified risk ‘allergic reactions’ the Canadian product monograph provides the following statement in the ‘Warnings and Precautions’ section (a similar warning is also provided in the US product label):</w:t>
      </w:r>
    </w:p>
    <w:p w:rsidR="000868D1" w:rsidRPr="00E46B12" w:rsidRDefault="000868D1" w:rsidP="00E46B12">
      <w:pPr>
        <w:ind w:left="360"/>
        <w:rPr>
          <w:b/>
          <w:i/>
        </w:rPr>
      </w:pPr>
      <w:r w:rsidRPr="00E46B12">
        <w:rPr>
          <w:b/>
          <w:i/>
        </w:rPr>
        <w:t>Immune (including hypersensitivity, autoimmunity, immunogenicity)</w:t>
      </w:r>
    </w:p>
    <w:p w:rsidR="000868D1" w:rsidRPr="000868D1" w:rsidRDefault="000868D1" w:rsidP="00E46B12">
      <w:pPr>
        <w:ind w:left="360"/>
      </w:pPr>
      <w:r w:rsidRPr="00E46B12">
        <w:rPr>
          <w:i/>
        </w:rPr>
        <w:t xml:space="preserve">Anaphylaxis has been reported as a rare complication of </w:t>
      </w:r>
      <w:proofErr w:type="spellStart"/>
      <w:r w:rsidR="001F7916">
        <w:rPr>
          <w:i/>
        </w:rPr>
        <w:t>Rebif</w:t>
      </w:r>
      <w:proofErr w:type="spellEnd"/>
      <w:r w:rsidRPr="00E46B12">
        <w:rPr>
          <w:i/>
        </w:rPr>
        <w:t xml:space="preserve"> use. Other allergic reactions have included skin rash, </w:t>
      </w:r>
      <w:proofErr w:type="spellStart"/>
      <w:r w:rsidRPr="00E46B12">
        <w:rPr>
          <w:i/>
        </w:rPr>
        <w:t>angioedema</w:t>
      </w:r>
      <w:proofErr w:type="spellEnd"/>
      <w:r w:rsidRPr="00E46B12">
        <w:rPr>
          <w:i/>
        </w:rPr>
        <w:t xml:space="preserve">, and </w:t>
      </w:r>
      <w:proofErr w:type="spellStart"/>
      <w:r w:rsidRPr="00E46B12">
        <w:rPr>
          <w:i/>
        </w:rPr>
        <w:t>urticaria</w:t>
      </w:r>
      <w:proofErr w:type="spellEnd"/>
      <w:r w:rsidRPr="00E46B12">
        <w:rPr>
          <w:i/>
        </w:rPr>
        <w:t>, and have ranged from mild to severe without a clear relationship to dose or duration of exposure. Several allergic reactions, some severe, have occurred after prolonged use.</w:t>
      </w:r>
    </w:p>
    <w:p w:rsidR="008E7846" w:rsidRDefault="00AA0ED0" w:rsidP="008E7846">
      <w:pPr>
        <w:pStyle w:val="Heading3"/>
      </w:pPr>
      <w:bookmarkStart w:id="109" w:name="_Toc247691531"/>
      <w:bookmarkStart w:id="110" w:name="_Toc314842515"/>
      <w:bookmarkStart w:id="111" w:name="_Toc196046505"/>
      <w:bookmarkStart w:id="112" w:name="_Toc196046949"/>
      <w:bookmarkStart w:id="113" w:name="_Toc373929701"/>
      <w:r>
        <w:t>Risk-benefit a</w:t>
      </w:r>
      <w:r w:rsidR="008E7846">
        <w:t>nalysis</w:t>
      </w:r>
      <w:bookmarkEnd w:id="109"/>
      <w:bookmarkEnd w:id="110"/>
      <w:bookmarkEnd w:id="113"/>
    </w:p>
    <w:p w:rsidR="008E7846" w:rsidRDefault="008E7846" w:rsidP="008E7846">
      <w:pPr>
        <w:pStyle w:val="Heading4"/>
      </w:pPr>
      <w:r>
        <w:t xml:space="preserve">Delegate </w:t>
      </w:r>
      <w:r w:rsidR="00ED3CAD">
        <w:t>c</w:t>
      </w:r>
      <w:r>
        <w:t>onsiderations</w:t>
      </w:r>
    </w:p>
    <w:p w:rsidR="00B25E76" w:rsidRPr="00B25E76" w:rsidRDefault="00B25E76" w:rsidP="00B25E76">
      <w:r w:rsidRPr="00B25E76">
        <w:t>The Delegate</w:t>
      </w:r>
      <w:r w:rsidR="004E3734">
        <w:t xml:space="preserve"> </w:t>
      </w:r>
      <w:r w:rsidRPr="00B25E76">
        <w:t>concurs</w:t>
      </w:r>
      <w:r w:rsidR="004E3734">
        <w:t xml:space="preserve"> </w:t>
      </w:r>
      <w:r w:rsidRPr="00B25E76">
        <w:t>with</w:t>
      </w:r>
      <w:r w:rsidR="004E3734">
        <w:t xml:space="preserve"> </w:t>
      </w:r>
      <w:r w:rsidRPr="00B25E76">
        <w:t>most</w:t>
      </w:r>
      <w:r w:rsidR="004E3734">
        <w:t xml:space="preserve"> </w:t>
      </w:r>
      <w:r w:rsidRPr="00B25E76">
        <w:t>of</w:t>
      </w:r>
      <w:r w:rsidR="004E3734">
        <w:t xml:space="preserve"> </w:t>
      </w:r>
      <w:r w:rsidRPr="00B25E76">
        <w:t>the</w:t>
      </w:r>
      <w:r w:rsidR="004E3734">
        <w:t xml:space="preserve"> </w:t>
      </w:r>
      <w:r w:rsidR="00A7474A">
        <w:t>clinical evaluator</w:t>
      </w:r>
      <w:r w:rsidRPr="00B25E76">
        <w:t>’s</w:t>
      </w:r>
      <w:r w:rsidR="004E3734">
        <w:t xml:space="preserve"> </w:t>
      </w:r>
      <w:r w:rsidRPr="00B25E76">
        <w:t>comments</w:t>
      </w:r>
      <w:r w:rsidR="004E3734">
        <w:t xml:space="preserve"> </w:t>
      </w:r>
      <w:r w:rsidRPr="00B25E76">
        <w:t>including the need to specifically</w:t>
      </w:r>
      <w:r w:rsidR="004E3734">
        <w:t xml:space="preserve"> </w:t>
      </w:r>
      <w:r w:rsidRPr="00B25E76">
        <w:t>quantify</w:t>
      </w:r>
      <w:r w:rsidR="004E3734">
        <w:t xml:space="preserve"> </w:t>
      </w:r>
      <w:r w:rsidRPr="00B25E76">
        <w:t>the risk fact</w:t>
      </w:r>
      <w:r w:rsidR="00A7474A">
        <w:t>or in the sponsor’s proposed extension of indications</w:t>
      </w:r>
      <w:r w:rsidRPr="00B25E76">
        <w:t>. Also, while</w:t>
      </w:r>
      <w:r w:rsidR="004E3734">
        <w:t xml:space="preserve"> </w:t>
      </w:r>
      <w:r w:rsidRPr="00B25E76">
        <w:t>there is a risk of</w:t>
      </w:r>
      <w:r w:rsidR="004E3734">
        <w:t xml:space="preserve"> </w:t>
      </w:r>
      <w:r w:rsidRPr="00B25E76">
        <w:t>c</w:t>
      </w:r>
      <w:r w:rsidR="004E3734">
        <w:t xml:space="preserve">onverting to relapsing form of </w:t>
      </w:r>
      <w:r w:rsidRPr="00B25E76">
        <w:t>M</w:t>
      </w:r>
      <w:r w:rsidR="00A7474A">
        <w:t>S (arguably the most common sub</w:t>
      </w:r>
      <w:r w:rsidRPr="00B25E76">
        <w:t>type),</w:t>
      </w:r>
      <w:r w:rsidR="00703E2D">
        <w:t xml:space="preserve"> </w:t>
      </w:r>
      <w:r w:rsidRPr="00B25E76">
        <w:t>there are no predictive</w:t>
      </w:r>
      <w:r w:rsidR="004E3734">
        <w:t xml:space="preserve"> </w:t>
      </w:r>
      <w:r w:rsidRPr="00B25E76">
        <w:t>measures to determine the particular form of MS</w:t>
      </w:r>
      <w:r w:rsidR="004E3734">
        <w:t xml:space="preserve"> </w:t>
      </w:r>
      <w:r w:rsidRPr="00B25E76">
        <w:t>a patient</w:t>
      </w:r>
      <w:r w:rsidR="004E3734">
        <w:t xml:space="preserve"> </w:t>
      </w:r>
      <w:r w:rsidRPr="00B25E76">
        <w:t xml:space="preserve">may acquire (if at all) after a single </w:t>
      </w:r>
      <w:proofErr w:type="spellStart"/>
      <w:r w:rsidRPr="00B25E76">
        <w:t>demyelinating</w:t>
      </w:r>
      <w:proofErr w:type="spellEnd"/>
      <w:r w:rsidRPr="00B25E76">
        <w:t xml:space="preserve"> event. Reference to relapsing MS in the proposed </w:t>
      </w:r>
      <w:r w:rsidR="00703E2D">
        <w:t>extension of indications</w:t>
      </w:r>
      <w:r w:rsidR="00703E2D" w:rsidRPr="00B25E76">
        <w:t xml:space="preserve"> </w:t>
      </w:r>
      <w:r w:rsidRPr="00B25E76">
        <w:t xml:space="preserve">can therefore be deemed as presumptive and is somewhat beyond the scope of the data submitted. </w:t>
      </w:r>
      <w:r w:rsidR="004B35E4">
        <w:t>I</w:t>
      </w:r>
      <w:r w:rsidRPr="00B25E76">
        <w:t>n contemporary clinical practice, a patient is not deemed to have MS until a second attack and progression with subsequent relapses, makes it a ‘relapsing MS’.</w:t>
      </w:r>
    </w:p>
    <w:p w:rsidR="00B25E76" w:rsidRDefault="00B25E76" w:rsidP="00B25E76">
      <w:r w:rsidRPr="00B25E76">
        <w:t>The RMP evaluator</w:t>
      </w:r>
      <w:r w:rsidR="00B4164C">
        <w:t>’s</w:t>
      </w:r>
      <w:r w:rsidRPr="00B25E76">
        <w:t xml:space="preserve"> recommendations </w:t>
      </w:r>
      <w:r w:rsidR="00DF72F2">
        <w:t xml:space="preserve">regarding RMP and PSUR </w:t>
      </w:r>
      <w:r w:rsidRPr="00B25E76">
        <w:t>implementation</w:t>
      </w:r>
      <w:r w:rsidR="00B4164C">
        <w:t xml:space="preserve"> were noted</w:t>
      </w:r>
      <w:r w:rsidRPr="00B25E76">
        <w:t>.</w:t>
      </w:r>
    </w:p>
    <w:p w:rsidR="00074148" w:rsidRDefault="00074148" w:rsidP="00DF72F2">
      <w:pPr>
        <w:pStyle w:val="Heading4"/>
      </w:pPr>
      <w:r>
        <w:lastRenderedPageBreak/>
        <w:t>Proposed action</w:t>
      </w:r>
    </w:p>
    <w:p w:rsidR="00074148" w:rsidRPr="00074148" w:rsidRDefault="00DF72F2" w:rsidP="00074148">
      <w:r>
        <w:t>The Delegate proposed t</w:t>
      </w:r>
      <w:r w:rsidR="00074148" w:rsidRPr="00074148">
        <w:t>o</w:t>
      </w:r>
      <w:r w:rsidR="004E3734">
        <w:t xml:space="preserve"> </w:t>
      </w:r>
      <w:r w:rsidR="00074148" w:rsidRPr="00074148">
        <w:t>consider</w:t>
      </w:r>
      <w:r w:rsidR="004E3734">
        <w:t xml:space="preserve"> </w:t>
      </w:r>
      <w:r w:rsidR="00074148" w:rsidRPr="00074148">
        <w:t>the</w:t>
      </w:r>
      <w:r w:rsidR="004E3734">
        <w:t xml:space="preserve"> </w:t>
      </w:r>
      <w:r w:rsidR="00074148" w:rsidRPr="00074148">
        <w:t>approval</w:t>
      </w:r>
      <w:r w:rsidR="004E3734">
        <w:t xml:space="preserve"> </w:t>
      </w:r>
      <w:r w:rsidR="00074148" w:rsidRPr="00074148">
        <w:t>of</w:t>
      </w:r>
      <w:r w:rsidR="004E3734">
        <w:t xml:space="preserve"> </w:t>
      </w:r>
      <w:r w:rsidR="00074148" w:rsidRPr="00074148">
        <w:t>a</w:t>
      </w:r>
      <w:r>
        <w:t>n</w:t>
      </w:r>
      <w:r w:rsidR="00074148" w:rsidRPr="00074148">
        <w:t xml:space="preserve"> </w:t>
      </w:r>
      <w:r w:rsidR="00846871">
        <w:t>extension of indications</w:t>
      </w:r>
      <w:r w:rsidR="004E3734">
        <w:t xml:space="preserve"> </w:t>
      </w:r>
      <w:r w:rsidR="00074148">
        <w:t>in line with</w:t>
      </w:r>
      <w:r w:rsidR="004E3734">
        <w:t xml:space="preserve"> </w:t>
      </w:r>
      <w:r w:rsidR="00074148">
        <w:t xml:space="preserve">the </w:t>
      </w:r>
      <w:r w:rsidR="00175BA5">
        <w:t>c</w:t>
      </w:r>
      <w:r w:rsidR="00074148">
        <w:t xml:space="preserve">linical </w:t>
      </w:r>
      <w:r w:rsidR="00175BA5">
        <w:t>e</w:t>
      </w:r>
      <w:r w:rsidR="00074148">
        <w:t>valuator</w:t>
      </w:r>
      <w:r w:rsidR="00074148" w:rsidRPr="00074148">
        <w:t>’s recommendation and th</w:t>
      </w:r>
      <w:r w:rsidR="00074148">
        <w:t xml:space="preserve">at approved by the EMA (January </w:t>
      </w:r>
      <w:r w:rsidR="009A5BC3">
        <w:t>2012)</w:t>
      </w:r>
      <w:r w:rsidR="00074148" w:rsidRPr="00074148">
        <w:t>:</w:t>
      </w:r>
    </w:p>
    <w:p w:rsidR="00074148" w:rsidRPr="00074148" w:rsidRDefault="00074148" w:rsidP="00074148">
      <w:pPr>
        <w:ind w:left="720"/>
        <w:rPr>
          <w:i/>
        </w:rPr>
      </w:pPr>
      <w:r w:rsidRPr="00074148">
        <w:rPr>
          <w:i/>
        </w:rPr>
        <w:t xml:space="preserve">“Patients with a single </w:t>
      </w:r>
      <w:proofErr w:type="spellStart"/>
      <w:r w:rsidRPr="00074148">
        <w:rPr>
          <w:i/>
        </w:rPr>
        <w:t>demyelinating</w:t>
      </w:r>
      <w:proofErr w:type="spellEnd"/>
      <w:r w:rsidRPr="00074148">
        <w:rPr>
          <w:i/>
        </w:rPr>
        <w:t xml:space="preserve"> event in the central nervous system with an active inflammatory process, if alternative diagnoses have been excluded, and if they are determined to be at high risk of developing clinically definite</w:t>
      </w:r>
      <w:r w:rsidR="004E3734">
        <w:rPr>
          <w:i/>
        </w:rPr>
        <w:t xml:space="preserve"> </w:t>
      </w:r>
      <w:r w:rsidRPr="00074148">
        <w:rPr>
          <w:i/>
        </w:rPr>
        <w:t>multiple sclerosis. High risk can be inferred from a cerebral MRI with 2 or more lesions suggestive of demyelination.”</w:t>
      </w:r>
    </w:p>
    <w:p w:rsidR="00074148" w:rsidRDefault="00074148" w:rsidP="00074148">
      <w:r w:rsidRPr="00074148">
        <w:t xml:space="preserve">This proposal is subject to resolving issues arising from </w:t>
      </w:r>
      <w:r w:rsidR="001F487C" w:rsidRPr="00074148">
        <w:t xml:space="preserve">deliberations </w:t>
      </w:r>
      <w:r w:rsidR="001F487C">
        <w:t xml:space="preserve">of </w:t>
      </w:r>
      <w:r w:rsidRPr="00074148">
        <w:t xml:space="preserve">the </w:t>
      </w:r>
      <w:r w:rsidR="001F487C">
        <w:rPr>
          <w:bCs/>
        </w:rPr>
        <w:t>Advisory Committee on Prescription Medicines (ACPM)</w:t>
      </w:r>
      <w:r w:rsidRPr="00074148">
        <w:t xml:space="preserve"> and to the finalisation of matters pertaining to the PI and RMP to the satisfaction of the TGA.</w:t>
      </w:r>
    </w:p>
    <w:p w:rsidR="00DF72F2" w:rsidRPr="00DF72F2" w:rsidRDefault="00DF72F2" w:rsidP="00DF72F2">
      <w:pPr>
        <w:pStyle w:val="Heading4"/>
      </w:pPr>
      <w:r w:rsidRPr="00DF72F2">
        <w:t>Request for ACPM advice</w:t>
      </w:r>
    </w:p>
    <w:p w:rsidR="00DF72F2" w:rsidRPr="00DF72F2" w:rsidRDefault="00DF72F2" w:rsidP="00DF72F2">
      <w:r w:rsidRPr="00DF72F2">
        <w:t xml:space="preserve">The Delegate proposed to seek general advice on </w:t>
      </w:r>
      <w:r w:rsidR="00731533">
        <w:t>this application from the ACPM.</w:t>
      </w:r>
    </w:p>
    <w:p w:rsidR="008E7846" w:rsidRDefault="008E7846" w:rsidP="008E7846">
      <w:pPr>
        <w:pStyle w:val="Heading4"/>
      </w:pPr>
      <w:r>
        <w:t xml:space="preserve">Response from </w:t>
      </w:r>
      <w:r w:rsidR="00FB4828">
        <w:t>s</w:t>
      </w:r>
      <w:r>
        <w:t>ponsor</w:t>
      </w:r>
    </w:p>
    <w:p w:rsidR="0047737B" w:rsidRPr="006348D2" w:rsidRDefault="0047737B" w:rsidP="006348D2">
      <w:r w:rsidRPr="006348D2">
        <w:t xml:space="preserve">Merck </w:t>
      </w:r>
      <w:proofErr w:type="spellStart"/>
      <w:r w:rsidRPr="006348D2">
        <w:t>Serono</w:t>
      </w:r>
      <w:proofErr w:type="spellEnd"/>
      <w:r w:rsidRPr="006348D2">
        <w:t xml:space="preserve"> Australia Pty Ltd (the </w:t>
      </w:r>
      <w:r w:rsidR="00FB4828">
        <w:t>s</w:t>
      </w:r>
      <w:r w:rsidRPr="006348D2">
        <w:t xml:space="preserve">ponsor) has applied for an extension of the approved indication for </w:t>
      </w:r>
      <w:proofErr w:type="spellStart"/>
      <w:r w:rsidRPr="006348D2">
        <w:t>R</w:t>
      </w:r>
      <w:r w:rsidR="006348D2">
        <w:t>ebif</w:t>
      </w:r>
      <w:proofErr w:type="spellEnd"/>
      <w:r w:rsidRPr="006348D2">
        <w:t xml:space="preserve"> (interferon beta-1a (</w:t>
      </w:r>
      <w:proofErr w:type="spellStart"/>
      <w:r w:rsidRPr="006348D2">
        <w:t>rch</w:t>
      </w:r>
      <w:proofErr w:type="spellEnd"/>
      <w:r w:rsidRPr="006348D2">
        <w:t xml:space="preserve">)) to include </w:t>
      </w:r>
      <w:r w:rsidR="006348D2">
        <w:t>CIS</w:t>
      </w:r>
      <w:r w:rsidRPr="006348D2">
        <w:t xml:space="preserve"> suggestive of </w:t>
      </w:r>
      <w:r w:rsidR="006348D2">
        <w:t>MS</w:t>
      </w:r>
      <w:r w:rsidRPr="006348D2">
        <w:t xml:space="preserve">. Following the review of the submitted data, the TGA Delegate is seeking advice </w:t>
      </w:r>
      <w:r w:rsidR="001F487C">
        <w:t xml:space="preserve">from the </w:t>
      </w:r>
      <w:r w:rsidR="009F60E9">
        <w:rPr>
          <w:bCs/>
        </w:rPr>
        <w:t>A</w:t>
      </w:r>
      <w:r w:rsidR="001F487C">
        <w:rPr>
          <w:bCs/>
        </w:rPr>
        <w:t>CPM</w:t>
      </w:r>
      <w:r w:rsidR="009F60E9">
        <w:rPr>
          <w:bCs/>
        </w:rPr>
        <w:t xml:space="preserve"> </w:t>
      </w:r>
      <w:r w:rsidRPr="006348D2">
        <w:t>for approval of the following indication:</w:t>
      </w:r>
    </w:p>
    <w:p w:rsidR="00CA30C0" w:rsidRPr="00BA4D50" w:rsidRDefault="00BA4D50" w:rsidP="00BA4D50">
      <w:pPr>
        <w:ind w:left="720"/>
        <w:rPr>
          <w:i/>
        </w:rPr>
      </w:pPr>
      <w:proofErr w:type="spellStart"/>
      <w:r>
        <w:rPr>
          <w:i/>
        </w:rPr>
        <w:t>Rebif</w:t>
      </w:r>
      <w:proofErr w:type="spellEnd"/>
      <w:r w:rsidR="00CA30C0" w:rsidRPr="00BA4D50">
        <w:rPr>
          <w:i/>
        </w:rPr>
        <w:t xml:space="preserve"> is indicated for the treatment of:</w:t>
      </w:r>
    </w:p>
    <w:p w:rsidR="0047737B" w:rsidRDefault="00CA30C0" w:rsidP="00BA4D50">
      <w:pPr>
        <w:ind w:left="720"/>
      </w:pPr>
      <w:r w:rsidRPr="00BA4D50">
        <w:rPr>
          <w:i/>
        </w:rPr>
        <w:t xml:space="preserve">Patients with a single </w:t>
      </w:r>
      <w:proofErr w:type="spellStart"/>
      <w:r w:rsidRPr="00BA4D50">
        <w:rPr>
          <w:i/>
        </w:rPr>
        <w:t>demyelinating</w:t>
      </w:r>
      <w:proofErr w:type="spellEnd"/>
      <w:r w:rsidRPr="00BA4D50">
        <w:rPr>
          <w:i/>
        </w:rPr>
        <w:t xml:space="preserve"> event in the central nervous system with and active inflammatory process, if alternative diagnoses have been excluded, and if they are determined to be at high risk of developing clinically definite multiple sclerosis. High risk can be inferred from cerebral MRI with 2 or more lesions suggestive of demyelination.</w:t>
      </w:r>
    </w:p>
    <w:p w:rsidR="00CA30C0" w:rsidRDefault="00BA4D50" w:rsidP="00BA4D50">
      <w:r w:rsidRPr="00BA4D50">
        <w:t xml:space="preserve">The </w:t>
      </w:r>
      <w:r>
        <w:t>s</w:t>
      </w:r>
      <w:r w:rsidRPr="00BA4D50">
        <w:t>ponsor concurs with the wording of the indication proposed by the Delegate, as it accurately reflects</w:t>
      </w:r>
      <w:r>
        <w:t xml:space="preserve"> </w:t>
      </w:r>
      <w:r w:rsidRPr="00BA4D50">
        <w:t>the population studied in the pivotal study, Study 27025 (REFLEX), and is consistent with</w:t>
      </w:r>
      <w:r>
        <w:t xml:space="preserve"> </w:t>
      </w:r>
      <w:r w:rsidRPr="00BA4D50">
        <w:t xml:space="preserve">recommendations of both the </w:t>
      </w:r>
      <w:r w:rsidR="00B777EE">
        <w:t>c</w:t>
      </w:r>
      <w:r w:rsidRPr="00BA4D50">
        <w:t xml:space="preserve">linical </w:t>
      </w:r>
      <w:r w:rsidR="00B777EE">
        <w:t>evaluator and RMP e</w:t>
      </w:r>
      <w:r w:rsidRPr="00BA4D50">
        <w:t>valuator, and with wording approved by the</w:t>
      </w:r>
      <w:r>
        <w:t xml:space="preserve"> </w:t>
      </w:r>
      <w:r w:rsidRPr="00BA4D50">
        <w:t>EMA in January 2012.</w:t>
      </w:r>
    </w:p>
    <w:p w:rsidR="009046F3" w:rsidRPr="00AB6672" w:rsidRDefault="00AB6672" w:rsidP="00AB6672">
      <w:r>
        <w:t xml:space="preserve">This pre </w:t>
      </w:r>
      <w:r w:rsidR="009046F3" w:rsidRPr="00AB6672">
        <w:t xml:space="preserve">ACPM </w:t>
      </w:r>
      <w:r w:rsidR="00337342">
        <w:t>r</w:t>
      </w:r>
      <w:r w:rsidR="009046F3" w:rsidRPr="00AB6672">
        <w:t xml:space="preserve">esponse will address matters raised in the Delegate’s </w:t>
      </w:r>
      <w:r w:rsidR="00B4164C">
        <w:t xml:space="preserve">Overview </w:t>
      </w:r>
      <w:r w:rsidR="009046F3" w:rsidRPr="00AB6672">
        <w:t xml:space="preserve">regarding the presentation of the results of Study 27025 (REFLEX) in the </w:t>
      </w:r>
      <w:r>
        <w:rPr>
          <w:i/>
        </w:rPr>
        <w:t>Clinical Trials</w:t>
      </w:r>
      <w:r w:rsidR="009046F3" w:rsidRPr="00AB6672">
        <w:t xml:space="preserve"> section of the </w:t>
      </w:r>
      <w:r w:rsidRPr="00AB6672">
        <w:t>PI</w:t>
      </w:r>
      <w:r w:rsidR="009046F3" w:rsidRPr="00AB6672">
        <w:t xml:space="preserve"> document.</w:t>
      </w:r>
    </w:p>
    <w:p w:rsidR="00DF3F97" w:rsidRDefault="00DF3F97" w:rsidP="007474CA">
      <w:pPr>
        <w:pStyle w:val="Heading5"/>
        <w:rPr>
          <w:lang w:eastAsia="en-AU"/>
        </w:rPr>
      </w:pPr>
      <w:r>
        <w:rPr>
          <w:lang w:eastAsia="en-AU"/>
        </w:rPr>
        <w:t xml:space="preserve">Study 27025 (REFLEX) </w:t>
      </w:r>
      <w:r w:rsidR="007343E1">
        <w:rPr>
          <w:lang w:eastAsia="en-AU"/>
        </w:rPr>
        <w:t>e</w:t>
      </w:r>
      <w:r>
        <w:rPr>
          <w:lang w:eastAsia="en-AU"/>
        </w:rPr>
        <w:t xml:space="preserve">fficacy </w:t>
      </w:r>
      <w:r w:rsidR="007343E1">
        <w:rPr>
          <w:lang w:eastAsia="en-AU"/>
        </w:rPr>
        <w:t>r</w:t>
      </w:r>
      <w:r>
        <w:rPr>
          <w:lang w:eastAsia="en-AU"/>
        </w:rPr>
        <w:t>esults</w:t>
      </w:r>
    </w:p>
    <w:p w:rsidR="00DF3F97" w:rsidRPr="007474CA" w:rsidRDefault="00DF3F97" w:rsidP="007474CA">
      <w:r w:rsidRPr="007474CA">
        <w:t xml:space="preserve">Study 27025 (REFLEX) demonstrates that in patients with a clinically isolated </w:t>
      </w:r>
      <w:proofErr w:type="spellStart"/>
      <w:r w:rsidRPr="007474CA">
        <w:t>demyelinating</w:t>
      </w:r>
      <w:proofErr w:type="spellEnd"/>
      <w:r w:rsidRPr="007474CA">
        <w:t xml:space="preserve"> syndrome</w:t>
      </w:r>
      <w:r w:rsidR="007474CA">
        <w:t xml:space="preserve"> </w:t>
      </w:r>
      <w:r w:rsidRPr="007474CA">
        <w:t xml:space="preserve">and an MRI suggestive of MS, </w:t>
      </w:r>
      <w:proofErr w:type="spellStart"/>
      <w:r w:rsidR="001F7916">
        <w:t>Rebif</w:t>
      </w:r>
      <w:proofErr w:type="spellEnd"/>
      <w:r w:rsidRPr="007474CA">
        <w:t xml:space="preserve"> reduced the time to the development of MS, including</w:t>
      </w:r>
      <w:r w:rsidR="007474CA">
        <w:t xml:space="preserve"> </w:t>
      </w:r>
      <w:proofErr w:type="spellStart"/>
      <w:r w:rsidRPr="007474CA">
        <w:t>radiologically</w:t>
      </w:r>
      <w:proofErr w:type="spellEnd"/>
      <w:r w:rsidR="00A81258">
        <w:t xml:space="preserve"> </w:t>
      </w:r>
      <w:r w:rsidR="004862EF">
        <w:t>defined (McDonald) MS (</w:t>
      </w:r>
      <w:r w:rsidRPr="007474CA">
        <w:t xml:space="preserve">the </w:t>
      </w:r>
      <w:r w:rsidR="004862EF">
        <w:t>primary endpoint) and CDMS (</w:t>
      </w:r>
      <w:r w:rsidRPr="007474CA">
        <w:t>the main secondary endpoint</w:t>
      </w:r>
      <w:r w:rsidR="004862EF">
        <w:t>)</w:t>
      </w:r>
      <w:r w:rsidRPr="007474CA">
        <w:t>. There were also clear benefits</w:t>
      </w:r>
      <w:r w:rsidR="007474CA">
        <w:t xml:space="preserve"> </w:t>
      </w:r>
      <w:r w:rsidRPr="007474CA">
        <w:t>on disease activity as measured with MRI. All treatment effects were statistically significant compared</w:t>
      </w:r>
      <w:r w:rsidR="007474CA">
        <w:t xml:space="preserve"> </w:t>
      </w:r>
      <w:r w:rsidRPr="007474CA">
        <w:t>with placebo.</w:t>
      </w:r>
    </w:p>
    <w:p w:rsidR="00DF3F97" w:rsidRPr="007474CA" w:rsidRDefault="00DF3F97" w:rsidP="007474CA">
      <w:r w:rsidRPr="007474CA">
        <w:t xml:space="preserve">The </w:t>
      </w:r>
      <w:r w:rsidR="00A63E18">
        <w:t>c</w:t>
      </w:r>
      <w:r w:rsidRPr="007474CA">
        <w:t xml:space="preserve">linical </w:t>
      </w:r>
      <w:r w:rsidR="00A63E18">
        <w:t>e</w:t>
      </w:r>
      <w:r w:rsidRPr="007474CA">
        <w:t>valuator and Delegate have questioned use of the term ‘Risk reduction’ to report the</w:t>
      </w:r>
      <w:r w:rsidR="007474CA">
        <w:t xml:space="preserve"> </w:t>
      </w:r>
      <w:r w:rsidR="009963AA">
        <w:t>complement of ‘HR</w:t>
      </w:r>
      <w:r w:rsidRPr="007474CA">
        <w:t>’ in the tabulation of the results of Study 27025 (REFLEX) presented in the</w:t>
      </w:r>
      <w:r w:rsidR="007474CA">
        <w:t xml:space="preserve"> </w:t>
      </w:r>
      <w:r w:rsidRPr="007474CA">
        <w:t>PI, raising concern over misinterpretation of this value as a cumulative risk reduction over the course of</w:t>
      </w:r>
      <w:r w:rsidR="007474CA">
        <w:t xml:space="preserve"> </w:t>
      </w:r>
      <w:r w:rsidRPr="007474CA">
        <w:t>the two</w:t>
      </w:r>
      <w:r w:rsidR="000A5472">
        <w:t xml:space="preserve"> </w:t>
      </w:r>
      <w:r w:rsidRPr="007474CA">
        <w:t>year study. The terms ‘Instantaneous hazard reduction’ and ‘Instantaneous risk reduction’ were</w:t>
      </w:r>
      <w:r w:rsidR="007474CA">
        <w:t xml:space="preserve"> </w:t>
      </w:r>
      <w:r w:rsidRPr="007474CA">
        <w:t xml:space="preserve">used to describe this value in the Clinical Evaluation Report and Delegate’s </w:t>
      </w:r>
      <w:r w:rsidR="00B4164C">
        <w:t>Overview</w:t>
      </w:r>
      <w:r w:rsidRPr="007474CA">
        <w:t>,</w:t>
      </w:r>
      <w:r w:rsidR="007474CA">
        <w:t xml:space="preserve"> </w:t>
      </w:r>
      <w:r w:rsidRPr="007474CA">
        <w:t>respectively. Further, the Delegate recommends inclusion of values for ‘Absolute cumulative risk</w:t>
      </w:r>
      <w:r w:rsidR="007474CA">
        <w:t xml:space="preserve"> </w:t>
      </w:r>
      <w:r w:rsidRPr="007474CA">
        <w:t>reduction’ and ‘Relative cumulative risk reduction’ instead of reporting values for ‘Instantaneous risk</w:t>
      </w:r>
      <w:r w:rsidR="007474CA">
        <w:t xml:space="preserve"> </w:t>
      </w:r>
      <w:r w:rsidRPr="007474CA">
        <w:t xml:space="preserve">reduction’, </w:t>
      </w:r>
      <w:r w:rsidRPr="007474CA">
        <w:lastRenderedPageBreak/>
        <w:t xml:space="preserve">while the </w:t>
      </w:r>
      <w:r w:rsidR="00B96C78">
        <w:t>c</w:t>
      </w:r>
      <w:r w:rsidRPr="007474CA">
        <w:t xml:space="preserve">linical </w:t>
      </w:r>
      <w:r w:rsidR="00B96C78">
        <w:t>e</w:t>
      </w:r>
      <w:r w:rsidRPr="007474CA">
        <w:t>valuator maintains that retention of values for ‘Instantaneous hazard</w:t>
      </w:r>
      <w:r w:rsidR="007474CA">
        <w:t xml:space="preserve"> </w:t>
      </w:r>
      <w:r w:rsidRPr="007474CA">
        <w:t>reduction’ would be acceptable.</w:t>
      </w:r>
    </w:p>
    <w:p w:rsidR="009046F3" w:rsidRDefault="00DF3F97" w:rsidP="007474CA">
      <w:r w:rsidRPr="007474CA">
        <w:t xml:space="preserve">The </w:t>
      </w:r>
      <w:r w:rsidR="00D5355C">
        <w:t>s</w:t>
      </w:r>
      <w:r w:rsidRPr="007474CA">
        <w:t xml:space="preserve">ponsor agrees that different statistics can be used to summarise the results pertaining to </w:t>
      </w:r>
      <w:r w:rsidR="00B96C78">
        <w:t>‘</w:t>
      </w:r>
      <w:r w:rsidRPr="007474CA">
        <w:t>McDonald</w:t>
      </w:r>
      <w:r w:rsidR="007474CA">
        <w:t xml:space="preserve"> </w:t>
      </w:r>
      <w:r w:rsidRPr="007474CA">
        <w:t>MS conversion</w:t>
      </w:r>
      <w:r w:rsidR="00B96C78">
        <w:t>’</w:t>
      </w:r>
      <w:r w:rsidRPr="007474CA">
        <w:t xml:space="preserve"> and </w:t>
      </w:r>
      <w:r w:rsidR="00B96C78">
        <w:t>‘</w:t>
      </w:r>
      <w:r w:rsidRPr="007474CA">
        <w:t>CDMS conversion</w:t>
      </w:r>
      <w:r w:rsidR="00B96C78">
        <w:t>’</w:t>
      </w:r>
      <w:r w:rsidRPr="007474CA">
        <w:t>. ‘Absolute risk reduction’ would be the appropriate statistic to</w:t>
      </w:r>
      <w:r w:rsidR="007474CA">
        <w:t xml:space="preserve"> </w:t>
      </w:r>
      <w:r w:rsidRPr="007474CA">
        <w:t>report if the intention had been to compare the proportion of McDonald or CDMS conversion at 2 years</w:t>
      </w:r>
      <w:r w:rsidR="007474CA">
        <w:t xml:space="preserve"> </w:t>
      </w:r>
      <w:r w:rsidR="00D5355C">
        <w:t xml:space="preserve">between the two groups, </w:t>
      </w:r>
      <w:proofErr w:type="spellStart"/>
      <w:r w:rsidR="00D5355C">
        <w:t>Rebif</w:t>
      </w:r>
      <w:proofErr w:type="spellEnd"/>
      <w:r w:rsidR="00D5355C">
        <w:t xml:space="preserve"> 44 µ</w:t>
      </w:r>
      <w:r w:rsidRPr="007474CA">
        <w:t xml:space="preserve">g </w:t>
      </w:r>
      <w:proofErr w:type="spellStart"/>
      <w:r w:rsidRPr="007474CA">
        <w:t>tiw</w:t>
      </w:r>
      <w:proofErr w:type="spellEnd"/>
      <w:r w:rsidRPr="007474CA">
        <w:t xml:space="preserve"> and placebo. However, proportion of McDonald conversion</w:t>
      </w:r>
      <w:r w:rsidR="007474CA">
        <w:t xml:space="preserve"> </w:t>
      </w:r>
      <w:r w:rsidRPr="007474CA">
        <w:t>at 2 years was not the primary endpoint of Study 27025 (REFLEX).</w:t>
      </w:r>
    </w:p>
    <w:p w:rsidR="00DC4E23" w:rsidRPr="00DC4E23" w:rsidRDefault="00DC4E23" w:rsidP="00DC4E23">
      <w:r w:rsidRPr="00DC4E23">
        <w:t>The primary endpoint of Study 27025 (REFLEX), as stated in the protocol, was time to McDonald</w:t>
      </w:r>
      <w:r>
        <w:t xml:space="preserve"> </w:t>
      </w:r>
      <w:r w:rsidR="000A5472">
        <w:t>conversion, that is,</w:t>
      </w:r>
      <w:r w:rsidRPr="00DC4E23">
        <w:t xml:space="preserve"> to answer the question, how treatment with </w:t>
      </w:r>
      <w:proofErr w:type="spellStart"/>
      <w:r w:rsidR="001F7916">
        <w:t>Rebif</w:t>
      </w:r>
      <w:proofErr w:type="spellEnd"/>
      <w:r w:rsidRPr="00DC4E23">
        <w:t xml:space="preserve"> would delay the occurrence of</w:t>
      </w:r>
      <w:r>
        <w:t xml:space="preserve"> </w:t>
      </w:r>
      <w:r w:rsidRPr="00DC4E23">
        <w:t>McDonald conversion compared to placebo. The relevant statistic to compare treatment effect between</w:t>
      </w:r>
      <w:r>
        <w:t xml:space="preserve"> </w:t>
      </w:r>
      <w:proofErr w:type="spellStart"/>
      <w:r w:rsidR="001F7916">
        <w:t>Rebif</w:t>
      </w:r>
      <w:proofErr w:type="spellEnd"/>
      <w:r w:rsidRPr="00DC4E23">
        <w:t xml:space="preserve"> 44 </w:t>
      </w:r>
      <w:r w:rsidR="007D2FF3">
        <w:t>µ</w:t>
      </w:r>
      <w:r w:rsidRPr="00DC4E23">
        <w:t xml:space="preserve">g </w:t>
      </w:r>
      <w:proofErr w:type="spellStart"/>
      <w:r w:rsidR="009963AA">
        <w:t>tiw</w:t>
      </w:r>
      <w:proofErr w:type="spellEnd"/>
      <w:r w:rsidR="009963AA">
        <w:t xml:space="preserve"> and placebo is ‘HR</w:t>
      </w:r>
      <w:r w:rsidRPr="00DC4E23">
        <w:t>’. H</w:t>
      </w:r>
      <w:r w:rsidR="009963AA">
        <w:t>R</w:t>
      </w:r>
      <w:r w:rsidRPr="00DC4E23">
        <w:t xml:space="preserve"> is a relative risk over time and is</w:t>
      </w:r>
      <w:r>
        <w:t xml:space="preserve"> </w:t>
      </w:r>
      <w:r w:rsidRPr="00DC4E23">
        <w:t>interpreted as a measurement of reduction or increase of the risk. Related to time to event, the primary</w:t>
      </w:r>
      <w:r>
        <w:t xml:space="preserve"> </w:t>
      </w:r>
      <w:r w:rsidRPr="00DC4E23">
        <w:t>endpoint and main secondary endpoint may be interpreted as follows:</w:t>
      </w:r>
    </w:p>
    <w:p w:rsidR="00DC4E23" w:rsidRPr="00DC4E23" w:rsidRDefault="00DC4E23" w:rsidP="00DC4E23">
      <w:pPr>
        <w:pStyle w:val="ListBullet"/>
      </w:pPr>
      <w:r w:rsidRPr="00DC4E23">
        <w:t xml:space="preserve">Over 2 years </w:t>
      </w:r>
      <w:proofErr w:type="spellStart"/>
      <w:r w:rsidR="001F7916">
        <w:t>Rebif</w:t>
      </w:r>
      <w:proofErr w:type="spellEnd"/>
      <w:r w:rsidRPr="00DC4E23">
        <w:t xml:space="preserve"> 44 </w:t>
      </w:r>
      <w:r w:rsidR="002C2378">
        <w:t>µ</w:t>
      </w:r>
      <w:r w:rsidRPr="00DC4E23">
        <w:t xml:space="preserve">g </w:t>
      </w:r>
      <w:proofErr w:type="spellStart"/>
      <w:r w:rsidRPr="00DC4E23">
        <w:t>tiw</w:t>
      </w:r>
      <w:proofErr w:type="spellEnd"/>
      <w:r w:rsidRPr="00DC4E23">
        <w:t xml:space="preserve"> delayed McDonald MS, when compared with placebo (p &lt;0.001</w:t>
      </w:r>
      <w:r>
        <w:t xml:space="preserve"> </w:t>
      </w:r>
      <w:r w:rsidRPr="00DC4E23">
        <w:t xml:space="preserve">for </w:t>
      </w:r>
      <w:proofErr w:type="spellStart"/>
      <w:r w:rsidRPr="00DC4E23">
        <w:t>tiw</w:t>
      </w:r>
      <w:proofErr w:type="spellEnd"/>
      <w:r w:rsidRPr="00DC4E23">
        <w:t xml:space="preserve">; adjusted log rank test). The instantaneous </w:t>
      </w:r>
      <w:r w:rsidR="009963AA">
        <w:t>HR</w:t>
      </w:r>
      <w:r w:rsidRPr="00DC4E23">
        <w:t xml:space="preserve"> versus placebo for time to</w:t>
      </w:r>
      <w:r>
        <w:t xml:space="preserve"> </w:t>
      </w:r>
      <w:r w:rsidRPr="00DC4E23">
        <w:t>McDonald MS was 0.49, which corresponds to a risk reduction of 51%.</w:t>
      </w:r>
    </w:p>
    <w:p w:rsidR="007474CA" w:rsidRDefault="00DC4E23" w:rsidP="00DC4E23">
      <w:pPr>
        <w:pStyle w:val="ListBullet"/>
      </w:pPr>
      <w:r w:rsidRPr="00DC4E23">
        <w:t xml:space="preserve">Over 2 years, </w:t>
      </w:r>
      <w:proofErr w:type="spellStart"/>
      <w:r w:rsidR="001F7916">
        <w:t>Rebif</w:t>
      </w:r>
      <w:proofErr w:type="spellEnd"/>
      <w:r w:rsidRPr="00DC4E23">
        <w:t xml:space="preserve"> 44</w:t>
      </w:r>
      <w:r w:rsidR="002C2378">
        <w:t xml:space="preserve"> µ</w:t>
      </w:r>
      <w:r w:rsidRPr="00DC4E23">
        <w:t xml:space="preserve">g </w:t>
      </w:r>
      <w:proofErr w:type="spellStart"/>
      <w:r w:rsidRPr="00DC4E23">
        <w:t>tiw</w:t>
      </w:r>
      <w:proofErr w:type="spellEnd"/>
      <w:r w:rsidRPr="00DC4E23">
        <w:t xml:space="preserve"> delayed CDMS, compar</w:t>
      </w:r>
      <w:r>
        <w:t xml:space="preserve">ed with placebo (p &lt;0.001). The </w:t>
      </w:r>
      <w:r w:rsidRPr="00DC4E23">
        <w:t xml:space="preserve">instantaneous </w:t>
      </w:r>
      <w:r w:rsidR="009963AA">
        <w:t>HR</w:t>
      </w:r>
      <w:r w:rsidRPr="00DC4E23">
        <w:t xml:space="preserve"> for time to CDMS was 0.48, which corresponds to a risk reduction of</w:t>
      </w:r>
      <w:r>
        <w:t xml:space="preserve"> </w:t>
      </w:r>
      <w:r w:rsidRPr="00DC4E23">
        <w:t>52%.</w:t>
      </w:r>
    </w:p>
    <w:p w:rsidR="003112C8" w:rsidRDefault="003112C8" w:rsidP="003112C8">
      <w:r w:rsidRPr="003112C8">
        <w:t xml:space="preserve">The </w:t>
      </w:r>
      <w:r w:rsidR="009A71BC">
        <w:t>t</w:t>
      </w:r>
      <w:r w:rsidRPr="003112C8">
        <w:t xml:space="preserve">able in the PI entitled </w:t>
      </w:r>
      <w:r w:rsidR="00B96C78">
        <w:t>‘</w:t>
      </w:r>
      <w:r w:rsidRPr="003112C8">
        <w:t>Efficacy results from Study 27025 (REFLEX)</w:t>
      </w:r>
      <w:r w:rsidR="00B96C78">
        <w:t>’</w:t>
      </w:r>
      <w:r w:rsidRPr="003112C8">
        <w:t xml:space="preserve"> summarises results for two</w:t>
      </w:r>
      <w:r>
        <w:t xml:space="preserve"> </w:t>
      </w:r>
      <w:r w:rsidR="00B96C78">
        <w:t>‘</w:t>
      </w:r>
      <w:r w:rsidRPr="003112C8">
        <w:t>time to event</w:t>
      </w:r>
      <w:r w:rsidR="00B96C78">
        <w:t>’</w:t>
      </w:r>
      <w:r w:rsidRPr="003112C8">
        <w:t xml:space="preserve"> endpoints and all statistical measures reported in this table are statistics that summarise</w:t>
      </w:r>
      <w:r>
        <w:t xml:space="preserve"> </w:t>
      </w:r>
      <w:r w:rsidRPr="003112C8">
        <w:t xml:space="preserve">the time to event variables. The description of primary endpoints in the </w:t>
      </w:r>
      <w:r w:rsidR="00B96C78">
        <w:t>t</w:t>
      </w:r>
      <w:r w:rsidRPr="003112C8">
        <w:t>able has been revised to convey</w:t>
      </w:r>
      <w:r>
        <w:t xml:space="preserve"> </w:t>
      </w:r>
      <w:r w:rsidRPr="003112C8">
        <w:t xml:space="preserve">this more clearly. In addition, to take into account the comments of the </w:t>
      </w:r>
      <w:r w:rsidR="00B96C78">
        <w:t>c</w:t>
      </w:r>
      <w:r w:rsidRPr="003112C8">
        <w:t xml:space="preserve">linical </w:t>
      </w:r>
      <w:r w:rsidR="00B96C78">
        <w:t>e</w:t>
      </w:r>
      <w:r w:rsidRPr="003112C8">
        <w:t>valuator and Delegate</w:t>
      </w:r>
      <w:r>
        <w:t xml:space="preserve"> </w:t>
      </w:r>
      <w:r w:rsidRPr="003112C8">
        <w:t>regarding the possible misinterpretation of values previously reported in the table as ‘Risk reduction’, the</w:t>
      </w:r>
      <w:r>
        <w:t xml:space="preserve"> s</w:t>
      </w:r>
      <w:r w:rsidRPr="003112C8">
        <w:t xml:space="preserve">ponsor proposes to remove these values from the </w:t>
      </w:r>
      <w:r w:rsidR="00FF415D">
        <w:t>t</w:t>
      </w:r>
      <w:r w:rsidRPr="003112C8">
        <w:t>abl</w:t>
      </w:r>
      <w:r>
        <w:t xml:space="preserve">e; the </w:t>
      </w:r>
      <w:r w:rsidR="00FF415D">
        <w:t>s</w:t>
      </w:r>
      <w:r>
        <w:t xml:space="preserve">ponsor agrees that this </w:t>
      </w:r>
      <w:r w:rsidRPr="003112C8">
        <w:t>value is the</w:t>
      </w:r>
      <w:r>
        <w:t xml:space="preserve"> </w:t>
      </w:r>
      <w:r w:rsidRPr="003112C8">
        <w:t xml:space="preserve">complement of the </w:t>
      </w:r>
      <w:r w:rsidR="009963AA">
        <w:t>HR</w:t>
      </w:r>
      <w:r w:rsidRPr="003112C8">
        <w:t xml:space="preserve">, and can be derived easily. The revised </w:t>
      </w:r>
      <w:r w:rsidR="00FF415D">
        <w:t>t</w:t>
      </w:r>
      <w:r w:rsidRPr="003112C8">
        <w:t>able, incorporating these changes,</w:t>
      </w:r>
      <w:r>
        <w:t xml:space="preserve"> </w:t>
      </w:r>
      <w:r w:rsidRPr="003112C8">
        <w:t xml:space="preserve">is </w:t>
      </w:r>
      <w:r w:rsidR="00B96C78">
        <w:t xml:space="preserve">shown as Table </w:t>
      </w:r>
      <w:r w:rsidR="00746B33">
        <w:t>7</w:t>
      </w:r>
      <w:r w:rsidR="00B96C78">
        <w:t xml:space="preserve"> in this AusPAR</w:t>
      </w:r>
      <w:r w:rsidRPr="003112C8">
        <w:t>.</w:t>
      </w:r>
    </w:p>
    <w:p w:rsidR="007343E1" w:rsidRPr="00DF72F2" w:rsidRDefault="002F6873" w:rsidP="00731533">
      <w:pPr>
        <w:pStyle w:val="TableTitle"/>
      </w:pPr>
      <w:r w:rsidRPr="00DF72F2">
        <w:lastRenderedPageBreak/>
        <w:t xml:space="preserve">Table </w:t>
      </w:r>
      <w:r w:rsidR="00746B33">
        <w:t>7</w:t>
      </w:r>
      <w:r w:rsidR="007343E1" w:rsidRPr="00DF72F2">
        <w:t>: Efficacy results from Study 27025 (REFLEX).</w:t>
      </w:r>
    </w:p>
    <w:p w:rsidR="003112C8" w:rsidRDefault="00226E78" w:rsidP="00731533">
      <w:r>
        <w:rPr>
          <w:noProof/>
          <w:lang w:eastAsia="en-AU"/>
        </w:rPr>
        <w:drawing>
          <wp:inline distT="0" distB="0" distL="0" distR="0">
            <wp:extent cx="5400675" cy="4053205"/>
            <wp:effectExtent l="19050" t="0" r="9525" b="0"/>
            <wp:docPr id="17" name="Picture 17" descr="Table 7: Efficacy results from Study 27025 (REF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ble 8: Efficacy results from Study 27025 (REFLEX)."/>
                    <pic:cNvPicPr>
                      <a:picLocks noChangeAspect="1" noChangeArrowheads="1"/>
                    </pic:cNvPicPr>
                  </pic:nvPicPr>
                  <pic:blipFill>
                    <a:blip r:embed="rId30" cstate="print"/>
                    <a:srcRect/>
                    <a:stretch>
                      <a:fillRect/>
                    </a:stretch>
                  </pic:blipFill>
                  <pic:spPr bwMode="auto">
                    <a:xfrm>
                      <a:off x="0" y="0"/>
                      <a:ext cx="5400675" cy="4053205"/>
                    </a:xfrm>
                    <a:prstGeom prst="rect">
                      <a:avLst/>
                    </a:prstGeom>
                    <a:noFill/>
                    <a:ln w="9525">
                      <a:noFill/>
                      <a:miter lim="800000"/>
                      <a:headEnd/>
                      <a:tailEnd/>
                    </a:ln>
                  </pic:spPr>
                </pic:pic>
              </a:graphicData>
            </a:graphic>
          </wp:inline>
        </w:drawing>
      </w:r>
    </w:p>
    <w:p w:rsidR="00611265" w:rsidRPr="00731533" w:rsidRDefault="00611265" w:rsidP="00731533">
      <w:pPr>
        <w:pStyle w:val="TableDescription"/>
      </w:pPr>
      <w:r w:rsidRPr="00731533">
        <w:t xml:space="preserve">* </w:t>
      </w:r>
      <w:proofErr w:type="spellStart"/>
      <w:proofErr w:type="gramStart"/>
      <w:r w:rsidRPr="00731533">
        <w:t>qw</w:t>
      </w:r>
      <w:proofErr w:type="spellEnd"/>
      <w:proofErr w:type="gramEnd"/>
      <w:r w:rsidRPr="00731533">
        <w:t xml:space="preserve"> – once a week</w:t>
      </w:r>
    </w:p>
    <w:p w:rsidR="00611265" w:rsidRPr="00731533" w:rsidRDefault="00611265" w:rsidP="00731533">
      <w:pPr>
        <w:pStyle w:val="TableDescription"/>
      </w:pPr>
      <w:r w:rsidRPr="00731533">
        <w:t xml:space="preserve">** </w:t>
      </w:r>
      <w:proofErr w:type="spellStart"/>
      <w:proofErr w:type="gramStart"/>
      <w:r w:rsidRPr="00731533">
        <w:t>tiw</w:t>
      </w:r>
      <w:proofErr w:type="spellEnd"/>
      <w:proofErr w:type="gramEnd"/>
      <w:r w:rsidRPr="00731533">
        <w:t xml:space="preserve"> – three times per week</w:t>
      </w:r>
    </w:p>
    <w:p w:rsidR="00611265" w:rsidRPr="00731533" w:rsidRDefault="00611265" w:rsidP="00731533">
      <w:pPr>
        <w:pStyle w:val="TableDescription"/>
      </w:pPr>
      <w:r w:rsidRPr="00731533">
        <w:t>(a) Kaplan-Meier estimate of the cumulative probability of developing McDonald MS (or CDMS) over 2 years</w:t>
      </w:r>
    </w:p>
    <w:p w:rsidR="00611265" w:rsidRPr="00731533" w:rsidRDefault="00611265" w:rsidP="00731533">
      <w:pPr>
        <w:pStyle w:val="TableDescription"/>
      </w:pPr>
      <w:r w:rsidRPr="00731533">
        <w:t>(b) Multivariate Cox's proportional hazards model with treatment and randomisation stratification factors as covariates</w:t>
      </w:r>
    </w:p>
    <w:p w:rsidR="00611265" w:rsidRPr="00731533" w:rsidRDefault="00611265" w:rsidP="00731533">
      <w:pPr>
        <w:pStyle w:val="TableDescription"/>
      </w:pPr>
      <w:r w:rsidRPr="00731533">
        <w:t>(c) Stratified Chi-square log-rank test controlling for randomisation stratification factors</w:t>
      </w:r>
    </w:p>
    <w:p w:rsidR="00611265" w:rsidRPr="00731533" w:rsidRDefault="00611265" w:rsidP="00731533">
      <w:pPr>
        <w:pStyle w:val="TableDescription"/>
      </w:pPr>
      <w:r w:rsidRPr="00731533">
        <w:t>(d) Negative binomial model with treatment and randomisation stratification factors (f) as covariates and log number of scans as an offset variable</w:t>
      </w:r>
    </w:p>
    <w:p w:rsidR="00611265" w:rsidRPr="00731533" w:rsidRDefault="00611265" w:rsidP="00731533">
      <w:pPr>
        <w:pStyle w:val="TableDescription"/>
      </w:pPr>
      <w:r w:rsidRPr="00731533">
        <w:t>(e) 2-sided stratified non-parametric ANOVA model on ranked data with effects for treatment group and the randomisation stratification factors</w:t>
      </w:r>
    </w:p>
    <w:p w:rsidR="00611265" w:rsidRPr="00731533" w:rsidRDefault="00611265" w:rsidP="00731533">
      <w:pPr>
        <w:pStyle w:val="TableDescription"/>
      </w:pPr>
      <w:r w:rsidRPr="00731533">
        <w:t xml:space="preserve">(f) Randomisation stratification factors: age (&lt;30 years, ≥30 years), classification of first clinical </w:t>
      </w:r>
      <w:proofErr w:type="spellStart"/>
      <w:r w:rsidRPr="00731533">
        <w:t>demyelinating</w:t>
      </w:r>
      <w:proofErr w:type="spellEnd"/>
      <w:r w:rsidRPr="00731533">
        <w:t xml:space="preserve"> event (</w:t>
      </w:r>
      <w:proofErr w:type="spellStart"/>
      <w:r w:rsidRPr="00731533">
        <w:t>monofocal</w:t>
      </w:r>
      <w:proofErr w:type="spellEnd"/>
      <w:r w:rsidRPr="00731533">
        <w:t xml:space="preserve">, multifocal), steroid use at first clinical </w:t>
      </w:r>
      <w:proofErr w:type="spellStart"/>
      <w:r w:rsidRPr="00731533">
        <w:t>demyelinating</w:t>
      </w:r>
      <w:proofErr w:type="spellEnd"/>
      <w:r w:rsidRPr="00731533">
        <w:t xml:space="preserve"> event (yes, no), and presence of </w:t>
      </w:r>
      <w:proofErr w:type="spellStart"/>
      <w:r w:rsidRPr="00731533">
        <w:t>Gd</w:t>
      </w:r>
      <w:proofErr w:type="spellEnd"/>
      <w:r w:rsidRPr="00731533">
        <w:t xml:space="preserve"> Enhancing Lesions at baseline (yes, no).</w:t>
      </w:r>
    </w:p>
    <w:p w:rsidR="000559BF" w:rsidRPr="000559BF" w:rsidRDefault="000559BF" w:rsidP="000559BF">
      <w:r w:rsidRPr="000559BF">
        <w:t xml:space="preserve">However, it is important to note that both </w:t>
      </w:r>
      <w:r w:rsidR="009963AA">
        <w:t>HR</w:t>
      </w:r>
      <w:r w:rsidRPr="000559BF">
        <w:t xml:space="preserve"> and risk reduction (shortened term for</w:t>
      </w:r>
      <w:r>
        <w:t xml:space="preserve"> </w:t>
      </w:r>
      <w:r w:rsidRPr="000559BF">
        <w:t>‘instantaneous risk reduction’) for treatment of CIS are reported in the PIs for alternative therapeutic</w:t>
      </w:r>
      <w:r>
        <w:t xml:space="preserve"> </w:t>
      </w:r>
      <w:r w:rsidRPr="000559BF">
        <w:t xml:space="preserve">products, </w:t>
      </w:r>
      <w:proofErr w:type="spellStart"/>
      <w:r w:rsidRPr="000559BF">
        <w:t>A</w:t>
      </w:r>
      <w:r w:rsidR="00337AD7">
        <w:t>vonex</w:t>
      </w:r>
      <w:proofErr w:type="spellEnd"/>
      <w:r w:rsidRPr="000559BF">
        <w:t xml:space="preserve"> (interferon beta-1a (</w:t>
      </w:r>
      <w:proofErr w:type="spellStart"/>
      <w:r w:rsidRPr="000559BF">
        <w:t>rch</w:t>
      </w:r>
      <w:proofErr w:type="spellEnd"/>
      <w:r w:rsidRPr="000559BF">
        <w:t xml:space="preserve">)) and </w:t>
      </w:r>
      <w:proofErr w:type="spellStart"/>
      <w:r w:rsidR="00337AD7">
        <w:t>Betaferon</w:t>
      </w:r>
      <w:proofErr w:type="spellEnd"/>
      <w:r w:rsidRPr="000559BF">
        <w:t xml:space="preserve"> (</w:t>
      </w:r>
      <w:r>
        <w:t>interferon beta-1b (</w:t>
      </w:r>
      <w:proofErr w:type="spellStart"/>
      <w:proofErr w:type="gramStart"/>
      <w:r>
        <w:t>rbe</w:t>
      </w:r>
      <w:proofErr w:type="spellEnd"/>
      <w:proofErr w:type="gramEnd"/>
      <w:r>
        <w:t>)). The s</w:t>
      </w:r>
      <w:r w:rsidRPr="000559BF">
        <w:t>ponsor</w:t>
      </w:r>
      <w:r>
        <w:t xml:space="preserve"> </w:t>
      </w:r>
      <w:r w:rsidRPr="000559BF">
        <w:t xml:space="preserve">considers it necessary and appropriate to provide to clinicians comparable summary statistics for </w:t>
      </w:r>
      <w:proofErr w:type="spellStart"/>
      <w:r w:rsidRPr="000559BF">
        <w:t>R</w:t>
      </w:r>
      <w:r w:rsidR="00337AD7">
        <w:t>ebif</w:t>
      </w:r>
      <w:proofErr w:type="spellEnd"/>
      <w:r w:rsidRPr="000559BF">
        <w:t>,</w:t>
      </w:r>
      <w:r>
        <w:t xml:space="preserve"> </w:t>
      </w:r>
      <w:r w:rsidRPr="000559BF">
        <w:t xml:space="preserve">and therefore proposes to include in the </w:t>
      </w:r>
      <w:proofErr w:type="spellStart"/>
      <w:r w:rsidRPr="000559BF">
        <w:t>R</w:t>
      </w:r>
      <w:r w:rsidR="00337AD7">
        <w:t>e</w:t>
      </w:r>
      <w:r w:rsidR="003C6EEA">
        <w:t>bif</w:t>
      </w:r>
      <w:proofErr w:type="spellEnd"/>
      <w:r w:rsidRPr="000559BF">
        <w:t xml:space="preserve"> PI interpretation of the results of Study 27025 (R</w:t>
      </w:r>
      <w:r w:rsidR="00804A8A">
        <w:t xml:space="preserve">EFLEX) </w:t>
      </w:r>
      <w:r w:rsidRPr="000559BF">
        <w:t>for the proposed dose, as follows:</w:t>
      </w:r>
    </w:p>
    <w:p w:rsidR="000559BF" w:rsidRPr="000559BF" w:rsidRDefault="00337AD7" w:rsidP="000559BF">
      <w:pPr>
        <w:ind w:left="720"/>
        <w:rPr>
          <w:i/>
        </w:rPr>
      </w:pPr>
      <w:r>
        <w:rPr>
          <w:i/>
        </w:rPr>
        <w:t xml:space="preserve">Treatment with </w:t>
      </w:r>
      <w:proofErr w:type="spellStart"/>
      <w:r w:rsidR="001F7916">
        <w:rPr>
          <w:i/>
        </w:rPr>
        <w:t>Rebif</w:t>
      </w:r>
      <w:proofErr w:type="spellEnd"/>
      <w:r>
        <w:rPr>
          <w:i/>
        </w:rPr>
        <w:t xml:space="preserve"> 44 µ</w:t>
      </w:r>
      <w:r w:rsidR="000559BF" w:rsidRPr="000559BF">
        <w:rPr>
          <w:i/>
        </w:rPr>
        <w:t xml:space="preserve">g </w:t>
      </w:r>
      <w:proofErr w:type="spellStart"/>
      <w:r w:rsidR="000559BF" w:rsidRPr="000559BF">
        <w:rPr>
          <w:i/>
        </w:rPr>
        <w:t>tiw</w:t>
      </w:r>
      <w:proofErr w:type="spellEnd"/>
      <w:r w:rsidR="000559BF" w:rsidRPr="000559BF">
        <w:rPr>
          <w:i/>
        </w:rPr>
        <w:t xml:space="preserve"> resulted in a 51% relative reduction of risk of conversion to McDonald MS compared to placebo (HR = 0.49, 95% CI [0.38, 0.64], p-value &lt; 0.001).</w:t>
      </w:r>
    </w:p>
    <w:p w:rsidR="000B4D73" w:rsidRDefault="000B4D73" w:rsidP="000B4D73">
      <w:pPr>
        <w:pStyle w:val="Heading5"/>
        <w:rPr>
          <w:lang w:eastAsia="en-AU"/>
        </w:rPr>
      </w:pPr>
      <w:r>
        <w:rPr>
          <w:lang w:eastAsia="en-AU"/>
        </w:rPr>
        <w:t xml:space="preserve">Study 27025 (REFLEX) </w:t>
      </w:r>
      <w:r w:rsidR="00731533">
        <w:rPr>
          <w:lang w:eastAsia="en-AU"/>
        </w:rPr>
        <w:t>s</w:t>
      </w:r>
      <w:r>
        <w:rPr>
          <w:lang w:eastAsia="en-AU"/>
        </w:rPr>
        <w:t xml:space="preserve">ubgroup </w:t>
      </w:r>
      <w:r w:rsidR="00731533">
        <w:rPr>
          <w:lang w:eastAsia="en-AU"/>
        </w:rPr>
        <w:t>a</w:t>
      </w:r>
      <w:r>
        <w:rPr>
          <w:lang w:eastAsia="en-AU"/>
        </w:rPr>
        <w:t>nalysis</w:t>
      </w:r>
    </w:p>
    <w:p w:rsidR="000B4D73" w:rsidRPr="000B4D73" w:rsidRDefault="000B4D73" w:rsidP="000B4D73">
      <w:r w:rsidRPr="000B4D73">
        <w:t>McDonald criteria for the diagnosis of MS were revised four years after the commencement of Study</w:t>
      </w:r>
      <w:r w:rsidR="006B4EC1">
        <w:t xml:space="preserve"> </w:t>
      </w:r>
      <w:r w:rsidRPr="000B4D73">
        <w:t>27025 (REFLEX). The changes to diagnostic criteria potentially allow earlier diagnosis of MS, such</w:t>
      </w:r>
      <w:r w:rsidR="006B4EC1">
        <w:t xml:space="preserve"> </w:t>
      </w:r>
      <w:r w:rsidRPr="000B4D73">
        <w:t xml:space="preserve">that, using a retrospective diagnosis of McDonald </w:t>
      </w:r>
      <w:r w:rsidR="00B96C78">
        <w:t>2010</w:t>
      </w:r>
      <w:r w:rsidR="00E97D6E">
        <w:t xml:space="preserve"> </w:t>
      </w:r>
      <w:r w:rsidRPr="000B4D73">
        <w:t>MS, over one third (37.7%) of patients</w:t>
      </w:r>
      <w:r w:rsidR="006B4EC1">
        <w:t xml:space="preserve"> </w:t>
      </w:r>
      <w:r w:rsidRPr="000B4D73">
        <w:t xml:space="preserve">randomised in Study 27025 (REFLEX) had </w:t>
      </w:r>
      <w:r w:rsidR="00B96C78">
        <w:t>McDonald 2010</w:t>
      </w:r>
      <w:r w:rsidRPr="000B4D73">
        <w:t xml:space="preserve"> MS at baseline and were at</w:t>
      </w:r>
      <w:r w:rsidR="006B4EC1">
        <w:t xml:space="preserve"> </w:t>
      </w:r>
      <w:r w:rsidRPr="000B4D73">
        <w:t>significantly greater risk of McDonal</w:t>
      </w:r>
      <w:r w:rsidR="00B96C78">
        <w:t>d 2005</w:t>
      </w:r>
      <w:r w:rsidRPr="000B4D73">
        <w:t xml:space="preserve"> MS and slightly higher risk of CDMS. Post</w:t>
      </w:r>
      <w:r w:rsidR="005B6259">
        <w:t xml:space="preserve"> </w:t>
      </w:r>
      <w:r w:rsidRPr="000B4D73">
        <w:t>hoc</w:t>
      </w:r>
      <w:r w:rsidR="006B4EC1">
        <w:t xml:space="preserve"> </w:t>
      </w:r>
      <w:r w:rsidRPr="000B4D73">
        <w:t xml:space="preserve">subgroup analysis has established that, compared to placebo, </w:t>
      </w:r>
      <w:proofErr w:type="spellStart"/>
      <w:r w:rsidR="001F7916">
        <w:t>Rebif</w:t>
      </w:r>
      <w:proofErr w:type="spellEnd"/>
      <w:r w:rsidRPr="000B4D73">
        <w:t xml:space="preserve"> 44 </w:t>
      </w:r>
      <w:r w:rsidR="00A51BE8">
        <w:t>µ</w:t>
      </w:r>
      <w:r w:rsidRPr="000B4D73">
        <w:t xml:space="preserve">g </w:t>
      </w:r>
      <w:proofErr w:type="spellStart"/>
      <w:r w:rsidRPr="000B4D73">
        <w:t>tiw</w:t>
      </w:r>
      <w:proofErr w:type="spellEnd"/>
      <w:r w:rsidRPr="000B4D73">
        <w:t xml:space="preserve"> significantly</w:t>
      </w:r>
      <w:r w:rsidR="006B4EC1">
        <w:t xml:space="preserve"> </w:t>
      </w:r>
      <w:r w:rsidR="00B96C78">
        <w:t>reduced the risk of McDonald 2005</w:t>
      </w:r>
      <w:r w:rsidRPr="000B4D73">
        <w:t xml:space="preserve"> MS </w:t>
      </w:r>
      <w:r w:rsidRPr="000B4D73">
        <w:lastRenderedPageBreak/>
        <w:t>and CDMS at 2 y</w:t>
      </w:r>
      <w:r w:rsidR="00B96C78">
        <w:t>ears, irrespective of McDonald 2010</w:t>
      </w:r>
      <w:r w:rsidR="006B4EC1">
        <w:t xml:space="preserve"> </w:t>
      </w:r>
      <w:r w:rsidRPr="000B4D73">
        <w:t>status at baseline. Therefore, the main conclusions of the study would not have been affected if</w:t>
      </w:r>
      <w:r w:rsidR="006B4EC1">
        <w:t xml:space="preserve"> </w:t>
      </w:r>
      <w:r w:rsidR="00B96C78">
        <w:t>McDonald 2010</w:t>
      </w:r>
      <w:r w:rsidRPr="000B4D73">
        <w:t xml:space="preserve"> criteria had been available </w:t>
      </w:r>
      <w:r w:rsidR="00B96C78">
        <w:t xml:space="preserve">at the time of study design, that is, </w:t>
      </w:r>
      <w:proofErr w:type="spellStart"/>
      <w:r w:rsidR="001F7916">
        <w:t>Rebif</w:t>
      </w:r>
      <w:proofErr w:type="spellEnd"/>
      <w:r w:rsidRPr="000B4D73">
        <w:t xml:space="preserve"> 44 </w:t>
      </w:r>
      <w:r w:rsidR="00A51BE8">
        <w:t>µ</w:t>
      </w:r>
      <w:r w:rsidRPr="000B4D73">
        <w:t>g can delay</w:t>
      </w:r>
      <w:r w:rsidR="006B4EC1">
        <w:t xml:space="preserve"> </w:t>
      </w:r>
      <w:r w:rsidRPr="000B4D73">
        <w:t xml:space="preserve">MS in patients with a first clinical </w:t>
      </w:r>
      <w:proofErr w:type="spellStart"/>
      <w:r w:rsidRPr="000B4D73">
        <w:t>demyelinating</w:t>
      </w:r>
      <w:proofErr w:type="spellEnd"/>
      <w:r w:rsidRPr="000B4D73">
        <w:t xml:space="preserve"> event.</w:t>
      </w:r>
    </w:p>
    <w:p w:rsidR="000B4D73" w:rsidRDefault="000B4D73" w:rsidP="000B4D73">
      <w:r w:rsidRPr="000B4D73">
        <w:t xml:space="preserve">The </w:t>
      </w:r>
      <w:r w:rsidR="00B96C78">
        <w:t>c</w:t>
      </w:r>
      <w:r w:rsidRPr="000B4D73">
        <w:t xml:space="preserve">linical </w:t>
      </w:r>
      <w:r w:rsidR="00B96C78">
        <w:t>e</w:t>
      </w:r>
      <w:r w:rsidRPr="000B4D73">
        <w:t>valuator notes that the post</w:t>
      </w:r>
      <w:r w:rsidR="00305C74">
        <w:t xml:space="preserve"> </w:t>
      </w:r>
      <w:r w:rsidRPr="000B4D73">
        <w:t>hoc analysis confirms that benefit has been demonstrated</w:t>
      </w:r>
      <w:r w:rsidR="00467858">
        <w:t xml:space="preserve"> </w:t>
      </w:r>
      <w:r w:rsidR="005C64D5">
        <w:t>in subjects with “true CI</w:t>
      </w:r>
      <w:r w:rsidRPr="000B4D73">
        <w:t>S”, in whom a diagnosis of MS cannot be made with McDonald (2010)</w:t>
      </w:r>
      <w:r w:rsidR="00467858">
        <w:t xml:space="preserve"> </w:t>
      </w:r>
      <w:r w:rsidRPr="000B4D73">
        <w:t xml:space="preserve">criteria, and recommends inclusion of these results in the PI. Therefore, the </w:t>
      </w:r>
      <w:r w:rsidR="00467858">
        <w:t>s</w:t>
      </w:r>
      <w:r w:rsidRPr="000B4D73">
        <w:t>ponsor proposes</w:t>
      </w:r>
      <w:r w:rsidR="00467858">
        <w:t xml:space="preserve"> </w:t>
      </w:r>
      <w:r w:rsidRPr="000B4D73">
        <w:t>inclusion of the following text in the PI:</w:t>
      </w:r>
    </w:p>
    <w:p w:rsidR="00490070" w:rsidRPr="00A10C76" w:rsidRDefault="00490070" w:rsidP="00A10C76">
      <w:pPr>
        <w:ind w:left="720"/>
        <w:rPr>
          <w:i/>
        </w:rPr>
      </w:pPr>
      <w:r w:rsidRPr="00A10C76">
        <w:rPr>
          <w:i/>
        </w:rPr>
        <w:t>Subgroup Analysis</w:t>
      </w:r>
    </w:p>
    <w:p w:rsidR="00467858" w:rsidRDefault="00490070" w:rsidP="00A10C76">
      <w:pPr>
        <w:ind w:left="720"/>
      </w:pPr>
      <w:r w:rsidRPr="00A10C76">
        <w:rPr>
          <w:i/>
        </w:rPr>
        <w:t xml:space="preserve">Subsequent to the availability of revised McDonald (2010) criteria, a post hoc subgroup analysis was performed whereby subjects of Study 27025 (REFLEX) were re-categorised according to the new diagnostic criteria. Over one third of patients randomised had MS at baseline according to McDonald (2010) criteria. Compared with placebo, </w:t>
      </w:r>
      <w:proofErr w:type="spellStart"/>
      <w:r w:rsidR="001F7916">
        <w:rPr>
          <w:i/>
        </w:rPr>
        <w:t>Rebif</w:t>
      </w:r>
      <w:proofErr w:type="spellEnd"/>
      <w:r w:rsidRPr="00A10C76">
        <w:rPr>
          <w:i/>
        </w:rPr>
        <w:t xml:space="preserve"> 44</w:t>
      </w:r>
      <w:r w:rsidRPr="00A51BE8">
        <w:rPr>
          <w:i/>
        </w:rPr>
        <w:t xml:space="preserve"> </w:t>
      </w:r>
      <w:r w:rsidR="00A51BE8" w:rsidRPr="00A51BE8">
        <w:rPr>
          <w:i/>
        </w:rPr>
        <w:t>µ</w:t>
      </w:r>
      <w:r w:rsidRPr="00A51BE8">
        <w:rPr>
          <w:i/>
        </w:rPr>
        <w:t>g</w:t>
      </w:r>
      <w:r w:rsidRPr="00A10C76">
        <w:rPr>
          <w:i/>
        </w:rPr>
        <w:t xml:space="preserve"> given three times per week significantly reduced the risk of MS according to McDonald (2005) and of CDMS at 2 years, irrespective of the McDonald (2010) status at baseline.</w:t>
      </w:r>
    </w:p>
    <w:p w:rsidR="00FD77AE" w:rsidRDefault="00FB4828" w:rsidP="00FB4828">
      <w:pPr>
        <w:pStyle w:val="Heading5"/>
      </w:pPr>
      <w:r>
        <w:t>Conclusion</w:t>
      </w:r>
    </w:p>
    <w:p w:rsidR="00370A73" w:rsidRPr="00370A73" w:rsidRDefault="00370A73" w:rsidP="00370A73">
      <w:r w:rsidRPr="00370A73">
        <w:t xml:space="preserve">The </w:t>
      </w:r>
      <w:r w:rsidR="009653F1">
        <w:t>s</w:t>
      </w:r>
      <w:r w:rsidRPr="00370A73">
        <w:t>ponsor agrees with the Delegate’s recommended wording for the indication</w:t>
      </w:r>
      <w:r w:rsidR="00DF72F2">
        <w:t>, and asked</w:t>
      </w:r>
      <w:r w:rsidRPr="00370A73">
        <w:t xml:space="preserve"> that the</w:t>
      </w:r>
      <w:r>
        <w:t xml:space="preserve"> </w:t>
      </w:r>
      <w:r w:rsidRPr="00370A73">
        <w:t>ACPM</w:t>
      </w:r>
      <w:r>
        <w:t xml:space="preserve"> </w:t>
      </w:r>
      <w:r w:rsidR="009653F1">
        <w:t xml:space="preserve">recommend approval of </w:t>
      </w:r>
      <w:proofErr w:type="spellStart"/>
      <w:r w:rsidR="009653F1">
        <w:t>Rebif</w:t>
      </w:r>
      <w:proofErr w:type="spellEnd"/>
      <w:r w:rsidRPr="00370A73">
        <w:t xml:space="preserve"> for the treatment of:</w:t>
      </w:r>
    </w:p>
    <w:p w:rsidR="00370A73" w:rsidRPr="00370A73" w:rsidRDefault="00370A73" w:rsidP="00370A73">
      <w:pPr>
        <w:ind w:left="720"/>
        <w:rPr>
          <w:i/>
        </w:rPr>
      </w:pPr>
      <w:r w:rsidRPr="00370A73">
        <w:rPr>
          <w:i/>
        </w:rPr>
        <w:t xml:space="preserve">Patients with a single </w:t>
      </w:r>
      <w:proofErr w:type="spellStart"/>
      <w:r w:rsidRPr="00370A73">
        <w:rPr>
          <w:i/>
        </w:rPr>
        <w:t>demyelinating</w:t>
      </w:r>
      <w:proofErr w:type="spellEnd"/>
      <w:r w:rsidRPr="00370A73">
        <w:rPr>
          <w:i/>
        </w:rPr>
        <w:t xml:space="preserve"> event in the central nervous system with and active inflammatory process, if alternative diagnoses have been excluded, and if they are determined to be at high risk of developing clinically definite multiple sclerosis. High risk can be inferred from cerebral MRI with 2 or more lesions suggestive of demyelination.</w:t>
      </w:r>
    </w:p>
    <w:p w:rsidR="00370A73" w:rsidRPr="00370A73" w:rsidRDefault="00370A73" w:rsidP="00370A73">
      <w:r w:rsidRPr="00370A73">
        <w:t>All other recommendations, including the addition of the precaution</w:t>
      </w:r>
      <w:r>
        <w:t xml:space="preserve">ary statement concerning immune </w:t>
      </w:r>
      <w:r w:rsidR="00FA15F7">
        <w:t>reactions, have been i</w:t>
      </w:r>
      <w:r w:rsidRPr="00370A73">
        <w:t>mplemented in the PI.</w:t>
      </w:r>
    </w:p>
    <w:p w:rsidR="008E7846" w:rsidRDefault="00731533" w:rsidP="008E7846">
      <w:pPr>
        <w:pStyle w:val="Heading4"/>
      </w:pPr>
      <w:r>
        <w:t>Advisory c</w:t>
      </w:r>
      <w:r w:rsidR="008E7846">
        <w:t xml:space="preserve">ommittee </w:t>
      </w:r>
      <w:r>
        <w:t>c</w:t>
      </w:r>
      <w:r w:rsidR="008E7846">
        <w:t>onsiderations</w:t>
      </w:r>
    </w:p>
    <w:p w:rsidR="000B3F46" w:rsidRPr="000B3F46" w:rsidRDefault="000B3F46" w:rsidP="000B3F46">
      <w:pPr>
        <w:rPr>
          <w:bCs/>
        </w:rPr>
      </w:pPr>
      <w:r w:rsidRPr="000B3F46">
        <w:rPr>
          <w:bCs/>
        </w:rPr>
        <w:t>The ACPM, having considered the evaluations and the Delegate’s overview, as well as the sponsor’s response to these documents, advised the following:</w:t>
      </w:r>
    </w:p>
    <w:p w:rsidR="00C250BC" w:rsidRDefault="00CA30C0" w:rsidP="008E7846">
      <w:pPr>
        <w:rPr>
          <w:bCs/>
        </w:rPr>
      </w:pPr>
      <w:r>
        <w:rPr>
          <w:bCs/>
        </w:rPr>
        <w:t xml:space="preserve">The </w:t>
      </w:r>
      <w:r w:rsidR="008E7846" w:rsidRPr="001C5DFC">
        <w:rPr>
          <w:bCs/>
        </w:rPr>
        <w:t>AC</w:t>
      </w:r>
      <w:r>
        <w:rPr>
          <w:bCs/>
        </w:rPr>
        <w:t>PM</w:t>
      </w:r>
      <w:r w:rsidR="008E7846">
        <w:rPr>
          <w:bCs/>
        </w:rPr>
        <w:t xml:space="preserve">, </w:t>
      </w:r>
      <w:r w:rsidR="00C250BC">
        <w:rPr>
          <w:bCs/>
        </w:rPr>
        <w:t>taking into account the submitted evidence of efficacy, safety and quality, agreed with the Delegate and considered these products to have an overall positive benefit-risk profile for the Delegate’s proposed indication:</w:t>
      </w:r>
    </w:p>
    <w:p w:rsidR="00A71D9A" w:rsidRDefault="00A71D9A" w:rsidP="00A71D9A">
      <w:pPr>
        <w:ind w:left="720"/>
        <w:rPr>
          <w:i/>
        </w:rPr>
      </w:pPr>
      <w:r w:rsidRPr="009404B8">
        <w:rPr>
          <w:i/>
        </w:rPr>
        <w:t xml:space="preserve">Patients with a single </w:t>
      </w:r>
      <w:proofErr w:type="spellStart"/>
      <w:r w:rsidRPr="009404B8">
        <w:rPr>
          <w:i/>
        </w:rPr>
        <w:t>demyelinating</w:t>
      </w:r>
      <w:proofErr w:type="spellEnd"/>
      <w:r w:rsidRPr="009404B8">
        <w:rPr>
          <w:i/>
        </w:rPr>
        <w:t xml:space="preserve"> event in the central nervous system with an active inflammatory process, if alternative diagnoses have been excluded, and if they are determined to be at high risk of developing clinical</w:t>
      </w:r>
      <w:r>
        <w:rPr>
          <w:i/>
        </w:rPr>
        <w:t>ly definite multiple sclerosis.</w:t>
      </w:r>
    </w:p>
    <w:p w:rsidR="00A71D9A" w:rsidRPr="009404B8" w:rsidRDefault="00A71D9A" w:rsidP="00A71D9A">
      <w:pPr>
        <w:ind w:left="720"/>
        <w:rPr>
          <w:i/>
        </w:rPr>
      </w:pPr>
      <w:r w:rsidRPr="009404B8">
        <w:rPr>
          <w:i/>
        </w:rPr>
        <w:t xml:space="preserve">High risk can be inferred from </w:t>
      </w:r>
      <w:r>
        <w:rPr>
          <w:i/>
        </w:rPr>
        <w:t xml:space="preserve">a </w:t>
      </w:r>
      <w:r w:rsidRPr="009404B8">
        <w:rPr>
          <w:i/>
        </w:rPr>
        <w:t>cerebral MRI with 2 or more lesions suggestive of demyelination.</w:t>
      </w:r>
    </w:p>
    <w:p w:rsidR="00C250BC" w:rsidRDefault="00A71D9A" w:rsidP="00FD480D">
      <w:pPr>
        <w:pStyle w:val="Heading5"/>
      </w:pPr>
      <w:r>
        <w:t>Proposed PI/CMI amendments</w:t>
      </w:r>
    </w:p>
    <w:p w:rsidR="00A71D9A" w:rsidRDefault="00FD480D" w:rsidP="008E7846">
      <w:pPr>
        <w:rPr>
          <w:bCs/>
        </w:rPr>
      </w:pPr>
      <w:r>
        <w:rPr>
          <w:bCs/>
        </w:rPr>
        <w:t>The ACPM agreed with the Delegate to the proposed amendme</w:t>
      </w:r>
      <w:r w:rsidR="00B02C87">
        <w:rPr>
          <w:bCs/>
        </w:rPr>
        <w:t>nts to the PI</w:t>
      </w:r>
      <w:r>
        <w:rPr>
          <w:bCs/>
        </w:rPr>
        <w:t xml:space="preserve"> and Consumer Medicine Information (CMI) and specifically advised on the inclusion of the following:</w:t>
      </w:r>
    </w:p>
    <w:p w:rsidR="00FD480D" w:rsidRDefault="00EF7591" w:rsidP="00EF7591">
      <w:pPr>
        <w:pStyle w:val="ListBullet"/>
      </w:pPr>
      <w:proofErr w:type="gramStart"/>
      <w:r>
        <w:t>a</w:t>
      </w:r>
      <w:proofErr w:type="gramEnd"/>
      <w:r>
        <w:t xml:space="preserve"> statement in the </w:t>
      </w:r>
      <w:r w:rsidRPr="00EF7591">
        <w:rPr>
          <w:i/>
        </w:rPr>
        <w:t>Clinical Trials</w:t>
      </w:r>
      <w:r>
        <w:t xml:space="preserve"> section </w:t>
      </w:r>
      <w:r w:rsidR="00A55F7A">
        <w:t>to more accurately reflect the cumulative 24 month reduction in risk of progression to a diagnosis of MS (McDonald or CDMS).</w:t>
      </w:r>
    </w:p>
    <w:p w:rsidR="00A55F7A" w:rsidRDefault="00A55F7A" w:rsidP="00EF7591">
      <w:pPr>
        <w:pStyle w:val="ListBullet"/>
      </w:pPr>
      <w:proofErr w:type="gramStart"/>
      <w:r>
        <w:t>a</w:t>
      </w:r>
      <w:proofErr w:type="gramEnd"/>
      <w:r>
        <w:t xml:space="preserve"> statement in the </w:t>
      </w:r>
      <w:r w:rsidRPr="00931C49">
        <w:rPr>
          <w:i/>
        </w:rPr>
        <w:t>Clinical Trials</w:t>
      </w:r>
      <w:r>
        <w:t xml:space="preserve"> section of the PI</w:t>
      </w:r>
      <w:r w:rsidR="00931C49">
        <w:t xml:space="preserve"> to reflect the details of the REFLEX subgroup analysis. There are close to 1,000,000 patient </w:t>
      </w:r>
      <w:proofErr w:type="gramStart"/>
      <w:r w:rsidR="00931C49">
        <w:t>years</w:t>
      </w:r>
      <w:proofErr w:type="gramEnd"/>
      <w:r w:rsidR="00931C49">
        <w:t xml:space="preserve"> experience, more than 155,000 years with the present serum free or “new” formulation (RNF).</w:t>
      </w:r>
    </w:p>
    <w:p w:rsidR="00931C49" w:rsidRDefault="00413981" w:rsidP="00EF7591">
      <w:pPr>
        <w:pStyle w:val="ListBullet"/>
      </w:pPr>
      <w:proofErr w:type="gramStart"/>
      <w:r>
        <w:lastRenderedPageBreak/>
        <w:t>a</w:t>
      </w:r>
      <w:proofErr w:type="gramEnd"/>
      <w:r>
        <w:t xml:space="preserve"> statement in the </w:t>
      </w:r>
      <w:r w:rsidRPr="00931C49">
        <w:rPr>
          <w:i/>
        </w:rPr>
        <w:t>Clinical Trials</w:t>
      </w:r>
      <w:r>
        <w:t xml:space="preserve"> section of the PI to better present the information regarding the recruitment into REFLEX and to clearly state that patients with mild initial events were not included.</w:t>
      </w:r>
      <w:r w:rsidR="00CE4363">
        <w:rPr>
          <w:rStyle w:val="FootnoteReference"/>
        </w:rPr>
        <w:footnoteReference w:id="9"/>
      </w:r>
    </w:p>
    <w:p w:rsidR="00FD480D" w:rsidRDefault="00FD480D" w:rsidP="00FD480D">
      <w:pPr>
        <w:pStyle w:val="Heading5"/>
      </w:pPr>
      <w:r>
        <w:t>Proposed conditions of registration</w:t>
      </w:r>
    </w:p>
    <w:p w:rsidR="00A37C16" w:rsidRDefault="00BA1489" w:rsidP="008E7846">
      <w:r>
        <w:t>The ACPM agreed with the Delegate on the proposed conditions of registration and specifically advised on the inclusion of the following:</w:t>
      </w:r>
    </w:p>
    <w:p w:rsidR="002F3D1E" w:rsidRDefault="00697BEE" w:rsidP="00697BEE">
      <w:pPr>
        <w:pStyle w:val="ListBullet"/>
      </w:pPr>
      <w:r>
        <w:t>The sponsor should provide details of the retrospective paediatric cohort study which is planned. The results should also be provided to the TGA as soon as they are available.</w:t>
      </w:r>
    </w:p>
    <w:p w:rsidR="00697BEE" w:rsidRDefault="00697BEE" w:rsidP="00697BEE">
      <w:pPr>
        <w:pStyle w:val="ListBullet"/>
      </w:pPr>
      <w:r>
        <w:t>Prospective paediatric data collection should be encouraged.</w:t>
      </w:r>
    </w:p>
    <w:p w:rsidR="00697BEE" w:rsidRDefault="00697BEE" w:rsidP="00697BEE">
      <w:pPr>
        <w:pStyle w:val="ListBullet"/>
      </w:pPr>
      <w:r>
        <w:t>The sponsor should provide to the TGA information regarding European pregnancy data collection.</w:t>
      </w:r>
    </w:p>
    <w:p w:rsidR="00BA1489" w:rsidRPr="00A322B3" w:rsidRDefault="00017F0F" w:rsidP="008E7846">
      <w:r>
        <w:t xml:space="preserve">The ACPM advised </w:t>
      </w:r>
      <w:r w:rsidR="00DF5E8C">
        <w:t>that the implementation by the sponsor of the recommendations outlined above to the satisfaction of the TGA, in addition to the evidence of efficacy and safety provided would support the safe and effective use of these products.</w:t>
      </w:r>
    </w:p>
    <w:p w:rsidR="008E7846" w:rsidRPr="002E238E" w:rsidRDefault="008E7846" w:rsidP="008E7846">
      <w:pPr>
        <w:pStyle w:val="Heading3"/>
      </w:pPr>
      <w:bookmarkStart w:id="114" w:name="_Toc247691532"/>
      <w:bookmarkStart w:id="115" w:name="_Toc314842516"/>
      <w:bookmarkStart w:id="116" w:name="_Toc373929702"/>
      <w:bookmarkEnd w:id="80"/>
      <w:bookmarkEnd w:id="111"/>
      <w:bookmarkEnd w:id="112"/>
      <w:r>
        <w:t>Outcome</w:t>
      </w:r>
      <w:bookmarkEnd w:id="114"/>
      <w:bookmarkEnd w:id="115"/>
      <w:bookmarkEnd w:id="116"/>
    </w:p>
    <w:p w:rsidR="00533A45" w:rsidRDefault="006F5A8D" w:rsidP="006F5A8D">
      <w:r>
        <w:t>Based on a review of quality, safety and efficacy, T</w:t>
      </w:r>
      <w:r w:rsidR="00533A45">
        <w:t>GA approved the registration of:</w:t>
      </w:r>
    </w:p>
    <w:p w:rsidR="00A37C16" w:rsidRDefault="00A37C16" w:rsidP="00AE6E42">
      <w:pPr>
        <w:pStyle w:val="ListBullet"/>
        <w:ind w:left="709"/>
      </w:pPr>
      <w:proofErr w:type="spellStart"/>
      <w:r>
        <w:t>R</w:t>
      </w:r>
      <w:r w:rsidR="00D73FA5">
        <w:t>ebif</w:t>
      </w:r>
      <w:proofErr w:type="spellEnd"/>
      <w:r w:rsidR="00D73FA5">
        <w:t xml:space="preserve"> </w:t>
      </w:r>
      <w:r>
        <w:t>22 interferon beta-</w:t>
      </w:r>
      <w:r w:rsidR="003F65A8">
        <w:t>1</w:t>
      </w:r>
      <w:r>
        <w:t>a (</w:t>
      </w:r>
      <w:proofErr w:type="spellStart"/>
      <w:r>
        <w:t>rch</w:t>
      </w:r>
      <w:proofErr w:type="spellEnd"/>
      <w:r>
        <w:t xml:space="preserve">) 22 µg/0.5 </w:t>
      </w:r>
      <w:proofErr w:type="spellStart"/>
      <w:r>
        <w:t>mL</w:t>
      </w:r>
      <w:proofErr w:type="spellEnd"/>
      <w:r>
        <w:t xml:space="preserve"> injection pre-filled syringe</w:t>
      </w:r>
    </w:p>
    <w:p w:rsidR="00A37C16" w:rsidRDefault="00D73FA5" w:rsidP="00AE6E42">
      <w:pPr>
        <w:pStyle w:val="ListBullet"/>
        <w:ind w:left="709"/>
      </w:pPr>
      <w:proofErr w:type="spellStart"/>
      <w:r>
        <w:t>Rebif</w:t>
      </w:r>
      <w:proofErr w:type="spellEnd"/>
      <w:r>
        <w:t xml:space="preserve"> </w:t>
      </w:r>
      <w:r w:rsidR="00A37C16">
        <w:t>44 interferon beta-</w:t>
      </w:r>
      <w:r w:rsidR="003F65A8">
        <w:t>1</w:t>
      </w:r>
      <w:r w:rsidR="00A37C16">
        <w:t>a (</w:t>
      </w:r>
      <w:proofErr w:type="spellStart"/>
      <w:r w:rsidR="00A37C16">
        <w:t>rch</w:t>
      </w:r>
      <w:proofErr w:type="spellEnd"/>
      <w:r w:rsidR="00A37C16">
        <w:t xml:space="preserve">) 44 µg/0.5 </w:t>
      </w:r>
      <w:proofErr w:type="spellStart"/>
      <w:r w:rsidR="00A37C16">
        <w:t>mL</w:t>
      </w:r>
      <w:proofErr w:type="spellEnd"/>
      <w:r w:rsidR="00A37C16">
        <w:t xml:space="preserve"> injection pre-filled syringe</w:t>
      </w:r>
    </w:p>
    <w:p w:rsidR="00A37C16" w:rsidRDefault="00D73FA5" w:rsidP="00AE6E42">
      <w:pPr>
        <w:pStyle w:val="ListBullet"/>
        <w:ind w:left="709"/>
      </w:pPr>
      <w:proofErr w:type="spellStart"/>
      <w:r>
        <w:t>Rebif</w:t>
      </w:r>
      <w:proofErr w:type="spellEnd"/>
      <w:r>
        <w:t xml:space="preserve"> </w:t>
      </w:r>
      <w:r w:rsidR="00A37C16">
        <w:t>22 interferon beta-</w:t>
      </w:r>
      <w:r w:rsidR="003F65A8">
        <w:t>1</w:t>
      </w:r>
      <w:r w:rsidR="00A37C16">
        <w:t>a (</w:t>
      </w:r>
      <w:proofErr w:type="spellStart"/>
      <w:r w:rsidR="00A37C16">
        <w:t>rch</w:t>
      </w:r>
      <w:proofErr w:type="spellEnd"/>
      <w:r w:rsidR="00A37C16">
        <w:t xml:space="preserve">) 66 µg/1.5 </w:t>
      </w:r>
      <w:proofErr w:type="spellStart"/>
      <w:r w:rsidR="00A37C16">
        <w:t>mL</w:t>
      </w:r>
      <w:proofErr w:type="spellEnd"/>
      <w:r w:rsidR="00A37C16">
        <w:t xml:space="preserve"> solution for injection </w:t>
      </w:r>
      <w:proofErr w:type="spellStart"/>
      <w:r w:rsidR="00A37C16">
        <w:t>multidose</w:t>
      </w:r>
      <w:proofErr w:type="spellEnd"/>
      <w:r w:rsidR="00A37C16">
        <w:t xml:space="preserve"> cartridge</w:t>
      </w:r>
    </w:p>
    <w:p w:rsidR="00A37C16" w:rsidRDefault="00D73FA5" w:rsidP="00AE6E42">
      <w:pPr>
        <w:pStyle w:val="ListBullet"/>
        <w:ind w:left="709"/>
      </w:pPr>
      <w:proofErr w:type="spellStart"/>
      <w:r>
        <w:t>Rebif</w:t>
      </w:r>
      <w:proofErr w:type="spellEnd"/>
      <w:r w:rsidR="00A37C16">
        <w:t xml:space="preserve"> 44 interferon beta-</w:t>
      </w:r>
      <w:r w:rsidR="003F65A8">
        <w:t>1</w:t>
      </w:r>
      <w:r w:rsidR="00A37C16">
        <w:t>a (</w:t>
      </w:r>
      <w:proofErr w:type="spellStart"/>
      <w:r w:rsidR="00A37C16">
        <w:t>rch</w:t>
      </w:r>
      <w:proofErr w:type="spellEnd"/>
      <w:r w:rsidR="00A37C16">
        <w:t xml:space="preserve">) 132 µg/1.5 </w:t>
      </w:r>
      <w:proofErr w:type="spellStart"/>
      <w:r w:rsidR="00A37C16">
        <w:t>mL</w:t>
      </w:r>
      <w:proofErr w:type="spellEnd"/>
      <w:r w:rsidR="00A37C16">
        <w:t xml:space="preserve"> solution for injection </w:t>
      </w:r>
      <w:proofErr w:type="spellStart"/>
      <w:r w:rsidR="00A37C16">
        <w:t>multidose</w:t>
      </w:r>
      <w:proofErr w:type="spellEnd"/>
      <w:r w:rsidR="00A37C16">
        <w:t xml:space="preserve"> cartridge</w:t>
      </w:r>
    </w:p>
    <w:p w:rsidR="00A37C16" w:rsidRDefault="00D73FA5" w:rsidP="00AE6E42">
      <w:pPr>
        <w:pStyle w:val="ListBullet"/>
        <w:ind w:left="709"/>
      </w:pPr>
      <w:proofErr w:type="spellStart"/>
      <w:r>
        <w:t>Rebif</w:t>
      </w:r>
      <w:proofErr w:type="spellEnd"/>
      <w:r w:rsidR="00A37C16">
        <w:t xml:space="preserve"> 22 interferon beta-</w:t>
      </w:r>
      <w:r w:rsidR="003F65A8">
        <w:t>1</w:t>
      </w:r>
      <w:r w:rsidR="00A37C16">
        <w:t>a (</w:t>
      </w:r>
      <w:proofErr w:type="spellStart"/>
      <w:r w:rsidR="00A37C16">
        <w:t>rch</w:t>
      </w:r>
      <w:proofErr w:type="spellEnd"/>
      <w:r w:rsidR="00A37C16">
        <w:t xml:space="preserve">) 22 µg/0.5 </w:t>
      </w:r>
      <w:proofErr w:type="spellStart"/>
      <w:r w:rsidR="00A37C16">
        <w:t>mL</w:t>
      </w:r>
      <w:proofErr w:type="spellEnd"/>
      <w:r w:rsidR="00A37C16">
        <w:t xml:space="preserve"> injection pre-filled syringe </w:t>
      </w:r>
      <w:proofErr w:type="spellStart"/>
      <w:r w:rsidR="00DE2F38">
        <w:t>autoinjector</w:t>
      </w:r>
      <w:proofErr w:type="spellEnd"/>
    </w:p>
    <w:p w:rsidR="00533A45" w:rsidRDefault="00D73FA5" w:rsidP="00AE6E42">
      <w:pPr>
        <w:pStyle w:val="ListBullet"/>
        <w:ind w:left="709"/>
      </w:pPr>
      <w:proofErr w:type="spellStart"/>
      <w:r>
        <w:t>Rebif</w:t>
      </w:r>
      <w:proofErr w:type="spellEnd"/>
      <w:r w:rsidR="00A37C16">
        <w:t xml:space="preserve"> 44 interferon beta-</w:t>
      </w:r>
      <w:r w:rsidR="003F65A8">
        <w:t>1</w:t>
      </w:r>
      <w:r w:rsidR="00A37C16">
        <w:t>a (</w:t>
      </w:r>
      <w:proofErr w:type="spellStart"/>
      <w:r w:rsidR="00A37C16">
        <w:t>rch</w:t>
      </w:r>
      <w:proofErr w:type="spellEnd"/>
      <w:r w:rsidR="00A37C16">
        <w:t xml:space="preserve">) 44 µg/0.5 </w:t>
      </w:r>
      <w:proofErr w:type="spellStart"/>
      <w:r w:rsidR="00A37C16">
        <w:t>mL</w:t>
      </w:r>
      <w:proofErr w:type="spellEnd"/>
      <w:r w:rsidR="00A37C16">
        <w:t xml:space="preserve"> injection pre-filled syringe auto injector</w:t>
      </w:r>
    </w:p>
    <w:p w:rsidR="006F5A8D" w:rsidRDefault="006F5A8D" w:rsidP="006F5A8D">
      <w:proofErr w:type="gramStart"/>
      <w:r>
        <w:t>for</w:t>
      </w:r>
      <w:proofErr w:type="gramEnd"/>
      <w:r>
        <w:t xml:space="preserve"> the </w:t>
      </w:r>
      <w:r w:rsidRPr="00A33DCE">
        <w:rPr>
          <w:b/>
        </w:rPr>
        <w:t>new indication</w:t>
      </w:r>
      <w:r>
        <w:t>:</w:t>
      </w:r>
    </w:p>
    <w:p w:rsidR="006F5A8D" w:rsidRPr="009404B8" w:rsidRDefault="00DE2F38" w:rsidP="009404B8">
      <w:pPr>
        <w:ind w:left="720"/>
        <w:rPr>
          <w:i/>
        </w:rPr>
      </w:pPr>
      <w:r w:rsidRPr="009404B8">
        <w:rPr>
          <w:i/>
        </w:rPr>
        <w:t xml:space="preserve">Patients with a single </w:t>
      </w:r>
      <w:proofErr w:type="spellStart"/>
      <w:r w:rsidRPr="009404B8">
        <w:rPr>
          <w:i/>
        </w:rPr>
        <w:t>demyelinating</w:t>
      </w:r>
      <w:proofErr w:type="spellEnd"/>
      <w:r w:rsidRPr="009404B8">
        <w:rPr>
          <w:i/>
        </w:rPr>
        <w:t xml:space="preserve"> event in the central nervous system with an active inflammatory process, if alternative diagnoses have been excluded, and if they are determined to be at high risk of developing clinically definite multiple sclerosis. High risk can be inferred from cerebral MRI with 2 or more lesions suggestive of demyelination.</w:t>
      </w:r>
    </w:p>
    <w:p w:rsidR="00881E84" w:rsidRDefault="00881E84" w:rsidP="00881E84">
      <w:r>
        <w:t xml:space="preserve">The </w:t>
      </w:r>
      <w:r w:rsidRPr="00A33DCE">
        <w:rPr>
          <w:b/>
        </w:rPr>
        <w:t>full indications</w:t>
      </w:r>
      <w:r>
        <w:t xml:space="preserve"> are now:</w:t>
      </w:r>
    </w:p>
    <w:p w:rsidR="00881E84" w:rsidRPr="00881E84" w:rsidRDefault="00881E84" w:rsidP="00881E84">
      <w:pPr>
        <w:ind w:left="720"/>
        <w:rPr>
          <w:i/>
        </w:rPr>
      </w:pPr>
      <w:proofErr w:type="spellStart"/>
      <w:r w:rsidRPr="00881E84">
        <w:rPr>
          <w:i/>
        </w:rPr>
        <w:t>Rebif</w:t>
      </w:r>
      <w:proofErr w:type="spellEnd"/>
      <w:r w:rsidRPr="00881E84">
        <w:rPr>
          <w:i/>
        </w:rPr>
        <w:t xml:space="preserve"> is indicated for the treatment of:</w:t>
      </w:r>
    </w:p>
    <w:p w:rsidR="00881E84" w:rsidRPr="00881E84" w:rsidRDefault="00881E84" w:rsidP="00881E84">
      <w:pPr>
        <w:pStyle w:val="ListBullet3"/>
        <w:rPr>
          <w:i/>
        </w:rPr>
      </w:pPr>
      <w:r w:rsidRPr="00881E84">
        <w:rPr>
          <w:i/>
        </w:rPr>
        <w:t xml:space="preserve">Patients with a single </w:t>
      </w:r>
      <w:proofErr w:type="spellStart"/>
      <w:r w:rsidRPr="00881E84">
        <w:rPr>
          <w:i/>
        </w:rPr>
        <w:t>demyelinating</w:t>
      </w:r>
      <w:proofErr w:type="spellEnd"/>
      <w:r w:rsidRPr="00881E84">
        <w:rPr>
          <w:i/>
        </w:rPr>
        <w:t xml:space="preserve"> event in the central nervous system with an active inflammatory process, if alternative diagnoses have been excluded, and if they are determined to be at high risk of developing clinically definite multiple sclerosis. High risk c</w:t>
      </w:r>
      <w:r w:rsidR="00643401">
        <w:rPr>
          <w:i/>
        </w:rPr>
        <w:t>an be inferred from cerebral MRI</w:t>
      </w:r>
      <w:r w:rsidRPr="00881E84">
        <w:rPr>
          <w:i/>
        </w:rPr>
        <w:t xml:space="preserve"> with 2 or more lesions </w:t>
      </w:r>
      <w:r w:rsidR="00A54A8C">
        <w:rPr>
          <w:i/>
        </w:rPr>
        <w:t>suggestive of demyelination.</w:t>
      </w:r>
    </w:p>
    <w:p w:rsidR="00881E84" w:rsidRPr="00881E84" w:rsidRDefault="00881E84" w:rsidP="00881E84">
      <w:pPr>
        <w:pStyle w:val="ListBullet3"/>
        <w:rPr>
          <w:i/>
        </w:rPr>
      </w:pPr>
      <w:r w:rsidRPr="00881E84">
        <w:rPr>
          <w:i/>
        </w:rPr>
        <w:lastRenderedPageBreak/>
        <w:t>Ambulatory patients with multiple sclerosis who have experienced two or more relapses within the last 2 years.</w:t>
      </w:r>
    </w:p>
    <w:p w:rsidR="00DE2F38" w:rsidRPr="003022A6" w:rsidRDefault="00881E84" w:rsidP="00881E84">
      <w:pPr>
        <w:ind w:left="720"/>
      </w:pPr>
      <w:proofErr w:type="spellStart"/>
      <w:r w:rsidRPr="00881E84">
        <w:rPr>
          <w:i/>
        </w:rPr>
        <w:t>Rebif</w:t>
      </w:r>
      <w:proofErr w:type="spellEnd"/>
      <w:r w:rsidRPr="00881E84">
        <w:rPr>
          <w:i/>
        </w:rPr>
        <w:t xml:space="preserve"> therapy should not be initiated in secondary progressive </w:t>
      </w:r>
      <w:r w:rsidR="00A635E9" w:rsidRPr="00881E84">
        <w:rPr>
          <w:i/>
        </w:rPr>
        <w:t>multiple sclerosis</w:t>
      </w:r>
      <w:r w:rsidRPr="00881E84">
        <w:rPr>
          <w:i/>
        </w:rPr>
        <w:t xml:space="preserve"> patients who no longer experience relapses.</w:t>
      </w:r>
    </w:p>
    <w:p w:rsidR="00BB56DD" w:rsidRPr="0090249C" w:rsidRDefault="00BB56DD" w:rsidP="00BB56DD">
      <w:pPr>
        <w:pStyle w:val="Heading4"/>
      </w:pPr>
      <w:bookmarkStart w:id="117" w:name="_Toc247691533"/>
      <w:bookmarkStart w:id="118" w:name="_Toc314842517"/>
      <w:r w:rsidRPr="0090249C">
        <w:t>Specific conditions of registration appl</w:t>
      </w:r>
      <w:r>
        <w:t>ying to these therapeutic goods</w:t>
      </w:r>
    </w:p>
    <w:p w:rsidR="00BB56DD" w:rsidRDefault="00BB56DD" w:rsidP="00BB56DD">
      <w:r>
        <w:t xml:space="preserve">The implementation in Australia of the </w:t>
      </w:r>
      <w:proofErr w:type="spellStart"/>
      <w:r>
        <w:t>Rebif</w:t>
      </w:r>
      <w:proofErr w:type="spellEnd"/>
      <w:r>
        <w:t xml:space="preserve"> RMP (version 5.0, dated 25 June 2012), included with submission PM-2012-00320-3-1, and any subsequent revisions, as agreed with the TGA and its OPR.</w:t>
      </w:r>
    </w:p>
    <w:p w:rsidR="008E7846" w:rsidRDefault="004022FC" w:rsidP="008E7846">
      <w:pPr>
        <w:pStyle w:val="Heading2"/>
      </w:pPr>
      <w:bookmarkStart w:id="119" w:name="_Toc373929703"/>
      <w:proofErr w:type="gramStart"/>
      <w:r>
        <w:t>Attachment 1.</w:t>
      </w:r>
      <w:proofErr w:type="gramEnd"/>
      <w:r>
        <w:t xml:space="preserve"> </w:t>
      </w:r>
      <w:r w:rsidR="008E7846">
        <w:t xml:space="preserve">Product </w:t>
      </w:r>
      <w:r w:rsidR="00AA0ED0">
        <w:t>I</w:t>
      </w:r>
      <w:r w:rsidR="008E7846">
        <w:t>nformation</w:t>
      </w:r>
      <w:bookmarkEnd w:id="117"/>
      <w:bookmarkEnd w:id="118"/>
      <w:bookmarkEnd w:id="119"/>
    </w:p>
    <w:p w:rsidR="00C80137" w:rsidRDefault="00C80137" w:rsidP="00C80137">
      <w:pPr>
        <w:rPr>
          <w:color w:val="000000"/>
          <w:lang w:eastAsia="en-AU"/>
        </w:rPr>
      </w:pPr>
      <w:r w:rsidRPr="0037352E">
        <w:t>The Product Information approved at the time this AusPAR was published</w:t>
      </w:r>
      <w:r>
        <w:t xml:space="preserve"> is at Attachment 1</w:t>
      </w:r>
      <w:r w:rsidRPr="0037352E">
        <w:t xml:space="preserve">. For the </w:t>
      </w:r>
      <w:r>
        <w:t>most recent</w:t>
      </w:r>
      <w:r w:rsidRPr="0037352E">
        <w:t xml:space="preserve"> Product Information please refer to the TGA website at</w:t>
      </w:r>
      <w:r w:rsidR="008F6943">
        <w:t xml:space="preserve"> &lt;</w:t>
      </w:r>
      <w:hyperlink r:id="rId31" w:history="1">
        <w:r w:rsidR="00722B57" w:rsidRPr="00625A6E">
          <w:rPr>
            <w:rStyle w:val="Hyperlink"/>
          </w:rPr>
          <w:t>http://www.tga.gov.au/hp/information-medicines-pi.htm</w:t>
        </w:r>
      </w:hyperlink>
      <w:hyperlink w:history="1"/>
      <w:r w:rsidR="008F6943">
        <w:rPr>
          <w:color w:val="000000"/>
          <w:lang w:eastAsia="en-AU"/>
        </w:rPr>
        <w:t>&gt;.</w:t>
      </w:r>
    </w:p>
    <w:p w:rsidR="00C80137" w:rsidRPr="001D043B" w:rsidRDefault="004022FC" w:rsidP="00103717">
      <w:pPr>
        <w:pStyle w:val="Heading2"/>
        <w:sectPr w:rsidR="00C80137" w:rsidRPr="001D043B" w:rsidSect="00B452CE">
          <w:footerReference w:type="default" r:id="rId32"/>
          <w:pgSz w:w="11906" w:h="16838" w:code="9"/>
          <w:pgMar w:top="834" w:right="1701" w:bottom="1191" w:left="1701" w:header="907" w:footer="216" w:gutter="0"/>
          <w:cols w:space="708"/>
          <w:docGrid w:linePitch="360"/>
        </w:sectPr>
      </w:pPr>
      <w:bookmarkStart w:id="120" w:name="_Toc373929704"/>
      <w:proofErr w:type="gramStart"/>
      <w:r>
        <w:rPr>
          <w:lang w:eastAsia="en-AU"/>
        </w:rPr>
        <w:t>Attachment 2.</w:t>
      </w:r>
      <w:proofErr w:type="gramEnd"/>
      <w:r>
        <w:rPr>
          <w:lang w:eastAsia="en-AU"/>
        </w:rPr>
        <w:t xml:space="preserve"> </w:t>
      </w:r>
      <w:r w:rsidR="00C80137">
        <w:rPr>
          <w:lang w:eastAsia="en-AU"/>
        </w:rPr>
        <w:t>Extract from the Clinical Evaluation Report</w:t>
      </w:r>
      <w:bookmarkEnd w:id="120"/>
      <w:r w:rsidR="00AD0083">
        <w:rPr>
          <w:lang w:eastAsia="ja-JP"/>
        </w:rPr>
        <w:t xml:space="preserve"> </w:t>
      </w:r>
    </w:p>
    <w:p w:rsidR="00774E1D" w:rsidRPr="008A5E0B" w:rsidRDefault="00774E1D" w:rsidP="005A6F7F"/>
    <w:sectPr w:rsidR="00774E1D" w:rsidRPr="008A5E0B" w:rsidSect="004C239D">
      <w:headerReference w:type="even" r:id="rId33"/>
      <w:headerReference w:type="default" r:id="rId34"/>
      <w:footerReference w:type="default" r:id="rId35"/>
      <w:headerReference w:type="first" r:id="rId36"/>
      <w:footerReference w:type="first" r:id="rId37"/>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1224" w:rsidRDefault="00B91224" w:rsidP="00C40A36">
      <w:pPr>
        <w:spacing w:after="0"/>
      </w:pPr>
      <w:r>
        <w:separator/>
      </w:r>
    </w:p>
  </w:endnote>
  <w:endnote w:type="continuationSeparator" w:id="0">
    <w:p w:rsidR="00B91224" w:rsidRDefault="00B91224"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DokChampa">
    <w:panose1 w:val="020B0604020202020204"/>
    <w:charset w:val="00"/>
    <w:family w:val="swiss"/>
    <w:pitch w:val="variable"/>
    <w:sig w:usb0="03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772AC5" w:rsidRPr="00487162" w:rsidTr="0053625B">
      <w:trPr>
        <w:trHeight w:val="269"/>
      </w:trPr>
      <w:tc>
        <w:tcPr>
          <w:tcW w:w="7938" w:type="dxa"/>
          <w:tcMar>
            <w:top w:w="142" w:type="dxa"/>
            <w:bottom w:w="0" w:type="dxa"/>
          </w:tcMar>
        </w:tcPr>
        <w:p w:rsidR="00772AC5" w:rsidRPr="00487162" w:rsidRDefault="00772AC5" w:rsidP="003D105B">
          <w:pPr>
            <w:pStyle w:val="Footer"/>
          </w:pPr>
          <w:proofErr w:type="spellStart"/>
          <w:r w:rsidRPr="00487162">
            <w:t>AusPAR</w:t>
          </w:r>
          <w:proofErr w:type="spellEnd"/>
          <w:r w:rsidRPr="00487162">
            <w:t xml:space="preserve"> </w:t>
          </w:r>
          <w:proofErr w:type="spellStart"/>
          <w:r>
            <w:t>Rebif</w:t>
          </w:r>
          <w:proofErr w:type="spellEnd"/>
          <w:r>
            <w:t>, Interferon beta-1a,</w:t>
          </w:r>
          <w:r w:rsidRPr="00487162">
            <w:t xml:space="preserve"> </w:t>
          </w:r>
          <w:r w:rsidRPr="00CB5398">
            <w:t xml:space="preserve">Merck </w:t>
          </w:r>
          <w:proofErr w:type="spellStart"/>
          <w:r w:rsidRPr="00CB5398">
            <w:t>Serono</w:t>
          </w:r>
          <w:proofErr w:type="spellEnd"/>
          <w:r w:rsidRPr="00CB5398">
            <w:t xml:space="preserve"> Australia Pty Ltd</w:t>
          </w:r>
          <w:r>
            <w:t xml:space="preserve"> </w:t>
          </w:r>
          <w:r w:rsidRPr="00CB5398">
            <w:t>PM-2012-00320-3-1</w:t>
          </w:r>
          <w:r>
            <w:br/>
          </w:r>
          <w:r w:rsidRPr="00487162">
            <w:t>D</w:t>
          </w:r>
          <w:r>
            <w:t>ate of Finalisation 10 October 2013</w:t>
          </w:r>
        </w:p>
      </w:tc>
      <w:tc>
        <w:tcPr>
          <w:tcW w:w="923" w:type="dxa"/>
          <w:tcMar>
            <w:top w:w="142" w:type="dxa"/>
            <w:bottom w:w="0" w:type="dxa"/>
          </w:tcMar>
        </w:tcPr>
        <w:p w:rsidR="00772AC5" w:rsidRPr="00487162" w:rsidRDefault="00772AC5" w:rsidP="00D855D4">
          <w:pPr>
            <w:pStyle w:val="Footer"/>
            <w:jc w:val="right"/>
          </w:pPr>
          <w:r w:rsidRPr="00487162">
            <w:t xml:space="preserve">Page </w:t>
          </w:r>
          <w:r>
            <w:t>2</w:t>
          </w:r>
          <w:r w:rsidRPr="00487162">
            <w:t xml:space="preserve"> of </w:t>
          </w:r>
          <w:fldSimple w:instr=" NUMPAGES  \* Arabic ">
            <w:r w:rsidR="00731533">
              <w:rPr>
                <w:noProof/>
              </w:rPr>
              <w:t>38</w:t>
            </w:r>
          </w:fldSimple>
        </w:p>
      </w:tc>
    </w:tr>
  </w:tbl>
  <w:p w:rsidR="00772AC5" w:rsidRDefault="00772AC5" w:rsidP="003D1E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6804"/>
      <w:gridCol w:w="2057"/>
    </w:tblGrid>
    <w:tr w:rsidR="00772AC5" w:rsidRPr="00487162" w:rsidTr="00796E53">
      <w:trPr>
        <w:trHeight w:val="269"/>
      </w:trPr>
      <w:tc>
        <w:tcPr>
          <w:tcW w:w="6804" w:type="dxa"/>
          <w:tcMar>
            <w:top w:w="142" w:type="dxa"/>
            <w:bottom w:w="0" w:type="dxa"/>
          </w:tcMar>
        </w:tcPr>
        <w:p w:rsidR="00772AC5" w:rsidRPr="00487162" w:rsidRDefault="00772AC5" w:rsidP="00796E53">
          <w:pPr>
            <w:pStyle w:val="Footer"/>
          </w:pPr>
          <w:proofErr w:type="spellStart"/>
          <w:r w:rsidRPr="00487162">
            <w:t>AusPAR</w:t>
          </w:r>
          <w:proofErr w:type="spellEnd"/>
          <w:r w:rsidRPr="00487162">
            <w:t xml:space="preserve"> </w:t>
          </w:r>
          <w:proofErr w:type="spellStart"/>
          <w:r>
            <w:t>Rebif</w:t>
          </w:r>
          <w:proofErr w:type="spellEnd"/>
          <w:r w:rsidRPr="00796E53">
            <w:t>, I</w:t>
          </w:r>
          <w:r>
            <w:t>nterferon beta-</w:t>
          </w:r>
          <w:r w:rsidRPr="00796E53">
            <w:t xml:space="preserve">1a, Merck </w:t>
          </w:r>
          <w:proofErr w:type="spellStart"/>
          <w:r w:rsidRPr="00796E53">
            <w:t>Serono</w:t>
          </w:r>
          <w:proofErr w:type="spellEnd"/>
          <w:r w:rsidRPr="00796E53">
            <w:t xml:space="preserve"> Australia Pty Ltd PM-2012-00320-3-1</w:t>
          </w:r>
          <w:r w:rsidRPr="00796E53">
            <w:br/>
            <w:t xml:space="preserve">Date of Finalisation </w:t>
          </w:r>
          <w:r>
            <w:t xml:space="preserve">10 </w:t>
          </w:r>
          <w:r w:rsidRPr="00796E53">
            <w:t>October 2013</w:t>
          </w:r>
          <w:r>
            <w:t xml:space="preserve"> </w:t>
          </w:r>
        </w:p>
      </w:tc>
      <w:tc>
        <w:tcPr>
          <w:tcW w:w="2057" w:type="dxa"/>
          <w:tcMar>
            <w:top w:w="142" w:type="dxa"/>
            <w:bottom w:w="0" w:type="dxa"/>
          </w:tcMar>
        </w:tcPr>
        <w:p w:rsidR="00772AC5" w:rsidRPr="00487162" w:rsidRDefault="00772AC5" w:rsidP="00E45619">
          <w:pPr>
            <w:pStyle w:val="Footer"/>
            <w:jc w:val="right"/>
          </w:pPr>
          <w:r w:rsidRPr="00487162">
            <w:t xml:space="preserve">Page </w:t>
          </w:r>
          <w:fldSimple w:instr="PAGE">
            <w:r w:rsidR="00731533">
              <w:rPr>
                <w:noProof/>
              </w:rPr>
              <w:t>22</w:t>
            </w:r>
          </w:fldSimple>
          <w:r w:rsidRPr="00487162">
            <w:t xml:space="preserve"> of </w:t>
          </w:r>
          <w:fldSimple w:instr=" NUMPAGES  \* Arabic ">
            <w:r w:rsidR="00731533">
              <w:rPr>
                <w:noProof/>
              </w:rPr>
              <w:t>38</w:t>
            </w:r>
          </w:fldSimple>
        </w:p>
      </w:tc>
    </w:tr>
  </w:tbl>
  <w:p w:rsidR="00772AC5" w:rsidRDefault="00772AC5"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772AC5" w:rsidRPr="00487162" w:rsidTr="00E45619">
      <w:trPr>
        <w:trHeight w:val="269"/>
      </w:trPr>
      <w:tc>
        <w:tcPr>
          <w:tcW w:w="4519" w:type="dxa"/>
          <w:tcBorders>
            <w:top w:val="single" w:sz="4" w:space="0" w:color="auto"/>
          </w:tcBorders>
          <w:tcMar>
            <w:top w:w="142" w:type="dxa"/>
            <w:bottom w:w="0" w:type="dxa"/>
          </w:tcMar>
        </w:tcPr>
        <w:p w:rsidR="00772AC5" w:rsidRPr="00487162" w:rsidRDefault="00772AC5" w:rsidP="00FE1DEE">
          <w:pPr>
            <w:pStyle w:val="Footer"/>
          </w:pPr>
          <w:r w:rsidRPr="00487162">
            <w:t>Document title, Part #, Section # - Section title</w:t>
          </w:r>
        </w:p>
        <w:p w:rsidR="00772AC5" w:rsidRPr="00487162" w:rsidRDefault="00772AC5" w:rsidP="00FE1DEE">
          <w:pPr>
            <w:pStyle w:val="Footer"/>
          </w:pPr>
          <w:r w:rsidRPr="00487162">
            <w:t>V1.0 October 2010</w:t>
          </w:r>
        </w:p>
      </w:tc>
      <w:tc>
        <w:tcPr>
          <w:tcW w:w="4342" w:type="dxa"/>
          <w:tcBorders>
            <w:top w:val="single" w:sz="4" w:space="0" w:color="auto"/>
          </w:tcBorders>
          <w:tcMar>
            <w:top w:w="142" w:type="dxa"/>
            <w:bottom w:w="0" w:type="dxa"/>
          </w:tcMar>
        </w:tcPr>
        <w:p w:rsidR="00772AC5" w:rsidRPr="00487162" w:rsidRDefault="00772AC5"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4</w:t>
            </w:r>
          </w:fldSimple>
        </w:p>
      </w:tc>
    </w:tr>
  </w:tbl>
  <w:p w:rsidR="00772AC5" w:rsidRDefault="00772AC5">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344" w:type="dxa"/>
      <w:tblBorders>
        <w:top w:val="single" w:sz="4" w:space="0" w:color="auto"/>
      </w:tblBorders>
      <w:tblLayout w:type="fixed"/>
      <w:tblCellMar>
        <w:top w:w="170" w:type="dxa"/>
        <w:left w:w="0" w:type="dxa"/>
        <w:bottom w:w="170" w:type="dxa"/>
        <w:right w:w="0" w:type="dxa"/>
      </w:tblCellMar>
      <w:tblLook w:val="04A0"/>
    </w:tblPr>
    <w:tblGrid>
      <w:gridCol w:w="11014"/>
      <w:gridCol w:w="3330"/>
    </w:tblGrid>
    <w:tr w:rsidR="00772AC5" w:rsidRPr="00487162" w:rsidTr="00772AC5">
      <w:trPr>
        <w:trHeight w:val="275"/>
      </w:trPr>
      <w:tc>
        <w:tcPr>
          <w:tcW w:w="11014" w:type="dxa"/>
          <w:tcMar>
            <w:top w:w="142" w:type="dxa"/>
            <w:bottom w:w="0" w:type="dxa"/>
          </w:tcMar>
        </w:tcPr>
        <w:p w:rsidR="00772AC5" w:rsidRPr="00487162" w:rsidRDefault="00772AC5" w:rsidP="00796E53">
          <w:pPr>
            <w:pStyle w:val="Footer"/>
          </w:pPr>
          <w:proofErr w:type="spellStart"/>
          <w:r w:rsidRPr="00487162">
            <w:t>AusPAR</w:t>
          </w:r>
          <w:proofErr w:type="spellEnd"/>
          <w:r w:rsidRPr="00487162">
            <w:t xml:space="preserve"> </w:t>
          </w:r>
          <w:proofErr w:type="spellStart"/>
          <w:r>
            <w:t>Rebif</w:t>
          </w:r>
          <w:proofErr w:type="spellEnd"/>
          <w:r w:rsidRPr="00796E53">
            <w:t>, I</w:t>
          </w:r>
          <w:r>
            <w:t>nterferon beta-</w:t>
          </w:r>
          <w:r w:rsidRPr="00796E53">
            <w:t xml:space="preserve">1a, Merck </w:t>
          </w:r>
          <w:proofErr w:type="spellStart"/>
          <w:r w:rsidRPr="00796E53">
            <w:t>Serono</w:t>
          </w:r>
          <w:proofErr w:type="spellEnd"/>
          <w:r w:rsidRPr="00796E53">
            <w:t xml:space="preserve"> Australia Pty Ltd PM-2012-00320-3-1</w:t>
          </w:r>
          <w:r w:rsidRPr="00796E53">
            <w:br/>
            <w:t xml:space="preserve">Date of Finalisation </w:t>
          </w:r>
          <w:r>
            <w:t xml:space="preserve">10 </w:t>
          </w:r>
          <w:r w:rsidRPr="00796E53">
            <w:t>October 2013</w:t>
          </w:r>
          <w:r>
            <w:t xml:space="preserve"> </w:t>
          </w:r>
        </w:p>
      </w:tc>
      <w:tc>
        <w:tcPr>
          <w:tcW w:w="3330" w:type="dxa"/>
          <w:tcMar>
            <w:top w:w="142" w:type="dxa"/>
            <w:bottom w:w="0" w:type="dxa"/>
          </w:tcMar>
        </w:tcPr>
        <w:p w:rsidR="00772AC5" w:rsidRPr="00487162" w:rsidRDefault="00772AC5" w:rsidP="00E45619">
          <w:pPr>
            <w:pStyle w:val="Footer"/>
            <w:jc w:val="right"/>
          </w:pPr>
          <w:r w:rsidRPr="00487162">
            <w:t xml:space="preserve">Page </w:t>
          </w:r>
          <w:fldSimple w:instr="PAGE">
            <w:r w:rsidR="00731533">
              <w:rPr>
                <w:noProof/>
              </w:rPr>
              <w:t>24</w:t>
            </w:r>
          </w:fldSimple>
          <w:r w:rsidRPr="00487162">
            <w:t xml:space="preserve"> of </w:t>
          </w:r>
          <w:fldSimple w:instr=" NUMPAGES  \* Arabic ">
            <w:r w:rsidR="00731533">
              <w:rPr>
                <w:noProof/>
              </w:rPr>
              <w:t>38</w:t>
            </w:r>
          </w:fldSimple>
        </w:p>
      </w:tc>
    </w:tr>
  </w:tbl>
  <w:p w:rsidR="00772AC5" w:rsidRDefault="00772AC5" w:rsidP="00E26130">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6804"/>
      <w:gridCol w:w="2057"/>
    </w:tblGrid>
    <w:tr w:rsidR="00772AC5" w:rsidRPr="00487162" w:rsidTr="00796E53">
      <w:trPr>
        <w:trHeight w:val="269"/>
      </w:trPr>
      <w:tc>
        <w:tcPr>
          <w:tcW w:w="6804" w:type="dxa"/>
          <w:tcMar>
            <w:top w:w="142" w:type="dxa"/>
            <w:bottom w:w="0" w:type="dxa"/>
          </w:tcMar>
        </w:tcPr>
        <w:p w:rsidR="00772AC5" w:rsidRPr="00487162" w:rsidRDefault="00772AC5" w:rsidP="00796E53">
          <w:pPr>
            <w:pStyle w:val="Footer"/>
          </w:pPr>
          <w:proofErr w:type="spellStart"/>
          <w:r w:rsidRPr="00487162">
            <w:t>AusPAR</w:t>
          </w:r>
          <w:proofErr w:type="spellEnd"/>
          <w:r w:rsidRPr="00487162">
            <w:t xml:space="preserve"> </w:t>
          </w:r>
          <w:proofErr w:type="spellStart"/>
          <w:r>
            <w:t>Rebif</w:t>
          </w:r>
          <w:proofErr w:type="spellEnd"/>
          <w:r w:rsidRPr="00796E53">
            <w:t>, I</w:t>
          </w:r>
          <w:r>
            <w:t>nterferon beta-</w:t>
          </w:r>
          <w:r w:rsidRPr="00796E53">
            <w:t xml:space="preserve">1a, Merck </w:t>
          </w:r>
          <w:proofErr w:type="spellStart"/>
          <w:r w:rsidRPr="00796E53">
            <w:t>Serono</w:t>
          </w:r>
          <w:proofErr w:type="spellEnd"/>
          <w:r w:rsidRPr="00796E53">
            <w:t xml:space="preserve"> Australia Pty Ltd PM-2012-00320-3-1</w:t>
          </w:r>
          <w:r w:rsidRPr="00796E53">
            <w:br/>
            <w:t xml:space="preserve">Date of Finalisation </w:t>
          </w:r>
          <w:r>
            <w:t xml:space="preserve">10 </w:t>
          </w:r>
          <w:r w:rsidRPr="00796E53">
            <w:t>October 2013</w:t>
          </w:r>
          <w:r>
            <w:t xml:space="preserve"> </w:t>
          </w:r>
        </w:p>
      </w:tc>
      <w:tc>
        <w:tcPr>
          <w:tcW w:w="2057" w:type="dxa"/>
          <w:tcMar>
            <w:top w:w="142" w:type="dxa"/>
            <w:bottom w:w="0" w:type="dxa"/>
          </w:tcMar>
        </w:tcPr>
        <w:p w:rsidR="00772AC5" w:rsidRPr="00487162" w:rsidRDefault="00772AC5" w:rsidP="00E45619">
          <w:pPr>
            <w:pStyle w:val="Footer"/>
            <w:jc w:val="right"/>
          </w:pPr>
          <w:r w:rsidRPr="00487162">
            <w:t xml:space="preserve">Page </w:t>
          </w:r>
          <w:fldSimple w:instr="PAGE">
            <w:r w:rsidR="00AE6E42">
              <w:rPr>
                <w:noProof/>
              </w:rPr>
              <w:t>36</w:t>
            </w:r>
          </w:fldSimple>
          <w:r w:rsidRPr="00487162">
            <w:t xml:space="preserve"> of </w:t>
          </w:r>
          <w:fldSimple w:instr=" NUMPAGES  \* Arabic ">
            <w:r w:rsidR="00AE6E42">
              <w:rPr>
                <w:noProof/>
              </w:rPr>
              <w:t>38</w:t>
            </w:r>
          </w:fldSimple>
        </w:p>
      </w:tc>
    </w:tr>
  </w:tbl>
  <w:p w:rsidR="00772AC5" w:rsidRDefault="00772AC5" w:rsidP="00E26130">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75" w:type="dxa"/>
      <w:tblInd w:w="-284" w:type="dxa"/>
      <w:tblLayout w:type="fixed"/>
      <w:tblCellMar>
        <w:left w:w="0" w:type="dxa"/>
        <w:right w:w="0" w:type="dxa"/>
      </w:tblCellMar>
      <w:tblLook w:val="04A0"/>
    </w:tblPr>
    <w:tblGrid>
      <w:gridCol w:w="9175"/>
    </w:tblGrid>
    <w:tr w:rsidR="00772AC5" w:rsidRPr="00487162" w:rsidTr="00E45619">
      <w:trPr>
        <w:trHeight w:hRule="exact" w:val="704"/>
      </w:trPr>
      <w:tc>
        <w:tcPr>
          <w:tcW w:w="9175" w:type="dxa"/>
        </w:tcPr>
        <w:p w:rsidR="00772AC5" w:rsidRPr="00487162" w:rsidRDefault="00772AC5" w:rsidP="008E7846">
          <w:pPr>
            <w:pStyle w:val="TGASignoff"/>
          </w:pPr>
          <w:r w:rsidRPr="00487162">
            <w:t>Therapeutic Goods Administration</w:t>
          </w:r>
        </w:p>
      </w:tc>
    </w:tr>
    <w:tr w:rsidR="00772AC5" w:rsidRPr="00487162" w:rsidTr="00E45619">
      <w:trPr>
        <w:trHeight w:val="1221"/>
      </w:trPr>
      <w:tc>
        <w:tcPr>
          <w:tcW w:w="9175" w:type="dxa"/>
          <w:tcMar>
            <w:top w:w="28" w:type="dxa"/>
          </w:tcMar>
        </w:tcPr>
        <w:p w:rsidR="00772AC5" w:rsidRPr="00487162" w:rsidRDefault="00772AC5" w:rsidP="00E45619">
          <w:pPr>
            <w:pStyle w:val="Address"/>
          </w:pPr>
          <w:r w:rsidRPr="00487162">
            <w:t>PO Box 100 Woden ACT 2606 Australia</w:t>
          </w:r>
        </w:p>
        <w:p w:rsidR="00772AC5" w:rsidRPr="00487162" w:rsidRDefault="00772AC5" w:rsidP="00E45619">
          <w:pPr>
            <w:pStyle w:val="Address"/>
          </w:pPr>
          <w:r w:rsidRPr="00487162">
            <w:t xml:space="preserve">Email: </w:t>
          </w:r>
          <w:hyperlink r:id="rId1" w:history="1">
            <w:r w:rsidRPr="004C239D">
              <w:rPr>
                <w:rStyle w:val="Hyperlink"/>
              </w:rPr>
              <w:t>info@tga.gov.au</w:t>
            </w:r>
          </w:hyperlink>
          <w:r>
            <w:t xml:space="preserve"> </w:t>
          </w:r>
          <w:r w:rsidRPr="00487162">
            <w:t>Phone: 1800 020 653</w:t>
          </w:r>
          <w:r>
            <w:t xml:space="preserve"> </w:t>
          </w:r>
          <w:r w:rsidRPr="00487162">
            <w:t>Fax: 02 6232 8605</w:t>
          </w:r>
        </w:p>
        <w:p w:rsidR="00772AC5" w:rsidRPr="004C239D" w:rsidRDefault="00772AC5" w:rsidP="004C239D">
          <w:pPr>
            <w:pStyle w:val="Address"/>
            <w:spacing w:line="260" w:lineRule="atLeast"/>
            <w:rPr>
              <w:b/>
              <w:color w:val="0000FF"/>
              <w:u w:val="single"/>
            </w:rPr>
          </w:pPr>
          <w:hyperlink r:id="rId2" w:history="1">
            <w:r w:rsidRPr="00607888">
              <w:rPr>
                <w:rStyle w:val="Hyperlink"/>
                <w:b/>
              </w:rPr>
              <w:t>http://www.tga.gov.au</w:t>
            </w:r>
          </w:hyperlink>
        </w:p>
      </w:tc>
    </w:tr>
  </w:tbl>
  <w:p w:rsidR="00772AC5" w:rsidRDefault="00772AC5" w:rsidP="008E7846">
    <w:pPr>
      <w:pStyle w:val="Notes"/>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772AC5" w:rsidTr="0010601F">
      <w:trPr>
        <w:trHeight w:val="108"/>
      </w:trPr>
      <w:tc>
        <w:tcPr>
          <w:tcW w:w="8875" w:type="dxa"/>
          <w:gridSpan w:val="2"/>
          <w:tcBorders>
            <w:bottom w:val="single" w:sz="4" w:space="0" w:color="auto"/>
          </w:tcBorders>
          <w:tcMar>
            <w:right w:w="284" w:type="dxa"/>
          </w:tcMar>
        </w:tcPr>
        <w:p w:rsidR="00772AC5" w:rsidRDefault="00772AC5" w:rsidP="006E08B3">
          <w:pPr>
            <w:pStyle w:val="Heading3"/>
          </w:pPr>
          <w:r>
            <w:t>Copyright</w:t>
          </w:r>
        </w:p>
        <w:p w:rsidR="00772AC5" w:rsidRDefault="00772AC5" w:rsidP="006E08B3">
          <w:r>
            <w:rPr>
              <w:rFonts w:cs="Arial"/>
            </w:rPr>
            <w:t>©</w:t>
          </w:r>
          <w:r>
            <w:t xml:space="preserve"> Commonwealth of Australia [add year]</w:t>
          </w:r>
        </w:p>
        <w:p w:rsidR="00772AC5" w:rsidRDefault="00772AC5" w:rsidP="006E08B3"/>
        <w:p w:rsidR="00772AC5" w:rsidRDefault="00772AC5"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772AC5" w:rsidRDefault="00772AC5" w:rsidP="006E08B3"/>
        <w:p w:rsidR="00772AC5" w:rsidRDefault="00772AC5" w:rsidP="006E08B3">
          <w:pPr>
            <w:pStyle w:val="Heading3"/>
          </w:pPr>
          <w:r>
            <w:t>Confidentiality</w:t>
          </w:r>
        </w:p>
        <w:p w:rsidR="00772AC5" w:rsidRDefault="00772AC5"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772AC5" w:rsidRDefault="00772AC5" w:rsidP="006E08B3"/>
        <w:p w:rsidR="00772AC5" w:rsidRDefault="00772AC5" w:rsidP="006E08B3">
          <w:r>
            <w:t>For submission made by individuals, all personal details, other than your name, will be removed from your submission before it is published on the TGA’s Internet site.</w:t>
          </w:r>
        </w:p>
        <w:p w:rsidR="00772AC5" w:rsidRDefault="00772AC5" w:rsidP="006E08B3"/>
        <w:p w:rsidR="00772AC5" w:rsidRDefault="00772AC5"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772AC5" w:rsidTr="0010601F">
      <w:trPr>
        <w:trHeight w:val="417"/>
      </w:trPr>
      <w:tc>
        <w:tcPr>
          <w:tcW w:w="4519" w:type="dxa"/>
          <w:tcBorders>
            <w:top w:val="single" w:sz="4" w:space="0" w:color="auto"/>
          </w:tcBorders>
          <w:tcMar>
            <w:top w:w="142" w:type="dxa"/>
            <w:bottom w:w="0" w:type="dxa"/>
          </w:tcMar>
        </w:tcPr>
        <w:p w:rsidR="00772AC5" w:rsidRDefault="00772AC5" w:rsidP="006E08B3">
          <w:r>
            <w:t>Document title, Part #, Section # - Section title</w:t>
          </w:r>
        </w:p>
        <w:p w:rsidR="00772AC5" w:rsidRDefault="00772AC5" w:rsidP="006E08B3">
          <w:r>
            <w:t>V1.0 October 2010</w:t>
          </w:r>
        </w:p>
      </w:tc>
      <w:tc>
        <w:tcPr>
          <w:tcW w:w="4356" w:type="dxa"/>
          <w:tcBorders>
            <w:top w:val="single" w:sz="4" w:space="0" w:color="auto"/>
          </w:tcBorders>
          <w:tcMar>
            <w:top w:w="142" w:type="dxa"/>
            <w:bottom w:w="0" w:type="dxa"/>
          </w:tcMar>
        </w:tcPr>
        <w:p w:rsidR="00772AC5" w:rsidRDefault="00772AC5" w:rsidP="006E08B3">
          <w:pPr>
            <w:jc w:val="right"/>
          </w:pPr>
          <w:r>
            <w:t xml:space="preserve">Page </w:t>
          </w:r>
          <w:fldSimple w:instr=" PAGE   \* MERGEFORMAT ">
            <w:r>
              <w:rPr>
                <w:noProof/>
              </w:rPr>
              <w:t>1</w:t>
            </w:r>
          </w:fldSimple>
          <w:r>
            <w:t xml:space="preserve"> of </w:t>
          </w:r>
          <w:fldSimple w:instr=" NUMPAGES  \* Arabic ">
            <w:r>
              <w:rPr>
                <w:noProof/>
              </w:rPr>
              <w:t>4</w:t>
            </w:r>
          </w:fldSimple>
          <w:r>
            <w:t xml:space="preserve"> </w:t>
          </w:r>
        </w:p>
      </w:tc>
    </w:tr>
  </w:tbl>
  <w:p w:rsidR="00772AC5" w:rsidRDefault="00772AC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1224" w:rsidRDefault="00B91224" w:rsidP="00C40A36">
      <w:pPr>
        <w:spacing w:after="0"/>
      </w:pPr>
      <w:r>
        <w:separator/>
      </w:r>
    </w:p>
  </w:footnote>
  <w:footnote w:type="continuationSeparator" w:id="0">
    <w:p w:rsidR="00B91224" w:rsidRDefault="00B91224" w:rsidP="00C40A36">
      <w:pPr>
        <w:spacing w:after="0"/>
      </w:pPr>
      <w:r>
        <w:continuationSeparator/>
      </w:r>
    </w:p>
  </w:footnote>
  <w:footnote w:id="1">
    <w:p w:rsidR="00772AC5" w:rsidRDefault="00772AC5">
      <w:pPr>
        <w:pStyle w:val="FootnoteText"/>
      </w:pPr>
      <w:r>
        <w:rPr>
          <w:rStyle w:val="FootnoteReference"/>
        </w:rPr>
        <w:footnoteRef/>
      </w:r>
      <w:r>
        <w:t xml:space="preserve"> </w:t>
      </w:r>
      <w:proofErr w:type="spellStart"/>
      <w:r w:rsidRPr="002B722E">
        <w:t>Durelli</w:t>
      </w:r>
      <w:proofErr w:type="spellEnd"/>
      <w:r w:rsidRPr="002B722E">
        <w:t xml:space="preserve"> L</w:t>
      </w:r>
      <w:r>
        <w:t xml:space="preserve">. (2004). </w:t>
      </w:r>
      <w:r w:rsidRPr="002B722E">
        <w:t xml:space="preserve">Is multiple sclerosis a disease that requires frequent beta interferon dosing? </w:t>
      </w:r>
      <w:r w:rsidRPr="00FC57DE">
        <w:rPr>
          <w:i/>
        </w:rPr>
        <w:t>J Neurol.</w:t>
      </w:r>
      <w:r>
        <w:t xml:space="preserve"> </w:t>
      </w:r>
      <w:r w:rsidRPr="002B722E">
        <w:t xml:space="preserve">251 </w:t>
      </w:r>
      <w:proofErr w:type="spellStart"/>
      <w:r w:rsidRPr="002B722E">
        <w:t>Suppl</w:t>
      </w:r>
      <w:proofErr w:type="spellEnd"/>
      <w:r w:rsidRPr="002B722E">
        <w:t xml:space="preserve"> 4:</w:t>
      </w:r>
      <w:r>
        <w:t xml:space="preserve"> </w:t>
      </w:r>
      <w:r w:rsidRPr="002B722E">
        <w:t>IV13-24</w:t>
      </w:r>
      <w:r>
        <w:t>.</w:t>
      </w:r>
    </w:p>
  </w:footnote>
  <w:footnote w:id="2">
    <w:p w:rsidR="00772AC5" w:rsidRDefault="00772AC5" w:rsidP="00EA6B68">
      <w:pPr>
        <w:pStyle w:val="FootnoteText"/>
      </w:pPr>
      <w:r>
        <w:rPr>
          <w:rStyle w:val="FootnoteReference"/>
        </w:rPr>
        <w:footnoteRef/>
      </w:r>
      <w:r>
        <w:t xml:space="preserve"> </w:t>
      </w:r>
      <w:r w:rsidRPr="002B722E">
        <w:t xml:space="preserve">McDonald WI, </w:t>
      </w:r>
      <w:r>
        <w:t xml:space="preserve">et al. (2001) </w:t>
      </w:r>
      <w:r w:rsidRPr="002B722E">
        <w:t>Recommended diagnostic criteria for multiple sclerosis: guidelines from the International Panel on the diagnosis of multiple sclerosis.</w:t>
      </w:r>
      <w:r>
        <w:t xml:space="preserve"> </w:t>
      </w:r>
      <w:r w:rsidRPr="002B1FCE">
        <w:rPr>
          <w:i/>
        </w:rPr>
        <w:t>Ann Neurol.</w:t>
      </w:r>
      <w:r w:rsidRPr="002B722E">
        <w:t xml:space="preserve"> </w:t>
      </w:r>
      <w:r>
        <w:t>50</w:t>
      </w:r>
      <w:r w:rsidRPr="002B722E">
        <w:t>:</w:t>
      </w:r>
      <w:r>
        <w:t xml:space="preserve"> </w:t>
      </w:r>
      <w:r w:rsidRPr="002B722E">
        <w:t>121-</w:t>
      </w:r>
      <w:r>
        <w:t>12</w:t>
      </w:r>
      <w:r w:rsidRPr="002B722E">
        <w:t>7.</w:t>
      </w:r>
    </w:p>
  </w:footnote>
  <w:footnote w:id="3">
    <w:p w:rsidR="00772AC5" w:rsidRDefault="00772AC5">
      <w:pPr>
        <w:pStyle w:val="FootnoteText"/>
      </w:pPr>
      <w:r>
        <w:rPr>
          <w:rStyle w:val="FootnoteReference"/>
        </w:rPr>
        <w:footnoteRef/>
      </w:r>
      <w:r>
        <w:t xml:space="preserve"> </w:t>
      </w:r>
      <w:proofErr w:type="spellStart"/>
      <w:r w:rsidRPr="00EA6B68">
        <w:t>Polman</w:t>
      </w:r>
      <w:proofErr w:type="spellEnd"/>
      <w:r w:rsidRPr="00EA6B68">
        <w:t xml:space="preserve"> CH, </w:t>
      </w:r>
      <w:proofErr w:type="spellStart"/>
      <w:r w:rsidRPr="00EA6B68">
        <w:t>Reingold</w:t>
      </w:r>
      <w:proofErr w:type="spellEnd"/>
      <w:r w:rsidRPr="00EA6B68">
        <w:t xml:space="preserve"> SC, </w:t>
      </w:r>
      <w:proofErr w:type="spellStart"/>
      <w:r w:rsidRPr="00EA6B68">
        <w:t>Edan</w:t>
      </w:r>
      <w:proofErr w:type="spellEnd"/>
      <w:r w:rsidRPr="00EA6B68">
        <w:t xml:space="preserve"> G, </w:t>
      </w:r>
      <w:proofErr w:type="spellStart"/>
      <w:r w:rsidRPr="00EA6B68">
        <w:t>Filippi</w:t>
      </w:r>
      <w:proofErr w:type="spellEnd"/>
      <w:r w:rsidRPr="00EA6B68">
        <w:t xml:space="preserve"> M, </w:t>
      </w:r>
      <w:proofErr w:type="spellStart"/>
      <w:r w:rsidRPr="00EA6B68">
        <w:t>Hartung</w:t>
      </w:r>
      <w:proofErr w:type="spellEnd"/>
      <w:r w:rsidRPr="00EA6B68">
        <w:t xml:space="preserve"> H-P, </w:t>
      </w:r>
      <w:proofErr w:type="spellStart"/>
      <w:r w:rsidRPr="00EA6B68">
        <w:t>Kappos</w:t>
      </w:r>
      <w:proofErr w:type="spellEnd"/>
      <w:r w:rsidRPr="00EA6B68">
        <w:t xml:space="preserve"> L </w:t>
      </w:r>
      <w:r w:rsidRPr="00847705">
        <w:rPr>
          <w:i/>
          <w:iCs/>
        </w:rPr>
        <w:t>et al.</w:t>
      </w:r>
      <w:r w:rsidRPr="00EA6B68">
        <w:t xml:space="preserve"> </w:t>
      </w:r>
      <w:r>
        <w:t xml:space="preserve">(2005). </w:t>
      </w:r>
      <w:proofErr w:type="gramStart"/>
      <w:r w:rsidRPr="00EA6B68">
        <w:t>Diagnostic criteria for multiple sclerosis.</w:t>
      </w:r>
      <w:proofErr w:type="gramEnd"/>
      <w:r w:rsidRPr="00EA6B68">
        <w:t xml:space="preserve"> </w:t>
      </w:r>
      <w:proofErr w:type="gramStart"/>
      <w:r w:rsidRPr="00EA6B68">
        <w:t>2005 revisions to the "McDonald Criteria".</w:t>
      </w:r>
      <w:proofErr w:type="gramEnd"/>
      <w:r w:rsidRPr="00EA6B68">
        <w:t xml:space="preserve"> </w:t>
      </w:r>
      <w:r w:rsidRPr="00847705">
        <w:rPr>
          <w:i/>
          <w:iCs/>
        </w:rPr>
        <w:t xml:space="preserve">Ann </w:t>
      </w:r>
      <w:proofErr w:type="spellStart"/>
      <w:r w:rsidRPr="00847705">
        <w:rPr>
          <w:i/>
          <w:iCs/>
        </w:rPr>
        <w:t>Neurol</w:t>
      </w:r>
      <w:proofErr w:type="spellEnd"/>
      <w:r w:rsidRPr="00EA6B68">
        <w:t>; 58:840-846.</w:t>
      </w:r>
    </w:p>
  </w:footnote>
  <w:footnote w:id="4">
    <w:p w:rsidR="00772AC5" w:rsidRDefault="00772AC5" w:rsidP="00EA6B68">
      <w:pPr>
        <w:pStyle w:val="FootnoteText"/>
      </w:pPr>
      <w:r>
        <w:rPr>
          <w:rStyle w:val="FootnoteReference"/>
        </w:rPr>
        <w:footnoteRef/>
      </w:r>
      <w:r>
        <w:t xml:space="preserve"> </w:t>
      </w:r>
      <w:proofErr w:type="spellStart"/>
      <w:r w:rsidRPr="00EA6B68">
        <w:t>Polman</w:t>
      </w:r>
      <w:proofErr w:type="spellEnd"/>
      <w:r w:rsidRPr="00EA6B68">
        <w:t xml:space="preserve"> CH, </w:t>
      </w:r>
      <w:proofErr w:type="spellStart"/>
      <w:r w:rsidRPr="00EA6B68">
        <w:t>Reingold</w:t>
      </w:r>
      <w:proofErr w:type="spellEnd"/>
      <w:r w:rsidRPr="00EA6B68">
        <w:t xml:space="preserve"> SC, </w:t>
      </w:r>
      <w:proofErr w:type="spellStart"/>
      <w:r w:rsidRPr="00EA6B68">
        <w:t>Banwell</w:t>
      </w:r>
      <w:proofErr w:type="spellEnd"/>
      <w:r w:rsidRPr="00EA6B68">
        <w:t xml:space="preserve"> B, </w:t>
      </w:r>
      <w:proofErr w:type="spellStart"/>
      <w:r w:rsidRPr="00EA6B68">
        <w:t>Clanet</w:t>
      </w:r>
      <w:proofErr w:type="spellEnd"/>
      <w:r w:rsidRPr="00EA6B68">
        <w:t xml:space="preserve"> M, Cohen JA, </w:t>
      </w:r>
      <w:proofErr w:type="spellStart"/>
      <w:r w:rsidRPr="00EA6B68">
        <w:t>Filippi</w:t>
      </w:r>
      <w:proofErr w:type="spellEnd"/>
      <w:r w:rsidRPr="00EA6B68">
        <w:t xml:space="preserve"> M </w:t>
      </w:r>
      <w:r w:rsidRPr="00847705">
        <w:rPr>
          <w:i/>
          <w:iCs/>
        </w:rPr>
        <w:t>et al</w:t>
      </w:r>
      <w:r w:rsidRPr="00EA6B68">
        <w:t xml:space="preserve">. </w:t>
      </w:r>
      <w:r>
        <w:t xml:space="preserve">(2011). </w:t>
      </w:r>
      <w:r w:rsidRPr="00EA6B68">
        <w:t xml:space="preserve">Diagnostic criteria for multiple sclerosis: 2010 revisions to the "McDonald criteria". </w:t>
      </w:r>
      <w:r w:rsidRPr="00847705">
        <w:rPr>
          <w:i/>
          <w:iCs/>
        </w:rPr>
        <w:t xml:space="preserve">Ann </w:t>
      </w:r>
      <w:proofErr w:type="spellStart"/>
      <w:r w:rsidRPr="00847705">
        <w:rPr>
          <w:i/>
          <w:iCs/>
        </w:rPr>
        <w:t>Neurol</w:t>
      </w:r>
      <w:proofErr w:type="spellEnd"/>
      <w:r w:rsidRPr="00EA6B68">
        <w:t xml:space="preserve"> </w:t>
      </w:r>
      <w:r>
        <w:t>69</w:t>
      </w:r>
      <w:r w:rsidRPr="00346F0A">
        <w:t>:</w:t>
      </w:r>
      <w:r>
        <w:t xml:space="preserve"> </w:t>
      </w:r>
      <w:r w:rsidRPr="00346F0A">
        <w:t>292-302</w:t>
      </w:r>
      <w:r w:rsidRPr="00EA6B68">
        <w:t>.</w:t>
      </w:r>
    </w:p>
  </w:footnote>
  <w:footnote w:id="5">
    <w:p w:rsidR="00772AC5" w:rsidRPr="00542ACF" w:rsidRDefault="00772AC5">
      <w:pPr>
        <w:pStyle w:val="FootnoteText"/>
        <w:rPr>
          <w:i/>
          <w:iCs/>
        </w:rPr>
      </w:pPr>
      <w:r w:rsidRPr="00542ACF">
        <w:rPr>
          <w:rStyle w:val="FootnoteReference"/>
          <w:i/>
          <w:iCs/>
        </w:rPr>
        <w:footnoteRef/>
      </w:r>
      <w:r w:rsidRPr="00542ACF">
        <w:rPr>
          <w:i/>
          <w:iCs/>
        </w:rPr>
        <w:t xml:space="preserve"> </w:t>
      </w:r>
      <w:proofErr w:type="spellStart"/>
      <w:r w:rsidRPr="00574E36">
        <w:t>Rebif</w:t>
      </w:r>
      <w:proofErr w:type="spellEnd"/>
      <w:r w:rsidRPr="00574E36">
        <w:t xml:space="preserve"> New Formulation</w:t>
      </w:r>
      <w:r>
        <w:t xml:space="preserve">, </w:t>
      </w:r>
      <w:r w:rsidRPr="00716BA1">
        <w:t xml:space="preserve">Human Serum Albumin </w:t>
      </w:r>
      <w:r>
        <w:t>free</w:t>
      </w:r>
    </w:p>
  </w:footnote>
  <w:footnote w:id="6">
    <w:p w:rsidR="00772AC5" w:rsidRDefault="00772AC5">
      <w:pPr>
        <w:pStyle w:val="FootnoteText"/>
      </w:pPr>
      <w:r>
        <w:rPr>
          <w:rStyle w:val="FootnoteReference"/>
        </w:rPr>
        <w:footnoteRef/>
      </w:r>
      <w:r>
        <w:t xml:space="preserve"> </w:t>
      </w:r>
      <w:proofErr w:type="spellStart"/>
      <w:r w:rsidRPr="00681AEB">
        <w:t>Giovannoni</w:t>
      </w:r>
      <w:proofErr w:type="spellEnd"/>
      <w:r w:rsidRPr="00681AEB">
        <w:t xml:space="preserve"> G</w:t>
      </w:r>
      <w:r>
        <w:t xml:space="preserve">. (2012) </w:t>
      </w:r>
      <w:r w:rsidRPr="00681AEB">
        <w:t xml:space="preserve">The REFLEX </w:t>
      </w:r>
      <w:proofErr w:type="gramStart"/>
      <w:r w:rsidRPr="00681AEB">
        <w:t>study</w:t>
      </w:r>
      <w:proofErr w:type="gramEnd"/>
      <w:r w:rsidRPr="00681AEB">
        <w:t xml:space="preserve">: a missed opportunity? </w:t>
      </w:r>
      <w:r w:rsidRPr="00606F25">
        <w:rPr>
          <w:i/>
        </w:rPr>
        <w:t>Lancet Neurol.</w:t>
      </w:r>
      <w:r w:rsidRPr="00681AEB">
        <w:t xml:space="preserve"> </w:t>
      </w:r>
      <w:r>
        <w:t>11: 22-24.</w:t>
      </w:r>
    </w:p>
  </w:footnote>
  <w:footnote w:id="7">
    <w:p w:rsidR="00772AC5" w:rsidRDefault="00772AC5">
      <w:pPr>
        <w:pStyle w:val="FootnoteText"/>
      </w:pPr>
      <w:r>
        <w:rPr>
          <w:rStyle w:val="FootnoteReference"/>
        </w:rPr>
        <w:footnoteRef/>
      </w:r>
      <w:r>
        <w:t xml:space="preserve"> Freedman MS, </w:t>
      </w:r>
      <w:r w:rsidRPr="004F16EF">
        <w:rPr>
          <w:i/>
          <w:iCs/>
        </w:rPr>
        <w:t>et al</w:t>
      </w:r>
      <w:r>
        <w:t xml:space="preserve">. </w:t>
      </w:r>
      <w:r w:rsidRPr="00C04AB7">
        <w:t xml:space="preserve">Efficacy of subcutaneous interferon-beta-1a in patients with a first clinical </w:t>
      </w:r>
      <w:proofErr w:type="spellStart"/>
      <w:r w:rsidRPr="00C04AB7">
        <w:t>demyelinating</w:t>
      </w:r>
      <w:proofErr w:type="spellEnd"/>
      <w:r w:rsidRPr="00C04AB7">
        <w:t xml:space="preserve"> event: the </w:t>
      </w:r>
      <w:proofErr w:type="spellStart"/>
      <w:r w:rsidRPr="00C04AB7">
        <w:t>REbif</w:t>
      </w:r>
      <w:proofErr w:type="spellEnd"/>
      <w:r w:rsidRPr="00C04AB7">
        <w:t xml:space="preserve"> </w:t>
      </w:r>
      <w:proofErr w:type="spellStart"/>
      <w:r w:rsidRPr="00C04AB7">
        <w:t>FLEXible</w:t>
      </w:r>
      <w:proofErr w:type="spellEnd"/>
      <w:r w:rsidRPr="00C04AB7">
        <w:t xml:space="preserve"> dosing in early multiple sclerosis (REFLEX) study – outcomes in patients stratified by the 2010 McDonald criteria</w:t>
      </w:r>
      <w:r>
        <w:t xml:space="preserve">. </w:t>
      </w:r>
      <w:r w:rsidRPr="00C04AB7">
        <w:t>5th Joint triennial congress of the European and Americas Committees</w:t>
      </w:r>
      <w:r>
        <w:t xml:space="preserve"> </w:t>
      </w:r>
      <w:r w:rsidRPr="00C04AB7">
        <w:t>for Treatment and Research in Multiple Sclerosis</w:t>
      </w:r>
      <w:r>
        <w:t xml:space="preserve">, </w:t>
      </w:r>
      <w:r w:rsidRPr="00C04AB7">
        <w:t>Amsterdam, The Netherlands</w:t>
      </w:r>
      <w:r>
        <w:t>, 19-22 October 2011.</w:t>
      </w:r>
    </w:p>
  </w:footnote>
  <w:footnote w:id="8">
    <w:p w:rsidR="00772AC5" w:rsidRDefault="00772AC5">
      <w:pPr>
        <w:pStyle w:val="FootnoteText"/>
      </w:pPr>
      <w:r>
        <w:rPr>
          <w:rStyle w:val="FootnoteReference"/>
        </w:rPr>
        <w:footnoteRef/>
      </w:r>
      <w:r>
        <w:t xml:space="preserve"> </w:t>
      </w:r>
      <w:proofErr w:type="spellStart"/>
      <w:r w:rsidRPr="00161E6A">
        <w:t>Kappos</w:t>
      </w:r>
      <w:proofErr w:type="spellEnd"/>
      <w:r w:rsidRPr="00161E6A">
        <w:t xml:space="preserve"> L, </w:t>
      </w:r>
      <w:r w:rsidRPr="00501BFC">
        <w:rPr>
          <w:i/>
          <w:iCs/>
        </w:rPr>
        <w:t>et al</w:t>
      </w:r>
      <w:r>
        <w:t xml:space="preserve">. (2006) </w:t>
      </w:r>
      <w:r w:rsidRPr="00161E6A">
        <w:t>Treatment with interferon beta-1b delays conversion to clinically definite and McDonald MS in patients with clinically isolated syndromes</w:t>
      </w:r>
      <w:r>
        <w:t xml:space="preserve">. </w:t>
      </w:r>
      <w:r w:rsidRPr="00A55E92">
        <w:rPr>
          <w:i/>
        </w:rPr>
        <w:t>Neurology</w:t>
      </w:r>
      <w:r>
        <w:t xml:space="preserve"> 67: 1242-1249.</w:t>
      </w:r>
    </w:p>
  </w:footnote>
  <w:footnote w:id="9">
    <w:p w:rsidR="00772AC5" w:rsidRDefault="00772AC5" w:rsidP="00D6722D">
      <w:pPr>
        <w:pStyle w:val="FootnoteText"/>
      </w:pPr>
      <w:r w:rsidRPr="00CE4363">
        <w:rPr>
          <w:rStyle w:val="FootnoteReference"/>
        </w:rPr>
        <w:footnoteRef/>
      </w:r>
      <w:r w:rsidRPr="00CE4363">
        <w:t xml:space="preserve"> </w:t>
      </w:r>
      <w:r w:rsidRPr="00D6722D">
        <w:t xml:space="preserve">Sponsor clarification: </w:t>
      </w:r>
      <w:r w:rsidRPr="00CE4363">
        <w:t xml:space="preserve">Patients recruited into the REFLEX study were not strictly/explicitly stratified by the degree of their clinical symptoms/manifestations, as assessed by the </w:t>
      </w:r>
      <w:r>
        <w:t>investigating clinician, into mild, moderate or severe; this statement has been included in the PI.</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AC5" w:rsidRDefault="00772AC5"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AC5" w:rsidRDefault="00772AC5">
    <w:pPr>
      <w:rPr>
        <w:noProof/>
        <w:lang w:eastAsia="en-AU"/>
      </w:rPr>
    </w:pPr>
    <w:r w:rsidRPr="006C30F5">
      <w:rPr>
        <w:noProof/>
        <w:lang w:eastAsia="en-AU"/>
      </w:rPr>
      <w:drawing>
        <wp:anchor distT="0" distB="0" distL="114300" distR="114300" simplePos="0" relativeHeight="251659264" behindDoc="1" locked="0" layoutInCell="1" allowOverlap="1">
          <wp:simplePos x="0" y="0"/>
          <wp:positionH relativeFrom="column">
            <wp:posOffset>-1091565</wp:posOffset>
          </wp:positionH>
          <wp:positionV relativeFrom="paragraph">
            <wp:posOffset>-583565</wp:posOffset>
          </wp:positionV>
          <wp:extent cx="7570470" cy="10706100"/>
          <wp:effectExtent l="19050" t="0" r="0" b="0"/>
          <wp:wrapNone/>
          <wp:docPr id="19"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772AC5" w:rsidRDefault="00772AC5" w:rsidP="00593AD1">
    <w:pPr>
      <w:pStyle w:val="HeaderNoLine"/>
    </w:pPr>
    <w:r>
      <w:rPr>
        <w:noProof/>
        <w:lang w:eastAsia="en-AU"/>
      </w:rPr>
      <w:drawing>
        <wp:inline distT="0" distB="0" distL="0" distR="0">
          <wp:extent cx="5396230" cy="7634605"/>
          <wp:effectExtent l="19050" t="0" r="0"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srcRect/>
                  <a:stretch>
                    <a:fillRect/>
                  </a:stretch>
                </pic:blipFill>
                <pic:spPr bwMode="auto">
                  <a:xfrm>
                    <a:off x="0" y="0"/>
                    <a:ext cx="5396230" cy="7634605"/>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AC5" w:rsidRDefault="00772AC5">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AC5" w:rsidRDefault="00772AC5">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AC5" w:rsidRDefault="00772AC5">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AC5" w:rsidRDefault="00772AC5">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AC5" w:rsidRDefault="00772AC5" w:rsidP="004C239D">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AC5" w:rsidRDefault="00772AC5" w:rsidP="006E08B3">
    <w:r>
      <w:t>Therapeutic Goods Administration</w:t>
    </w:r>
  </w:p>
  <w:p w:rsidR="00772AC5" w:rsidRDefault="00772AC5"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182A30"/>
    <w:lvl w:ilvl="0">
      <w:start w:val="1"/>
      <w:numFmt w:val="decimal"/>
      <w:lvlText w:val="%1."/>
      <w:lvlJc w:val="left"/>
      <w:pPr>
        <w:tabs>
          <w:tab w:val="num" w:pos="1492"/>
        </w:tabs>
        <w:ind w:left="1492" w:hanging="360"/>
      </w:pPr>
    </w:lvl>
  </w:abstractNum>
  <w:abstractNum w:abstractNumId="1">
    <w:nsid w:val="FFFFFF7D"/>
    <w:multiLevelType w:val="singleLevel"/>
    <w:tmpl w:val="42B230EC"/>
    <w:lvl w:ilvl="0">
      <w:start w:val="1"/>
      <w:numFmt w:val="decimal"/>
      <w:lvlText w:val="%1."/>
      <w:lvlJc w:val="left"/>
      <w:pPr>
        <w:tabs>
          <w:tab w:val="num" w:pos="1209"/>
        </w:tabs>
        <w:ind w:left="1209" w:hanging="360"/>
      </w:pPr>
    </w:lvl>
  </w:abstractNum>
  <w:abstractNum w:abstractNumId="2">
    <w:nsid w:val="FFFFFF7E"/>
    <w:multiLevelType w:val="singleLevel"/>
    <w:tmpl w:val="B2AE29FE"/>
    <w:lvl w:ilvl="0">
      <w:start w:val="1"/>
      <w:numFmt w:val="decimal"/>
      <w:lvlText w:val="%1."/>
      <w:lvlJc w:val="left"/>
      <w:pPr>
        <w:tabs>
          <w:tab w:val="num" w:pos="926"/>
        </w:tabs>
        <w:ind w:left="926" w:hanging="360"/>
      </w:pPr>
    </w:lvl>
  </w:abstractNum>
  <w:abstractNum w:abstractNumId="3">
    <w:nsid w:val="FFFFFF7F"/>
    <w:multiLevelType w:val="singleLevel"/>
    <w:tmpl w:val="5B4286CC"/>
    <w:lvl w:ilvl="0">
      <w:start w:val="1"/>
      <w:numFmt w:val="decimal"/>
      <w:lvlText w:val="%1."/>
      <w:lvlJc w:val="left"/>
      <w:pPr>
        <w:tabs>
          <w:tab w:val="num" w:pos="643"/>
        </w:tabs>
        <w:ind w:left="643" w:hanging="360"/>
      </w:pPr>
    </w:lvl>
  </w:abstractNum>
  <w:abstractNum w:abstractNumId="4">
    <w:nsid w:val="FFFFFF80"/>
    <w:multiLevelType w:val="singleLevel"/>
    <w:tmpl w:val="62082A7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834312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8">
    <w:nsid w:val="FFFFFF88"/>
    <w:multiLevelType w:val="singleLevel"/>
    <w:tmpl w:val="6A92C536"/>
    <w:lvl w:ilvl="0">
      <w:start w:val="1"/>
      <w:numFmt w:val="decimal"/>
      <w:lvlText w:val="%1."/>
      <w:lvlJc w:val="left"/>
      <w:pPr>
        <w:tabs>
          <w:tab w:val="num" w:pos="360"/>
        </w:tabs>
        <w:ind w:left="360" w:hanging="360"/>
      </w:pPr>
    </w:lvl>
  </w:abstractNum>
  <w:abstractNum w:abstractNumId="9">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8320B0A"/>
    <w:lvl w:ilvl="0">
      <w:numFmt w:val="bullet"/>
      <w:lvlText w:val="*"/>
      <w:lvlJc w:val="left"/>
    </w:lvl>
  </w:abstractNum>
  <w:abstractNum w:abstractNumId="11">
    <w:nsid w:val="0F3B0455"/>
    <w:multiLevelType w:val="hybridMultilevel"/>
    <w:tmpl w:val="A432A0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3">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4">
    <w:nsid w:val="23A65DDE"/>
    <w:multiLevelType w:val="hybridMultilevel"/>
    <w:tmpl w:val="A1FA68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7EF355F"/>
    <w:multiLevelType w:val="hybridMultilevel"/>
    <w:tmpl w:val="4C62CE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BCF57AC"/>
    <w:multiLevelType w:val="hybridMultilevel"/>
    <w:tmpl w:val="1D3AB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0085E2A"/>
    <w:multiLevelType w:val="hybridMultilevel"/>
    <w:tmpl w:val="2152B780"/>
    <w:lvl w:ilvl="0" w:tplc="0C090001">
      <w:start w:val="1"/>
      <w:numFmt w:val="bullet"/>
      <w:lvlText w:val=""/>
      <w:lvlJc w:val="left"/>
      <w:pPr>
        <w:ind w:left="1070" w:hanging="360"/>
      </w:pPr>
      <w:rPr>
        <w:rFonts w:ascii="Symbol" w:hAnsi="Symbol" w:hint="default"/>
      </w:rPr>
    </w:lvl>
    <w:lvl w:ilvl="1" w:tplc="0C090003" w:tentative="1">
      <w:start w:val="1"/>
      <w:numFmt w:val="bullet"/>
      <w:lvlText w:val="o"/>
      <w:lvlJc w:val="left"/>
      <w:pPr>
        <w:ind w:left="-1897" w:hanging="360"/>
      </w:pPr>
      <w:rPr>
        <w:rFonts w:ascii="Courier New" w:hAnsi="Courier New" w:cs="Courier New" w:hint="default"/>
      </w:rPr>
    </w:lvl>
    <w:lvl w:ilvl="2" w:tplc="0C090005" w:tentative="1">
      <w:start w:val="1"/>
      <w:numFmt w:val="bullet"/>
      <w:lvlText w:val=""/>
      <w:lvlJc w:val="left"/>
      <w:pPr>
        <w:ind w:left="-1177" w:hanging="360"/>
      </w:pPr>
      <w:rPr>
        <w:rFonts w:ascii="Wingdings" w:hAnsi="Wingdings" w:hint="default"/>
      </w:rPr>
    </w:lvl>
    <w:lvl w:ilvl="3" w:tplc="0C090001" w:tentative="1">
      <w:start w:val="1"/>
      <w:numFmt w:val="bullet"/>
      <w:lvlText w:val=""/>
      <w:lvlJc w:val="left"/>
      <w:pPr>
        <w:ind w:left="-457" w:hanging="360"/>
      </w:pPr>
      <w:rPr>
        <w:rFonts w:ascii="Symbol" w:hAnsi="Symbol" w:hint="default"/>
      </w:rPr>
    </w:lvl>
    <w:lvl w:ilvl="4" w:tplc="0C090003" w:tentative="1">
      <w:start w:val="1"/>
      <w:numFmt w:val="bullet"/>
      <w:lvlText w:val="o"/>
      <w:lvlJc w:val="left"/>
      <w:pPr>
        <w:ind w:left="263" w:hanging="360"/>
      </w:pPr>
      <w:rPr>
        <w:rFonts w:ascii="Courier New" w:hAnsi="Courier New" w:cs="Courier New" w:hint="default"/>
      </w:rPr>
    </w:lvl>
    <w:lvl w:ilvl="5" w:tplc="0C090005" w:tentative="1">
      <w:start w:val="1"/>
      <w:numFmt w:val="bullet"/>
      <w:lvlText w:val=""/>
      <w:lvlJc w:val="left"/>
      <w:pPr>
        <w:ind w:left="983" w:hanging="360"/>
      </w:pPr>
      <w:rPr>
        <w:rFonts w:ascii="Wingdings" w:hAnsi="Wingdings" w:hint="default"/>
      </w:rPr>
    </w:lvl>
    <w:lvl w:ilvl="6" w:tplc="0C090001" w:tentative="1">
      <w:start w:val="1"/>
      <w:numFmt w:val="bullet"/>
      <w:lvlText w:val=""/>
      <w:lvlJc w:val="left"/>
      <w:pPr>
        <w:ind w:left="1703" w:hanging="360"/>
      </w:pPr>
      <w:rPr>
        <w:rFonts w:ascii="Symbol" w:hAnsi="Symbol" w:hint="default"/>
      </w:rPr>
    </w:lvl>
    <w:lvl w:ilvl="7" w:tplc="0C090003" w:tentative="1">
      <w:start w:val="1"/>
      <w:numFmt w:val="bullet"/>
      <w:lvlText w:val="o"/>
      <w:lvlJc w:val="left"/>
      <w:pPr>
        <w:ind w:left="2423" w:hanging="360"/>
      </w:pPr>
      <w:rPr>
        <w:rFonts w:ascii="Courier New" w:hAnsi="Courier New" w:cs="Courier New" w:hint="default"/>
      </w:rPr>
    </w:lvl>
    <w:lvl w:ilvl="8" w:tplc="0C090005" w:tentative="1">
      <w:start w:val="1"/>
      <w:numFmt w:val="bullet"/>
      <w:lvlText w:val=""/>
      <w:lvlJc w:val="left"/>
      <w:pPr>
        <w:ind w:left="3143" w:hanging="360"/>
      </w:pPr>
      <w:rPr>
        <w:rFonts w:ascii="Wingdings" w:hAnsi="Wingdings" w:hint="default"/>
      </w:rPr>
    </w:lvl>
  </w:abstractNum>
  <w:abstractNum w:abstractNumId="18">
    <w:nsid w:val="3066740A"/>
    <w:multiLevelType w:val="hybridMultilevel"/>
    <w:tmpl w:val="47307618"/>
    <w:lvl w:ilvl="0" w:tplc="AAAE3F22">
      <w:start w:val="1"/>
      <w:numFmt w:val="bullet"/>
      <w:pStyle w:val="Bullet1"/>
      <w:lvlText w:val="•"/>
      <w:lvlJc w:val="left"/>
      <w:pPr>
        <w:tabs>
          <w:tab w:val="num" w:pos="284"/>
        </w:tabs>
        <w:ind w:left="284" w:hanging="284"/>
      </w:pPr>
      <w:rPr>
        <w:rFonts w:ascii="Times New Roman" w:hAnsi="Times New Roman" w:hint="default"/>
      </w:rPr>
    </w:lvl>
    <w:lvl w:ilvl="1" w:tplc="0C090001">
      <w:start w:val="1"/>
      <w:numFmt w:val="bullet"/>
      <w:lvlText w:val=""/>
      <w:lvlJc w:val="left"/>
      <w:pPr>
        <w:tabs>
          <w:tab w:val="num" w:pos="1724"/>
        </w:tabs>
        <w:ind w:left="1724" w:hanging="360"/>
      </w:pPr>
      <w:rPr>
        <w:rFonts w:ascii="Symbol" w:hAnsi="Symbol"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9">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20">
    <w:nsid w:val="40AC42C5"/>
    <w:multiLevelType w:val="hybridMultilevel"/>
    <w:tmpl w:val="8EF02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6993212"/>
    <w:multiLevelType w:val="hybridMultilevel"/>
    <w:tmpl w:val="5398796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4A2D5DD9"/>
    <w:multiLevelType w:val="hybridMultilevel"/>
    <w:tmpl w:val="9D0EA89A"/>
    <w:lvl w:ilvl="0" w:tplc="0C09000F">
      <w:start w:val="1"/>
      <w:numFmt w:val="decimal"/>
      <w:lvlText w:val="%1."/>
      <w:lvlJc w:val="left"/>
      <w:pPr>
        <w:ind w:left="36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3">
    <w:nsid w:val="4F1B1038"/>
    <w:multiLevelType w:val="hybridMultilevel"/>
    <w:tmpl w:val="3E743E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E2466A1"/>
    <w:multiLevelType w:val="hybridMultilevel"/>
    <w:tmpl w:val="0B506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F003EC6"/>
    <w:multiLevelType w:val="hybridMultilevel"/>
    <w:tmpl w:val="DAC442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5FB313F3"/>
    <w:multiLevelType w:val="hybridMultilevel"/>
    <w:tmpl w:val="08B2F6A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6075241B"/>
    <w:multiLevelType w:val="hybridMultilevel"/>
    <w:tmpl w:val="95C8835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80C2660"/>
    <w:multiLevelType w:val="hybridMultilevel"/>
    <w:tmpl w:val="9EEA20B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36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B703D1F"/>
    <w:multiLevelType w:val="hybridMultilevel"/>
    <w:tmpl w:val="32BCB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3"/>
  </w:num>
  <w:num w:numId="4">
    <w:abstractNumId w:val="13"/>
  </w:num>
  <w:num w:numId="5">
    <w:abstractNumId w:val="6"/>
  </w:num>
  <w:num w:numId="6">
    <w:abstractNumId w:val="13"/>
  </w:num>
  <w:num w:numId="7">
    <w:abstractNumId w:val="13"/>
  </w:num>
  <w:num w:numId="8">
    <w:abstractNumId w:val="12"/>
  </w:num>
  <w:num w:numId="9">
    <w:abstractNumId w:val="12"/>
  </w:num>
  <w:num w:numId="10">
    <w:abstractNumId w:val="12"/>
  </w:num>
  <w:num w:numId="11">
    <w:abstractNumId w:val="12"/>
  </w:num>
  <w:num w:numId="12">
    <w:abstractNumId w:val="10"/>
    <w:lvlOverride w:ilvl="0">
      <w:lvl w:ilvl="0">
        <w:numFmt w:val="bullet"/>
        <w:lvlText w:val="•"/>
        <w:legacy w:legacy="1" w:legacySpace="0" w:legacyIndent="0"/>
        <w:lvlJc w:val="left"/>
        <w:rPr>
          <w:rFonts w:ascii="Helv" w:hAnsi="Helv" w:hint="default"/>
        </w:rPr>
      </w:lvl>
    </w:lvlOverride>
  </w:num>
  <w:num w:numId="13">
    <w:abstractNumId w:val="13"/>
  </w:num>
  <w:num w:numId="14">
    <w:abstractNumId w:val="13"/>
  </w:num>
  <w:num w:numId="15">
    <w:abstractNumId w:val="13"/>
  </w:num>
  <w:num w:numId="16">
    <w:abstractNumId w:val="12"/>
  </w:num>
  <w:num w:numId="17">
    <w:abstractNumId w:val="12"/>
  </w:num>
  <w:num w:numId="18">
    <w:abstractNumId w:val="12"/>
  </w:num>
  <w:num w:numId="19">
    <w:abstractNumId w:val="13"/>
  </w:num>
  <w:num w:numId="20">
    <w:abstractNumId w:val="13"/>
  </w:num>
  <w:num w:numId="21">
    <w:abstractNumId w:val="13"/>
  </w:num>
  <w:num w:numId="22">
    <w:abstractNumId w:val="12"/>
  </w:num>
  <w:num w:numId="23">
    <w:abstractNumId w:val="12"/>
  </w:num>
  <w:num w:numId="24">
    <w:abstractNumId w:val="12"/>
  </w:num>
  <w:num w:numId="25">
    <w:abstractNumId w:val="12"/>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1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8"/>
  </w:num>
  <w:num w:numId="28">
    <w:abstractNumId w:val="19"/>
  </w:num>
  <w:num w:numId="29">
    <w:abstractNumId w:val="21"/>
  </w:num>
  <w:num w:numId="30">
    <w:abstractNumId w:val="26"/>
  </w:num>
  <w:num w:numId="31">
    <w:abstractNumId w:val="14"/>
  </w:num>
  <w:num w:numId="32">
    <w:abstractNumId w:val="27"/>
  </w:num>
  <w:num w:numId="33">
    <w:abstractNumId w:val="20"/>
  </w:num>
  <w:num w:numId="34">
    <w:abstractNumId w:val="11"/>
  </w:num>
  <w:num w:numId="35">
    <w:abstractNumId w:val="23"/>
  </w:num>
  <w:num w:numId="36">
    <w:abstractNumId w:val="28"/>
  </w:num>
  <w:num w:numId="37">
    <w:abstractNumId w:val="17"/>
  </w:num>
  <w:num w:numId="38">
    <w:abstractNumId w:val="25"/>
  </w:num>
  <w:num w:numId="39">
    <w:abstractNumId w:val="24"/>
  </w:num>
  <w:num w:numId="40">
    <w:abstractNumId w:val="15"/>
  </w:num>
  <w:num w:numId="41">
    <w:abstractNumId w:val="16"/>
  </w:num>
  <w:num w:numId="42">
    <w:abstractNumId w:val="29"/>
  </w:num>
  <w:num w:numId="43">
    <w:abstractNumId w:val="22"/>
  </w:num>
  <w:num w:numId="44">
    <w:abstractNumId w:val="5"/>
  </w:num>
  <w:num w:numId="45">
    <w:abstractNumId w:val="4"/>
  </w:num>
  <w:num w:numId="46">
    <w:abstractNumId w:val="8"/>
  </w:num>
  <w:num w:numId="47">
    <w:abstractNumId w:val="3"/>
  </w:num>
  <w:num w:numId="48">
    <w:abstractNumId w:val="2"/>
  </w:num>
  <w:num w:numId="49">
    <w:abstractNumId w:val="1"/>
  </w:num>
  <w:num w:numId="5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00"/>
  <w:displayBackgroundShape/>
  <w:proofState w:spelling="clean" w:grammar="clean"/>
  <w:attachedTemplate r:id="rId1"/>
  <w:stylePaneFormatFilter w:val="1004"/>
  <w:stylePaneSortMethod w:val="0000"/>
  <w:defaultTabStop w:val="720"/>
  <w:drawingGridHorizontalSpacing w:val="110"/>
  <w:displayHorizontalDrawingGridEvery w:val="2"/>
  <w:characterSpacingControl w:val="doNotCompress"/>
  <w:hdrShapeDefaults>
    <o:shapedefaults v:ext="edit" spidmax="64514">
      <o:colormenu v:ext="edit" fillcolor="none [3206]"/>
    </o:shapedefaults>
  </w:hdrShapeDefaults>
  <w:footnotePr>
    <w:footnote w:id="-1"/>
    <w:footnote w:id="0"/>
  </w:footnotePr>
  <w:endnotePr>
    <w:endnote w:id="-1"/>
    <w:endnote w:id="0"/>
  </w:endnotePr>
  <w:compat/>
  <w:rsids>
    <w:rsidRoot w:val="000871C1"/>
    <w:rsid w:val="00002031"/>
    <w:rsid w:val="00004734"/>
    <w:rsid w:val="000065AD"/>
    <w:rsid w:val="00006B22"/>
    <w:rsid w:val="000109A9"/>
    <w:rsid w:val="0001195A"/>
    <w:rsid w:val="0001276A"/>
    <w:rsid w:val="00014232"/>
    <w:rsid w:val="00017F0F"/>
    <w:rsid w:val="000246AE"/>
    <w:rsid w:val="00025C67"/>
    <w:rsid w:val="00044E05"/>
    <w:rsid w:val="0005559E"/>
    <w:rsid w:val="000559BF"/>
    <w:rsid w:val="00056A98"/>
    <w:rsid w:val="00074148"/>
    <w:rsid w:val="00077775"/>
    <w:rsid w:val="000868D1"/>
    <w:rsid w:val="000871C1"/>
    <w:rsid w:val="00090471"/>
    <w:rsid w:val="00093DEB"/>
    <w:rsid w:val="00096AA7"/>
    <w:rsid w:val="000A3AED"/>
    <w:rsid w:val="000A4260"/>
    <w:rsid w:val="000A4895"/>
    <w:rsid w:val="000A5472"/>
    <w:rsid w:val="000B3532"/>
    <w:rsid w:val="000B3A75"/>
    <w:rsid w:val="000B3F46"/>
    <w:rsid w:val="000B4D73"/>
    <w:rsid w:val="000B520B"/>
    <w:rsid w:val="000B7B1B"/>
    <w:rsid w:val="000C39E5"/>
    <w:rsid w:val="000C5752"/>
    <w:rsid w:val="000C690F"/>
    <w:rsid w:val="000D1295"/>
    <w:rsid w:val="000D261C"/>
    <w:rsid w:val="000D391B"/>
    <w:rsid w:val="000D3D6D"/>
    <w:rsid w:val="000D4FC7"/>
    <w:rsid w:val="000E4D7E"/>
    <w:rsid w:val="000F42CC"/>
    <w:rsid w:val="000F4869"/>
    <w:rsid w:val="000F5B42"/>
    <w:rsid w:val="000F6E6F"/>
    <w:rsid w:val="00103717"/>
    <w:rsid w:val="0010601F"/>
    <w:rsid w:val="00106E04"/>
    <w:rsid w:val="0010788A"/>
    <w:rsid w:val="00107A31"/>
    <w:rsid w:val="00110EA5"/>
    <w:rsid w:val="00112F56"/>
    <w:rsid w:val="00125318"/>
    <w:rsid w:val="00126218"/>
    <w:rsid w:val="001305A2"/>
    <w:rsid w:val="00133238"/>
    <w:rsid w:val="00141700"/>
    <w:rsid w:val="0014197B"/>
    <w:rsid w:val="001430D9"/>
    <w:rsid w:val="0014349F"/>
    <w:rsid w:val="001447CD"/>
    <w:rsid w:val="001516B1"/>
    <w:rsid w:val="00154EBB"/>
    <w:rsid w:val="00156316"/>
    <w:rsid w:val="00162D14"/>
    <w:rsid w:val="00165389"/>
    <w:rsid w:val="00175BA5"/>
    <w:rsid w:val="0017693F"/>
    <w:rsid w:val="00180447"/>
    <w:rsid w:val="0018110E"/>
    <w:rsid w:val="00181684"/>
    <w:rsid w:val="001843C6"/>
    <w:rsid w:val="001850E0"/>
    <w:rsid w:val="001A2158"/>
    <w:rsid w:val="001A525F"/>
    <w:rsid w:val="001A707E"/>
    <w:rsid w:val="001B09F9"/>
    <w:rsid w:val="001B6448"/>
    <w:rsid w:val="001C4A83"/>
    <w:rsid w:val="001C7D2A"/>
    <w:rsid w:val="001E0207"/>
    <w:rsid w:val="001E07CF"/>
    <w:rsid w:val="001E0F3A"/>
    <w:rsid w:val="001E41C8"/>
    <w:rsid w:val="001E59F1"/>
    <w:rsid w:val="001E7523"/>
    <w:rsid w:val="001F487C"/>
    <w:rsid w:val="001F49EB"/>
    <w:rsid w:val="001F6CBA"/>
    <w:rsid w:val="001F7705"/>
    <w:rsid w:val="001F7916"/>
    <w:rsid w:val="00200E20"/>
    <w:rsid w:val="00201D4E"/>
    <w:rsid w:val="00203923"/>
    <w:rsid w:val="002068DD"/>
    <w:rsid w:val="00206E09"/>
    <w:rsid w:val="002076C9"/>
    <w:rsid w:val="002200FD"/>
    <w:rsid w:val="00220B8A"/>
    <w:rsid w:val="00221592"/>
    <w:rsid w:val="002257F3"/>
    <w:rsid w:val="00226E78"/>
    <w:rsid w:val="002309CE"/>
    <w:rsid w:val="00233456"/>
    <w:rsid w:val="002337B7"/>
    <w:rsid w:val="002339A5"/>
    <w:rsid w:val="00236A7F"/>
    <w:rsid w:val="00244E9F"/>
    <w:rsid w:val="002539DE"/>
    <w:rsid w:val="00256CEC"/>
    <w:rsid w:val="00257848"/>
    <w:rsid w:val="0027084A"/>
    <w:rsid w:val="00281974"/>
    <w:rsid w:val="00286434"/>
    <w:rsid w:val="00286C59"/>
    <w:rsid w:val="00291605"/>
    <w:rsid w:val="00291957"/>
    <w:rsid w:val="002942D1"/>
    <w:rsid w:val="0029501A"/>
    <w:rsid w:val="002B0816"/>
    <w:rsid w:val="002B1638"/>
    <w:rsid w:val="002B1FCE"/>
    <w:rsid w:val="002B4B2D"/>
    <w:rsid w:val="002B55B4"/>
    <w:rsid w:val="002C2378"/>
    <w:rsid w:val="002E4C9A"/>
    <w:rsid w:val="002F11F8"/>
    <w:rsid w:val="002F3D1E"/>
    <w:rsid w:val="002F3F56"/>
    <w:rsid w:val="002F44B5"/>
    <w:rsid w:val="002F6853"/>
    <w:rsid w:val="002F6873"/>
    <w:rsid w:val="003004A3"/>
    <w:rsid w:val="003030C7"/>
    <w:rsid w:val="00305C74"/>
    <w:rsid w:val="003112C8"/>
    <w:rsid w:val="00311AC0"/>
    <w:rsid w:val="00323493"/>
    <w:rsid w:val="0032583B"/>
    <w:rsid w:val="00327883"/>
    <w:rsid w:val="003350D7"/>
    <w:rsid w:val="00335504"/>
    <w:rsid w:val="00337342"/>
    <w:rsid w:val="00337AD7"/>
    <w:rsid w:val="0034488B"/>
    <w:rsid w:val="00346F0A"/>
    <w:rsid w:val="003521E8"/>
    <w:rsid w:val="0036092E"/>
    <w:rsid w:val="00370A73"/>
    <w:rsid w:val="003728F3"/>
    <w:rsid w:val="0037496E"/>
    <w:rsid w:val="00377975"/>
    <w:rsid w:val="003836D9"/>
    <w:rsid w:val="00386150"/>
    <w:rsid w:val="003874CE"/>
    <w:rsid w:val="00390900"/>
    <w:rsid w:val="003945B2"/>
    <w:rsid w:val="003964C8"/>
    <w:rsid w:val="003A7F6C"/>
    <w:rsid w:val="003B1161"/>
    <w:rsid w:val="003B4D60"/>
    <w:rsid w:val="003B5EC8"/>
    <w:rsid w:val="003B688D"/>
    <w:rsid w:val="003B7E39"/>
    <w:rsid w:val="003C58DC"/>
    <w:rsid w:val="003C6EEA"/>
    <w:rsid w:val="003D08FC"/>
    <w:rsid w:val="003D105B"/>
    <w:rsid w:val="003D1E62"/>
    <w:rsid w:val="003E16CA"/>
    <w:rsid w:val="003E2486"/>
    <w:rsid w:val="003E3208"/>
    <w:rsid w:val="003F0B04"/>
    <w:rsid w:val="003F65A8"/>
    <w:rsid w:val="0040134E"/>
    <w:rsid w:val="004022FC"/>
    <w:rsid w:val="00413981"/>
    <w:rsid w:val="00416A4D"/>
    <w:rsid w:val="00440A2D"/>
    <w:rsid w:val="004462E2"/>
    <w:rsid w:val="004465DA"/>
    <w:rsid w:val="00450477"/>
    <w:rsid w:val="00450AE7"/>
    <w:rsid w:val="0045344F"/>
    <w:rsid w:val="0045486B"/>
    <w:rsid w:val="004564A7"/>
    <w:rsid w:val="004617BF"/>
    <w:rsid w:val="00461923"/>
    <w:rsid w:val="00463658"/>
    <w:rsid w:val="00465E9C"/>
    <w:rsid w:val="00467858"/>
    <w:rsid w:val="004713EB"/>
    <w:rsid w:val="00472068"/>
    <w:rsid w:val="004722CC"/>
    <w:rsid w:val="004730D0"/>
    <w:rsid w:val="0047737B"/>
    <w:rsid w:val="004862EF"/>
    <w:rsid w:val="00490070"/>
    <w:rsid w:val="004925E6"/>
    <w:rsid w:val="004936E4"/>
    <w:rsid w:val="00494E60"/>
    <w:rsid w:val="00497487"/>
    <w:rsid w:val="004A1316"/>
    <w:rsid w:val="004A48A5"/>
    <w:rsid w:val="004B0B5A"/>
    <w:rsid w:val="004B35E4"/>
    <w:rsid w:val="004B7B76"/>
    <w:rsid w:val="004C009A"/>
    <w:rsid w:val="004C239D"/>
    <w:rsid w:val="004C2DCA"/>
    <w:rsid w:val="004C4684"/>
    <w:rsid w:val="004C74A1"/>
    <w:rsid w:val="004E3734"/>
    <w:rsid w:val="004E4B39"/>
    <w:rsid w:val="004E4D0B"/>
    <w:rsid w:val="004F0F38"/>
    <w:rsid w:val="004F16EF"/>
    <w:rsid w:val="004F6510"/>
    <w:rsid w:val="00501921"/>
    <w:rsid w:val="00501BFC"/>
    <w:rsid w:val="00510990"/>
    <w:rsid w:val="00513C16"/>
    <w:rsid w:val="00517D0C"/>
    <w:rsid w:val="00530354"/>
    <w:rsid w:val="00533A45"/>
    <w:rsid w:val="0053625B"/>
    <w:rsid w:val="00542ACF"/>
    <w:rsid w:val="005434C6"/>
    <w:rsid w:val="00543B39"/>
    <w:rsid w:val="00550096"/>
    <w:rsid w:val="00557662"/>
    <w:rsid w:val="00557FF9"/>
    <w:rsid w:val="005604CD"/>
    <w:rsid w:val="00574E36"/>
    <w:rsid w:val="00576378"/>
    <w:rsid w:val="00577130"/>
    <w:rsid w:val="00577945"/>
    <w:rsid w:val="00577E38"/>
    <w:rsid w:val="0058470F"/>
    <w:rsid w:val="00585322"/>
    <w:rsid w:val="005857C6"/>
    <w:rsid w:val="005871FC"/>
    <w:rsid w:val="00587F3D"/>
    <w:rsid w:val="005916E6"/>
    <w:rsid w:val="00592F6E"/>
    <w:rsid w:val="00593AD1"/>
    <w:rsid w:val="00594D9F"/>
    <w:rsid w:val="00596806"/>
    <w:rsid w:val="005A1F60"/>
    <w:rsid w:val="005A68B6"/>
    <w:rsid w:val="005A6F7F"/>
    <w:rsid w:val="005B1AFD"/>
    <w:rsid w:val="005B1E2C"/>
    <w:rsid w:val="005B6259"/>
    <w:rsid w:val="005B6CC3"/>
    <w:rsid w:val="005C5570"/>
    <w:rsid w:val="005C64D5"/>
    <w:rsid w:val="005C68E5"/>
    <w:rsid w:val="005C79A4"/>
    <w:rsid w:val="005D0EE0"/>
    <w:rsid w:val="005D5442"/>
    <w:rsid w:val="005E0145"/>
    <w:rsid w:val="005E2BCE"/>
    <w:rsid w:val="005E344A"/>
    <w:rsid w:val="005E624B"/>
    <w:rsid w:val="00602141"/>
    <w:rsid w:val="0060227A"/>
    <w:rsid w:val="006023F5"/>
    <w:rsid w:val="00603F32"/>
    <w:rsid w:val="00606F25"/>
    <w:rsid w:val="00611265"/>
    <w:rsid w:val="00615B16"/>
    <w:rsid w:val="00625A6E"/>
    <w:rsid w:val="00632398"/>
    <w:rsid w:val="006348D2"/>
    <w:rsid w:val="00640FC3"/>
    <w:rsid w:val="00642020"/>
    <w:rsid w:val="00643401"/>
    <w:rsid w:val="00644120"/>
    <w:rsid w:val="00650459"/>
    <w:rsid w:val="00650E93"/>
    <w:rsid w:val="00652183"/>
    <w:rsid w:val="0065337B"/>
    <w:rsid w:val="0065419D"/>
    <w:rsid w:val="00656FED"/>
    <w:rsid w:val="006604D8"/>
    <w:rsid w:val="00664A5B"/>
    <w:rsid w:val="00667AC4"/>
    <w:rsid w:val="006763D2"/>
    <w:rsid w:val="00676460"/>
    <w:rsid w:val="00680C08"/>
    <w:rsid w:val="0068103B"/>
    <w:rsid w:val="00686292"/>
    <w:rsid w:val="00690DAB"/>
    <w:rsid w:val="006931B1"/>
    <w:rsid w:val="00693AB8"/>
    <w:rsid w:val="00697BEE"/>
    <w:rsid w:val="006A15C0"/>
    <w:rsid w:val="006B4EC1"/>
    <w:rsid w:val="006B50AE"/>
    <w:rsid w:val="006C30F5"/>
    <w:rsid w:val="006C3E2A"/>
    <w:rsid w:val="006C605F"/>
    <w:rsid w:val="006C642F"/>
    <w:rsid w:val="006D03E5"/>
    <w:rsid w:val="006D5D3E"/>
    <w:rsid w:val="006E08B3"/>
    <w:rsid w:val="006E1BAA"/>
    <w:rsid w:val="006E28D9"/>
    <w:rsid w:val="006F17AC"/>
    <w:rsid w:val="006F572E"/>
    <w:rsid w:val="006F5A8D"/>
    <w:rsid w:val="006F7AF6"/>
    <w:rsid w:val="00703E2D"/>
    <w:rsid w:val="007046D6"/>
    <w:rsid w:val="00705DB0"/>
    <w:rsid w:val="00707394"/>
    <w:rsid w:val="00716BA1"/>
    <w:rsid w:val="0072203D"/>
    <w:rsid w:val="00722593"/>
    <w:rsid w:val="00722B57"/>
    <w:rsid w:val="0072768A"/>
    <w:rsid w:val="00731533"/>
    <w:rsid w:val="007343E1"/>
    <w:rsid w:val="0074185B"/>
    <w:rsid w:val="007423ED"/>
    <w:rsid w:val="0074253D"/>
    <w:rsid w:val="0074429B"/>
    <w:rsid w:val="00746B33"/>
    <w:rsid w:val="007474CA"/>
    <w:rsid w:val="007615BC"/>
    <w:rsid w:val="00762F05"/>
    <w:rsid w:val="007652FF"/>
    <w:rsid w:val="00765B7D"/>
    <w:rsid w:val="00767A70"/>
    <w:rsid w:val="00770EF1"/>
    <w:rsid w:val="00772AC5"/>
    <w:rsid w:val="00773D97"/>
    <w:rsid w:val="00773EF7"/>
    <w:rsid w:val="00774E1D"/>
    <w:rsid w:val="007755BD"/>
    <w:rsid w:val="0077675A"/>
    <w:rsid w:val="00780355"/>
    <w:rsid w:val="00783250"/>
    <w:rsid w:val="00785721"/>
    <w:rsid w:val="00792C9F"/>
    <w:rsid w:val="00793A59"/>
    <w:rsid w:val="007953FA"/>
    <w:rsid w:val="00796E53"/>
    <w:rsid w:val="007A6B84"/>
    <w:rsid w:val="007B0A46"/>
    <w:rsid w:val="007B34F9"/>
    <w:rsid w:val="007B6D66"/>
    <w:rsid w:val="007B6E9F"/>
    <w:rsid w:val="007C1216"/>
    <w:rsid w:val="007C1AF7"/>
    <w:rsid w:val="007C2DA7"/>
    <w:rsid w:val="007C721E"/>
    <w:rsid w:val="007D042A"/>
    <w:rsid w:val="007D2FF3"/>
    <w:rsid w:val="007E2B1C"/>
    <w:rsid w:val="007E4527"/>
    <w:rsid w:val="007F0222"/>
    <w:rsid w:val="00804A8A"/>
    <w:rsid w:val="00805D27"/>
    <w:rsid w:val="008063FD"/>
    <w:rsid w:val="00812EFD"/>
    <w:rsid w:val="00821776"/>
    <w:rsid w:val="00824358"/>
    <w:rsid w:val="00824A05"/>
    <w:rsid w:val="008278C9"/>
    <w:rsid w:val="008321F5"/>
    <w:rsid w:val="00832369"/>
    <w:rsid w:val="008337C4"/>
    <w:rsid w:val="00834660"/>
    <w:rsid w:val="00836BC2"/>
    <w:rsid w:val="00846871"/>
    <w:rsid w:val="00847705"/>
    <w:rsid w:val="0085641B"/>
    <w:rsid w:val="00857136"/>
    <w:rsid w:val="00881AEA"/>
    <w:rsid w:val="00881E84"/>
    <w:rsid w:val="00885B11"/>
    <w:rsid w:val="00886D15"/>
    <w:rsid w:val="00887DD8"/>
    <w:rsid w:val="00896018"/>
    <w:rsid w:val="008960DD"/>
    <w:rsid w:val="0089635C"/>
    <w:rsid w:val="008A163E"/>
    <w:rsid w:val="008A2B9D"/>
    <w:rsid w:val="008A5E0B"/>
    <w:rsid w:val="008A6D59"/>
    <w:rsid w:val="008B4AA9"/>
    <w:rsid w:val="008B4B03"/>
    <w:rsid w:val="008B596F"/>
    <w:rsid w:val="008C159F"/>
    <w:rsid w:val="008C1623"/>
    <w:rsid w:val="008C1850"/>
    <w:rsid w:val="008C51A9"/>
    <w:rsid w:val="008C5A94"/>
    <w:rsid w:val="008D7615"/>
    <w:rsid w:val="008D7820"/>
    <w:rsid w:val="008E7258"/>
    <w:rsid w:val="008E7846"/>
    <w:rsid w:val="008F1CCC"/>
    <w:rsid w:val="008F2967"/>
    <w:rsid w:val="008F6943"/>
    <w:rsid w:val="00902A21"/>
    <w:rsid w:val="00902AEF"/>
    <w:rsid w:val="009032D6"/>
    <w:rsid w:val="009046F3"/>
    <w:rsid w:val="0090505C"/>
    <w:rsid w:val="00912641"/>
    <w:rsid w:val="00920330"/>
    <w:rsid w:val="009219D7"/>
    <w:rsid w:val="00922D53"/>
    <w:rsid w:val="00923B70"/>
    <w:rsid w:val="00924482"/>
    <w:rsid w:val="00924A48"/>
    <w:rsid w:val="00927AFA"/>
    <w:rsid w:val="00930237"/>
    <w:rsid w:val="00931C49"/>
    <w:rsid w:val="009404B8"/>
    <w:rsid w:val="00946EA5"/>
    <w:rsid w:val="00950937"/>
    <w:rsid w:val="009560A1"/>
    <w:rsid w:val="009601C6"/>
    <w:rsid w:val="00960293"/>
    <w:rsid w:val="00963C08"/>
    <w:rsid w:val="0096416B"/>
    <w:rsid w:val="009653F1"/>
    <w:rsid w:val="00967AA7"/>
    <w:rsid w:val="00977F6F"/>
    <w:rsid w:val="0098585A"/>
    <w:rsid w:val="0099588E"/>
    <w:rsid w:val="009963AA"/>
    <w:rsid w:val="00996E95"/>
    <w:rsid w:val="009975DF"/>
    <w:rsid w:val="009A4CED"/>
    <w:rsid w:val="009A5BC3"/>
    <w:rsid w:val="009A690D"/>
    <w:rsid w:val="009A71BC"/>
    <w:rsid w:val="009B041B"/>
    <w:rsid w:val="009B1D12"/>
    <w:rsid w:val="009B2CDF"/>
    <w:rsid w:val="009B416B"/>
    <w:rsid w:val="009B7A79"/>
    <w:rsid w:val="009C178B"/>
    <w:rsid w:val="009C2716"/>
    <w:rsid w:val="009C49D0"/>
    <w:rsid w:val="009C4BD5"/>
    <w:rsid w:val="009D2452"/>
    <w:rsid w:val="009D72E1"/>
    <w:rsid w:val="009D7B77"/>
    <w:rsid w:val="009E0BB0"/>
    <w:rsid w:val="009E18D9"/>
    <w:rsid w:val="009E3FBB"/>
    <w:rsid w:val="009F188F"/>
    <w:rsid w:val="009F60E9"/>
    <w:rsid w:val="00A02135"/>
    <w:rsid w:val="00A05BC6"/>
    <w:rsid w:val="00A05F14"/>
    <w:rsid w:val="00A102E4"/>
    <w:rsid w:val="00A10C76"/>
    <w:rsid w:val="00A12C42"/>
    <w:rsid w:val="00A14DF7"/>
    <w:rsid w:val="00A2315D"/>
    <w:rsid w:val="00A3246D"/>
    <w:rsid w:val="00A36FA7"/>
    <w:rsid w:val="00A37C16"/>
    <w:rsid w:val="00A43C6D"/>
    <w:rsid w:val="00A452FA"/>
    <w:rsid w:val="00A475B7"/>
    <w:rsid w:val="00A4764F"/>
    <w:rsid w:val="00A47AF7"/>
    <w:rsid w:val="00A47C3E"/>
    <w:rsid w:val="00A50226"/>
    <w:rsid w:val="00A51BE8"/>
    <w:rsid w:val="00A546EE"/>
    <w:rsid w:val="00A54A8C"/>
    <w:rsid w:val="00A55E92"/>
    <w:rsid w:val="00A55F7A"/>
    <w:rsid w:val="00A57731"/>
    <w:rsid w:val="00A60BAD"/>
    <w:rsid w:val="00A60CDF"/>
    <w:rsid w:val="00A635E9"/>
    <w:rsid w:val="00A63E18"/>
    <w:rsid w:val="00A71D9A"/>
    <w:rsid w:val="00A7474A"/>
    <w:rsid w:val="00A77048"/>
    <w:rsid w:val="00A777EC"/>
    <w:rsid w:val="00A81258"/>
    <w:rsid w:val="00A8278F"/>
    <w:rsid w:val="00A84E36"/>
    <w:rsid w:val="00A95D48"/>
    <w:rsid w:val="00A964D1"/>
    <w:rsid w:val="00AA0ED0"/>
    <w:rsid w:val="00AB15E3"/>
    <w:rsid w:val="00AB6672"/>
    <w:rsid w:val="00AC2B40"/>
    <w:rsid w:val="00AC2BB2"/>
    <w:rsid w:val="00AC2C3C"/>
    <w:rsid w:val="00AC512D"/>
    <w:rsid w:val="00AC783D"/>
    <w:rsid w:val="00AD0083"/>
    <w:rsid w:val="00AE3E4A"/>
    <w:rsid w:val="00AE65EB"/>
    <w:rsid w:val="00AE67A7"/>
    <w:rsid w:val="00AE6E42"/>
    <w:rsid w:val="00AF0668"/>
    <w:rsid w:val="00AF1728"/>
    <w:rsid w:val="00AF1D94"/>
    <w:rsid w:val="00AF60C5"/>
    <w:rsid w:val="00AF61BD"/>
    <w:rsid w:val="00B009C6"/>
    <w:rsid w:val="00B01548"/>
    <w:rsid w:val="00B02C87"/>
    <w:rsid w:val="00B055CE"/>
    <w:rsid w:val="00B102E9"/>
    <w:rsid w:val="00B21D29"/>
    <w:rsid w:val="00B22DD3"/>
    <w:rsid w:val="00B23DCB"/>
    <w:rsid w:val="00B25034"/>
    <w:rsid w:val="00B25E76"/>
    <w:rsid w:val="00B31D62"/>
    <w:rsid w:val="00B32542"/>
    <w:rsid w:val="00B33588"/>
    <w:rsid w:val="00B33863"/>
    <w:rsid w:val="00B3393A"/>
    <w:rsid w:val="00B34F0C"/>
    <w:rsid w:val="00B35D49"/>
    <w:rsid w:val="00B37D17"/>
    <w:rsid w:val="00B4164C"/>
    <w:rsid w:val="00B4175E"/>
    <w:rsid w:val="00B452CE"/>
    <w:rsid w:val="00B54C25"/>
    <w:rsid w:val="00B76B91"/>
    <w:rsid w:val="00B777EE"/>
    <w:rsid w:val="00B77EB1"/>
    <w:rsid w:val="00B811C6"/>
    <w:rsid w:val="00B855B0"/>
    <w:rsid w:val="00B86425"/>
    <w:rsid w:val="00B91224"/>
    <w:rsid w:val="00B92E08"/>
    <w:rsid w:val="00B93FDB"/>
    <w:rsid w:val="00B96265"/>
    <w:rsid w:val="00B9654F"/>
    <w:rsid w:val="00B96C78"/>
    <w:rsid w:val="00BA1489"/>
    <w:rsid w:val="00BA4D50"/>
    <w:rsid w:val="00BA514F"/>
    <w:rsid w:val="00BB56DD"/>
    <w:rsid w:val="00BC10E5"/>
    <w:rsid w:val="00BC5E9E"/>
    <w:rsid w:val="00BC622A"/>
    <w:rsid w:val="00BD267A"/>
    <w:rsid w:val="00BD2735"/>
    <w:rsid w:val="00BE0A78"/>
    <w:rsid w:val="00BE79F0"/>
    <w:rsid w:val="00BF046D"/>
    <w:rsid w:val="00BF1190"/>
    <w:rsid w:val="00BF288F"/>
    <w:rsid w:val="00BF5D04"/>
    <w:rsid w:val="00C01736"/>
    <w:rsid w:val="00C04AB7"/>
    <w:rsid w:val="00C1164D"/>
    <w:rsid w:val="00C15D20"/>
    <w:rsid w:val="00C16861"/>
    <w:rsid w:val="00C250BC"/>
    <w:rsid w:val="00C35079"/>
    <w:rsid w:val="00C404A6"/>
    <w:rsid w:val="00C40684"/>
    <w:rsid w:val="00C40A36"/>
    <w:rsid w:val="00C44419"/>
    <w:rsid w:val="00C45E7B"/>
    <w:rsid w:val="00C46F3F"/>
    <w:rsid w:val="00C471B1"/>
    <w:rsid w:val="00C55715"/>
    <w:rsid w:val="00C6316B"/>
    <w:rsid w:val="00C634A9"/>
    <w:rsid w:val="00C64586"/>
    <w:rsid w:val="00C7053B"/>
    <w:rsid w:val="00C70D53"/>
    <w:rsid w:val="00C73971"/>
    <w:rsid w:val="00C73D0B"/>
    <w:rsid w:val="00C7537A"/>
    <w:rsid w:val="00C772FF"/>
    <w:rsid w:val="00C77D6F"/>
    <w:rsid w:val="00C80137"/>
    <w:rsid w:val="00C801AF"/>
    <w:rsid w:val="00C80256"/>
    <w:rsid w:val="00C84B66"/>
    <w:rsid w:val="00C92ADD"/>
    <w:rsid w:val="00CA2E65"/>
    <w:rsid w:val="00CA30C0"/>
    <w:rsid w:val="00CB0758"/>
    <w:rsid w:val="00CB17A7"/>
    <w:rsid w:val="00CB5398"/>
    <w:rsid w:val="00CB6BC0"/>
    <w:rsid w:val="00CC0208"/>
    <w:rsid w:val="00CC1B7C"/>
    <w:rsid w:val="00CC30C9"/>
    <w:rsid w:val="00CC4667"/>
    <w:rsid w:val="00CC727F"/>
    <w:rsid w:val="00CD1999"/>
    <w:rsid w:val="00CD1DE9"/>
    <w:rsid w:val="00CE213F"/>
    <w:rsid w:val="00CE4363"/>
    <w:rsid w:val="00CE491F"/>
    <w:rsid w:val="00CF15C3"/>
    <w:rsid w:val="00CF2B6F"/>
    <w:rsid w:val="00CF4D1A"/>
    <w:rsid w:val="00CF58B6"/>
    <w:rsid w:val="00CF7112"/>
    <w:rsid w:val="00D008A0"/>
    <w:rsid w:val="00D017ED"/>
    <w:rsid w:val="00D040D3"/>
    <w:rsid w:val="00D04C65"/>
    <w:rsid w:val="00D109C8"/>
    <w:rsid w:val="00D2199F"/>
    <w:rsid w:val="00D224FE"/>
    <w:rsid w:val="00D25690"/>
    <w:rsid w:val="00D507AE"/>
    <w:rsid w:val="00D5355C"/>
    <w:rsid w:val="00D5677E"/>
    <w:rsid w:val="00D56E46"/>
    <w:rsid w:val="00D62033"/>
    <w:rsid w:val="00D62144"/>
    <w:rsid w:val="00D6493E"/>
    <w:rsid w:val="00D66916"/>
    <w:rsid w:val="00D6722D"/>
    <w:rsid w:val="00D70C44"/>
    <w:rsid w:val="00D71356"/>
    <w:rsid w:val="00D71C18"/>
    <w:rsid w:val="00D72C3F"/>
    <w:rsid w:val="00D7301E"/>
    <w:rsid w:val="00D73473"/>
    <w:rsid w:val="00D73FA5"/>
    <w:rsid w:val="00D75234"/>
    <w:rsid w:val="00D83AE1"/>
    <w:rsid w:val="00D855D4"/>
    <w:rsid w:val="00D93466"/>
    <w:rsid w:val="00DA1124"/>
    <w:rsid w:val="00DB631B"/>
    <w:rsid w:val="00DB75B7"/>
    <w:rsid w:val="00DC4E23"/>
    <w:rsid w:val="00DC5805"/>
    <w:rsid w:val="00DC6597"/>
    <w:rsid w:val="00DC6E02"/>
    <w:rsid w:val="00DD1393"/>
    <w:rsid w:val="00DD1FE2"/>
    <w:rsid w:val="00DD29DE"/>
    <w:rsid w:val="00DE02AE"/>
    <w:rsid w:val="00DE2F38"/>
    <w:rsid w:val="00DE7347"/>
    <w:rsid w:val="00DF1D7F"/>
    <w:rsid w:val="00DF3F97"/>
    <w:rsid w:val="00DF4BE4"/>
    <w:rsid w:val="00DF5E8C"/>
    <w:rsid w:val="00DF72F2"/>
    <w:rsid w:val="00E02FB4"/>
    <w:rsid w:val="00E04A41"/>
    <w:rsid w:val="00E11EDF"/>
    <w:rsid w:val="00E15A36"/>
    <w:rsid w:val="00E20571"/>
    <w:rsid w:val="00E235F7"/>
    <w:rsid w:val="00E23659"/>
    <w:rsid w:val="00E239D4"/>
    <w:rsid w:val="00E26130"/>
    <w:rsid w:val="00E318C5"/>
    <w:rsid w:val="00E32617"/>
    <w:rsid w:val="00E37B9E"/>
    <w:rsid w:val="00E40B22"/>
    <w:rsid w:val="00E41DA6"/>
    <w:rsid w:val="00E4228F"/>
    <w:rsid w:val="00E43A5E"/>
    <w:rsid w:val="00E45619"/>
    <w:rsid w:val="00E4588F"/>
    <w:rsid w:val="00E46B12"/>
    <w:rsid w:val="00E46DA3"/>
    <w:rsid w:val="00E473E8"/>
    <w:rsid w:val="00E51BB1"/>
    <w:rsid w:val="00E530D7"/>
    <w:rsid w:val="00E624A5"/>
    <w:rsid w:val="00E731DC"/>
    <w:rsid w:val="00E7344E"/>
    <w:rsid w:val="00E77BC0"/>
    <w:rsid w:val="00E8646A"/>
    <w:rsid w:val="00E97729"/>
    <w:rsid w:val="00E97D6E"/>
    <w:rsid w:val="00EA6B68"/>
    <w:rsid w:val="00EB0798"/>
    <w:rsid w:val="00EB2BD8"/>
    <w:rsid w:val="00EB40AD"/>
    <w:rsid w:val="00EB586E"/>
    <w:rsid w:val="00EB5FC8"/>
    <w:rsid w:val="00EB6C48"/>
    <w:rsid w:val="00ED3CAD"/>
    <w:rsid w:val="00ED5A41"/>
    <w:rsid w:val="00EE1DE8"/>
    <w:rsid w:val="00EE1FA5"/>
    <w:rsid w:val="00EE56B6"/>
    <w:rsid w:val="00EE7024"/>
    <w:rsid w:val="00EF0C41"/>
    <w:rsid w:val="00EF60EC"/>
    <w:rsid w:val="00EF7591"/>
    <w:rsid w:val="00F00055"/>
    <w:rsid w:val="00F033EC"/>
    <w:rsid w:val="00F03662"/>
    <w:rsid w:val="00F04F68"/>
    <w:rsid w:val="00F07264"/>
    <w:rsid w:val="00F12670"/>
    <w:rsid w:val="00F14B27"/>
    <w:rsid w:val="00F17B41"/>
    <w:rsid w:val="00F20BD3"/>
    <w:rsid w:val="00F3148D"/>
    <w:rsid w:val="00F314B3"/>
    <w:rsid w:val="00F325C5"/>
    <w:rsid w:val="00F32FE0"/>
    <w:rsid w:val="00F35298"/>
    <w:rsid w:val="00F455C5"/>
    <w:rsid w:val="00F47333"/>
    <w:rsid w:val="00F47E37"/>
    <w:rsid w:val="00F53C07"/>
    <w:rsid w:val="00F54B65"/>
    <w:rsid w:val="00F640B6"/>
    <w:rsid w:val="00F71E76"/>
    <w:rsid w:val="00F72668"/>
    <w:rsid w:val="00F80E40"/>
    <w:rsid w:val="00F828F8"/>
    <w:rsid w:val="00F848D9"/>
    <w:rsid w:val="00F9214D"/>
    <w:rsid w:val="00FA0DE5"/>
    <w:rsid w:val="00FA15F7"/>
    <w:rsid w:val="00FA16DD"/>
    <w:rsid w:val="00FA5B82"/>
    <w:rsid w:val="00FA639E"/>
    <w:rsid w:val="00FB4828"/>
    <w:rsid w:val="00FC02E1"/>
    <w:rsid w:val="00FC25E4"/>
    <w:rsid w:val="00FC46EF"/>
    <w:rsid w:val="00FC4EF7"/>
    <w:rsid w:val="00FC57DE"/>
    <w:rsid w:val="00FD480D"/>
    <w:rsid w:val="00FD77AE"/>
    <w:rsid w:val="00FE1DEE"/>
    <w:rsid w:val="00FE43B3"/>
    <w:rsid w:val="00FE68E5"/>
    <w:rsid w:val="00FF2126"/>
    <w:rsid w:val="00FF415D"/>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4514">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72AC5"/>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rFonts w:cs="Arial"/>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Arial" w:eastAsia="Times New Roman" w:hAnsi="Arial" w:cs="Arial"/>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Notes"/>
    <w:qFormat/>
    <w:rsid w:val="00731533"/>
    <w:pPr>
      <w:spacing w:before="0"/>
    </w:pPr>
    <w:rPr>
      <w:rFonts w:ascii="Cambria" w:hAnsi="Cambria"/>
    </w:rPr>
  </w:style>
  <w:style w:type="table" w:styleId="TableGrid">
    <w:name w:val="Table Grid"/>
    <w:basedOn w:val="TableNormal"/>
    <w:uiPriority w:val="59"/>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basedOn w:val="DefaultParagraphFont"/>
    <w:link w:val="Title"/>
    <w:uiPriority w:val="10"/>
    <w:rsid w:val="00F3148D"/>
    <w:rPr>
      <w:rFonts w:ascii="Arial" w:eastAsia="Times New Roman" w:hAnsi="Arial"/>
      <w:spacing w:val="5"/>
      <w:kern w:val="28"/>
      <w:sz w:val="52"/>
      <w:szCs w:val="52"/>
      <w:lang w:val="en-AU" w:eastAsia="en-US" w:bidi="ar-SA"/>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imes New Roman"/>
      <w:color w:val="002035"/>
      <w:sz w:val="28"/>
      <w:lang w:val="en-US"/>
    </w:rPr>
  </w:style>
  <w:style w:type="paragraph" w:customStyle="1" w:styleId="Bullet1">
    <w:name w:val="Bullet 1"/>
    <w:basedOn w:val="Normal"/>
    <w:rsid w:val="007F0222"/>
    <w:pPr>
      <w:numPr>
        <w:numId w:val="27"/>
      </w:numPr>
      <w:spacing w:after="0" w:line="240" w:lineRule="auto"/>
      <w:jc w:val="both"/>
    </w:pPr>
    <w:rPr>
      <w:rFonts w:eastAsia="Times New Roman"/>
      <w:kern w:val="24"/>
      <w:szCs w:val="24"/>
      <w:lang w:eastAsia="en-AU"/>
    </w:rPr>
  </w:style>
  <w:style w:type="paragraph" w:customStyle="1" w:styleId="Bullet2">
    <w:name w:val="Bullet 2"/>
    <w:basedOn w:val="Bullet1"/>
    <w:rsid w:val="007F0222"/>
    <w:pPr>
      <w:numPr>
        <w:numId w:val="28"/>
      </w:numPr>
    </w:pPr>
  </w:style>
  <w:style w:type="paragraph" w:styleId="ListParagraph">
    <w:name w:val="List Paragraph"/>
    <w:basedOn w:val="Normal"/>
    <w:uiPriority w:val="34"/>
    <w:qFormat/>
    <w:rsid w:val="00CC0208"/>
    <w:pPr>
      <w:spacing w:before="180" w:after="180"/>
      <w:ind w:left="720"/>
      <w:contextualSpacing/>
    </w:pPr>
  </w:style>
  <w:style w:type="character" w:customStyle="1" w:styleId="st1">
    <w:name w:val="st1"/>
    <w:basedOn w:val="DefaultParagraphFont"/>
    <w:rsid w:val="0045344F"/>
  </w:style>
  <w:style w:type="paragraph" w:styleId="FootnoteText">
    <w:name w:val="footnote text"/>
    <w:basedOn w:val="Normal"/>
    <w:link w:val="FootnoteTextChar"/>
    <w:uiPriority w:val="99"/>
    <w:semiHidden/>
    <w:unhideWhenUsed/>
    <w:rsid w:val="00772AC5"/>
    <w:pPr>
      <w:spacing w:before="0" w:after="0" w:line="240" w:lineRule="auto"/>
    </w:pPr>
    <w:rPr>
      <w:sz w:val="18"/>
      <w:szCs w:val="20"/>
    </w:rPr>
  </w:style>
  <w:style w:type="character" w:customStyle="1" w:styleId="FootnoteTextChar">
    <w:name w:val="Footnote Text Char"/>
    <w:basedOn w:val="DefaultParagraphFont"/>
    <w:link w:val="FootnoteText"/>
    <w:uiPriority w:val="99"/>
    <w:semiHidden/>
    <w:rsid w:val="00772AC5"/>
    <w:rPr>
      <w:sz w:val="18"/>
      <w:lang w:eastAsia="en-US"/>
    </w:rPr>
  </w:style>
  <w:style w:type="character" w:styleId="FootnoteReference">
    <w:name w:val="footnote reference"/>
    <w:basedOn w:val="DefaultParagraphFont"/>
    <w:uiPriority w:val="99"/>
    <w:semiHidden/>
    <w:unhideWhenUsed/>
    <w:rsid w:val="00FC57DE"/>
    <w:rPr>
      <w:vertAlign w:val="superscript"/>
    </w:rPr>
  </w:style>
  <w:style w:type="character" w:styleId="CommentReference">
    <w:name w:val="annotation reference"/>
    <w:basedOn w:val="DefaultParagraphFont"/>
    <w:uiPriority w:val="99"/>
    <w:semiHidden/>
    <w:unhideWhenUsed/>
    <w:rsid w:val="00513C16"/>
    <w:rPr>
      <w:sz w:val="16"/>
      <w:szCs w:val="16"/>
    </w:rPr>
  </w:style>
  <w:style w:type="paragraph" w:styleId="CommentText">
    <w:name w:val="annotation text"/>
    <w:basedOn w:val="Normal"/>
    <w:link w:val="CommentTextChar"/>
    <w:uiPriority w:val="99"/>
    <w:semiHidden/>
    <w:unhideWhenUsed/>
    <w:rsid w:val="00513C16"/>
    <w:rPr>
      <w:sz w:val="20"/>
      <w:szCs w:val="20"/>
    </w:rPr>
  </w:style>
  <w:style w:type="character" w:customStyle="1" w:styleId="CommentTextChar">
    <w:name w:val="Comment Text Char"/>
    <w:basedOn w:val="DefaultParagraphFont"/>
    <w:link w:val="CommentText"/>
    <w:uiPriority w:val="99"/>
    <w:semiHidden/>
    <w:rsid w:val="00513C16"/>
    <w:rPr>
      <w:lang w:eastAsia="en-US"/>
    </w:rPr>
  </w:style>
  <w:style w:type="paragraph" w:styleId="CommentSubject">
    <w:name w:val="annotation subject"/>
    <w:basedOn w:val="CommentText"/>
    <w:next w:val="CommentText"/>
    <w:link w:val="CommentSubjectChar"/>
    <w:uiPriority w:val="99"/>
    <w:semiHidden/>
    <w:unhideWhenUsed/>
    <w:rsid w:val="00513C16"/>
    <w:rPr>
      <w:b/>
      <w:bCs/>
    </w:rPr>
  </w:style>
  <w:style w:type="character" w:customStyle="1" w:styleId="CommentSubjectChar">
    <w:name w:val="Comment Subject Char"/>
    <w:basedOn w:val="CommentTextChar"/>
    <w:link w:val="CommentSubject"/>
    <w:uiPriority w:val="99"/>
    <w:semiHidden/>
    <w:rsid w:val="00513C16"/>
    <w:rPr>
      <w:b/>
      <w:bCs/>
    </w:rPr>
  </w:style>
  <w:style w:type="paragraph" w:styleId="DocumentMap">
    <w:name w:val="Document Map"/>
    <w:basedOn w:val="Normal"/>
    <w:link w:val="DocumentMapChar"/>
    <w:uiPriority w:val="99"/>
    <w:semiHidden/>
    <w:unhideWhenUsed/>
    <w:rsid w:val="00226E78"/>
    <w:rPr>
      <w:rFonts w:ascii="Tahoma" w:hAnsi="Tahoma" w:cs="Tahoma"/>
      <w:sz w:val="16"/>
      <w:szCs w:val="16"/>
    </w:rPr>
  </w:style>
  <w:style w:type="character" w:customStyle="1" w:styleId="DocumentMapChar">
    <w:name w:val="Document Map Char"/>
    <w:basedOn w:val="DefaultParagraphFont"/>
    <w:link w:val="DocumentMap"/>
    <w:uiPriority w:val="99"/>
    <w:semiHidden/>
    <w:rsid w:val="00226E78"/>
    <w:rPr>
      <w:rFonts w:ascii="Tahoma" w:hAnsi="Tahoma" w:cs="Tahoma"/>
      <w:sz w:val="16"/>
      <w:szCs w:val="16"/>
      <w:lang w:eastAsia="en-US"/>
    </w:rPr>
  </w:style>
  <w:style w:type="paragraph" w:styleId="Revision">
    <w:name w:val="Revision"/>
    <w:hidden/>
    <w:uiPriority w:val="99"/>
    <w:semiHidden/>
    <w:rsid w:val="00602141"/>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377053864">
      <w:bodyDiv w:val="1"/>
      <w:marLeft w:val="0"/>
      <w:marRight w:val="0"/>
      <w:marTop w:val="0"/>
      <w:marBottom w:val="0"/>
      <w:divBdr>
        <w:top w:val="none" w:sz="0" w:space="0" w:color="auto"/>
        <w:left w:val="none" w:sz="0" w:space="0" w:color="auto"/>
        <w:bottom w:val="none" w:sz="0" w:space="0" w:color="auto"/>
        <w:right w:val="none" w:sz="0" w:space="0" w:color="auto"/>
      </w:divBdr>
    </w:div>
    <w:div w:id="532234010">
      <w:bodyDiv w:val="1"/>
      <w:marLeft w:val="0"/>
      <w:marRight w:val="0"/>
      <w:marTop w:val="0"/>
      <w:marBottom w:val="0"/>
      <w:divBdr>
        <w:top w:val="none" w:sz="0" w:space="0" w:color="auto"/>
        <w:left w:val="none" w:sz="0" w:space="0" w:color="auto"/>
        <w:bottom w:val="none" w:sz="0" w:space="0" w:color="auto"/>
        <w:right w:val="none" w:sz="0" w:space="0" w:color="auto"/>
      </w:divBdr>
    </w:div>
    <w:div w:id="538706866">
      <w:bodyDiv w:val="1"/>
      <w:marLeft w:val="0"/>
      <w:marRight w:val="0"/>
      <w:marTop w:val="0"/>
      <w:marBottom w:val="0"/>
      <w:divBdr>
        <w:top w:val="none" w:sz="0" w:space="0" w:color="auto"/>
        <w:left w:val="none" w:sz="0" w:space="0" w:color="auto"/>
        <w:bottom w:val="none" w:sz="0" w:space="0" w:color="auto"/>
        <w:right w:val="none" w:sz="0" w:space="0" w:color="auto"/>
      </w:divBdr>
    </w:div>
    <w:div w:id="1061563620">
      <w:bodyDiv w:val="1"/>
      <w:marLeft w:val="0"/>
      <w:marRight w:val="0"/>
      <w:marTop w:val="0"/>
      <w:marBottom w:val="0"/>
      <w:divBdr>
        <w:top w:val="none" w:sz="0" w:space="0" w:color="auto"/>
        <w:left w:val="none" w:sz="0" w:space="0" w:color="auto"/>
        <w:bottom w:val="none" w:sz="0" w:space="0" w:color="auto"/>
        <w:right w:val="none" w:sz="0" w:space="0" w:color="auto"/>
      </w:divBdr>
    </w:div>
    <w:div w:id="1435395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ga.gov.au"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2.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jpeg"/><Relationship Id="rId25" Type="http://schemas.openxmlformats.org/officeDocument/2006/relationships/header" Target="header4.xml"/><Relationship Id="rId33" Type="http://schemas.openxmlformats.org/officeDocument/2006/relationships/header" Target="header6.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3.xml"/><Relationship Id="rId32" Type="http://schemas.openxmlformats.org/officeDocument/2006/relationships/footer" Target="footer5.xml"/><Relationship Id="rId37"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oter" Target="footer3.xml"/><Relationship Id="rId36" Type="http://schemas.openxmlformats.org/officeDocument/2006/relationships/header" Target="header8.xm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hyperlink" Target="http://www.tga.gov.au/hp/information-medicines-pi.htm" TargetMode="Externa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eader" Target="header5.xml"/><Relationship Id="rId30" Type="http://schemas.openxmlformats.org/officeDocument/2006/relationships/image" Target="media/image14.jpeg"/><Relationship Id="rId35" Type="http://schemas.openxmlformats.org/officeDocument/2006/relationships/footer" Target="footer6.xml"/></Relationships>
</file>

<file path=word/_rels/footer6.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Temp\notes333BDF\AusPA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30BB77-B9D5-40DC-9468-D8C1795EC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AusPAR template.DOTX</Template>
  <TotalTime>38</TotalTime>
  <Pages>38</Pages>
  <Words>12631</Words>
  <Characters>68462</Characters>
  <Application>Microsoft Office Word</Application>
  <DocSecurity>0</DocSecurity>
  <Lines>1180</Lines>
  <Paragraphs>503</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TGA</Company>
  <LinksUpToDate>false</LinksUpToDate>
  <CharactersWithSpaces>80590</CharactersWithSpaces>
  <SharedDoc>false</SharedDoc>
  <HLinks>
    <vt:vector size="186" baseType="variant">
      <vt:variant>
        <vt:i4>5701660</vt:i4>
      </vt:variant>
      <vt:variant>
        <vt:i4>165</vt:i4>
      </vt:variant>
      <vt:variant>
        <vt:i4>0</vt:i4>
      </vt:variant>
      <vt:variant>
        <vt:i4>5</vt:i4>
      </vt:variant>
      <vt:variant>
        <vt:lpwstr>http://www.tga.gov.au/hp/information-medicines-pi.htm</vt:lpwstr>
      </vt:variant>
      <vt:variant>
        <vt:lpwstr/>
      </vt:variant>
      <vt:variant>
        <vt:i4>1638455</vt:i4>
      </vt:variant>
      <vt:variant>
        <vt:i4>158</vt:i4>
      </vt:variant>
      <vt:variant>
        <vt:i4>0</vt:i4>
      </vt:variant>
      <vt:variant>
        <vt:i4>5</vt:i4>
      </vt:variant>
      <vt:variant>
        <vt:lpwstr/>
      </vt:variant>
      <vt:variant>
        <vt:lpwstr>_Toc366233195</vt:lpwstr>
      </vt:variant>
      <vt:variant>
        <vt:i4>1638455</vt:i4>
      </vt:variant>
      <vt:variant>
        <vt:i4>152</vt:i4>
      </vt:variant>
      <vt:variant>
        <vt:i4>0</vt:i4>
      </vt:variant>
      <vt:variant>
        <vt:i4>5</vt:i4>
      </vt:variant>
      <vt:variant>
        <vt:lpwstr/>
      </vt:variant>
      <vt:variant>
        <vt:lpwstr>_Toc366233194</vt:lpwstr>
      </vt:variant>
      <vt:variant>
        <vt:i4>1638455</vt:i4>
      </vt:variant>
      <vt:variant>
        <vt:i4>146</vt:i4>
      </vt:variant>
      <vt:variant>
        <vt:i4>0</vt:i4>
      </vt:variant>
      <vt:variant>
        <vt:i4>5</vt:i4>
      </vt:variant>
      <vt:variant>
        <vt:lpwstr/>
      </vt:variant>
      <vt:variant>
        <vt:lpwstr>_Toc366233193</vt:lpwstr>
      </vt:variant>
      <vt:variant>
        <vt:i4>1638455</vt:i4>
      </vt:variant>
      <vt:variant>
        <vt:i4>140</vt:i4>
      </vt:variant>
      <vt:variant>
        <vt:i4>0</vt:i4>
      </vt:variant>
      <vt:variant>
        <vt:i4>5</vt:i4>
      </vt:variant>
      <vt:variant>
        <vt:lpwstr/>
      </vt:variant>
      <vt:variant>
        <vt:lpwstr>_Toc366233192</vt:lpwstr>
      </vt:variant>
      <vt:variant>
        <vt:i4>1638455</vt:i4>
      </vt:variant>
      <vt:variant>
        <vt:i4>134</vt:i4>
      </vt:variant>
      <vt:variant>
        <vt:i4>0</vt:i4>
      </vt:variant>
      <vt:variant>
        <vt:i4>5</vt:i4>
      </vt:variant>
      <vt:variant>
        <vt:lpwstr/>
      </vt:variant>
      <vt:variant>
        <vt:lpwstr>_Toc366233191</vt:lpwstr>
      </vt:variant>
      <vt:variant>
        <vt:i4>1638455</vt:i4>
      </vt:variant>
      <vt:variant>
        <vt:i4>128</vt:i4>
      </vt:variant>
      <vt:variant>
        <vt:i4>0</vt:i4>
      </vt:variant>
      <vt:variant>
        <vt:i4>5</vt:i4>
      </vt:variant>
      <vt:variant>
        <vt:lpwstr/>
      </vt:variant>
      <vt:variant>
        <vt:lpwstr>_Toc366233190</vt:lpwstr>
      </vt:variant>
      <vt:variant>
        <vt:i4>1572919</vt:i4>
      </vt:variant>
      <vt:variant>
        <vt:i4>122</vt:i4>
      </vt:variant>
      <vt:variant>
        <vt:i4>0</vt:i4>
      </vt:variant>
      <vt:variant>
        <vt:i4>5</vt:i4>
      </vt:variant>
      <vt:variant>
        <vt:lpwstr/>
      </vt:variant>
      <vt:variant>
        <vt:lpwstr>_Toc366233189</vt:lpwstr>
      </vt:variant>
      <vt:variant>
        <vt:i4>1572919</vt:i4>
      </vt:variant>
      <vt:variant>
        <vt:i4>116</vt:i4>
      </vt:variant>
      <vt:variant>
        <vt:i4>0</vt:i4>
      </vt:variant>
      <vt:variant>
        <vt:i4>5</vt:i4>
      </vt:variant>
      <vt:variant>
        <vt:lpwstr/>
      </vt:variant>
      <vt:variant>
        <vt:lpwstr>_Toc366233188</vt:lpwstr>
      </vt:variant>
      <vt:variant>
        <vt:i4>1572919</vt:i4>
      </vt:variant>
      <vt:variant>
        <vt:i4>110</vt:i4>
      </vt:variant>
      <vt:variant>
        <vt:i4>0</vt:i4>
      </vt:variant>
      <vt:variant>
        <vt:i4>5</vt:i4>
      </vt:variant>
      <vt:variant>
        <vt:lpwstr/>
      </vt:variant>
      <vt:variant>
        <vt:lpwstr>_Toc366233187</vt:lpwstr>
      </vt:variant>
      <vt:variant>
        <vt:i4>1572919</vt:i4>
      </vt:variant>
      <vt:variant>
        <vt:i4>104</vt:i4>
      </vt:variant>
      <vt:variant>
        <vt:i4>0</vt:i4>
      </vt:variant>
      <vt:variant>
        <vt:i4>5</vt:i4>
      </vt:variant>
      <vt:variant>
        <vt:lpwstr/>
      </vt:variant>
      <vt:variant>
        <vt:lpwstr>_Toc366233186</vt:lpwstr>
      </vt:variant>
      <vt:variant>
        <vt:i4>1572919</vt:i4>
      </vt:variant>
      <vt:variant>
        <vt:i4>98</vt:i4>
      </vt:variant>
      <vt:variant>
        <vt:i4>0</vt:i4>
      </vt:variant>
      <vt:variant>
        <vt:i4>5</vt:i4>
      </vt:variant>
      <vt:variant>
        <vt:lpwstr/>
      </vt:variant>
      <vt:variant>
        <vt:lpwstr>_Toc366233185</vt:lpwstr>
      </vt:variant>
      <vt:variant>
        <vt:i4>1572919</vt:i4>
      </vt:variant>
      <vt:variant>
        <vt:i4>92</vt:i4>
      </vt:variant>
      <vt:variant>
        <vt:i4>0</vt:i4>
      </vt:variant>
      <vt:variant>
        <vt:i4>5</vt:i4>
      </vt:variant>
      <vt:variant>
        <vt:lpwstr/>
      </vt:variant>
      <vt:variant>
        <vt:lpwstr>_Toc366233184</vt:lpwstr>
      </vt:variant>
      <vt:variant>
        <vt:i4>1572919</vt:i4>
      </vt:variant>
      <vt:variant>
        <vt:i4>86</vt:i4>
      </vt:variant>
      <vt:variant>
        <vt:i4>0</vt:i4>
      </vt:variant>
      <vt:variant>
        <vt:i4>5</vt:i4>
      </vt:variant>
      <vt:variant>
        <vt:lpwstr/>
      </vt:variant>
      <vt:variant>
        <vt:lpwstr>_Toc366233183</vt:lpwstr>
      </vt:variant>
      <vt:variant>
        <vt:i4>1572919</vt:i4>
      </vt:variant>
      <vt:variant>
        <vt:i4>80</vt:i4>
      </vt:variant>
      <vt:variant>
        <vt:i4>0</vt:i4>
      </vt:variant>
      <vt:variant>
        <vt:i4>5</vt:i4>
      </vt:variant>
      <vt:variant>
        <vt:lpwstr/>
      </vt:variant>
      <vt:variant>
        <vt:lpwstr>_Toc366233182</vt:lpwstr>
      </vt:variant>
      <vt:variant>
        <vt:i4>1572919</vt:i4>
      </vt:variant>
      <vt:variant>
        <vt:i4>74</vt:i4>
      </vt:variant>
      <vt:variant>
        <vt:i4>0</vt:i4>
      </vt:variant>
      <vt:variant>
        <vt:i4>5</vt:i4>
      </vt:variant>
      <vt:variant>
        <vt:lpwstr/>
      </vt:variant>
      <vt:variant>
        <vt:lpwstr>_Toc366233181</vt:lpwstr>
      </vt:variant>
      <vt:variant>
        <vt:i4>1572919</vt:i4>
      </vt:variant>
      <vt:variant>
        <vt:i4>68</vt:i4>
      </vt:variant>
      <vt:variant>
        <vt:i4>0</vt:i4>
      </vt:variant>
      <vt:variant>
        <vt:i4>5</vt:i4>
      </vt:variant>
      <vt:variant>
        <vt:lpwstr/>
      </vt:variant>
      <vt:variant>
        <vt:lpwstr>_Toc366233180</vt:lpwstr>
      </vt:variant>
      <vt:variant>
        <vt:i4>1507383</vt:i4>
      </vt:variant>
      <vt:variant>
        <vt:i4>62</vt:i4>
      </vt:variant>
      <vt:variant>
        <vt:i4>0</vt:i4>
      </vt:variant>
      <vt:variant>
        <vt:i4>5</vt:i4>
      </vt:variant>
      <vt:variant>
        <vt:lpwstr/>
      </vt:variant>
      <vt:variant>
        <vt:lpwstr>_Toc366233179</vt:lpwstr>
      </vt:variant>
      <vt:variant>
        <vt:i4>1507383</vt:i4>
      </vt:variant>
      <vt:variant>
        <vt:i4>56</vt:i4>
      </vt:variant>
      <vt:variant>
        <vt:i4>0</vt:i4>
      </vt:variant>
      <vt:variant>
        <vt:i4>5</vt:i4>
      </vt:variant>
      <vt:variant>
        <vt:lpwstr/>
      </vt:variant>
      <vt:variant>
        <vt:lpwstr>_Toc366233178</vt:lpwstr>
      </vt:variant>
      <vt:variant>
        <vt:i4>1507383</vt:i4>
      </vt:variant>
      <vt:variant>
        <vt:i4>50</vt:i4>
      </vt:variant>
      <vt:variant>
        <vt:i4>0</vt:i4>
      </vt:variant>
      <vt:variant>
        <vt:i4>5</vt:i4>
      </vt:variant>
      <vt:variant>
        <vt:lpwstr/>
      </vt:variant>
      <vt:variant>
        <vt:lpwstr>_Toc366233177</vt:lpwstr>
      </vt:variant>
      <vt:variant>
        <vt:i4>1507383</vt:i4>
      </vt:variant>
      <vt:variant>
        <vt:i4>44</vt:i4>
      </vt:variant>
      <vt:variant>
        <vt:i4>0</vt:i4>
      </vt:variant>
      <vt:variant>
        <vt:i4>5</vt:i4>
      </vt:variant>
      <vt:variant>
        <vt:lpwstr/>
      </vt:variant>
      <vt:variant>
        <vt:lpwstr>_Toc366233176</vt:lpwstr>
      </vt:variant>
      <vt:variant>
        <vt:i4>1507383</vt:i4>
      </vt:variant>
      <vt:variant>
        <vt:i4>38</vt:i4>
      </vt:variant>
      <vt:variant>
        <vt:i4>0</vt:i4>
      </vt:variant>
      <vt:variant>
        <vt:i4>5</vt:i4>
      </vt:variant>
      <vt:variant>
        <vt:lpwstr/>
      </vt:variant>
      <vt:variant>
        <vt:lpwstr>_Toc366233175</vt:lpwstr>
      </vt:variant>
      <vt:variant>
        <vt:i4>1507383</vt:i4>
      </vt:variant>
      <vt:variant>
        <vt:i4>32</vt:i4>
      </vt:variant>
      <vt:variant>
        <vt:i4>0</vt:i4>
      </vt:variant>
      <vt:variant>
        <vt:i4>5</vt:i4>
      </vt:variant>
      <vt:variant>
        <vt:lpwstr/>
      </vt:variant>
      <vt:variant>
        <vt:lpwstr>_Toc366233174</vt:lpwstr>
      </vt:variant>
      <vt:variant>
        <vt:i4>1507383</vt:i4>
      </vt:variant>
      <vt:variant>
        <vt:i4>26</vt:i4>
      </vt:variant>
      <vt:variant>
        <vt:i4>0</vt:i4>
      </vt:variant>
      <vt:variant>
        <vt:i4>5</vt:i4>
      </vt:variant>
      <vt:variant>
        <vt:lpwstr/>
      </vt:variant>
      <vt:variant>
        <vt:lpwstr>_Toc366233173</vt:lpwstr>
      </vt:variant>
      <vt:variant>
        <vt:i4>1507383</vt:i4>
      </vt:variant>
      <vt:variant>
        <vt:i4>20</vt:i4>
      </vt:variant>
      <vt:variant>
        <vt:i4>0</vt:i4>
      </vt:variant>
      <vt:variant>
        <vt:i4>5</vt:i4>
      </vt:variant>
      <vt:variant>
        <vt:lpwstr/>
      </vt:variant>
      <vt:variant>
        <vt:lpwstr>_Toc366233172</vt:lpwstr>
      </vt:variant>
      <vt:variant>
        <vt:i4>1507383</vt:i4>
      </vt:variant>
      <vt:variant>
        <vt:i4>14</vt:i4>
      </vt:variant>
      <vt:variant>
        <vt:i4>0</vt:i4>
      </vt:variant>
      <vt:variant>
        <vt:i4>5</vt:i4>
      </vt:variant>
      <vt:variant>
        <vt:lpwstr/>
      </vt:variant>
      <vt:variant>
        <vt:lpwstr>_Toc366233171</vt:lpwstr>
      </vt:variant>
      <vt:variant>
        <vt:i4>1507383</vt:i4>
      </vt:variant>
      <vt:variant>
        <vt:i4>8</vt:i4>
      </vt:variant>
      <vt:variant>
        <vt:i4>0</vt:i4>
      </vt:variant>
      <vt:variant>
        <vt:i4>5</vt:i4>
      </vt:variant>
      <vt:variant>
        <vt:lpwstr/>
      </vt:variant>
      <vt:variant>
        <vt:lpwstr>_Toc366233170</vt:lpwstr>
      </vt:variant>
      <vt:variant>
        <vt:i4>6291548</vt:i4>
      </vt:variant>
      <vt:variant>
        <vt:i4>3</vt:i4>
      </vt:variant>
      <vt:variant>
        <vt:i4>0</vt:i4>
      </vt:variant>
      <vt:variant>
        <vt:i4>5</vt:i4>
      </vt:variant>
      <vt:variant>
        <vt:lpwstr>mailto:tga.copyright@tga.gov.au</vt:lpwstr>
      </vt:variant>
      <vt:variant>
        <vt:lpwstr/>
      </vt:variant>
      <vt:variant>
        <vt:i4>983067</vt:i4>
      </vt:variant>
      <vt:variant>
        <vt:i4>0</vt:i4>
      </vt:variant>
      <vt:variant>
        <vt:i4>0</vt:i4>
      </vt:variant>
      <vt:variant>
        <vt:i4>5</vt:i4>
      </vt:variant>
      <vt:variant>
        <vt:lpwstr>http://ww.tga.gov.au/</vt:lpwstr>
      </vt:variant>
      <vt:variant>
        <vt:lpwstr/>
      </vt:variant>
      <vt:variant>
        <vt:i4>6357037</vt:i4>
      </vt:variant>
      <vt:variant>
        <vt:i4>18</vt:i4>
      </vt:variant>
      <vt:variant>
        <vt:i4>0</vt:i4>
      </vt:variant>
      <vt:variant>
        <vt:i4>5</vt:i4>
      </vt:variant>
      <vt:variant>
        <vt:lpwstr>http://www.tga.gov.au/</vt:lpwstr>
      </vt:variant>
      <vt:variant>
        <vt:lpwstr/>
      </vt:variant>
      <vt:variant>
        <vt:i4>5242926</vt:i4>
      </vt:variant>
      <vt:variant>
        <vt:i4>15</vt:i4>
      </vt:variant>
      <vt:variant>
        <vt:i4>0</vt:i4>
      </vt:variant>
      <vt:variant>
        <vt:i4>5</vt:i4>
      </vt:variant>
      <vt:variant>
        <vt:lpwstr>mailto:info@tga.gov.au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dc:title>
  <dc:subject>prescription medicine regulation</dc:subject>
  <dc:creator>Papathanasiou, Peter</dc:creator>
  <cp:keywords>auspar, prescription, medicine, assessment, regulation, australia</cp:keywords>
  <cp:lastModifiedBy>Sheppard, Fran</cp:lastModifiedBy>
  <cp:revision>9</cp:revision>
  <cp:lastPrinted>2010-12-20T22:59:00Z</cp:lastPrinted>
  <dcterms:created xsi:type="dcterms:W3CDTF">2013-10-10T03:13:00Z</dcterms:created>
  <dcterms:modified xsi:type="dcterms:W3CDTF">2013-12-04T03:27:00Z</dcterms:modified>
</cp:coreProperties>
</file>