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5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95"/>
      </w:tblGrid>
      <w:tr w:rsidR="008E7846" w:rsidRPr="00487162" w:rsidTr="00C4478A">
        <w:trPr>
          <w:trHeight w:val="1863"/>
        </w:trPr>
        <w:tc>
          <w:tcPr>
            <w:tcW w:w="5495" w:type="dxa"/>
            <w:tcBorders>
              <w:top w:val="nil"/>
              <w:left w:val="nil"/>
              <w:bottom w:val="nil"/>
              <w:right w:val="nil"/>
            </w:tcBorders>
          </w:tcPr>
          <w:p w:rsidR="008E7846" w:rsidRPr="0017078F" w:rsidRDefault="00484BFC" w:rsidP="0017078F">
            <w:pPr>
              <w:rPr>
                <w:rFonts w:ascii="Arial" w:hAnsi="Arial" w:cs="Arial"/>
                <w:b/>
                <w:color w:val="002C47"/>
                <w:sz w:val="36"/>
                <w:szCs w:val="36"/>
              </w:rPr>
            </w:pPr>
            <w:r>
              <w:rPr>
                <w:rFonts w:ascii="Arial" w:hAnsi="Arial" w:cs="Arial"/>
                <w:b/>
                <w:color w:val="002C47"/>
                <w:sz w:val="36"/>
                <w:szCs w:val="36"/>
              </w:rPr>
              <w:t>Date of CE</w:t>
            </w:r>
            <w:r w:rsidR="00C4478A">
              <w:rPr>
                <w:rFonts w:ascii="Arial" w:hAnsi="Arial" w:cs="Arial"/>
                <w:b/>
                <w:color w:val="002C47"/>
                <w:sz w:val="36"/>
                <w:szCs w:val="36"/>
              </w:rPr>
              <w:t>R: August 2012</w:t>
            </w:r>
          </w:p>
        </w:tc>
      </w:tr>
    </w:tbl>
    <w:tbl>
      <w:tblPr>
        <w:tblpPr w:leftFromText="180" w:rightFromText="180" w:vertAnchor="page" w:tblpY="3316"/>
        <w:tblW w:w="9079" w:type="dxa"/>
        <w:tblLayout w:type="fixed"/>
        <w:tblLook w:val="04A0"/>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rPr>
            </w:pPr>
            <w:r>
              <w:rPr>
                <w:color w:val="FFFFFF"/>
              </w:rPr>
              <w:t>AusPAR Attachment 2</w:t>
            </w:r>
          </w:p>
        </w:tc>
      </w:tr>
      <w:tr w:rsidR="00E07F15" w:rsidRPr="00A964D1" w:rsidTr="00E07F15">
        <w:trPr>
          <w:trHeight w:val="868"/>
        </w:trPr>
        <w:tc>
          <w:tcPr>
            <w:tcW w:w="9079" w:type="dxa"/>
          </w:tcPr>
          <w:p w:rsidR="00E07F15" w:rsidRPr="00A964D1" w:rsidRDefault="00E07F15" w:rsidP="00E07F15">
            <w:pPr>
              <w:pStyle w:val="Title"/>
              <w:rPr>
                <w:color w:val="FFFFFF"/>
              </w:rPr>
            </w:pPr>
            <w:r>
              <w:rPr>
                <w:color w:val="FFFFFF"/>
              </w:rPr>
              <w:t>Extract from the Clinical Evaluation Report</w:t>
            </w:r>
            <w:r w:rsidR="00F25880">
              <w:rPr>
                <w:color w:val="FFFFFF"/>
              </w:rPr>
              <w:t xml:space="preserve"> for i</w:t>
            </w:r>
            <w:r w:rsidR="00F25880" w:rsidRPr="000E4D7E">
              <w:rPr>
                <w:color w:val="FFFFFF"/>
              </w:rPr>
              <w:t xml:space="preserve">nterferon </w:t>
            </w:r>
            <w:r w:rsidR="00F25880">
              <w:rPr>
                <w:color w:val="FFFFFF"/>
              </w:rPr>
              <w:t>b</w:t>
            </w:r>
            <w:r w:rsidR="00F25880" w:rsidRPr="000E4D7E">
              <w:rPr>
                <w:color w:val="FFFFFF"/>
              </w:rPr>
              <w:t>eta-1a</w:t>
            </w:r>
          </w:p>
        </w:tc>
      </w:tr>
      <w:tr w:rsidR="00E07F15" w:rsidRPr="00B64760" w:rsidTr="00E07F15">
        <w:tc>
          <w:tcPr>
            <w:tcW w:w="9079" w:type="dxa"/>
          </w:tcPr>
          <w:p w:rsidR="00E07F15" w:rsidRPr="008E7846" w:rsidRDefault="00F25880" w:rsidP="004A43CC">
            <w:pPr>
              <w:pStyle w:val="Subtitle"/>
              <w:ind w:left="142"/>
              <w:rPr>
                <w:color w:val="FFFFFF"/>
              </w:rPr>
            </w:pPr>
            <w:r>
              <w:rPr>
                <w:color w:val="FFFFFF"/>
              </w:rPr>
              <w:t xml:space="preserve">Proprietary Product Name: </w:t>
            </w:r>
            <w:proofErr w:type="spellStart"/>
            <w:r>
              <w:rPr>
                <w:color w:val="FFFFFF"/>
              </w:rPr>
              <w:t>Rebif</w:t>
            </w:r>
            <w:proofErr w:type="spellEnd"/>
          </w:p>
        </w:tc>
      </w:tr>
      <w:tr w:rsidR="00E07F15" w:rsidRPr="00B64760" w:rsidTr="00E07F15">
        <w:trPr>
          <w:trHeight w:val="486"/>
        </w:trPr>
        <w:tc>
          <w:tcPr>
            <w:tcW w:w="9079" w:type="dxa"/>
          </w:tcPr>
          <w:p w:rsidR="00E07F15" w:rsidRPr="008E7846" w:rsidRDefault="00E07F15" w:rsidP="004A43CC">
            <w:pPr>
              <w:pStyle w:val="Subtitle"/>
              <w:ind w:left="142"/>
              <w:rPr>
                <w:color w:val="FFFFFF"/>
              </w:rPr>
            </w:pPr>
            <w:r w:rsidRPr="008E7846">
              <w:rPr>
                <w:color w:val="FFFFFF"/>
              </w:rPr>
              <w:t xml:space="preserve">Sponsor: </w:t>
            </w:r>
            <w:r w:rsidR="00F25880" w:rsidRPr="000E4D7E">
              <w:rPr>
                <w:color w:val="FFFFFF"/>
              </w:rPr>
              <w:t xml:space="preserve">Merck </w:t>
            </w:r>
            <w:proofErr w:type="spellStart"/>
            <w:r w:rsidR="00F25880" w:rsidRPr="000E4D7E">
              <w:rPr>
                <w:color w:val="FFFFFF"/>
              </w:rPr>
              <w:t>Serono</w:t>
            </w:r>
            <w:proofErr w:type="spellEnd"/>
            <w:r w:rsidR="00F25880" w:rsidRPr="000E4D7E">
              <w:rPr>
                <w:color w:val="FFFFFF"/>
              </w:rPr>
              <w:t xml:space="preserve"> Australia Pty Ltd</w:t>
            </w:r>
          </w:p>
        </w:tc>
      </w:tr>
    </w:tbl>
    <w:p w:rsidR="008E7846" w:rsidRPr="001F6CBA" w:rsidRDefault="008E7846" w:rsidP="008E7846">
      <w:pPr>
        <w:pStyle w:val="NonTOCHeading2"/>
      </w:pPr>
      <w:r>
        <w:br w:type="page"/>
      </w:r>
      <w:r w:rsidRPr="001F6CBA">
        <w:lastRenderedPageBreak/>
        <w:t>About the Therapeutic Goods Administration (TGA)</w:t>
      </w:r>
    </w:p>
    <w:p w:rsidR="008E7846" w:rsidRDefault="008E7846" w:rsidP="006B74A7">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6B74A7">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6B74A7">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6B74A7">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6B74A7">
      <w:pPr>
        <w:pStyle w:val="ListBullet"/>
        <w:numPr>
          <w:ilvl w:val="0"/>
          <w:numId w:val="1"/>
        </w:numPr>
        <w:ind w:left="357" w:hanging="357"/>
      </w:pPr>
      <w:r>
        <w:t>To report a problem with a medicine or medical device, please see the information on the TGA website</w:t>
      </w:r>
      <w:r w:rsidR="00112F56">
        <w:t xml:space="preserve"> &lt;</w:t>
      </w:r>
      <w:hyperlink r:id="rId8"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2903B5" w:rsidRDefault="003D0A3B" w:rsidP="002903B5">
      <w:pPr>
        <w:pStyle w:val="ListBullet"/>
      </w:pPr>
      <w:r w:rsidRPr="003D0A3B">
        <w:t>For the most recent Product Information (PI), please refer to the TGA website</w:t>
      </w:r>
      <w:r>
        <w:t xml:space="preserve"> </w:t>
      </w:r>
      <w:r w:rsidR="00B1425E" w:rsidRPr="00B1425E">
        <w:t>&lt;</w:t>
      </w:r>
      <w:hyperlink r:id="rId9" w:history="1">
        <w:r w:rsidR="00B1425E" w:rsidRPr="00B1425E">
          <w:rPr>
            <w:rStyle w:val="Hyperlink"/>
          </w:rPr>
          <w:t>http://www.tga.gov.au/hp/information-medicines-pi.htm</w:t>
        </w:r>
      </w:hyperlink>
      <w:r w:rsidR="0017078F">
        <w:t>&gt;.</w:t>
      </w:r>
    </w:p>
    <w:p w:rsidR="00924482" w:rsidRDefault="002903B5" w:rsidP="00A574ED">
      <w:pPr>
        <w:pStyle w:val="LegalCopy"/>
        <w:spacing w:before="3840"/>
        <w:rPr>
          <w:rFonts w:cs="Arial"/>
        </w:rPr>
      </w:pPr>
      <w:r w:rsidRPr="002903B5">
        <w:rPr>
          <w:rFonts w:cs="Arial"/>
          <w:b/>
          <w:lang w:val="en-GB"/>
        </w:rPr>
        <w:t>Copyright</w:t>
      </w:r>
      <w:r w:rsidRPr="002903B5">
        <w:rPr>
          <w:rFonts w:cs="Arial"/>
          <w:b/>
          <w:lang w:val="en-GB"/>
        </w:rPr>
        <w:br/>
      </w:r>
      <w:r w:rsidR="00924482" w:rsidRPr="00191B3B">
        <w:rPr>
          <w:rFonts w:cs="Arial"/>
          <w:lang w:val="en-GB"/>
        </w:rPr>
        <w:t>© Comm</w:t>
      </w:r>
      <w:r w:rsidR="00924482">
        <w:rPr>
          <w:rFonts w:cs="Arial"/>
          <w:lang w:val="en-GB"/>
        </w:rPr>
        <w:t>onwealth of Australia 201</w:t>
      </w:r>
      <w:r w:rsidR="00BF1190">
        <w:rPr>
          <w:rFonts w:cs="Arial"/>
          <w:lang w:val="en-GB"/>
        </w:rPr>
        <w:t>3</w:t>
      </w:r>
      <w:r w:rsidR="00924482"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00924482" w:rsidRPr="00191B3B">
        <w:rPr>
          <w:rFonts w:cs="Arial"/>
          <w:i/>
          <w:lang w:val="en-GB"/>
        </w:rPr>
        <w:t>Copyright Act 1968</w:t>
      </w:r>
      <w:r w:rsidR="00924482"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00924482" w:rsidRPr="00191B3B">
        <w:rPr>
          <w:rFonts w:cs="Arial"/>
          <w:lang w:val="en-GB"/>
        </w:rPr>
        <w:t>Woden</w:t>
      </w:r>
      <w:proofErr w:type="spellEnd"/>
      <w:r w:rsidR="00924482" w:rsidRPr="00191B3B">
        <w:rPr>
          <w:rFonts w:cs="Arial"/>
          <w:lang w:val="en-GB"/>
        </w:rPr>
        <w:t xml:space="preserve"> ACT 2606 or emailed to &lt;</w:t>
      </w:r>
      <w:hyperlink r:id="rId10" w:history="1">
        <w:r w:rsidR="00924482" w:rsidRPr="00191B3B">
          <w:rPr>
            <w:rStyle w:val="Hyperlink"/>
            <w:rFonts w:cs="Arial"/>
            <w:lang w:val="en-GB"/>
          </w:rPr>
          <w:t>tga.copyright@tga.gov.au</w:t>
        </w:r>
      </w:hyperlink>
      <w:r w:rsidR="00924482" w:rsidRPr="00191B3B">
        <w:rPr>
          <w:rFonts w:cs="Arial"/>
        </w:rPr>
        <w:t>&gt;.</w:t>
      </w:r>
    </w:p>
    <w:p w:rsidR="002903B5" w:rsidRDefault="002903B5" w:rsidP="00924482">
      <w:pPr>
        <w:pStyle w:val="LegalCopy"/>
      </w:pP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p w:rsidR="0089635C" w:rsidRPr="0089635C" w:rsidRDefault="0089635C" w:rsidP="0010788A">
      <w:pPr>
        <w:pStyle w:val="Contents"/>
      </w:pPr>
      <w:bookmarkStart w:id="0" w:name="_Toc196046425"/>
      <w:bookmarkStart w:id="1" w:name="_Toc247691501"/>
      <w:r w:rsidRPr="0010788A">
        <w:lastRenderedPageBreak/>
        <w:t>Contents</w:t>
      </w:r>
    </w:p>
    <w:p w:rsidR="00771DFD" w:rsidRDefault="00852230">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73928620" w:history="1">
        <w:r w:rsidR="00771DFD" w:rsidRPr="0060005A">
          <w:rPr>
            <w:rStyle w:val="Hyperlink"/>
            <w:noProof/>
          </w:rPr>
          <w:t>List of abbreviations</w:t>
        </w:r>
        <w:r w:rsidR="00771DFD">
          <w:rPr>
            <w:noProof/>
            <w:webHidden/>
          </w:rPr>
          <w:tab/>
        </w:r>
        <w:r>
          <w:rPr>
            <w:noProof/>
            <w:webHidden/>
          </w:rPr>
          <w:fldChar w:fldCharType="begin"/>
        </w:r>
        <w:r w:rsidR="00771DFD">
          <w:rPr>
            <w:noProof/>
            <w:webHidden/>
          </w:rPr>
          <w:instrText xml:space="preserve"> PAGEREF _Toc373928620 \h </w:instrText>
        </w:r>
        <w:r>
          <w:rPr>
            <w:noProof/>
            <w:webHidden/>
          </w:rPr>
        </w:r>
        <w:r>
          <w:rPr>
            <w:noProof/>
            <w:webHidden/>
          </w:rPr>
          <w:fldChar w:fldCharType="separate"/>
        </w:r>
        <w:r w:rsidR="00771DFD">
          <w:rPr>
            <w:noProof/>
            <w:webHidden/>
          </w:rPr>
          <w:t>5</w:t>
        </w:r>
        <w:r>
          <w:rPr>
            <w:noProof/>
            <w:webHidden/>
          </w:rPr>
          <w:fldChar w:fldCharType="end"/>
        </w:r>
      </w:hyperlink>
    </w:p>
    <w:p w:rsidR="00771DFD" w:rsidRDefault="00852230">
      <w:pPr>
        <w:pStyle w:val="TOC2"/>
        <w:tabs>
          <w:tab w:val="left" w:pos="1100"/>
        </w:tabs>
        <w:rPr>
          <w:rFonts w:asciiTheme="minorHAnsi" w:eastAsiaTheme="minorEastAsia" w:hAnsiTheme="minorHAnsi" w:cstheme="minorBidi"/>
          <w:b w:val="0"/>
          <w:noProof/>
          <w:sz w:val="22"/>
          <w:lang w:eastAsia="en-AU"/>
        </w:rPr>
      </w:pPr>
      <w:hyperlink w:anchor="_Toc373928621" w:history="1">
        <w:r w:rsidR="00771DFD" w:rsidRPr="0060005A">
          <w:rPr>
            <w:rStyle w:val="Hyperlink"/>
            <w:noProof/>
            <w:lang w:eastAsia="en-AU"/>
          </w:rPr>
          <w:t>1.</w:t>
        </w:r>
        <w:r w:rsidR="00771DFD">
          <w:rPr>
            <w:rFonts w:asciiTheme="minorHAnsi" w:eastAsiaTheme="minorEastAsia" w:hAnsiTheme="minorHAnsi" w:cstheme="minorBidi"/>
            <w:b w:val="0"/>
            <w:noProof/>
            <w:sz w:val="22"/>
            <w:lang w:eastAsia="en-AU"/>
          </w:rPr>
          <w:tab/>
        </w:r>
        <w:r w:rsidR="00771DFD" w:rsidRPr="0060005A">
          <w:rPr>
            <w:rStyle w:val="Hyperlink"/>
            <w:noProof/>
            <w:lang w:eastAsia="en-AU"/>
          </w:rPr>
          <w:t>Clinical rationale</w:t>
        </w:r>
        <w:r w:rsidR="00771DFD">
          <w:rPr>
            <w:noProof/>
            <w:webHidden/>
          </w:rPr>
          <w:tab/>
        </w:r>
        <w:r>
          <w:rPr>
            <w:noProof/>
            <w:webHidden/>
          </w:rPr>
          <w:fldChar w:fldCharType="begin"/>
        </w:r>
        <w:r w:rsidR="00771DFD">
          <w:rPr>
            <w:noProof/>
            <w:webHidden/>
          </w:rPr>
          <w:instrText xml:space="preserve"> PAGEREF _Toc373928621 \h </w:instrText>
        </w:r>
        <w:r>
          <w:rPr>
            <w:noProof/>
            <w:webHidden/>
          </w:rPr>
        </w:r>
        <w:r>
          <w:rPr>
            <w:noProof/>
            <w:webHidden/>
          </w:rPr>
          <w:fldChar w:fldCharType="separate"/>
        </w:r>
        <w:r w:rsidR="00771DFD">
          <w:rPr>
            <w:noProof/>
            <w:webHidden/>
          </w:rPr>
          <w:t>8</w:t>
        </w:r>
        <w:r>
          <w:rPr>
            <w:noProof/>
            <w:webHidden/>
          </w:rPr>
          <w:fldChar w:fldCharType="end"/>
        </w:r>
      </w:hyperlink>
    </w:p>
    <w:p w:rsidR="00771DFD" w:rsidRDefault="00852230">
      <w:pPr>
        <w:pStyle w:val="TOC2"/>
        <w:tabs>
          <w:tab w:val="left" w:pos="1100"/>
        </w:tabs>
        <w:rPr>
          <w:rFonts w:asciiTheme="minorHAnsi" w:eastAsiaTheme="minorEastAsia" w:hAnsiTheme="minorHAnsi" w:cstheme="minorBidi"/>
          <w:b w:val="0"/>
          <w:noProof/>
          <w:sz w:val="22"/>
          <w:lang w:eastAsia="en-AU"/>
        </w:rPr>
      </w:pPr>
      <w:hyperlink w:anchor="_Toc373928622" w:history="1">
        <w:r w:rsidR="00771DFD" w:rsidRPr="0060005A">
          <w:rPr>
            <w:rStyle w:val="Hyperlink"/>
            <w:noProof/>
            <w:lang w:eastAsia="en-AU"/>
          </w:rPr>
          <w:t>2.</w:t>
        </w:r>
        <w:r w:rsidR="00771DFD">
          <w:rPr>
            <w:rFonts w:asciiTheme="minorHAnsi" w:eastAsiaTheme="minorEastAsia" w:hAnsiTheme="minorHAnsi" w:cstheme="minorBidi"/>
            <w:b w:val="0"/>
            <w:noProof/>
            <w:sz w:val="22"/>
            <w:lang w:eastAsia="en-AU"/>
          </w:rPr>
          <w:tab/>
        </w:r>
        <w:r w:rsidR="00771DFD" w:rsidRPr="0060005A">
          <w:rPr>
            <w:rStyle w:val="Hyperlink"/>
            <w:noProof/>
            <w:lang w:eastAsia="en-AU"/>
          </w:rPr>
          <w:t>Contents of the clinical dossier</w:t>
        </w:r>
        <w:r w:rsidR="00771DFD">
          <w:rPr>
            <w:noProof/>
            <w:webHidden/>
          </w:rPr>
          <w:tab/>
        </w:r>
        <w:r>
          <w:rPr>
            <w:noProof/>
            <w:webHidden/>
          </w:rPr>
          <w:fldChar w:fldCharType="begin"/>
        </w:r>
        <w:r w:rsidR="00771DFD">
          <w:rPr>
            <w:noProof/>
            <w:webHidden/>
          </w:rPr>
          <w:instrText xml:space="preserve"> PAGEREF _Toc373928622 \h </w:instrText>
        </w:r>
        <w:r>
          <w:rPr>
            <w:noProof/>
            <w:webHidden/>
          </w:rPr>
        </w:r>
        <w:r>
          <w:rPr>
            <w:noProof/>
            <w:webHidden/>
          </w:rPr>
          <w:fldChar w:fldCharType="separate"/>
        </w:r>
        <w:r w:rsidR="00771DFD">
          <w:rPr>
            <w:noProof/>
            <w:webHidden/>
          </w:rPr>
          <w:t>9</w:t>
        </w:r>
        <w:r>
          <w:rPr>
            <w:noProof/>
            <w:webHidden/>
          </w:rPr>
          <w:fldChar w:fldCharType="end"/>
        </w:r>
      </w:hyperlink>
    </w:p>
    <w:p w:rsidR="00771DFD" w:rsidRDefault="00852230">
      <w:pPr>
        <w:pStyle w:val="TOC3"/>
        <w:tabs>
          <w:tab w:val="left" w:pos="1760"/>
        </w:tabs>
        <w:rPr>
          <w:rFonts w:asciiTheme="minorHAnsi" w:eastAsiaTheme="minorEastAsia" w:hAnsiTheme="minorHAnsi" w:cstheme="minorBidi"/>
          <w:noProof/>
          <w:lang w:eastAsia="en-AU"/>
        </w:rPr>
      </w:pPr>
      <w:hyperlink w:anchor="_Toc373928623" w:history="1">
        <w:r w:rsidR="00771DFD" w:rsidRPr="0060005A">
          <w:rPr>
            <w:rStyle w:val="Hyperlink"/>
            <w:noProof/>
          </w:rPr>
          <w:t>2.1.</w:t>
        </w:r>
        <w:r w:rsidR="00771DFD">
          <w:rPr>
            <w:rFonts w:asciiTheme="minorHAnsi" w:eastAsiaTheme="minorEastAsia" w:hAnsiTheme="minorHAnsi" w:cstheme="minorBidi"/>
            <w:noProof/>
            <w:lang w:eastAsia="en-AU"/>
          </w:rPr>
          <w:tab/>
        </w:r>
        <w:r w:rsidR="00771DFD" w:rsidRPr="0060005A">
          <w:rPr>
            <w:rStyle w:val="Hyperlink"/>
            <w:noProof/>
          </w:rPr>
          <w:t>Scope of the clinical dossier</w:t>
        </w:r>
        <w:r w:rsidR="00771DFD">
          <w:rPr>
            <w:noProof/>
            <w:webHidden/>
          </w:rPr>
          <w:tab/>
        </w:r>
        <w:r>
          <w:rPr>
            <w:noProof/>
            <w:webHidden/>
          </w:rPr>
          <w:fldChar w:fldCharType="begin"/>
        </w:r>
        <w:r w:rsidR="00771DFD">
          <w:rPr>
            <w:noProof/>
            <w:webHidden/>
          </w:rPr>
          <w:instrText xml:space="preserve"> PAGEREF _Toc373928623 \h </w:instrText>
        </w:r>
        <w:r>
          <w:rPr>
            <w:noProof/>
            <w:webHidden/>
          </w:rPr>
        </w:r>
        <w:r>
          <w:rPr>
            <w:noProof/>
            <w:webHidden/>
          </w:rPr>
          <w:fldChar w:fldCharType="separate"/>
        </w:r>
        <w:r w:rsidR="00771DFD">
          <w:rPr>
            <w:noProof/>
            <w:webHidden/>
          </w:rPr>
          <w:t>9</w:t>
        </w:r>
        <w:r>
          <w:rPr>
            <w:noProof/>
            <w:webHidden/>
          </w:rPr>
          <w:fldChar w:fldCharType="end"/>
        </w:r>
      </w:hyperlink>
    </w:p>
    <w:p w:rsidR="00771DFD" w:rsidRDefault="00852230">
      <w:pPr>
        <w:pStyle w:val="TOC3"/>
        <w:tabs>
          <w:tab w:val="left" w:pos="1760"/>
        </w:tabs>
        <w:rPr>
          <w:rFonts w:asciiTheme="minorHAnsi" w:eastAsiaTheme="minorEastAsia" w:hAnsiTheme="minorHAnsi" w:cstheme="minorBidi"/>
          <w:noProof/>
          <w:lang w:eastAsia="en-AU"/>
        </w:rPr>
      </w:pPr>
      <w:hyperlink w:anchor="_Toc373928624" w:history="1">
        <w:r w:rsidR="00771DFD" w:rsidRPr="0060005A">
          <w:rPr>
            <w:rStyle w:val="Hyperlink"/>
            <w:noProof/>
          </w:rPr>
          <w:t>2.2.</w:t>
        </w:r>
        <w:r w:rsidR="00771DFD">
          <w:rPr>
            <w:rFonts w:asciiTheme="minorHAnsi" w:eastAsiaTheme="minorEastAsia" w:hAnsiTheme="minorHAnsi" w:cstheme="minorBidi"/>
            <w:noProof/>
            <w:lang w:eastAsia="en-AU"/>
          </w:rPr>
          <w:tab/>
        </w:r>
        <w:r w:rsidR="00771DFD" w:rsidRPr="0060005A">
          <w:rPr>
            <w:rStyle w:val="Hyperlink"/>
            <w:noProof/>
          </w:rPr>
          <w:t>Paediatric data</w:t>
        </w:r>
        <w:r w:rsidR="00771DFD">
          <w:rPr>
            <w:noProof/>
            <w:webHidden/>
          </w:rPr>
          <w:tab/>
        </w:r>
        <w:r>
          <w:rPr>
            <w:noProof/>
            <w:webHidden/>
          </w:rPr>
          <w:fldChar w:fldCharType="begin"/>
        </w:r>
        <w:r w:rsidR="00771DFD">
          <w:rPr>
            <w:noProof/>
            <w:webHidden/>
          </w:rPr>
          <w:instrText xml:space="preserve"> PAGEREF _Toc373928624 \h </w:instrText>
        </w:r>
        <w:r>
          <w:rPr>
            <w:noProof/>
            <w:webHidden/>
          </w:rPr>
        </w:r>
        <w:r>
          <w:rPr>
            <w:noProof/>
            <w:webHidden/>
          </w:rPr>
          <w:fldChar w:fldCharType="separate"/>
        </w:r>
        <w:r w:rsidR="00771DFD">
          <w:rPr>
            <w:noProof/>
            <w:webHidden/>
          </w:rPr>
          <w:t>9</w:t>
        </w:r>
        <w:r>
          <w:rPr>
            <w:noProof/>
            <w:webHidden/>
          </w:rPr>
          <w:fldChar w:fldCharType="end"/>
        </w:r>
      </w:hyperlink>
    </w:p>
    <w:p w:rsidR="00771DFD" w:rsidRDefault="00852230">
      <w:pPr>
        <w:pStyle w:val="TOC3"/>
        <w:tabs>
          <w:tab w:val="left" w:pos="1760"/>
        </w:tabs>
        <w:rPr>
          <w:rFonts w:asciiTheme="minorHAnsi" w:eastAsiaTheme="minorEastAsia" w:hAnsiTheme="minorHAnsi" w:cstheme="minorBidi"/>
          <w:noProof/>
          <w:lang w:eastAsia="en-AU"/>
        </w:rPr>
      </w:pPr>
      <w:hyperlink w:anchor="_Toc373928625" w:history="1">
        <w:r w:rsidR="00771DFD" w:rsidRPr="0060005A">
          <w:rPr>
            <w:rStyle w:val="Hyperlink"/>
            <w:noProof/>
          </w:rPr>
          <w:t>2.3.</w:t>
        </w:r>
        <w:r w:rsidR="00771DFD">
          <w:rPr>
            <w:rFonts w:asciiTheme="minorHAnsi" w:eastAsiaTheme="minorEastAsia" w:hAnsiTheme="minorHAnsi" w:cstheme="minorBidi"/>
            <w:noProof/>
            <w:lang w:eastAsia="en-AU"/>
          </w:rPr>
          <w:tab/>
        </w:r>
        <w:r w:rsidR="00771DFD" w:rsidRPr="0060005A">
          <w:rPr>
            <w:rStyle w:val="Hyperlink"/>
            <w:noProof/>
          </w:rPr>
          <w:t>Good clinical practice</w:t>
        </w:r>
        <w:r w:rsidR="00771DFD">
          <w:rPr>
            <w:noProof/>
            <w:webHidden/>
          </w:rPr>
          <w:tab/>
        </w:r>
        <w:r>
          <w:rPr>
            <w:noProof/>
            <w:webHidden/>
          </w:rPr>
          <w:fldChar w:fldCharType="begin"/>
        </w:r>
        <w:r w:rsidR="00771DFD">
          <w:rPr>
            <w:noProof/>
            <w:webHidden/>
          </w:rPr>
          <w:instrText xml:space="preserve"> PAGEREF _Toc373928625 \h </w:instrText>
        </w:r>
        <w:r>
          <w:rPr>
            <w:noProof/>
            <w:webHidden/>
          </w:rPr>
        </w:r>
        <w:r>
          <w:rPr>
            <w:noProof/>
            <w:webHidden/>
          </w:rPr>
          <w:fldChar w:fldCharType="separate"/>
        </w:r>
        <w:r w:rsidR="00771DFD">
          <w:rPr>
            <w:noProof/>
            <w:webHidden/>
          </w:rPr>
          <w:t>9</w:t>
        </w:r>
        <w:r>
          <w:rPr>
            <w:noProof/>
            <w:webHidden/>
          </w:rPr>
          <w:fldChar w:fldCharType="end"/>
        </w:r>
      </w:hyperlink>
    </w:p>
    <w:p w:rsidR="00771DFD" w:rsidRDefault="00852230">
      <w:pPr>
        <w:pStyle w:val="TOC2"/>
        <w:tabs>
          <w:tab w:val="left" w:pos="1100"/>
        </w:tabs>
        <w:rPr>
          <w:rFonts w:asciiTheme="minorHAnsi" w:eastAsiaTheme="minorEastAsia" w:hAnsiTheme="minorHAnsi" w:cstheme="minorBidi"/>
          <w:b w:val="0"/>
          <w:noProof/>
          <w:sz w:val="22"/>
          <w:lang w:eastAsia="en-AU"/>
        </w:rPr>
      </w:pPr>
      <w:hyperlink w:anchor="_Toc373928626" w:history="1">
        <w:r w:rsidR="00771DFD" w:rsidRPr="0060005A">
          <w:rPr>
            <w:rStyle w:val="Hyperlink"/>
            <w:noProof/>
          </w:rPr>
          <w:t>3.</w:t>
        </w:r>
        <w:r w:rsidR="00771DFD">
          <w:rPr>
            <w:rFonts w:asciiTheme="minorHAnsi" w:eastAsiaTheme="minorEastAsia" w:hAnsiTheme="minorHAnsi" w:cstheme="minorBidi"/>
            <w:b w:val="0"/>
            <w:noProof/>
            <w:sz w:val="22"/>
            <w:lang w:eastAsia="en-AU"/>
          </w:rPr>
          <w:tab/>
        </w:r>
        <w:r w:rsidR="00771DFD" w:rsidRPr="0060005A">
          <w:rPr>
            <w:rStyle w:val="Hyperlink"/>
            <w:noProof/>
          </w:rPr>
          <w:t>Pharmacokinetics</w:t>
        </w:r>
        <w:r w:rsidR="00771DFD">
          <w:rPr>
            <w:noProof/>
            <w:webHidden/>
          </w:rPr>
          <w:tab/>
        </w:r>
        <w:r>
          <w:rPr>
            <w:noProof/>
            <w:webHidden/>
          </w:rPr>
          <w:fldChar w:fldCharType="begin"/>
        </w:r>
        <w:r w:rsidR="00771DFD">
          <w:rPr>
            <w:noProof/>
            <w:webHidden/>
          </w:rPr>
          <w:instrText xml:space="preserve"> PAGEREF _Toc373928626 \h </w:instrText>
        </w:r>
        <w:r>
          <w:rPr>
            <w:noProof/>
            <w:webHidden/>
          </w:rPr>
        </w:r>
        <w:r>
          <w:rPr>
            <w:noProof/>
            <w:webHidden/>
          </w:rPr>
          <w:fldChar w:fldCharType="separate"/>
        </w:r>
        <w:r w:rsidR="00771DFD">
          <w:rPr>
            <w:noProof/>
            <w:webHidden/>
          </w:rPr>
          <w:t>9</w:t>
        </w:r>
        <w:r>
          <w:rPr>
            <w:noProof/>
            <w:webHidden/>
          </w:rPr>
          <w:fldChar w:fldCharType="end"/>
        </w:r>
      </w:hyperlink>
    </w:p>
    <w:p w:rsidR="00771DFD" w:rsidRDefault="00852230">
      <w:pPr>
        <w:pStyle w:val="TOC2"/>
        <w:tabs>
          <w:tab w:val="left" w:pos="1100"/>
        </w:tabs>
        <w:rPr>
          <w:rFonts w:asciiTheme="minorHAnsi" w:eastAsiaTheme="minorEastAsia" w:hAnsiTheme="minorHAnsi" w:cstheme="minorBidi"/>
          <w:b w:val="0"/>
          <w:noProof/>
          <w:sz w:val="22"/>
          <w:lang w:eastAsia="en-AU"/>
        </w:rPr>
      </w:pPr>
      <w:hyperlink w:anchor="_Toc373928627" w:history="1">
        <w:r w:rsidR="00771DFD" w:rsidRPr="0060005A">
          <w:rPr>
            <w:rStyle w:val="Hyperlink"/>
            <w:noProof/>
          </w:rPr>
          <w:t>4.</w:t>
        </w:r>
        <w:r w:rsidR="00771DFD">
          <w:rPr>
            <w:rFonts w:asciiTheme="minorHAnsi" w:eastAsiaTheme="minorEastAsia" w:hAnsiTheme="minorHAnsi" w:cstheme="minorBidi"/>
            <w:b w:val="0"/>
            <w:noProof/>
            <w:sz w:val="22"/>
            <w:lang w:eastAsia="en-AU"/>
          </w:rPr>
          <w:tab/>
        </w:r>
        <w:r w:rsidR="00771DFD" w:rsidRPr="0060005A">
          <w:rPr>
            <w:rStyle w:val="Hyperlink"/>
            <w:noProof/>
          </w:rPr>
          <w:t>Pharmacodynamics</w:t>
        </w:r>
        <w:r w:rsidR="00771DFD">
          <w:rPr>
            <w:noProof/>
            <w:webHidden/>
          </w:rPr>
          <w:tab/>
        </w:r>
        <w:r>
          <w:rPr>
            <w:noProof/>
            <w:webHidden/>
          </w:rPr>
          <w:fldChar w:fldCharType="begin"/>
        </w:r>
        <w:r w:rsidR="00771DFD">
          <w:rPr>
            <w:noProof/>
            <w:webHidden/>
          </w:rPr>
          <w:instrText xml:space="preserve"> PAGEREF _Toc373928627 \h </w:instrText>
        </w:r>
        <w:r>
          <w:rPr>
            <w:noProof/>
            <w:webHidden/>
          </w:rPr>
        </w:r>
        <w:r>
          <w:rPr>
            <w:noProof/>
            <w:webHidden/>
          </w:rPr>
          <w:fldChar w:fldCharType="separate"/>
        </w:r>
        <w:r w:rsidR="00771DFD">
          <w:rPr>
            <w:noProof/>
            <w:webHidden/>
          </w:rPr>
          <w:t>10</w:t>
        </w:r>
        <w:r>
          <w:rPr>
            <w:noProof/>
            <w:webHidden/>
          </w:rPr>
          <w:fldChar w:fldCharType="end"/>
        </w:r>
      </w:hyperlink>
    </w:p>
    <w:p w:rsidR="00771DFD" w:rsidRDefault="00852230">
      <w:pPr>
        <w:pStyle w:val="TOC2"/>
        <w:tabs>
          <w:tab w:val="left" w:pos="1100"/>
        </w:tabs>
        <w:rPr>
          <w:rFonts w:asciiTheme="minorHAnsi" w:eastAsiaTheme="minorEastAsia" w:hAnsiTheme="minorHAnsi" w:cstheme="minorBidi"/>
          <w:b w:val="0"/>
          <w:noProof/>
          <w:sz w:val="22"/>
          <w:lang w:eastAsia="en-AU"/>
        </w:rPr>
      </w:pPr>
      <w:hyperlink w:anchor="_Toc373928628" w:history="1">
        <w:r w:rsidR="00771DFD" w:rsidRPr="0060005A">
          <w:rPr>
            <w:rStyle w:val="Hyperlink"/>
            <w:noProof/>
          </w:rPr>
          <w:t>5.</w:t>
        </w:r>
        <w:r w:rsidR="00771DFD">
          <w:rPr>
            <w:rFonts w:asciiTheme="minorHAnsi" w:eastAsiaTheme="minorEastAsia" w:hAnsiTheme="minorHAnsi" w:cstheme="minorBidi"/>
            <w:b w:val="0"/>
            <w:noProof/>
            <w:sz w:val="22"/>
            <w:lang w:eastAsia="en-AU"/>
          </w:rPr>
          <w:tab/>
        </w:r>
        <w:r w:rsidR="00771DFD" w:rsidRPr="0060005A">
          <w:rPr>
            <w:rStyle w:val="Hyperlink"/>
            <w:noProof/>
          </w:rPr>
          <w:t>Dosage selection for the pivotal studies</w:t>
        </w:r>
        <w:r w:rsidR="00771DFD">
          <w:rPr>
            <w:noProof/>
            <w:webHidden/>
          </w:rPr>
          <w:tab/>
        </w:r>
        <w:r>
          <w:rPr>
            <w:noProof/>
            <w:webHidden/>
          </w:rPr>
          <w:fldChar w:fldCharType="begin"/>
        </w:r>
        <w:r w:rsidR="00771DFD">
          <w:rPr>
            <w:noProof/>
            <w:webHidden/>
          </w:rPr>
          <w:instrText xml:space="preserve"> PAGEREF _Toc373928628 \h </w:instrText>
        </w:r>
        <w:r>
          <w:rPr>
            <w:noProof/>
            <w:webHidden/>
          </w:rPr>
        </w:r>
        <w:r>
          <w:rPr>
            <w:noProof/>
            <w:webHidden/>
          </w:rPr>
          <w:fldChar w:fldCharType="separate"/>
        </w:r>
        <w:r w:rsidR="00771DFD">
          <w:rPr>
            <w:noProof/>
            <w:webHidden/>
          </w:rPr>
          <w:t>10</w:t>
        </w:r>
        <w:r>
          <w:rPr>
            <w:noProof/>
            <w:webHidden/>
          </w:rPr>
          <w:fldChar w:fldCharType="end"/>
        </w:r>
      </w:hyperlink>
    </w:p>
    <w:p w:rsidR="00771DFD" w:rsidRDefault="00852230">
      <w:pPr>
        <w:pStyle w:val="TOC2"/>
        <w:tabs>
          <w:tab w:val="left" w:pos="1100"/>
        </w:tabs>
        <w:rPr>
          <w:rFonts w:asciiTheme="minorHAnsi" w:eastAsiaTheme="minorEastAsia" w:hAnsiTheme="minorHAnsi" w:cstheme="minorBidi"/>
          <w:b w:val="0"/>
          <w:noProof/>
          <w:sz w:val="22"/>
          <w:lang w:eastAsia="en-AU"/>
        </w:rPr>
      </w:pPr>
      <w:hyperlink w:anchor="_Toc373928629" w:history="1">
        <w:r w:rsidR="00771DFD" w:rsidRPr="0060005A">
          <w:rPr>
            <w:rStyle w:val="Hyperlink"/>
            <w:noProof/>
          </w:rPr>
          <w:t>6.</w:t>
        </w:r>
        <w:r w:rsidR="00771DFD">
          <w:rPr>
            <w:rFonts w:asciiTheme="minorHAnsi" w:eastAsiaTheme="minorEastAsia" w:hAnsiTheme="minorHAnsi" w:cstheme="minorBidi"/>
            <w:b w:val="0"/>
            <w:noProof/>
            <w:sz w:val="22"/>
            <w:lang w:eastAsia="en-AU"/>
          </w:rPr>
          <w:tab/>
        </w:r>
        <w:r w:rsidR="00771DFD" w:rsidRPr="0060005A">
          <w:rPr>
            <w:rStyle w:val="Hyperlink"/>
            <w:noProof/>
          </w:rPr>
          <w:t>Clinical efficacy</w:t>
        </w:r>
        <w:r w:rsidR="00771DFD">
          <w:rPr>
            <w:noProof/>
            <w:webHidden/>
          </w:rPr>
          <w:tab/>
        </w:r>
        <w:r>
          <w:rPr>
            <w:noProof/>
            <w:webHidden/>
          </w:rPr>
          <w:fldChar w:fldCharType="begin"/>
        </w:r>
        <w:r w:rsidR="00771DFD">
          <w:rPr>
            <w:noProof/>
            <w:webHidden/>
          </w:rPr>
          <w:instrText xml:space="preserve"> PAGEREF _Toc373928629 \h </w:instrText>
        </w:r>
        <w:r>
          <w:rPr>
            <w:noProof/>
            <w:webHidden/>
          </w:rPr>
        </w:r>
        <w:r>
          <w:rPr>
            <w:noProof/>
            <w:webHidden/>
          </w:rPr>
          <w:fldChar w:fldCharType="separate"/>
        </w:r>
        <w:r w:rsidR="00771DFD">
          <w:rPr>
            <w:noProof/>
            <w:webHidden/>
          </w:rPr>
          <w:t>11</w:t>
        </w:r>
        <w:r>
          <w:rPr>
            <w:noProof/>
            <w:webHidden/>
          </w:rPr>
          <w:fldChar w:fldCharType="end"/>
        </w:r>
      </w:hyperlink>
    </w:p>
    <w:p w:rsidR="00771DFD" w:rsidRDefault="00852230">
      <w:pPr>
        <w:pStyle w:val="TOC3"/>
        <w:tabs>
          <w:tab w:val="left" w:pos="1760"/>
        </w:tabs>
        <w:rPr>
          <w:rFonts w:asciiTheme="minorHAnsi" w:eastAsiaTheme="minorEastAsia" w:hAnsiTheme="minorHAnsi" w:cstheme="minorBidi"/>
          <w:noProof/>
          <w:lang w:eastAsia="en-AU"/>
        </w:rPr>
      </w:pPr>
      <w:hyperlink w:anchor="_Toc373928630" w:history="1">
        <w:r w:rsidR="00771DFD" w:rsidRPr="0060005A">
          <w:rPr>
            <w:rStyle w:val="Hyperlink"/>
            <w:noProof/>
          </w:rPr>
          <w:t>6.1.</w:t>
        </w:r>
        <w:r w:rsidR="00771DFD">
          <w:rPr>
            <w:rFonts w:asciiTheme="minorHAnsi" w:eastAsiaTheme="minorEastAsia" w:hAnsiTheme="minorHAnsi" w:cstheme="minorBidi"/>
            <w:noProof/>
            <w:lang w:eastAsia="en-AU"/>
          </w:rPr>
          <w:tab/>
        </w:r>
        <w:r w:rsidR="00771DFD" w:rsidRPr="0060005A">
          <w:rPr>
            <w:rStyle w:val="Hyperlink"/>
            <w:noProof/>
          </w:rPr>
          <w:t>Pivotal efficacy study, Study 27025, “REFLEX” (n=517)</w:t>
        </w:r>
        <w:r w:rsidR="00771DFD">
          <w:rPr>
            <w:noProof/>
            <w:webHidden/>
          </w:rPr>
          <w:tab/>
        </w:r>
        <w:r>
          <w:rPr>
            <w:noProof/>
            <w:webHidden/>
          </w:rPr>
          <w:fldChar w:fldCharType="begin"/>
        </w:r>
        <w:r w:rsidR="00771DFD">
          <w:rPr>
            <w:noProof/>
            <w:webHidden/>
          </w:rPr>
          <w:instrText xml:space="preserve"> PAGEREF _Toc373928630 \h </w:instrText>
        </w:r>
        <w:r>
          <w:rPr>
            <w:noProof/>
            <w:webHidden/>
          </w:rPr>
        </w:r>
        <w:r>
          <w:rPr>
            <w:noProof/>
            <w:webHidden/>
          </w:rPr>
          <w:fldChar w:fldCharType="separate"/>
        </w:r>
        <w:r w:rsidR="00771DFD">
          <w:rPr>
            <w:noProof/>
            <w:webHidden/>
          </w:rPr>
          <w:t>11</w:t>
        </w:r>
        <w:r>
          <w:rPr>
            <w:noProof/>
            <w:webHidden/>
          </w:rPr>
          <w:fldChar w:fldCharType="end"/>
        </w:r>
      </w:hyperlink>
    </w:p>
    <w:p w:rsidR="00771DFD" w:rsidRDefault="00852230">
      <w:pPr>
        <w:pStyle w:val="TOC3"/>
        <w:tabs>
          <w:tab w:val="left" w:pos="1760"/>
        </w:tabs>
        <w:rPr>
          <w:rFonts w:asciiTheme="minorHAnsi" w:eastAsiaTheme="minorEastAsia" w:hAnsiTheme="minorHAnsi" w:cstheme="minorBidi"/>
          <w:noProof/>
          <w:lang w:eastAsia="en-AU"/>
        </w:rPr>
      </w:pPr>
      <w:hyperlink w:anchor="_Toc373928631" w:history="1">
        <w:r w:rsidR="00771DFD" w:rsidRPr="0060005A">
          <w:rPr>
            <w:rStyle w:val="Hyperlink"/>
            <w:noProof/>
          </w:rPr>
          <w:t>6.2.</w:t>
        </w:r>
        <w:r w:rsidR="00771DFD">
          <w:rPr>
            <w:rFonts w:asciiTheme="minorHAnsi" w:eastAsiaTheme="minorEastAsia" w:hAnsiTheme="minorHAnsi" w:cstheme="minorBidi"/>
            <w:noProof/>
            <w:lang w:eastAsia="en-AU"/>
          </w:rPr>
          <w:tab/>
        </w:r>
        <w:r w:rsidR="00771DFD" w:rsidRPr="0060005A">
          <w:rPr>
            <w:rStyle w:val="Hyperlink"/>
            <w:noProof/>
          </w:rPr>
          <w:t>Other efficacy studies</w:t>
        </w:r>
        <w:r w:rsidR="00771DFD">
          <w:rPr>
            <w:noProof/>
            <w:webHidden/>
          </w:rPr>
          <w:tab/>
        </w:r>
        <w:r>
          <w:rPr>
            <w:noProof/>
            <w:webHidden/>
          </w:rPr>
          <w:fldChar w:fldCharType="begin"/>
        </w:r>
        <w:r w:rsidR="00771DFD">
          <w:rPr>
            <w:noProof/>
            <w:webHidden/>
          </w:rPr>
          <w:instrText xml:space="preserve"> PAGEREF _Toc373928631 \h </w:instrText>
        </w:r>
        <w:r>
          <w:rPr>
            <w:noProof/>
            <w:webHidden/>
          </w:rPr>
        </w:r>
        <w:r>
          <w:rPr>
            <w:noProof/>
            <w:webHidden/>
          </w:rPr>
          <w:fldChar w:fldCharType="separate"/>
        </w:r>
        <w:r w:rsidR="00771DFD">
          <w:rPr>
            <w:noProof/>
            <w:webHidden/>
          </w:rPr>
          <w:t>30</w:t>
        </w:r>
        <w:r>
          <w:rPr>
            <w:noProof/>
            <w:webHidden/>
          </w:rPr>
          <w:fldChar w:fldCharType="end"/>
        </w:r>
      </w:hyperlink>
    </w:p>
    <w:p w:rsidR="00771DFD" w:rsidRDefault="00852230">
      <w:pPr>
        <w:pStyle w:val="TOC3"/>
        <w:tabs>
          <w:tab w:val="left" w:pos="1760"/>
        </w:tabs>
        <w:rPr>
          <w:rFonts w:asciiTheme="minorHAnsi" w:eastAsiaTheme="minorEastAsia" w:hAnsiTheme="minorHAnsi" w:cstheme="minorBidi"/>
          <w:noProof/>
          <w:lang w:eastAsia="en-AU"/>
        </w:rPr>
      </w:pPr>
      <w:hyperlink w:anchor="_Toc373928632" w:history="1">
        <w:r w:rsidR="00771DFD" w:rsidRPr="0060005A">
          <w:rPr>
            <w:rStyle w:val="Hyperlink"/>
            <w:noProof/>
          </w:rPr>
          <w:t>6.3.</w:t>
        </w:r>
        <w:r w:rsidR="00771DFD">
          <w:rPr>
            <w:rFonts w:asciiTheme="minorHAnsi" w:eastAsiaTheme="minorEastAsia" w:hAnsiTheme="minorHAnsi" w:cstheme="minorBidi"/>
            <w:noProof/>
            <w:lang w:eastAsia="en-AU"/>
          </w:rPr>
          <w:tab/>
        </w:r>
        <w:r w:rsidR="00771DFD" w:rsidRPr="0060005A">
          <w:rPr>
            <w:rStyle w:val="Hyperlink"/>
            <w:noProof/>
          </w:rPr>
          <w:t>Analyses performed across trials (pooled &amp; meta analyses)</w:t>
        </w:r>
        <w:r w:rsidR="00771DFD">
          <w:rPr>
            <w:noProof/>
            <w:webHidden/>
          </w:rPr>
          <w:tab/>
        </w:r>
        <w:r>
          <w:rPr>
            <w:noProof/>
            <w:webHidden/>
          </w:rPr>
          <w:fldChar w:fldCharType="begin"/>
        </w:r>
        <w:r w:rsidR="00771DFD">
          <w:rPr>
            <w:noProof/>
            <w:webHidden/>
          </w:rPr>
          <w:instrText xml:space="preserve"> PAGEREF _Toc373928632 \h </w:instrText>
        </w:r>
        <w:r>
          <w:rPr>
            <w:noProof/>
            <w:webHidden/>
          </w:rPr>
        </w:r>
        <w:r>
          <w:rPr>
            <w:noProof/>
            <w:webHidden/>
          </w:rPr>
          <w:fldChar w:fldCharType="separate"/>
        </w:r>
        <w:r w:rsidR="00771DFD">
          <w:rPr>
            <w:noProof/>
            <w:webHidden/>
          </w:rPr>
          <w:t>31</w:t>
        </w:r>
        <w:r>
          <w:rPr>
            <w:noProof/>
            <w:webHidden/>
          </w:rPr>
          <w:fldChar w:fldCharType="end"/>
        </w:r>
      </w:hyperlink>
    </w:p>
    <w:p w:rsidR="00771DFD" w:rsidRDefault="00852230">
      <w:pPr>
        <w:pStyle w:val="TOC3"/>
        <w:tabs>
          <w:tab w:val="left" w:pos="1760"/>
        </w:tabs>
        <w:rPr>
          <w:rFonts w:asciiTheme="minorHAnsi" w:eastAsiaTheme="minorEastAsia" w:hAnsiTheme="minorHAnsi" w:cstheme="minorBidi"/>
          <w:noProof/>
          <w:lang w:eastAsia="en-AU"/>
        </w:rPr>
      </w:pPr>
      <w:hyperlink w:anchor="_Toc373928633" w:history="1">
        <w:r w:rsidR="00771DFD" w:rsidRPr="0060005A">
          <w:rPr>
            <w:rStyle w:val="Hyperlink"/>
            <w:noProof/>
          </w:rPr>
          <w:t>6.4.</w:t>
        </w:r>
        <w:r w:rsidR="00771DFD">
          <w:rPr>
            <w:rFonts w:asciiTheme="minorHAnsi" w:eastAsiaTheme="minorEastAsia" w:hAnsiTheme="minorHAnsi" w:cstheme="minorBidi"/>
            <w:noProof/>
            <w:lang w:eastAsia="en-AU"/>
          </w:rPr>
          <w:tab/>
        </w:r>
        <w:r w:rsidR="00771DFD" w:rsidRPr="0060005A">
          <w:rPr>
            <w:rStyle w:val="Hyperlink"/>
            <w:noProof/>
          </w:rPr>
          <w:t>Evaluator’s conclusions on clinical efficacy for Rebif in CIS</w:t>
        </w:r>
        <w:r w:rsidR="00771DFD">
          <w:rPr>
            <w:noProof/>
            <w:webHidden/>
          </w:rPr>
          <w:tab/>
        </w:r>
        <w:r>
          <w:rPr>
            <w:noProof/>
            <w:webHidden/>
          </w:rPr>
          <w:fldChar w:fldCharType="begin"/>
        </w:r>
        <w:r w:rsidR="00771DFD">
          <w:rPr>
            <w:noProof/>
            <w:webHidden/>
          </w:rPr>
          <w:instrText xml:space="preserve"> PAGEREF _Toc373928633 \h </w:instrText>
        </w:r>
        <w:r>
          <w:rPr>
            <w:noProof/>
            <w:webHidden/>
          </w:rPr>
        </w:r>
        <w:r>
          <w:rPr>
            <w:noProof/>
            <w:webHidden/>
          </w:rPr>
          <w:fldChar w:fldCharType="separate"/>
        </w:r>
        <w:r w:rsidR="00771DFD">
          <w:rPr>
            <w:noProof/>
            <w:webHidden/>
          </w:rPr>
          <w:t>31</w:t>
        </w:r>
        <w:r>
          <w:rPr>
            <w:noProof/>
            <w:webHidden/>
          </w:rPr>
          <w:fldChar w:fldCharType="end"/>
        </w:r>
      </w:hyperlink>
    </w:p>
    <w:p w:rsidR="00771DFD" w:rsidRDefault="00852230">
      <w:pPr>
        <w:pStyle w:val="TOC2"/>
        <w:tabs>
          <w:tab w:val="left" w:pos="1100"/>
        </w:tabs>
        <w:rPr>
          <w:rFonts w:asciiTheme="minorHAnsi" w:eastAsiaTheme="minorEastAsia" w:hAnsiTheme="minorHAnsi" w:cstheme="minorBidi"/>
          <w:b w:val="0"/>
          <w:noProof/>
          <w:sz w:val="22"/>
          <w:lang w:eastAsia="en-AU"/>
        </w:rPr>
      </w:pPr>
      <w:hyperlink w:anchor="_Toc373928634" w:history="1">
        <w:r w:rsidR="00771DFD" w:rsidRPr="0060005A">
          <w:rPr>
            <w:rStyle w:val="Hyperlink"/>
            <w:noProof/>
          </w:rPr>
          <w:t>7.</w:t>
        </w:r>
        <w:r w:rsidR="00771DFD">
          <w:rPr>
            <w:rFonts w:asciiTheme="minorHAnsi" w:eastAsiaTheme="minorEastAsia" w:hAnsiTheme="minorHAnsi" w:cstheme="minorBidi"/>
            <w:b w:val="0"/>
            <w:noProof/>
            <w:sz w:val="22"/>
            <w:lang w:eastAsia="en-AU"/>
          </w:rPr>
          <w:tab/>
        </w:r>
        <w:r w:rsidR="00771DFD" w:rsidRPr="0060005A">
          <w:rPr>
            <w:rStyle w:val="Hyperlink"/>
            <w:noProof/>
          </w:rPr>
          <w:t>Clinical safety</w:t>
        </w:r>
        <w:r w:rsidR="00771DFD">
          <w:rPr>
            <w:noProof/>
            <w:webHidden/>
          </w:rPr>
          <w:tab/>
        </w:r>
        <w:r>
          <w:rPr>
            <w:noProof/>
            <w:webHidden/>
          </w:rPr>
          <w:fldChar w:fldCharType="begin"/>
        </w:r>
        <w:r w:rsidR="00771DFD">
          <w:rPr>
            <w:noProof/>
            <w:webHidden/>
          </w:rPr>
          <w:instrText xml:space="preserve"> PAGEREF _Toc373928634 \h </w:instrText>
        </w:r>
        <w:r>
          <w:rPr>
            <w:noProof/>
            <w:webHidden/>
          </w:rPr>
        </w:r>
        <w:r>
          <w:rPr>
            <w:noProof/>
            <w:webHidden/>
          </w:rPr>
          <w:fldChar w:fldCharType="separate"/>
        </w:r>
        <w:r w:rsidR="00771DFD">
          <w:rPr>
            <w:noProof/>
            <w:webHidden/>
          </w:rPr>
          <w:t>32</w:t>
        </w:r>
        <w:r>
          <w:rPr>
            <w:noProof/>
            <w:webHidden/>
          </w:rPr>
          <w:fldChar w:fldCharType="end"/>
        </w:r>
      </w:hyperlink>
    </w:p>
    <w:p w:rsidR="00771DFD" w:rsidRDefault="00852230">
      <w:pPr>
        <w:pStyle w:val="TOC3"/>
        <w:tabs>
          <w:tab w:val="left" w:pos="1760"/>
        </w:tabs>
        <w:rPr>
          <w:rFonts w:asciiTheme="minorHAnsi" w:eastAsiaTheme="minorEastAsia" w:hAnsiTheme="minorHAnsi" w:cstheme="minorBidi"/>
          <w:noProof/>
          <w:lang w:eastAsia="en-AU"/>
        </w:rPr>
      </w:pPr>
      <w:hyperlink w:anchor="_Toc373928635" w:history="1">
        <w:r w:rsidR="00771DFD" w:rsidRPr="0060005A">
          <w:rPr>
            <w:rStyle w:val="Hyperlink"/>
            <w:noProof/>
          </w:rPr>
          <w:t>7.1.</w:t>
        </w:r>
        <w:r w:rsidR="00771DFD">
          <w:rPr>
            <w:rFonts w:asciiTheme="minorHAnsi" w:eastAsiaTheme="minorEastAsia" w:hAnsiTheme="minorHAnsi" w:cstheme="minorBidi"/>
            <w:noProof/>
            <w:lang w:eastAsia="en-AU"/>
          </w:rPr>
          <w:tab/>
        </w:r>
        <w:r w:rsidR="00771DFD" w:rsidRPr="0060005A">
          <w:rPr>
            <w:rStyle w:val="Hyperlink"/>
            <w:noProof/>
          </w:rPr>
          <w:t>Pivotal studies that assessed safety as a primary outcome</w:t>
        </w:r>
        <w:r w:rsidR="00771DFD">
          <w:rPr>
            <w:noProof/>
            <w:webHidden/>
          </w:rPr>
          <w:tab/>
        </w:r>
        <w:r>
          <w:rPr>
            <w:noProof/>
            <w:webHidden/>
          </w:rPr>
          <w:fldChar w:fldCharType="begin"/>
        </w:r>
        <w:r w:rsidR="00771DFD">
          <w:rPr>
            <w:noProof/>
            <w:webHidden/>
          </w:rPr>
          <w:instrText xml:space="preserve"> PAGEREF _Toc373928635 \h </w:instrText>
        </w:r>
        <w:r>
          <w:rPr>
            <w:noProof/>
            <w:webHidden/>
          </w:rPr>
        </w:r>
        <w:r>
          <w:rPr>
            <w:noProof/>
            <w:webHidden/>
          </w:rPr>
          <w:fldChar w:fldCharType="separate"/>
        </w:r>
        <w:r w:rsidR="00771DFD">
          <w:rPr>
            <w:noProof/>
            <w:webHidden/>
          </w:rPr>
          <w:t>32</w:t>
        </w:r>
        <w:r>
          <w:rPr>
            <w:noProof/>
            <w:webHidden/>
          </w:rPr>
          <w:fldChar w:fldCharType="end"/>
        </w:r>
      </w:hyperlink>
    </w:p>
    <w:p w:rsidR="00771DFD" w:rsidRDefault="00852230">
      <w:pPr>
        <w:pStyle w:val="TOC3"/>
        <w:tabs>
          <w:tab w:val="left" w:pos="1760"/>
        </w:tabs>
        <w:rPr>
          <w:rFonts w:asciiTheme="minorHAnsi" w:eastAsiaTheme="minorEastAsia" w:hAnsiTheme="minorHAnsi" w:cstheme="minorBidi"/>
          <w:noProof/>
          <w:lang w:eastAsia="en-AU"/>
        </w:rPr>
      </w:pPr>
      <w:hyperlink w:anchor="_Toc373928636" w:history="1">
        <w:r w:rsidR="00771DFD" w:rsidRPr="0060005A">
          <w:rPr>
            <w:rStyle w:val="Hyperlink"/>
            <w:noProof/>
          </w:rPr>
          <w:t>7.2.</w:t>
        </w:r>
        <w:r w:rsidR="00771DFD">
          <w:rPr>
            <w:rFonts w:asciiTheme="minorHAnsi" w:eastAsiaTheme="minorEastAsia" w:hAnsiTheme="minorHAnsi" w:cstheme="minorBidi"/>
            <w:noProof/>
            <w:lang w:eastAsia="en-AU"/>
          </w:rPr>
          <w:tab/>
        </w:r>
        <w:r w:rsidR="00771DFD" w:rsidRPr="0060005A">
          <w:rPr>
            <w:rStyle w:val="Hyperlink"/>
            <w:noProof/>
          </w:rPr>
          <w:t>Patient exposure</w:t>
        </w:r>
        <w:r w:rsidR="00771DFD">
          <w:rPr>
            <w:noProof/>
            <w:webHidden/>
          </w:rPr>
          <w:tab/>
        </w:r>
        <w:r>
          <w:rPr>
            <w:noProof/>
            <w:webHidden/>
          </w:rPr>
          <w:fldChar w:fldCharType="begin"/>
        </w:r>
        <w:r w:rsidR="00771DFD">
          <w:rPr>
            <w:noProof/>
            <w:webHidden/>
          </w:rPr>
          <w:instrText xml:space="preserve"> PAGEREF _Toc373928636 \h </w:instrText>
        </w:r>
        <w:r>
          <w:rPr>
            <w:noProof/>
            <w:webHidden/>
          </w:rPr>
        </w:r>
        <w:r>
          <w:rPr>
            <w:noProof/>
            <w:webHidden/>
          </w:rPr>
          <w:fldChar w:fldCharType="separate"/>
        </w:r>
        <w:r w:rsidR="00771DFD">
          <w:rPr>
            <w:noProof/>
            <w:webHidden/>
          </w:rPr>
          <w:t>32</w:t>
        </w:r>
        <w:r>
          <w:rPr>
            <w:noProof/>
            <w:webHidden/>
          </w:rPr>
          <w:fldChar w:fldCharType="end"/>
        </w:r>
      </w:hyperlink>
    </w:p>
    <w:p w:rsidR="00771DFD" w:rsidRDefault="00852230">
      <w:pPr>
        <w:pStyle w:val="TOC3"/>
        <w:tabs>
          <w:tab w:val="left" w:pos="1760"/>
        </w:tabs>
        <w:rPr>
          <w:rFonts w:asciiTheme="minorHAnsi" w:eastAsiaTheme="minorEastAsia" w:hAnsiTheme="minorHAnsi" w:cstheme="minorBidi"/>
          <w:noProof/>
          <w:lang w:eastAsia="en-AU"/>
        </w:rPr>
      </w:pPr>
      <w:hyperlink w:anchor="_Toc373928637" w:history="1">
        <w:r w:rsidR="00771DFD" w:rsidRPr="0060005A">
          <w:rPr>
            <w:rStyle w:val="Hyperlink"/>
            <w:noProof/>
          </w:rPr>
          <w:t>7.3.</w:t>
        </w:r>
        <w:r w:rsidR="00771DFD">
          <w:rPr>
            <w:rFonts w:asciiTheme="minorHAnsi" w:eastAsiaTheme="minorEastAsia" w:hAnsiTheme="minorHAnsi" w:cstheme="minorBidi"/>
            <w:noProof/>
            <w:lang w:eastAsia="en-AU"/>
          </w:rPr>
          <w:tab/>
        </w:r>
        <w:r w:rsidR="00771DFD" w:rsidRPr="0060005A">
          <w:rPr>
            <w:rStyle w:val="Hyperlink"/>
            <w:noProof/>
          </w:rPr>
          <w:t>Adverse events</w:t>
        </w:r>
        <w:r w:rsidR="00771DFD">
          <w:rPr>
            <w:noProof/>
            <w:webHidden/>
          </w:rPr>
          <w:tab/>
        </w:r>
        <w:r>
          <w:rPr>
            <w:noProof/>
            <w:webHidden/>
          </w:rPr>
          <w:fldChar w:fldCharType="begin"/>
        </w:r>
        <w:r w:rsidR="00771DFD">
          <w:rPr>
            <w:noProof/>
            <w:webHidden/>
          </w:rPr>
          <w:instrText xml:space="preserve"> PAGEREF _Toc373928637 \h </w:instrText>
        </w:r>
        <w:r>
          <w:rPr>
            <w:noProof/>
            <w:webHidden/>
          </w:rPr>
        </w:r>
        <w:r>
          <w:rPr>
            <w:noProof/>
            <w:webHidden/>
          </w:rPr>
          <w:fldChar w:fldCharType="separate"/>
        </w:r>
        <w:r w:rsidR="00771DFD">
          <w:rPr>
            <w:noProof/>
            <w:webHidden/>
          </w:rPr>
          <w:t>34</w:t>
        </w:r>
        <w:r>
          <w:rPr>
            <w:noProof/>
            <w:webHidden/>
          </w:rPr>
          <w:fldChar w:fldCharType="end"/>
        </w:r>
      </w:hyperlink>
    </w:p>
    <w:p w:rsidR="00771DFD" w:rsidRDefault="00852230">
      <w:pPr>
        <w:pStyle w:val="TOC3"/>
        <w:tabs>
          <w:tab w:val="left" w:pos="1760"/>
        </w:tabs>
        <w:rPr>
          <w:rFonts w:asciiTheme="minorHAnsi" w:eastAsiaTheme="minorEastAsia" w:hAnsiTheme="minorHAnsi" w:cstheme="minorBidi"/>
          <w:noProof/>
          <w:lang w:eastAsia="en-AU"/>
        </w:rPr>
      </w:pPr>
      <w:hyperlink w:anchor="_Toc373928638" w:history="1">
        <w:r w:rsidR="00771DFD" w:rsidRPr="0060005A">
          <w:rPr>
            <w:rStyle w:val="Hyperlink"/>
            <w:noProof/>
          </w:rPr>
          <w:t>7.4.</w:t>
        </w:r>
        <w:r w:rsidR="00771DFD">
          <w:rPr>
            <w:rFonts w:asciiTheme="minorHAnsi" w:eastAsiaTheme="minorEastAsia" w:hAnsiTheme="minorHAnsi" w:cstheme="minorBidi"/>
            <w:noProof/>
            <w:lang w:eastAsia="en-AU"/>
          </w:rPr>
          <w:tab/>
        </w:r>
        <w:r w:rsidR="00771DFD" w:rsidRPr="0060005A">
          <w:rPr>
            <w:rStyle w:val="Hyperlink"/>
            <w:noProof/>
          </w:rPr>
          <w:t>Laboratory tests</w:t>
        </w:r>
        <w:r w:rsidR="00771DFD">
          <w:rPr>
            <w:noProof/>
            <w:webHidden/>
          </w:rPr>
          <w:tab/>
        </w:r>
        <w:r>
          <w:rPr>
            <w:noProof/>
            <w:webHidden/>
          </w:rPr>
          <w:fldChar w:fldCharType="begin"/>
        </w:r>
        <w:r w:rsidR="00771DFD">
          <w:rPr>
            <w:noProof/>
            <w:webHidden/>
          </w:rPr>
          <w:instrText xml:space="preserve"> PAGEREF _Toc373928638 \h </w:instrText>
        </w:r>
        <w:r>
          <w:rPr>
            <w:noProof/>
            <w:webHidden/>
          </w:rPr>
        </w:r>
        <w:r>
          <w:rPr>
            <w:noProof/>
            <w:webHidden/>
          </w:rPr>
          <w:fldChar w:fldCharType="separate"/>
        </w:r>
        <w:r w:rsidR="00771DFD">
          <w:rPr>
            <w:noProof/>
            <w:webHidden/>
          </w:rPr>
          <w:t>41</w:t>
        </w:r>
        <w:r>
          <w:rPr>
            <w:noProof/>
            <w:webHidden/>
          </w:rPr>
          <w:fldChar w:fldCharType="end"/>
        </w:r>
      </w:hyperlink>
    </w:p>
    <w:p w:rsidR="00771DFD" w:rsidRDefault="00852230">
      <w:pPr>
        <w:pStyle w:val="TOC3"/>
        <w:tabs>
          <w:tab w:val="left" w:pos="1760"/>
        </w:tabs>
        <w:rPr>
          <w:rFonts w:asciiTheme="minorHAnsi" w:eastAsiaTheme="minorEastAsia" w:hAnsiTheme="minorHAnsi" w:cstheme="minorBidi"/>
          <w:noProof/>
          <w:lang w:eastAsia="en-AU"/>
        </w:rPr>
      </w:pPr>
      <w:hyperlink w:anchor="_Toc373928639" w:history="1">
        <w:r w:rsidR="00771DFD" w:rsidRPr="0060005A">
          <w:rPr>
            <w:rStyle w:val="Hyperlink"/>
            <w:noProof/>
          </w:rPr>
          <w:t>7.5.</w:t>
        </w:r>
        <w:r w:rsidR="00771DFD">
          <w:rPr>
            <w:rFonts w:asciiTheme="minorHAnsi" w:eastAsiaTheme="minorEastAsia" w:hAnsiTheme="minorHAnsi" w:cstheme="minorBidi"/>
            <w:noProof/>
            <w:lang w:eastAsia="en-AU"/>
          </w:rPr>
          <w:tab/>
        </w:r>
        <w:r w:rsidR="00771DFD" w:rsidRPr="0060005A">
          <w:rPr>
            <w:rStyle w:val="Hyperlink"/>
            <w:noProof/>
          </w:rPr>
          <w:t>Post-marketing experience</w:t>
        </w:r>
        <w:r w:rsidR="00771DFD">
          <w:rPr>
            <w:noProof/>
            <w:webHidden/>
          </w:rPr>
          <w:tab/>
        </w:r>
        <w:r>
          <w:rPr>
            <w:noProof/>
            <w:webHidden/>
          </w:rPr>
          <w:fldChar w:fldCharType="begin"/>
        </w:r>
        <w:r w:rsidR="00771DFD">
          <w:rPr>
            <w:noProof/>
            <w:webHidden/>
          </w:rPr>
          <w:instrText xml:space="preserve"> PAGEREF _Toc373928639 \h </w:instrText>
        </w:r>
        <w:r>
          <w:rPr>
            <w:noProof/>
            <w:webHidden/>
          </w:rPr>
        </w:r>
        <w:r>
          <w:rPr>
            <w:noProof/>
            <w:webHidden/>
          </w:rPr>
          <w:fldChar w:fldCharType="separate"/>
        </w:r>
        <w:r w:rsidR="00771DFD">
          <w:rPr>
            <w:noProof/>
            <w:webHidden/>
          </w:rPr>
          <w:t>49</w:t>
        </w:r>
        <w:r>
          <w:rPr>
            <w:noProof/>
            <w:webHidden/>
          </w:rPr>
          <w:fldChar w:fldCharType="end"/>
        </w:r>
      </w:hyperlink>
    </w:p>
    <w:p w:rsidR="00771DFD" w:rsidRDefault="00852230">
      <w:pPr>
        <w:pStyle w:val="TOC3"/>
        <w:tabs>
          <w:tab w:val="left" w:pos="1760"/>
        </w:tabs>
        <w:rPr>
          <w:rFonts w:asciiTheme="minorHAnsi" w:eastAsiaTheme="minorEastAsia" w:hAnsiTheme="minorHAnsi" w:cstheme="minorBidi"/>
          <w:noProof/>
          <w:lang w:eastAsia="en-AU"/>
        </w:rPr>
      </w:pPr>
      <w:hyperlink w:anchor="_Toc373928640" w:history="1">
        <w:r w:rsidR="00771DFD" w:rsidRPr="0060005A">
          <w:rPr>
            <w:rStyle w:val="Hyperlink"/>
            <w:noProof/>
          </w:rPr>
          <w:t>7.6.</w:t>
        </w:r>
        <w:r w:rsidR="00771DFD">
          <w:rPr>
            <w:rFonts w:asciiTheme="minorHAnsi" w:eastAsiaTheme="minorEastAsia" w:hAnsiTheme="minorHAnsi" w:cstheme="minorBidi"/>
            <w:noProof/>
            <w:lang w:eastAsia="en-AU"/>
          </w:rPr>
          <w:tab/>
        </w:r>
        <w:r w:rsidR="00771DFD" w:rsidRPr="0060005A">
          <w:rPr>
            <w:rStyle w:val="Hyperlink"/>
            <w:noProof/>
          </w:rPr>
          <w:t>Safety issues with the potential for major regulatory impact</w:t>
        </w:r>
        <w:r w:rsidR="00771DFD">
          <w:rPr>
            <w:noProof/>
            <w:webHidden/>
          </w:rPr>
          <w:tab/>
        </w:r>
        <w:r>
          <w:rPr>
            <w:noProof/>
            <w:webHidden/>
          </w:rPr>
          <w:fldChar w:fldCharType="begin"/>
        </w:r>
        <w:r w:rsidR="00771DFD">
          <w:rPr>
            <w:noProof/>
            <w:webHidden/>
          </w:rPr>
          <w:instrText xml:space="preserve"> PAGEREF _Toc373928640 \h </w:instrText>
        </w:r>
        <w:r>
          <w:rPr>
            <w:noProof/>
            <w:webHidden/>
          </w:rPr>
        </w:r>
        <w:r>
          <w:rPr>
            <w:noProof/>
            <w:webHidden/>
          </w:rPr>
          <w:fldChar w:fldCharType="separate"/>
        </w:r>
        <w:r w:rsidR="00771DFD">
          <w:rPr>
            <w:noProof/>
            <w:webHidden/>
          </w:rPr>
          <w:t>50</w:t>
        </w:r>
        <w:r>
          <w:rPr>
            <w:noProof/>
            <w:webHidden/>
          </w:rPr>
          <w:fldChar w:fldCharType="end"/>
        </w:r>
      </w:hyperlink>
    </w:p>
    <w:p w:rsidR="00771DFD" w:rsidRDefault="00852230">
      <w:pPr>
        <w:pStyle w:val="TOC3"/>
        <w:tabs>
          <w:tab w:val="left" w:pos="1760"/>
        </w:tabs>
        <w:rPr>
          <w:rFonts w:asciiTheme="minorHAnsi" w:eastAsiaTheme="minorEastAsia" w:hAnsiTheme="minorHAnsi" w:cstheme="minorBidi"/>
          <w:noProof/>
          <w:lang w:eastAsia="en-AU"/>
        </w:rPr>
      </w:pPr>
      <w:hyperlink w:anchor="_Toc373928641" w:history="1">
        <w:r w:rsidR="00771DFD" w:rsidRPr="0060005A">
          <w:rPr>
            <w:rStyle w:val="Hyperlink"/>
            <w:noProof/>
          </w:rPr>
          <w:t>7.7.</w:t>
        </w:r>
        <w:r w:rsidR="00771DFD">
          <w:rPr>
            <w:rFonts w:asciiTheme="minorHAnsi" w:eastAsiaTheme="minorEastAsia" w:hAnsiTheme="minorHAnsi" w:cstheme="minorBidi"/>
            <w:noProof/>
            <w:lang w:eastAsia="en-AU"/>
          </w:rPr>
          <w:tab/>
        </w:r>
        <w:r w:rsidR="00771DFD" w:rsidRPr="0060005A">
          <w:rPr>
            <w:rStyle w:val="Hyperlink"/>
            <w:noProof/>
          </w:rPr>
          <w:t>Other safety issues</w:t>
        </w:r>
        <w:r w:rsidR="00771DFD">
          <w:rPr>
            <w:noProof/>
            <w:webHidden/>
          </w:rPr>
          <w:tab/>
        </w:r>
        <w:r>
          <w:rPr>
            <w:noProof/>
            <w:webHidden/>
          </w:rPr>
          <w:fldChar w:fldCharType="begin"/>
        </w:r>
        <w:r w:rsidR="00771DFD">
          <w:rPr>
            <w:noProof/>
            <w:webHidden/>
          </w:rPr>
          <w:instrText xml:space="preserve"> PAGEREF _Toc373928641 \h </w:instrText>
        </w:r>
        <w:r>
          <w:rPr>
            <w:noProof/>
            <w:webHidden/>
          </w:rPr>
        </w:r>
        <w:r>
          <w:rPr>
            <w:noProof/>
            <w:webHidden/>
          </w:rPr>
          <w:fldChar w:fldCharType="separate"/>
        </w:r>
        <w:r w:rsidR="00771DFD">
          <w:rPr>
            <w:noProof/>
            <w:webHidden/>
          </w:rPr>
          <w:t>50</w:t>
        </w:r>
        <w:r>
          <w:rPr>
            <w:noProof/>
            <w:webHidden/>
          </w:rPr>
          <w:fldChar w:fldCharType="end"/>
        </w:r>
      </w:hyperlink>
    </w:p>
    <w:p w:rsidR="00771DFD" w:rsidRDefault="00852230">
      <w:pPr>
        <w:pStyle w:val="TOC3"/>
        <w:tabs>
          <w:tab w:val="left" w:pos="1760"/>
        </w:tabs>
        <w:rPr>
          <w:rFonts w:asciiTheme="minorHAnsi" w:eastAsiaTheme="minorEastAsia" w:hAnsiTheme="minorHAnsi" w:cstheme="minorBidi"/>
          <w:noProof/>
          <w:lang w:eastAsia="en-AU"/>
        </w:rPr>
      </w:pPr>
      <w:hyperlink w:anchor="_Toc373928642" w:history="1">
        <w:r w:rsidR="00771DFD" w:rsidRPr="0060005A">
          <w:rPr>
            <w:rStyle w:val="Hyperlink"/>
            <w:noProof/>
          </w:rPr>
          <w:t>7.8.</w:t>
        </w:r>
        <w:r w:rsidR="00771DFD">
          <w:rPr>
            <w:rFonts w:asciiTheme="minorHAnsi" w:eastAsiaTheme="minorEastAsia" w:hAnsiTheme="minorHAnsi" w:cstheme="minorBidi"/>
            <w:noProof/>
            <w:lang w:eastAsia="en-AU"/>
          </w:rPr>
          <w:tab/>
        </w:r>
        <w:r w:rsidR="00771DFD" w:rsidRPr="0060005A">
          <w:rPr>
            <w:rStyle w:val="Hyperlink"/>
            <w:noProof/>
          </w:rPr>
          <w:t>Evaluator’s overall conclusions on clinical safety</w:t>
        </w:r>
        <w:r w:rsidR="00771DFD">
          <w:rPr>
            <w:noProof/>
            <w:webHidden/>
          </w:rPr>
          <w:tab/>
        </w:r>
        <w:r>
          <w:rPr>
            <w:noProof/>
            <w:webHidden/>
          </w:rPr>
          <w:fldChar w:fldCharType="begin"/>
        </w:r>
        <w:r w:rsidR="00771DFD">
          <w:rPr>
            <w:noProof/>
            <w:webHidden/>
          </w:rPr>
          <w:instrText xml:space="preserve"> PAGEREF _Toc373928642 \h </w:instrText>
        </w:r>
        <w:r>
          <w:rPr>
            <w:noProof/>
            <w:webHidden/>
          </w:rPr>
        </w:r>
        <w:r>
          <w:rPr>
            <w:noProof/>
            <w:webHidden/>
          </w:rPr>
          <w:fldChar w:fldCharType="separate"/>
        </w:r>
        <w:r w:rsidR="00771DFD">
          <w:rPr>
            <w:noProof/>
            <w:webHidden/>
          </w:rPr>
          <w:t>51</w:t>
        </w:r>
        <w:r>
          <w:rPr>
            <w:noProof/>
            <w:webHidden/>
          </w:rPr>
          <w:fldChar w:fldCharType="end"/>
        </w:r>
      </w:hyperlink>
    </w:p>
    <w:p w:rsidR="00771DFD" w:rsidRDefault="00852230">
      <w:pPr>
        <w:pStyle w:val="TOC2"/>
        <w:tabs>
          <w:tab w:val="left" w:pos="1100"/>
        </w:tabs>
        <w:rPr>
          <w:rFonts w:asciiTheme="minorHAnsi" w:eastAsiaTheme="minorEastAsia" w:hAnsiTheme="minorHAnsi" w:cstheme="minorBidi"/>
          <w:b w:val="0"/>
          <w:noProof/>
          <w:sz w:val="22"/>
          <w:lang w:eastAsia="en-AU"/>
        </w:rPr>
      </w:pPr>
      <w:hyperlink w:anchor="_Toc373928643" w:history="1">
        <w:r w:rsidR="00771DFD" w:rsidRPr="0060005A">
          <w:rPr>
            <w:rStyle w:val="Hyperlink"/>
            <w:noProof/>
          </w:rPr>
          <w:t>8.</w:t>
        </w:r>
        <w:r w:rsidR="00771DFD">
          <w:rPr>
            <w:rFonts w:asciiTheme="minorHAnsi" w:eastAsiaTheme="minorEastAsia" w:hAnsiTheme="minorHAnsi" w:cstheme="minorBidi"/>
            <w:b w:val="0"/>
            <w:noProof/>
            <w:sz w:val="22"/>
            <w:lang w:eastAsia="en-AU"/>
          </w:rPr>
          <w:tab/>
        </w:r>
        <w:r w:rsidR="00771DFD" w:rsidRPr="0060005A">
          <w:rPr>
            <w:rStyle w:val="Hyperlink"/>
            <w:noProof/>
          </w:rPr>
          <w:t>First round benefit-risk assessment</w:t>
        </w:r>
        <w:r w:rsidR="00771DFD">
          <w:rPr>
            <w:noProof/>
            <w:webHidden/>
          </w:rPr>
          <w:tab/>
        </w:r>
        <w:r>
          <w:rPr>
            <w:noProof/>
            <w:webHidden/>
          </w:rPr>
          <w:fldChar w:fldCharType="begin"/>
        </w:r>
        <w:r w:rsidR="00771DFD">
          <w:rPr>
            <w:noProof/>
            <w:webHidden/>
          </w:rPr>
          <w:instrText xml:space="preserve"> PAGEREF _Toc373928643 \h </w:instrText>
        </w:r>
        <w:r>
          <w:rPr>
            <w:noProof/>
            <w:webHidden/>
          </w:rPr>
        </w:r>
        <w:r>
          <w:rPr>
            <w:noProof/>
            <w:webHidden/>
          </w:rPr>
          <w:fldChar w:fldCharType="separate"/>
        </w:r>
        <w:r w:rsidR="00771DFD">
          <w:rPr>
            <w:noProof/>
            <w:webHidden/>
          </w:rPr>
          <w:t>51</w:t>
        </w:r>
        <w:r>
          <w:rPr>
            <w:noProof/>
            <w:webHidden/>
          </w:rPr>
          <w:fldChar w:fldCharType="end"/>
        </w:r>
      </w:hyperlink>
    </w:p>
    <w:p w:rsidR="00771DFD" w:rsidRDefault="00852230">
      <w:pPr>
        <w:pStyle w:val="TOC3"/>
        <w:tabs>
          <w:tab w:val="left" w:pos="1760"/>
        </w:tabs>
        <w:rPr>
          <w:rFonts w:asciiTheme="minorHAnsi" w:eastAsiaTheme="minorEastAsia" w:hAnsiTheme="minorHAnsi" w:cstheme="minorBidi"/>
          <w:noProof/>
          <w:lang w:eastAsia="en-AU"/>
        </w:rPr>
      </w:pPr>
      <w:hyperlink w:anchor="_Toc373928644" w:history="1">
        <w:r w:rsidR="00771DFD" w:rsidRPr="0060005A">
          <w:rPr>
            <w:rStyle w:val="Hyperlink"/>
            <w:noProof/>
          </w:rPr>
          <w:t>8.1.</w:t>
        </w:r>
        <w:r w:rsidR="00771DFD">
          <w:rPr>
            <w:rFonts w:asciiTheme="minorHAnsi" w:eastAsiaTheme="minorEastAsia" w:hAnsiTheme="minorHAnsi" w:cstheme="minorBidi"/>
            <w:noProof/>
            <w:lang w:eastAsia="en-AU"/>
          </w:rPr>
          <w:tab/>
        </w:r>
        <w:r w:rsidR="00771DFD" w:rsidRPr="0060005A">
          <w:rPr>
            <w:rStyle w:val="Hyperlink"/>
            <w:noProof/>
          </w:rPr>
          <w:t>First round assessment of benefits</w:t>
        </w:r>
        <w:r w:rsidR="00771DFD">
          <w:rPr>
            <w:noProof/>
            <w:webHidden/>
          </w:rPr>
          <w:tab/>
        </w:r>
        <w:r>
          <w:rPr>
            <w:noProof/>
            <w:webHidden/>
          </w:rPr>
          <w:fldChar w:fldCharType="begin"/>
        </w:r>
        <w:r w:rsidR="00771DFD">
          <w:rPr>
            <w:noProof/>
            <w:webHidden/>
          </w:rPr>
          <w:instrText xml:space="preserve"> PAGEREF _Toc373928644 \h </w:instrText>
        </w:r>
        <w:r>
          <w:rPr>
            <w:noProof/>
            <w:webHidden/>
          </w:rPr>
        </w:r>
        <w:r>
          <w:rPr>
            <w:noProof/>
            <w:webHidden/>
          </w:rPr>
          <w:fldChar w:fldCharType="separate"/>
        </w:r>
        <w:r w:rsidR="00771DFD">
          <w:rPr>
            <w:noProof/>
            <w:webHidden/>
          </w:rPr>
          <w:t>51</w:t>
        </w:r>
        <w:r>
          <w:rPr>
            <w:noProof/>
            <w:webHidden/>
          </w:rPr>
          <w:fldChar w:fldCharType="end"/>
        </w:r>
      </w:hyperlink>
    </w:p>
    <w:p w:rsidR="00771DFD" w:rsidRDefault="00852230">
      <w:pPr>
        <w:pStyle w:val="TOC3"/>
        <w:tabs>
          <w:tab w:val="left" w:pos="1760"/>
        </w:tabs>
        <w:rPr>
          <w:rFonts w:asciiTheme="minorHAnsi" w:eastAsiaTheme="minorEastAsia" w:hAnsiTheme="minorHAnsi" w:cstheme="minorBidi"/>
          <w:noProof/>
          <w:lang w:eastAsia="en-AU"/>
        </w:rPr>
      </w:pPr>
      <w:hyperlink w:anchor="_Toc373928645" w:history="1">
        <w:r w:rsidR="00771DFD" w:rsidRPr="0060005A">
          <w:rPr>
            <w:rStyle w:val="Hyperlink"/>
            <w:noProof/>
          </w:rPr>
          <w:t>8.2.</w:t>
        </w:r>
        <w:r w:rsidR="00771DFD">
          <w:rPr>
            <w:rFonts w:asciiTheme="minorHAnsi" w:eastAsiaTheme="minorEastAsia" w:hAnsiTheme="minorHAnsi" w:cstheme="minorBidi"/>
            <w:noProof/>
            <w:lang w:eastAsia="en-AU"/>
          </w:rPr>
          <w:tab/>
        </w:r>
        <w:r w:rsidR="00771DFD" w:rsidRPr="0060005A">
          <w:rPr>
            <w:rStyle w:val="Hyperlink"/>
            <w:noProof/>
          </w:rPr>
          <w:t>First round assessment of risks</w:t>
        </w:r>
        <w:r w:rsidR="00771DFD">
          <w:rPr>
            <w:noProof/>
            <w:webHidden/>
          </w:rPr>
          <w:tab/>
        </w:r>
        <w:r>
          <w:rPr>
            <w:noProof/>
            <w:webHidden/>
          </w:rPr>
          <w:fldChar w:fldCharType="begin"/>
        </w:r>
        <w:r w:rsidR="00771DFD">
          <w:rPr>
            <w:noProof/>
            <w:webHidden/>
          </w:rPr>
          <w:instrText xml:space="preserve"> PAGEREF _Toc373928645 \h </w:instrText>
        </w:r>
        <w:r>
          <w:rPr>
            <w:noProof/>
            <w:webHidden/>
          </w:rPr>
        </w:r>
        <w:r>
          <w:rPr>
            <w:noProof/>
            <w:webHidden/>
          </w:rPr>
          <w:fldChar w:fldCharType="separate"/>
        </w:r>
        <w:r w:rsidR="00771DFD">
          <w:rPr>
            <w:noProof/>
            <w:webHidden/>
          </w:rPr>
          <w:t>52</w:t>
        </w:r>
        <w:r>
          <w:rPr>
            <w:noProof/>
            <w:webHidden/>
          </w:rPr>
          <w:fldChar w:fldCharType="end"/>
        </w:r>
      </w:hyperlink>
    </w:p>
    <w:p w:rsidR="00771DFD" w:rsidRDefault="00852230">
      <w:pPr>
        <w:pStyle w:val="TOC3"/>
        <w:tabs>
          <w:tab w:val="left" w:pos="1760"/>
        </w:tabs>
        <w:rPr>
          <w:rFonts w:asciiTheme="minorHAnsi" w:eastAsiaTheme="minorEastAsia" w:hAnsiTheme="minorHAnsi" w:cstheme="minorBidi"/>
          <w:noProof/>
          <w:lang w:eastAsia="en-AU"/>
        </w:rPr>
      </w:pPr>
      <w:hyperlink w:anchor="_Toc373928646" w:history="1">
        <w:r w:rsidR="00771DFD" w:rsidRPr="0060005A">
          <w:rPr>
            <w:rStyle w:val="Hyperlink"/>
            <w:noProof/>
          </w:rPr>
          <w:t>8.3.</w:t>
        </w:r>
        <w:r w:rsidR="00771DFD">
          <w:rPr>
            <w:rFonts w:asciiTheme="minorHAnsi" w:eastAsiaTheme="minorEastAsia" w:hAnsiTheme="minorHAnsi" w:cstheme="minorBidi"/>
            <w:noProof/>
            <w:lang w:eastAsia="en-AU"/>
          </w:rPr>
          <w:tab/>
        </w:r>
        <w:r w:rsidR="00771DFD" w:rsidRPr="0060005A">
          <w:rPr>
            <w:rStyle w:val="Hyperlink"/>
            <w:noProof/>
          </w:rPr>
          <w:t>First round assessment of benefit-risk balance</w:t>
        </w:r>
        <w:r w:rsidR="00771DFD">
          <w:rPr>
            <w:noProof/>
            <w:webHidden/>
          </w:rPr>
          <w:tab/>
        </w:r>
        <w:r>
          <w:rPr>
            <w:noProof/>
            <w:webHidden/>
          </w:rPr>
          <w:fldChar w:fldCharType="begin"/>
        </w:r>
        <w:r w:rsidR="00771DFD">
          <w:rPr>
            <w:noProof/>
            <w:webHidden/>
          </w:rPr>
          <w:instrText xml:space="preserve"> PAGEREF _Toc373928646 \h </w:instrText>
        </w:r>
        <w:r>
          <w:rPr>
            <w:noProof/>
            <w:webHidden/>
          </w:rPr>
        </w:r>
        <w:r>
          <w:rPr>
            <w:noProof/>
            <w:webHidden/>
          </w:rPr>
          <w:fldChar w:fldCharType="separate"/>
        </w:r>
        <w:r w:rsidR="00771DFD">
          <w:rPr>
            <w:noProof/>
            <w:webHidden/>
          </w:rPr>
          <w:t>53</w:t>
        </w:r>
        <w:r>
          <w:rPr>
            <w:noProof/>
            <w:webHidden/>
          </w:rPr>
          <w:fldChar w:fldCharType="end"/>
        </w:r>
      </w:hyperlink>
    </w:p>
    <w:p w:rsidR="00771DFD" w:rsidRDefault="00852230">
      <w:pPr>
        <w:pStyle w:val="TOC2"/>
        <w:tabs>
          <w:tab w:val="left" w:pos="1100"/>
        </w:tabs>
        <w:rPr>
          <w:rFonts w:asciiTheme="minorHAnsi" w:eastAsiaTheme="minorEastAsia" w:hAnsiTheme="minorHAnsi" w:cstheme="minorBidi"/>
          <w:b w:val="0"/>
          <w:noProof/>
          <w:sz w:val="22"/>
          <w:lang w:eastAsia="en-AU"/>
        </w:rPr>
      </w:pPr>
      <w:hyperlink w:anchor="_Toc373928647" w:history="1">
        <w:r w:rsidR="00771DFD" w:rsidRPr="0060005A">
          <w:rPr>
            <w:rStyle w:val="Hyperlink"/>
            <w:noProof/>
          </w:rPr>
          <w:t>9.</w:t>
        </w:r>
        <w:r w:rsidR="00771DFD">
          <w:rPr>
            <w:rFonts w:asciiTheme="minorHAnsi" w:eastAsiaTheme="minorEastAsia" w:hAnsiTheme="minorHAnsi" w:cstheme="minorBidi"/>
            <w:b w:val="0"/>
            <w:noProof/>
            <w:sz w:val="22"/>
            <w:lang w:eastAsia="en-AU"/>
          </w:rPr>
          <w:tab/>
        </w:r>
        <w:r w:rsidR="00771DFD" w:rsidRPr="0060005A">
          <w:rPr>
            <w:rStyle w:val="Hyperlink"/>
            <w:noProof/>
          </w:rPr>
          <w:t>First round recommendation regarding authorisation</w:t>
        </w:r>
        <w:r w:rsidR="00771DFD">
          <w:rPr>
            <w:noProof/>
            <w:webHidden/>
          </w:rPr>
          <w:tab/>
        </w:r>
        <w:r>
          <w:rPr>
            <w:noProof/>
            <w:webHidden/>
          </w:rPr>
          <w:fldChar w:fldCharType="begin"/>
        </w:r>
        <w:r w:rsidR="00771DFD">
          <w:rPr>
            <w:noProof/>
            <w:webHidden/>
          </w:rPr>
          <w:instrText xml:space="preserve"> PAGEREF _Toc373928647 \h </w:instrText>
        </w:r>
        <w:r>
          <w:rPr>
            <w:noProof/>
            <w:webHidden/>
          </w:rPr>
        </w:r>
        <w:r>
          <w:rPr>
            <w:noProof/>
            <w:webHidden/>
          </w:rPr>
          <w:fldChar w:fldCharType="separate"/>
        </w:r>
        <w:r w:rsidR="00771DFD">
          <w:rPr>
            <w:noProof/>
            <w:webHidden/>
          </w:rPr>
          <w:t>53</w:t>
        </w:r>
        <w:r>
          <w:rPr>
            <w:noProof/>
            <w:webHidden/>
          </w:rPr>
          <w:fldChar w:fldCharType="end"/>
        </w:r>
      </w:hyperlink>
    </w:p>
    <w:p w:rsidR="00771DFD" w:rsidRDefault="00852230">
      <w:pPr>
        <w:pStyle w:val="TOC2"/>
        <w:tabs>
          <w:tab w:val="left" w:pos="1320"/>
        </w:tabs>
        <w:rPr>
          <w:rFonts w:asciiTheme="minorHAnsi" w:eastAsiaTheme="minorEastAsia" w:hAnsiTheme="minorHAnsi" w:cstheme="minorBidi"/>
          <w:b w:val="0"/>
          <w:noProof/>
          <w:sz w:val="22"/>
          <w:lang w:eastAsia="en-AU"/>
        </w:rPr>
      </w:pPr>
      <w:hyperlink w:anchor="_Toc373928648" w:history="1">
        <w:r w:rsidR="00771DFD" w:rsidRPr="0060005A">
          <w:rPr>
            <w:rStyle w:val="Hyperlink"/>
            <w:noProof/>
          </w:rPr>
          <w:t>10.</w:t>
        </w:r>
        <w:r w:rsidR="00771DFD">
          <w:rPr>
            <w:rFonts w:asciiTheme="minorHAnsi" w:eastAsiaTheme="minorEastAsia" w:hAnsiTheme="minorHAnsi" w:cstheme="minorBidi"/>
            <w:b w:val="0"/>
            <w:noProof/>
            <w:sz w:val="22"/>
            <w:lang w:eastAsia="en-AU"/>
          </w:rPr>
          <w:tab/>
        </w:r>
        <w:r w:rsidR="00771DFD" w:rsidRPr="0060005A">
          <w:rPr>
            <w:rStyle w:val="Hyperlink"/>
            <w:noProof/>
          </w:rPr>
          <w:t>Clinical questions</w:t>
        </w:r>
        <w:r w:rsidR="00771DFD">
          <w:rPr>
            <w:noProof/>
            <w:webHidden/>
          </w:rPr>
          <w:tab/>
        </w:r>
        <w:r>
          <w:rPr>
            <w:noProof/>
            <w:webHidden/>
          </w:rPr>
          <w:fldChar w:fldCharType="begin"/>
        </w:r>
        <w:r w:rsidR="00771DFD">
          <w:rPr>
            <w:noProof/>
            <w:webHidden/>
          </w:rPr>
          <w:instrText xml:space="preserve"> PAGEREF _Toc373928648 \h </w:instrText>
        </w:r>
        <w:r>
          <w:rPr>
            <w:noProof/>
            <w:webHidden/>
          </w:rPr>
        </w:r>
        <w:r>
          <w:rPr>
            <w:noProof/>
            <w:webHidden/>
          </w:rPr>
          <w:fldChar w:fldCharType="separate"/>
        </w:r>
        <w:r w:rsidR="00771DFD">
          <w:rPr>
            <w:noProof/>
            <w:webHidden/>
          </w:rPr>
          <w:t>54</w:t>
        </w:r>
        <w:r>
          <w:rPr>
            <w:noProof/>
            <w:webHidden/>
          </w:rPr>
          <w:fldChar w:fldCharType="end"/>
        </w:r>
      </w:hyperlink>
    </w:p>
    <w:p w:rsidR="00771DFD" w:rsidRDefault="00852230">
      <w:pPr>
        <w:pStyle w:val="TOC3"/>
        <w:tabs>
          <w:tab w:val="left" w:pos="1760"/>
        </w:tabs>
        <w:rPr>
          <w:rFonts w:asciiTheme="minorHAnsi" w:eastAsiaTheme="minorEastAsia" w:hAnsiTheme="minorHAnsi" w:cstheme="minorBidi"/>
          <w:noProof/>
          <w:lang w:eastAsia="en-AU"/>
        </w:rPr>
      </w:pPr>
      <w:hyperlink w:anchor="_Toc373928649" w:history="1">
        <w:r w:rsidR="00771DFD" w:rsidRPr="0060005A">
          <w:rPr>
            <w:rStyle w:val="Hyperlink"/>
            <w:noProof/>
          </w:rPr>
          <w:t>10.1.</w:t>
        </w:r>
        <w:r w:rsidR="00771DFD">
          <w:rPr>
            <w:rFonts w:asciiTheme="minorHAnsi" w:eastAsiaTheme="minorEastAsia" w:hAnsiTheme="minorHAnsi" w:cstheme="minorBidi"/>
            <w:noProof/>
            <w:lang w:eastAsia="en-AU"/>
          </w:rPr>
          <w:tab/>
        </w:r>
        <w:r w:rsidR="00771DFD" w:rsidRPr="0060005A">
          <w:rPr>
            <w:rStyle w:val="Hyperlink"/>
            <w:noProof/>
          </w:rPr>
          <w:t>Pharmacokinetics</w:t>
        </w:r>
        <w:r w:rsidR="00771DFD">
          <w:rPr>
            <w:noProof/>
            <w:webHidden/>
          </w:rPr>
          <w:tab/>
        </w:r>
        <w:r>
          <w:rPr>
            <w:noProof/>
            <w:webHidden/>
          </w:rPr>
          <w:fldChar w:fldCharType="begin"/>
        </w:r>
        <w:r w:rsidR="00771DFD">
          <w:rPr>
            <w:noProof/>
            <w:webHidden/>
          </w:rPr>
          <w:instrText xml:space="preserve"> PAGEREF _Toc373928649 \h </w:instrText>
        </w:r>
        <w:r>
          <w:rPr>
            <w:noProof/>
            <w:webHidden/>
          </w:rPr>
        </w:r>
        <w:r>
          <w:rPr>
            <w:noProof/>
            <w:webHidden/>
          </w:rPr>
          <w:fldChar w:fldCharType="separate"/>
        </w:r>
        <w:r w:rsidR="00771DFD">
          <w:rPr>
            <w:noProof/>
            <w:webHidden/>
          </w:rPr>
          <w:t>54</w:t>
        </w:r>
        <w:r>
          <w:rPr>
            <w:noProof/>
            <w:webHidden/>
          </w:rPr>
          <w:fldChar w:fldCharType="end"/>
        </w:r>
      </w:hyperlink>
    </w:p>
    <w:p w:rsidR="00771DFD" w:rsidRDefault="00852230">
      <w:pPr>
        <w:pStyle w:val="TOC3"/>
        <w:tabs>
          <w:tab w:val="left" w:pos="1760"/>
        </w:tabs>
        <w:rPr>
          <w:rFonts w:asciiTheme="minorHAnsi" w:eastAsiaTheme="minorEastAsia" w:hAnsiTheme="minorHAnsi" w:cstheme="minorBidi"/>
          <w:noProof/>
          <w:lang w:eastAsia="en-AU"/>
        </w:rPr>
      </w:pPr>
      <w:hyperlink w:anchor="_Toc373928650" w:history="1">
        <w:r w:rsidR="00771DFD" w:rsidRPr="0060005A">
          <w:rPr>
            <w:rStyle w:val="Hyperlink"/>
            <w:noProof/>
          </w:rPr>
          <w:t>10.2.</w:t>
        </w:r>
        <w:r w:rsidR="00771DFD">
          <w:rPr>
            <w:rFonts w:asciiTheme="minorHAnsi" w:eastAsiaTheme="minorEastAsia" w:hAnsiTheme="minorHAnsi" w:cstheme="minorBidi"/>
            <w:noProof/>
            <w:lang w:eastAsia="en-AU"/>
          </w:rPr>
          <w:tab/>
        </w:r>
        <w:r w:rsidR="00771DFD" w:rsidRPr="0060005A">
          <w:rPr>
            <w:rStyle w:val="Hyperlink"/>
            <w:noProof/>
          </w:rPr>
          <w:t>Pharmacodynamics</w:t>
        </w:r>
        <w:r w:rsidR="00771DFD">
          <w:rPr>
            <w:noProof/>
            <w:webHidden/>
          </w:rPr>
          <w:tab/>
        </w:r>
        <w:r>
          <w:rPr>
            <w:noProof/>
            <w:webHidden/>
          </w:rPr>
          <w:fldChar w:fldCharType="begin"/>
        </w:r>
        <w:r w:rsidR="00771DFD">
          <w:rPr>
            <w:noProof/>
            <w:webHidden/>
          </w:rPr>
          <w:instrText xml:space="preserve"> PAGEREF _Toc373928650 \h </w:instrText>
        </w:r>
        <w:r>
          <w:rPr>
            <w:noProof/>
            <w:webHidden/>
          </w:rPr>
        </w:r>
        <w:r>
          <w:rPr>
            <w:noProof/>
            <w:webHidden/>
          </w:rPr>
          <w:fldChar w:fldCharType="separate"/>
        </w:r>
        <w:r w:rsidR="00771DFD">
          <w:rPr>
            <w:noProof/>
            <w:webHidden/>
          </w:rPr>
          <w:t>54</w:t>
        </w:r>
        <w:r>
          <w:rPr>
            <w:noProof/>
            <w:webHidden/>
          </w:rPr>
          <w:fldChar w:fldCharType="end"/>
        </w:r>
      </w:hyperlink>
    </w:p>
    <w:p w:rsidR="00771DFD" w:rsidRDefault="00852230">
      <w:pPr>
        <w:pStyle w:val="TOC3"/>
        <w:tabs>
          <w:tab w:val="left" w:pos="1760"/>
        </w:tabs>
        <w:rPr>
          <w:rFonts w:asciiTheme="minorHAnsi" w:eastAsiaTheme="minorEastAsia" w:hAnsiTheme="minorHAnsi" w:cstheme="minorBidi"/>
          <w:noProof/>
          <w:lang w:eastAsia="en-AU"/>
        </w:rPr>
      </w:pPr>
      <w:hyperlink w:anchor="_Toc373928651" w:history="1">
        <w:r w:rsidR="00771DFD" w:rsidRPr="0060005A">
          <w:rPr>
            <w:rStyle w:val="Hyperlink"/>
            <w:noProof/>
          </w:rPr>
          <w:t>10.3.</w:t>
        </w:r>
        <w:r w:rsidR="00771DFD">
          <w:rPr>
            <w:rFonts w:asciiTheme="minorHAnsi" w:eastAsiaTheme="minorEastAsia" w:hAnsiTheme="minorHAnsi" w:cstheme="minorBidi"/>
            <w:noProof/>
            <w:lang w:eastAsia="en-AU"/>
          </w:rPr>
          <w:tab/>
        </w:r>
        <w:r w:rsidR="00771DFD" w:rsidRPr="0060005A">
          <w:rPr>
            <w:rStyle w:val="Hyperlink"/>
            <w:noProof/>
          </w:rPr>
          <w:t>Efficacy</w:t>
        </w:r>
        <w:r w:rsidR="00771DFD">
          <w:rPr>
            <w:noProof/>
            <w:webHidden/>
          </w:rPr>
          <w:tab/>
        </w:r>
        <w:r>
          <w:rPr>
            <w:noProof/>
            <w:webHidden/>
          </w:rPr>
          <w:fldChar w:fldCharType="begin"/>
        </w:r>
        <w:r w:rsidR="00771DFD">
          <w:rPr>
            <w:noProof/>
            <w:webHidden/>
          </w:rPr>
          <w:instrText xml:space="preserve"> PAGEREF _Toc373928651 \h </w:instrText>
        </w:r>
        <w:r>
          <w:rPr>
            <w:noProof/>
            <w:webHidden/>
          </w:rPr>
        </w:r>
        <w:r>
          <w:rPr>
            <w:noProof/>
            <w:webHidden/>
          </w:rPr>
          <w:fldChar w:fldCharType="separate"/>
        </w:r>
        <w:r w:rsidR="00771DFD">
          <w:rPr>
            <w:noProof/>
            <w:webHidden/>
          </w:rPr>
          <w:t>54</w:t>
        </w:r>
        <w:r>
          <w:rPr>
            <w:noProof/>
            <w:webHidden/>
          </w:rPr>
          <w:fldChar w:fldCharType="end"/>
        </w:r>
      </w:hyperlink>
    </w:p>
    <w:p w:rsidR="00771DFD" w:rsidRDefault="00852230">
      <w:pPr>
        <w:pStyle w:val="TOC3"/>
        <w:tabs>
          <w:tab w:val="left" w:pos="1760"/>
        </w:tabs>
        <w:rPr>
          <w:rFonts w:asciiTheme="minorHAnsi" w:eastAsiaTheme="minorEastAsia" w:hAnsiTheme="minorHAnsi" w:cstheme="minorBidi"/>
          <w:noProof/>
          <w:lang w:eastAsia="en-AU"/>
        </w:rPr>
      </w:pPr>
      <w:hyperlink w:anchor="_Toc373928652" w:history="1">
        <w:r w:rsidR="00771DFD" w:rsidRPr="0060005A">
          <w:rPr>
            <w:rStyle w:val="Hyperlink"/>
            <w:noProof/>
          </w:rPr>
          <w:t>10.4.</w:t>
        </w:r>
        <w:r w:rsidR="00771DFD">
          <w:rPr>
            <w:rFonts w:asciiTheme="minorHAnsi" w:eastAsiaTheme="minorEastAsia" w:hAnsiTheme="minorHAnsi" w:cstheme="minorBidi"/>
            <w:noProof/>
            <w:lang w:eastAsia="en-AU"/>
          </w:rPr>
          <w:tab/>
        </w:r>
        <w:r w:rsidR="00771DFD" w:rsidRPr="0060005A">
          <w:rPr>
            <w:rStyle w:val="Hyperlink"/>
            <w:noProof/>
          </w:rPr>
          <w:t>Safety</w:t>
        </w:r>
        <w:r w:rsidR="00771DFD">
          <w:rPr>
            <w:noProof/>
            <w:webHidden/>
          </w:rPr>
          <w:tab/>
        </w:r>
        <w:r>
          <w:rPr>
            <w:noProof/>
            <w:webHidden/>
          </w:rPr>
          <w:fldChar w:fldCharType="begin"/>
        </w:r>
        <w:r w:rsidR="00771DFD">
          <w:rPr>
            <w:noProof/>
            <w:webHidden/>
          </w:rPr>
          <w:instrText xml:space="preserve"> PAGEREF _Toc373928652 \h </w:instrText>
        </w:r>
        <w:r>
          <w:rPr>
            <w:noProof/>
            <w:webHidden/>
          </w:rPr>
        </w:r>
        <w:r>
          <w:rPr>
            <w:noProof/>
            <w:webHidden/>
          </w:rPr>
          <w:fldChar w:fldCharType="separate"/>
        </w:r>
        <w:r w:rsidR="00771DFD">
          <w:rPr>
            <w:noProof/>
            <w:webHidden/>
          </w:rPr>
          <w:t>54</w:t>
        </w:r>
        <w:r>
          <w:rPr>
            <w:noProof/>
            <w:webHidden/>
          </w:rPr>
          <w:fldChar w:fldCharType="end"/>
        </w:r>
      </w:hyperlink>
    </w:p>
    <w:p w:rsidR="00771DFD" w:rsidRDefault="00852230">
      <w:pPr>
        <w:pStyle w:val="TOC2"/>
        <w:tabs>
          <w:tab w:val="left" w:pos="1320"/>
        </w:tabs>
        <w:rPr>
          <w:rFonts w:asciiTheme="minorHAnsi" w:eastAsiaTheme="minorEastAsia" w:hAnsiTheme="minorHAnsi" w:cstheme="minorBidi"/>
          <w:b w:val="0"/>
          <w:noProof/>
          <w:sz w:val="22"/>
          <w:lang w:eastAsia="en-AU"/>
        </w:rPr>
      </w:pPr>
      <w:hyperlink w:anchor="_Toc373928653" w:history="1">
        <w:r w:rsidR="00771DFD" w:rsidRPr="0060005A">
          <w:rPr>
            <w:rStyle w:val="Hyperlink"/>
            <w:noProof/>
          </w:rPr>
          <w:t>11.</w:t>
        </w:r>
        <w:r w:rsidR="00771DFD">
          <w:rPr>
            <w:rFonts w:asciiTheme="minorHAnsi" w:eastAsiaTheme="minorEastAsia" w:hAnsiTheme="minorHAnsi" w:cstheme="minorBidi"/>
            <w:b w:val="0"/>
            <w:noProof/>
            <w:sz w:val="22"/>
            <w:lang w:eastAsia="en-AU"/>
          </w:rPr>
          <w:tab/>
        </w:r>
        <w:r w:rsidR="00771DFD" w:rsidRPr="0060005A">
          <w:rPr>
            <w:rStyle w:val="Hyperlink"/>
            <w:noProof/>
          </w:rPr>
          <w:t>Second round evaluation of clinical data submitted in response to questions</w:t>
        </w:r>
        <w:r w:rsidR="00771DFD">
          <w:rPr>
            <w:noProof/>
            <w:webHidden/>
          </w:rPr>
          <w:tab/>
        </w:r>
        <w:r>
          <w:rPr>
            <w:noProof/>
            <w:webHidden/>
          </w:rPr>
          <w:fldChar w:fldCharType="begin"/>
        </w:r>
        <w:r w:rsidR="00771DFD">
          <w:rPr>
            <w:noProof/>
            <w:webHidden/>
          </w:rPr>
          <w:instrText xml:space="preserve"> PAGEREF _Toc373928653 \h </w:instrText>
        </w:r>
        <w:r>
          <w:rPr>
            <w:noProof/>
            <w:webHidden/>
          </w:rPr>
        </w:r>
        <w:r>
          <w:rPr>
            <w:noProof/>
            <w:webHidden/>
          </w:rPr>
          <w:fldChar w:fldCharType="separate"/>
        </w:r>
        <w:r w:rsidR="00771DFD">
          <w:rPr>
            <w:noProof/>
            <w:webHidden/>
          </w:rPr>
          <w:t>54</w:t>
        </w:r>
        <w:r>
          <w:rPr>
            <w:noProof/>
            <w:webHidden/>
          </w:rPr>
          <w:fldChar w:fldCharType="end"/>
        </w:r>
      </w:hyperlink>
    </w:p>
    <w:p w:rsidR="00771DFD" w:rsidRDefault="00852230">
      <w:pPr>
        <w:pStyle w:val="TOC3"/>
        <w:tabs>
          <w:tab w:val="left" w:pos="1760"/>
        </w:tabs>
        <w:rPr>
          <w:rFonts w:asciiTheme="minorHAnsi" w:eastAsiaTheme="minorEastAsia" w:hAnsiTheme="minorHAnsi" w:cstheme="minorBidi"/>
          <w:noProof/>
          <w:lang w:eastAsia="en-AU"/>
        </w:rPr>
      </w:pPr>
      <w:hyperlink w:anchor="_Toc373928654" w:history="1">
        <w:r w:rsidR="00771DFD" w:rsidRPr="0060005A">
          <w:rPr>
            <w:rStyle w:val="Hyperlink"/>
            <w:noProof/>
          </w:rPr>
          <w:t>11.1.</w:t>
        </w:r>
        <w:r w:rsidR="00771DFD">
          <w:rPr>
            <w:rFonts w:asciiTheme="minorHAnsi" w:eastAsiaTheme="minorEastAsia" w:hAnsiTheme="minorHAnsi" w:cstheme="minorBidi"/>
            <w:noProof/>
            <w:lang w:eastAsia="en-AU"/>
          </w:rPr>
          <w:tab/>
        </w:r>
        <w:r w:rsidR="00771DFD" w:rsidRPr="0060005A">
          <w:rPr>
            <w:rStyle w:val="Hyperlink"/>
            <w:noProof/>
          </w:rPr>
          <w:t>Question 1</w:t>
        </w:r>
        <w:r w:rsidR="00771DFD">
          <w:rPr>
            <w:noProof/>
            <w:webHidden/>
          </w:rPr>
          <w:tab/>
        </w:r>
        <w:r>
          <w:rPr>
            <w:noProof/>
            <w:webHidden/>
          </w:rPr>
          <w:fldChar w:fldCharType="begin"/>
        </w:r>
        <w:r w:rsidR="00771DFD">
          <w:rPr>
            <w:noProof/>
            <w:webHidden/>
          </w:rPr>
          <w:instrText xml:space="preserve"> PAGEREF _Toc373928654 \h </w:instrText>
        </w:r>
        <w:r>
          <w:rPr>
            <w:noProof/>
            <w:webHidden/>
          </w:rPr>
        </w:r>
        <w:r>
          <w:rPr>
            <w:noProof/>
            <w:webHidden/>
          </w:rPr>
          <w:fldChar w:fldCharType="separate"/>
        </w:r>
        <w:r w:rsidR="00771DFD">
          <w:rPr>
            <w:noProof/>
            <w:webHidden/>
          </w:rPr>
          <w:t>54</w:t>
        </w:r>
        <w:r>
          <w:rPr>
            <w:noProof/>
            <w:webHidden/>
          </w:rPr>
          <w:fldChar w:fldCharType="end"/>
        </w:r>
      </w:hyperlink>
    </w:p>
    <w:p w:rsidR="00771DFD" w:rsidRDefault="00852230">
      <w:pPr>
        <w:pStyle w:val="TOC3"/>
        <w:tabs>
          <w:tab w:val="left" w:pos="1760"/>
        </w:tabs>
        <w:rPr>
          <w:rFonts w:asciiTheme="minorHAnsi" w:eastAsiaTheme="minorEastAsia" w:hAnsiTheme="minorHAnsi" w:cstheme="minorBidi"/>
          <w:noProof/>
          <w:lang w:eastAsia="en-AU"/>
        </w:rPr>
      </w:pPr>
      <w:hyperlink w:anchor="_Toc373928655" w:history="1">
        <w:r w:rsidR="00771DFD" w:rsidRPr="0060005A">
          <w:rPr>
            <w:rStyle w:val="Hyperlink"/>
            <w:noProof/>
          </w:rPr>
          <w:t>11.2.</w:t>
        </w:r>
        <w:r w:rsidR="00771DFD">
          <w:rPr>
            <w:rFonts w:asciiTheme="minorHAnsi" w:eastAsiaTheme="minorEastAsia" w:hAnsiTheme="minorHAnsi" w:cstheme="minorBidi"/>
            <w:noProof/>
            <w:lang w:eastAsia="en-AU"/>
          </w:rPr>
          <w:tab/>
        </w:r>
        <w:r w:rsidR="00771DFD" w:rsidRPr="0060005A">
          <w:rPr>
            <w:rStyle w:val="Hyperlink"/>
            <w:noProof/>
          </w:rPr>
          <w:t>Question 2</w:t>
        </w:r>
        <w:r w:rsidR="00771DFD">
          <w:rPr>
            <w:noProof/>
            <w:webHidden/>
          </w:rPr>
          <w:tab/>
        </w:r>
        <w:r>
          <w:rPr>
            <w:noProof/>
            <w:webHidden/>
          </w:rPr>
          <w:fldChar w:fldCharType="begin"/>
        </w:r>
        <w:r w:rsidR="00771DFD">
          <w:rPr>
            <w:noProof/>
            <w:webHidden/>
          </w:rPr>
          <w:instrText xml:space="preserve"> PAGEREF _Toc373928655 \h </w:instrText>
        </w:r>
        <w:r>
          <w:rPr>
            <w:noProof/>
            <w:webHidden/>
          </w:rPr>
        </w:r>
        <w:r>
          <w:rPr>
            <w:noProof/>
            <w:webHidden/>
          </w:rPr>
          <w:fldChar w:fldCharType="separate"/>
        </w:r>
        <w:r w:rsidR="00771DFD">
          <w:rPr>
            <w:noProof/>
            <w:webHidden/>
          </w:rPr>
          <w:t>55</w:t>
        </w:r>
        <w:r>
          <w:rPr>
            <w:noProof/>
            <w:webHidden/>
          </w:rPr>
          <w:fldChar w:fldCharType="end"/>
        </w:r>
      </w:hyperlink>
    </w:p>
    <w:p w:rsidR="00771DFD" w:rsidRDefault="00852230">
      <w:pPr>
        <w:pStyle w:val="TOC3"/>
        <w:tabs>
          <w:tab w:val="left" w:pos="1760"/>
        </w:tabs>
        <w:rPr>
          <w:rFonts w:asciiTheme="minorHAnsi" w:eastAsiaTheme="minorEastAsia" w:hAnsiTheme="minorHAnsi" w:cstheme="minorBidi"/>
          <w:noProof/>
          <w:lang w:eastAsia="en-AU"/>
        </w:rPr>
      </w:pPr>
      <w:hyperlink w:anchor="_Toc373928656" w:history="1">
        <w:r w:rsidR="00771DFD" w:rsidRPr="0060005A">
          <w:rPr>
            <w:rStyle w:val="Hyperlink"/>
            <w:noProof/>
          </w:rPr>
          <w:t>11.3.</w:t>
        </w:r>
        <w:r w:rsidR="00771DFD">
          <w:rPr>
            <w:rFonts w:asciiTheme="minorHAnsi" w:eastAsiaTheme="minorEastAsia" w:hAnsiTheme="minorHAnsi" w:cstheme="minorBidi"/>
            <w:noProof/>
            <w:lang w:eastAsia="en-AU"/>
          </w:rPr>
          <w:tab/>
        </w:r>
        <w:r w:rsidR="00771DFD" w:rsidRPr="0060005A">
          <w:rPr>
            <w:rStyle w:val="Hyperlink"/>
            <w:noProof/>
          </w:rPr>
          <w:t>Sponsor’s response to question 1</w:t>
        </w:r>
        <w:r w:rsidR="00771DFD">
          <w:rPr>
            <w:noProof/>
            <w:webHidden/>
          </w:rPr>
          <w:tab/>
        </w:r>
        <w:r>
          <w:rPr>
            <w:noProof/>
            <w:webHidden/>
          </w:rPr>
          <w:fldChar w:fldCharType="begin"/>
        </w:r>
        <w:r w:rsidR="00771DFD">
          <w:rPr>
            <w:noProof/>
            <w:webHidden/>
          </w:rPr>
          <w:instrText xml:space="preserve"> PAGEREF _Toc373928656 \h </w:instrText>
        </w:r>
        <w:r>
          <w:rPr>
            <w:noProof/>
            <w:webHidden/>
          </w:rPr>
        </w:r>
        <w:r>
          <w:rPr>
            <w:noProof/>
            <w:webHidden/>
          </w:rPr>
          <w:fldChar w:fldCharType="separate"/>
        </w:r>
        <w:r w:rsidR="00771DFD">
          <w:rPr>
            <w:noProof/>
            <w:webHidden/>
          </w:rPr>
          <w:t>55</w:t>
        </w:r>
        <w:r>
          <w:rPr>
            <w:noProof/>
            <w:webHidden/>
          </w:rPr>
          <w:fldChar w:fldCharType="end"/>
        </w:r>
      </w:hyperlink>
    </w:p>
    <w:p w:rsidR="00771DFD" w:rsidRDefault="00852230">
      <w:pPr>
        <w:pStyle w:val="TOC3"/>
        <w:tabs>
          <w:tab w:val="left" w:pos="1760"/>
        </w:tabs>
        <w:rPr>
          <w:rFonts w:asciiTheme="minorHAnsi" w:eastAsiaTheme="minorEastAsia" w:hAnsiTheme="minorHAnsi" w:cstheme="minorBidi"/>
          <w:noProof/>
          <w:lang w:eastAsia="en-AU"/>
        </w:rPr>
      </w:pPr>
      <w:hyperlink w:anchor="_Toc373928657" w:history="1">
        <w:r w:rsidR="00771DFD" w:rsidRPr="0060005A">
          <w:rPr>
            <w:rStyle w:val="Hyperlink"/>
            <w:noProof/>
          </w:rPr>
          <w:t>11.4.</w:t>
        </w:r>
        <w:r w:rsidR="00771DFD">
          <w:rPr>
            <w:rFonts w:asciiTheme="minorHAnsi" w:eastAsiaTheme="minorEastAsia" w:hAnsiTheme="minorHAnsi" w:cstheme="minorBidi"/>
            <w:noProof/>
            <w:lang w:eastAsia="en-AU"/>
          </w:rPr>
          <w:tab/>
        </w:r>
        <w:r w:rsidR="00771DFD" w:rsidRPr="0060005A">
          <w:rPr>
            <w:rStyle w:val="Hyperlink"/>
            <w:noProof/>
          </w:rPr>
          <w:t>Sponsor’s response to question 2</w:t>
        </w:r>
        <w:r w:rsidR="00771DFD">
          <w:rPr>
            <w:noProof/>
            <w:webHidden/>
          </w:rPr>
          <w:tab/>
        </w:r>
        <w:r>
          <w:rPr>
            <w:noProof/>
            <w:webHidden/>
          </w:rPr>
          <w:fldChar w:fldCharType="begin"/>
        </w:r>
        <w:r w:rsidR="00771DFD">
          <w:rPr>
            <w:noProof/>
            <w:webHidden/>
          </w:rPr>
          <w:instrText xml:space="preserve"> PAGEREF _Toc373928657 \h </w:instrText>
        </w:r>
        <w:r>
          <w:rPr>
            <w:noProof/>
            <w:webHidden/>
          </w:rPr>
        </w:r>
        <w:r>
          <w:rPr>
            <w:noProof/>
            <w:webHidden/>
          </w:rPr>
          <w:fldChar w:fldCharType="separate"/>
        </w:r>
        <w:r w:rsidR="00771DFD">
          <w:rPr>
            <w:noProof/>
            <w:webHidden/>
          </w:rPr>
          <w:t>60</w:t>
        </w:r>
        <w:r>
          <w:rPr>
            <w:noProof/>
            <w:webHidden/>
          </w:rPr>
          <w:fldChar w:fldCharType="end"/>
        </w:r>
      </w:hyperlink>
    </w:p>
    <w:p w:rsidR="00771DFD" w:rsidRDefault="00852230">
      <w:pPr>
        <w:pStyle w:val="TOC2"/>
        <w:tabs>
          <w:tab w:val="left" w:pos="1320"/>
        </w:tabs>
        <w:rPr>
          <w:rFonts w:asciiTheme="minorHAnsi" w:eastAsiaTheme="minorEastAsia" w:hAnsiTheme="minorHAnsi" w:cstheme="minorBidi"/>
          <w:b w:val="0"/>
          <w:noProof/>
          <w:sz w:val="22"/>
          <w:lang w:eastAsia="en-AU"/>
        </w:rPr>
      </w:pPr>
      <w:hyperlink w:anchor="_Toc373928658" w:history="1">
        <w:r w:rsidR="00771DFD" w:rsidRPr="0060005A">
          <w:rPr>
            <w:rStyle w:val="Hyperlink"/>
            <w:noProof/>
          </w:rPr>
          <w:t>12.</w:t>
        </w:r>
        <w:r w:rsidR="00771DFD">
          <w:rPr>
            <w:rFonts w:asciiTheme="minorHAnsi" w:eastAsiaTheme="minorEastAsia" w:hAnsiTheme="minorHAnsi" w:cstheme="minorBidi"/>
            <w:b w:val="0"/>
            <w:noProof/>
            <w:sz w:val="22"/>
            <w:lang w:eastAsia="en-AU"/>
          </w:rPr>
          <w:tab/>
        </w:r>
        <w:r w:rsidR="00771DFD" w:rsidRPr="0060005A">
          <w:rPr>
            <w:rStyle w:val="Hyperlink"/>
            <w:noProof/>
          </w:rPr>
          <w:t>Second round benefit-risk assessment</w:t>
        </w:r>
        <w:r w:rsidR="00771DFD">
          <w:rPr>
            <w:noProof/>
            <w:webHidden/>
          </w:rPr>
          <w:tab/>
        </w:r>
        <w:r>
          <w:rPr>
            <w:noProof/>
            <w:webHidden/>
          </w:rPr>
          <w:fldChar w:fldCharType="begin"/>
        </w:r>
        <w:r w:rsidR="00771DFD">
          <w:rPr>
            <w:noProof/>
            <w:webHidden/>
          </w:rPr>
          <w:instrText xml:space="preserve"> PAGEREF _Toc373928658 \h </w:instrText>
        </w:r>
        <w:r>
          <w:rPr>
            <w:noProof/>
            <w:webHidden/>
          </w:rPr>
        </w:r>
        <w:r>
          <w:rPr>
            <w:noProof/>
            <w:webHidden/>
          </w:rPr>
          <w:fldChar w:fldCharType="separate"/>
        </w:r>
        <w:r w:rsidR="00771DFD">
          <w:rPr>
            <w:noProof/>
            <w:webHidden/>
          </w:rPr>
          <w:t>60</w:t>
        </w:r>
        <w:r>
          <w:rPr>
            <w:noProof/>
            <w:webHidden/>
          </w:rPr>
          <w:fldChar w:fldCharType="end"/>
        </w:r>
      </w:hyperlink>
    </w:p>
    <w:p w:rsidR="00771DFD" w:rsidRDefault="00852230">
      <w:pPr>
        <w:pStyle w:val="TOC2"/>
        <w:tabs>
          <w:tab w:val="left" w:pos="1320"/>
        </w:tabs>
        <w:rPr>
          <w:rFonts w:asciiTheme="minorHAnsi" w:eastAsiaTheme="minorEastAsia" w:hAnsiTheme="minorHAnsi" w:cstheme="minorBidi"/>
          <w:b w:val="0"/>
          <w:noProof/>
          <w:sz w:val="22"/>
          <w:lang w:eastAsia="en-AU"/>
        </w:rPr>
      </w:pPr>
      <w:hyperlink w:anchor="_Toc373928659" w:history="1">
        <w:r w:rsidR="00771DFD" w:rsidRPr="0060005A">
          <w:rPr>
            <w:rStyle w:val="Hyperlink"/>
            <w:noProof/>
          </w:rPr>
          <w:t>13.</w:t>
        </w:r>
        <w:r w:rsidR="00771DFD">
          <w:rPr>
            <w:rFonts w:asciiTheme="minorHAnsi" w:eastAsiaTheme="minorEastAsia" w:hAnsiTheme="minorHAnsi" w:cstheme="minorBidi"/>
            <w:b w:val="0"/>
            <w:noProof/>
            <w:sz w:val="22"/>
            <w:lang w:eastAsia="en-AU"/>
          </w:rPr>
          <w:tab/>
        </w:r>
        <w:r w:rsidR="00771DFD" w:rsidRPr="0060005A">
          <w:rPr>
            <w:rStyle w:val="Hyperlink"/>
            <w:noProof/>
          </w:rPr>
          <w:t>Second round recommendation regarding authorisation</w:t>
        </w:r>
        <w:r w:rsidR="00771DFD">
          <w:rPr>
            <w:noProof/>
            <w:webHidden/>
          </w:rPr>
          <w:tab/>
        </w:r>
        <w:r>
          <w:rPr>
            <w:noProof/>
            <w:webHidden/>
          </w:rPr>
          <w:fldChar w:fldCharType="begin"/>
        </w:r>
        <w:r w:rsidR="00771DFD">
          <w:rPr>
            <w:noProof/>
            <w:webHidden/>
          </w:rPr>
          <w:instrText xml:space="preserve"> PAGEREF _Toc373928659 \h </w:instrText>
        </w:r>
        <w:r>
          <w:rPr>
            <w:noProof/>
            <w:webHidden/>
          </w:rPr>
        </w:r>
        <w:r>
          <w:rPr>
            <w:noProof/>
            <w:webHidden/>
          </w:rPr>
          <w:fldChar w:fldCharType="separate"/>
        </w:r>
        <w:r w:rsidR="00771DFD">
          <w:rPr>
            <w:noProof/>
            <w:webHidden/>
          </w:rPr>
          <w:t>60</w:t>
        </w:r>
        <w:r>
          <w:rPr>
            <w:noProof/>
            <w:webHidden/>
          </w:rPr>
          <w:fldChar w:fldCharType="end"/>
        </w:r>
      </w:hyperlink>
    </w:p>
    <w:p w:rsidR="00771DFD" w:rsidRDefault="00852230">
      <w:pPr>
        <w:pStyle w:val="TOC2"/>
        <w:tabs>
          <w:tab w:val="left" w:pos="1320"/>
        </w:tabs>
        <w:rPr>
          <w:rFonts w:asciiTheme="minorHAnsi" w:eastAsiaTheme="minorEastAsia" w:hAnsiTheme="minorHAnsi" w:cstheme="minorBidi"/>
          <w:b w:val="0"/>
          <w:noProof/>
          <w:sz w:val="22"/>
          <w:lang w:eastAsia="en-AU"/>
        </w:rPr>
      </w:pPr>
      <w:hyperlink w:anchor="_Toc373928660" w:history="1">
        <w:r w:rsidR="00771DFD" w:rsidRPr="0060005A">
          <w:rPr>
            <w:rStyle w:val="Hyperlink"/>
            <w:noProof/>
          </w:rPr>
          <w:t>14.</w:t>
        </w:r>
        <w:r w:rsidR="00771DFD">
          <w:rPr>
            <w:rFonts w:asciiTheme="minorHAnsi" w:eastAsiaTheme="minorEastAsia" w:hAnsiTheme="minorHAnsi" w:cstheme="minorBidi"/>
            <w:b w:val="0"/>
            <w:noProof/>
            <w:sz w:val="22"/>
            <w:lang w:eastAsia="en-AU"/>
          </w:rPr>
          <w:tab/>
        </w:r>
        <w:r w:rsidR="00771DFD" w:rsidRPr="0060005A">
          <w:rPr>
            <w:rStyle w:val="Hyperlink"/>
            <w:noProof/>
          </w:rPr>
          <w:t>References</w:t>
        </w:r>
        <w:r w:rsidR="00771DFD">
          <w:rPr>
            <w:noProof/>
            <w:webHidden/>
          </w:rPr>
          <w:tab/>
        </w:r>
        <w:r>
          <w:rPr>
            <w:noProof/>
            <w:webHidden/>
          </w:rPr>
          <w:fldChar w:fldCharType="begin"/>
        </w:r>
        <w:r w:rsidR="00771DFD">
          <w:rPr>
            <w:noProof/>
            <w:webHidden/>
          </w:rPr>
          <w:instrText xml:space="preserve"> PAGEREF _Toc373928660 \h </w:instrText>
        </w:r>
        <w:r>
          <w:rPr>
            <w:noProof/>
            <w:webHidden/>
          </w:rPr>
        </w:r>
        <w:r>
          <w:rPr>
            <w:noProof/>
            <w:webHidden/>
          </w:rPr>
          <w:fldChar w:fldCharType="separate"/>
        </w:r>
        <w:r w:rsidR="00771DFD">
          <w:rPr>
            <w:noProof/>
            <w:webHidden/>
          </w:rPr>
          <w:t>61</w:t>
        </w:r>
        <w:r>
          <w:rPr>
            <w:noProof/>
            <w:webHidden/>
          </w:rPr>
          <w:fldChar w:fldCharType="end"/>
        </w:r>
      </w:hyperlink>
    </w:p>
    <w:p w:rsidR="00771DFD" w:rsidRDefault="00852230">
      <w:pPr>
        <w:pStyle w:val="TOC3"/>
        <w:tabs>
          <w:tab w:val="left" w:pos="1760"/>
        </w:tabs>
        <w:rPr>
          <w:rFonts w:asciiTheme="minorHAnsi" w:eastAsiaTheme="minorEastAsia" w:hAnsiTheme="minorHAnsi" w:cstheme="minorBidi"/>
          <w:noProof/>
          <w:lang w:eastAsia="en-AU"/>
        </w:rPr>
      </w:pPr>
      <w:hyperlink w:anchor="_Toc373928661" w:history="1">
        <w:r w:rsidR="00771DFD" w:rsidRPr="0060005A">
          <w:rPr>
            <w:rStyle w:val="Hyperlink"/>
            <w:noProof/>
          </w:rPr>
          <w:t>14.1.</w:t>
        </w:r>
        <w:r w:rsidR="00771DFD">
          <w:rPr>
            <w:rFonts w:asciiTheme="minorHAnsi" w:eastAsiaTheme="minorEastAsia" w:hAnsiTheme="minorHAnsi" w:cstheme="minorBidi"/>
            <w:noProof/>
            <w:lang w:eastAsia="en-AU"/>
          </w:rPr>
          <w:tab/>
        </w:r>
        <w:r w:rsidR="00771DFD" w:rsidRPr="0060005A">
          <w:rPr>
            <w:rStyle w:val="Hyperlink"/>
            <w:noProof/>
          </w:rPr>
          <w:t>References supplied by the sponsor</w:t>
        </w:r>
        <w:r w:rsidR="00771DFD">
          <w:rPr>
            <w:noProof/>
            <w:webHidden/>
          </w:rPr>
          <w:tab/>
        </w:r>
        <w:r>
          <w:rPr>
            <w:noProof/>
            <w:webHidden/>
          </w:rPr>
          <w:fldChar w:fldCharType="begin"/>
        </w:r>
        <w:r w:rsidR="00771DFD">
          <w:rPr>
            <w:noProof/>
            <w:webHidden/>
          </w:rPr>
          <w:instrText xml:space="preserve"> PAGEREF _Toc373928661 \h </w:instrText>
        </w:r>
        <w:r>
          <w:rPr>
            <w:noProof/>
            <w:webHidden/>
          </w:rPr>
        </w:r>
        <w:r>
          <w:rPr>
            <w:noProof/>
            <w:webHidden/>
          </w:rPr>
          <w:fldChar w:fldCharType="separate"/>
        </w:r>
        <w:r w:rsidR="00771DFD">
          <w:rPr>
            <w:noProof/>
            <w:webHidden/>
          </w:rPr>
          <w:t>61</w:t>
        </w:r>
        <w:r>
          <w:rPr>
            <w:noProof/>
            <w:webHidden/>
          </w:rPr>
          <w:fldChar w:fldCharType="end"/>
        </w:r>
      </w:hyperlink>
    </w:p>
    <w:p w:rsidR="00771DFD" w:rsidRDefault="00852230">
      <w:pPr>
        <w:pStyle w:val="TOC3"/>
        <w:tabs>
          <w:tab w:val="left" w:pos="1760"/>
        </w:tabs>
        <w:rPr>
          <w:rFonts w:asciiTheme="minorHAnsi" w:eastAsiaTheme="minorEastAsia" w:hAnsiTheme="minorHAnsi" w:cstheme="minorBidi"/>
          <w:noProof/>
          <w:lang w:eastAsia="en-AU"/>
        </w:rPr>
      </w:pPr>
      <w:hyperlink w:anchor="_Toc373928662" w:history="1">
        <w:r w:rsidR="00771DFD" w:rsidRPr="0060005A">
          <w:rPr>
            <w:rStyle w:val="Hyperlink"/>
            <w:noProof/>
          </w:rPr>
          <w:t>14.2.</w:t>
        </w:r>
        <w:r w:rsidR="00771DFD">
          <w:rPr>
            <w:rFonts w:asciiTheme="minorHAnsi" w:eastAsiaTheme="minorEastAsia" w:hAnsiTheme="minorHAnsi" w:cstheme="minorBidi"/>
            <w:noProof/>
            <w:lang w:eastAsia="en-AU"/>
          </w:rPr>
          <w:tab/>
        </w:r>
        <w:r w:rsidR="00771DFD" w:rsidRPr="0060005A">
          <w:rPr>
            <w:rStyle w:val="Hyperlink"/>
            <w:noProof/>
          </w:rPr>
          <w:t>Additional references</w:t>
        </w:r>
        <w:r w:rsidR="00771DFD">
          <w:rPr>
            <w:noProof/>
            <w:webHidden/>
          </w:rPr>
          <w:tab/>
        </w:r>
        <w:r>
          <w:rPr>
            <w:noProof/>
            <w:webHidden/>
          </w:rPr>
          <w:fldChar w:fldCharType="begin"/>
        </w:r>
        <w:r w:rsidR="00771DFD">
          <w:rPr>
            <w:noProof/>
            <w:webHidden/>
          </w:rPr>
          <w:instrText xml:space="preserve"> PAGEREF _Toc373928662 \h </w:instrText>
        </w:r>
        <w:r>
          <w:rPr>
            <w:noProof/>
            <w:webHidden/>
          </w:rPr>
        </w:r>
        <w:r>
          <w:rPr>
            <w:noProof/>
            <w:webHidden/>
          </w:rPr>
          <w:fldChar w:fldCharType="separate"/>
        </w:r>
        <w:r w:rsidR="00771DFD">
          <w:rPr>
            <w:noProof/>
            <w:webHidden/>
          </w:rPr>
          <w:t>63</w:t>
        </w:r>
        <w:r>
          <w:rPr>
            <w:noProof/>
            <w:webHidden/>
          </w:rPr>
          <w:fldChar w:fldCharType="end"/>
        </w:r>
      </w:hyperlink>
    </w:p>
    <w:p w:rsidR="003A7F6C" w:rsidRPr="00B811C6" w:rsidRDefault="00852230" w:rsidP="00B811C6">
      <w:pPr>
        <w:pStyle w:val="TOC2"/>
      </w:pPr>
      <w:r>
        <w:fldChar w:fldCharType="end"/>
      </w:r>
      <w:bookmarkStart w:id="2" w:name="_Toc314842482"/>
    </w:p>
    <w:p w:rsidR="00586F98" w:rsidRDefault="00934CC8" w:rsidP="00586F98">
      <w:pPr>
        <w:pStyle w:val="Heading2"/>
        <w:numPr>
          <w:ilvl w:val="0"/>
          <w:numId w:val="0"/>
        </w:numPr>
      </w:pPr>
      <w:bookmarkStart w:id="3" w:name="_Toc351716269"/>
      <w:bookmarkStart w:id="4" w:name="_Toc351718881"/>
      <w:bookmarkStart w:id="5" w:name="_Toc355338616"/>
      <w:r>
        <w:br w:type="page"/>
      </w:r>
      <w:bookmarkStart w:id="6" w:name="_Toc373928620"/>
      <w:r w:rsidR="00586F98">
        <w:lastRenderedPageBreak/>
        <w:t>List of abbreviations</w:t>
      </w:r>
      <w:bookmarkEnd w:id="3"/>
      <w:bookmarkEnd w:id="4"/>
      <w:bookmarkEnd w:id="5"/>
      <w:bookmarkEnd w:id="6"/>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1890"/>
        <w:gridCol w:w="6911"/>
      </w:tblGrid>
      <w:tr w:rsidR="00586F98" w:rsidTr="0052785D">
        <w:trPr>
          <w:tblHeader/>
        </w:trPr>
        <w:tc>
          <w:tcPr>
            <w:tcW w:w="1890" w:type="dxa"/>
            <w:tcBorders>
              <w:top w:val="single" w:sz="8" w:space="0" w:color="000000"/>
              <w:left w:val="single" w:sz="8" w:space="0" w:color="000000"/>
              <w:bottom w:val="single" w:sz="8" w:space="0" w:color="000000"/>
              <w:right w:val="nil"/>
              <w:tl2br w:val="nil"/>
              <w:tr2bl w:val="nil"/>
            </w:tcBorders>
            <w:shd w:val="clear" w:color="auto" w:fill="006DA7"/>
          </w:tcPr>
          <w:p w:rsidR="00586F98" w:rsidRPr="009A6272" w:rsidRDefault="00586F98" w:rsidP="009A6272">
            <w:pPr>
              <w:ind w:left="170" w:right="170"/>
              <w:rPr>
                <w:b/>
                <w:color w:val="FFFFFF"/>
                <w:szCs w:val="21"/>
                <w:lang w:eastAsia="en-AU"/>
              </w:rPr>
            </w:pPr>
            <w:r w:rsidRPr="009A6272">
              <w:rPr>
                <w:b/>
                <w:color w:val="FFFFFF"/>
                <w:szCs w:val="21"/>
                <w:lang w:eastAsia="en-AU"/>
              </w:rPr>
              <w:t>Abbreviation</w:t>
            </w:r>
          </w:p>
        </w:tc>
        <w:tc>
          <w:tcPr>
            <w:tcW w:w="6911" w:type="dxa"/>
            <w:tcBorders>
              <w:top w:val="single" w:sz="8" w:space="0" w:color="000000"/>
              <w:left w:val="nil"/>
              <w:bottom w:val="single" w:sz="8" w:space="0" w:color="000000"/>
              <w:right w:val="single" w:sz="8" w:space="0" w:color="000000"/>
              <w:tl2br w:val="nil"/>
              <w:tr2bl w:val="nil"/>
            </w:tcBorders>
            <w:shd w:val="clear" w:color="auto" w:fill="006DA7"/>
          </w:tcPr>
          <w:p w:rsidR="00586F98" w:rsidRPr="009A6272" w:rsidRDefault="00586F98" w:rsidP="009A6272">
            <w:pPr>
              <w:ind w:left="170" w:right="170"/>
              <w:rPr>
                <w:b/>
                <w:color w:val="FFFFFF"/>
                <w:szCs w:val="21"/>
                <w:lang w:eastAsia="en-AU"/>
              </w:rPr>
            </w:pPr>
            <w:r w:rsidRPr="009A6272">
              <w:rPr>
                <w:b/>
                <w:color w:val="FFFFFF"/>
                <w:szCs w:val="21"/>
                <w:lang w:eastAsia="en-AU"/>
              </w:rPr>
              <w:t>Meaning</w:t>
            </w:r>
          </w:p>
        </w:tc>
      </w:tr>
      <w:tr w:rsidR="00586F98" w:rsidTr="00951956">
        <w:tc>
          <w:tcPr>
            <w:tcW w:w="1890" w:type="dxa"/>
            <w:shd w:val="clear" w:color="auto" w:fill="auto"/>
          </w:tcPr>
          <w:p w:rsidR="00586F98" w:rsidRPr="009A6272" w:rsidRDefault="002654C3" w:rsidP="009A6272">
            <w:pPr>
              <w:ind w:left="170" w:right="170"/>
              <w:rPr>
                <w:color w:val="000000"/>
                <w:szCs w:val="21"/>
                <w:lang w:eastAsia="en-AU"/>
              </w:rPr>
            </w:pPr>
            <w:r>
              <w:rPr>
                <w:sz w:val="23"/>
                <w:szCs w:val="23"/>
              </w:rPr>
              <w:t>AE</w:t>
            </w:r>
          </w:p>
        </w:tc>
        <w:tc>
          <w:tcPr>
            <w:tcW w:w="6911" w:type="dxa"/>
            <w:shd w:val="clear" w:color="auto" w:fill="auto"/>
          </w:tcPr>
          <w:p w:rsidR="00586F98" w:rsidRPr="009A6272" w:rsidRDefault="002654C3" w:rsidP="009A6272">
            <w:pPr>
              <w:ind w:left="170" w:right="170"/>
              <w:rPr>
                <w:color w:val="000000"/>
                <w:szCs w:val="21"/>
                <w:lang w:eastAsia="en-AU"/>
              </w:rPr>
            </w:pPr>
            <w:r>
              <w:rPr>
                <w:sz w:val="23"/>
                <w:szCs w:val="23"/>
              </w:rPr>
              <w:t>Adverse Event</w:t>
            </w:r>
          </w:p>
        </w:tc>
      </w:tr>
      <w:tr w:rsidR="00951956" w:rsidTr="00951956">
        <w:tc>
          <w:tcPr>
            <w:tcW w:w="1890" w:type="dxa"/>
            <w:shd w:val="clear" w:color="auto" w:fill="auto"/>
          </w:tcPr>
          <w:p w:rsidR="00951956" w:rsidRPr="009A6272" w:rsidRDefault="002654C3" w:rsidP="00E10955">
            <w:pPr>
              <w:ind w:left="170" w:right="170"/>
              <w:rPr>
                <w:color w:val="000000"/>
                <w:szCs w:val="21"/>
                <w:lang w:eastAsia="en-AU"/>
              </w:rPr>
            </w:pPr>
            <w:r>
              <w:rPr>
                <w:sz w:val="23"/>
                <w:szCs w:val="23"/>
              </w:rPr>
              <w:t>ALT</w:t>
            </w:r>
          </w:p>
        </w:tc>
        <w:tc>
          <w:tcPr>
            <w:tcW w:w="6911" w:type="dxa"/>
            <w:shd w:val="clear" w:color="auto" w:fill="auto"/>
          </w:tcPr>
          <w:p w:rsidR="00951956" w:rsidRPr="009A6272" w:rsidRDefault="002654C3" w:rsidP="00E10955">
            <w:pPr>
              <w:ind w:left="170" w:right="170"/>
              <w:rPr>
                <w:color w:val="000000"/>
                <w:szCs w:val="21"/>
                <w:lang w:eastAsia="en-AU"/>
              </w:rPr>
            </w:pPr>
            <w:proofErr w:type="spellStart"/>
            <w:r>
              <w:rPr>
                <w:sz w:val="23"/>
                <w:szCs w:val="23"/>
              </w:rPr>
              <w:t>Alanine</w:t>
            </w:r>
            <w:proofErr w:type="spellEnd"/>
            <w:r>
              <w:rPr>
                <w:sz w:val="23"/>
                <w:szCs w:val="23"/>
              </w:rPr>
              <w:t xml:space="preserve"> </w:t>
            </w:r>
            <w:proofErr w:type="spellStart"/>
            <w:r>
              <w:rPr>
                <w:sz w:val="23"/>
                <w:szCs w:val="23"/>
              </w:rPr>
              <w:t>Aminotransferase</w:t>
            </w:r>
            <w:proofErr w:type="spellEnd"/>
          </w:p>
        </w:tc>
      </w:tr>
      <w:tr w:rsidR="00951956" w:rsidTr="00951956">
        <w:tc>
          <w:tcPr>
            <w:tcW w:w="1890" w:type="dxa"/>
            <w:shd w:val="clear" w:color="auto" w:fill="auto"/>
          </w:tcPr>
          <w:p w:rsidR="00951956" w:rsidRPr="009A6272" w:rsidRDefault="002654C3" w:rsidP="00E10955">
            <w:pPr>
              <w:ind w:left="170" w:right="170"/>
              <w:rPr>
                <w:color w:val="000000"/>
                <w:szCs w:val="21"/>
                <w:lang w:eastAsia="en-AU"/>
              </w:rPr>
            </w:pPr>
            <w:r>
              <w:rPr>
                <w:sz w:val="23"/>
                <w:szCs w:val="23"/>
              </w:rPr>
              <w:t>ARR</w:t>
            </w:r>
          </w:p>
        </w:tc>
        <w:tc>
          <w:tcPr>
            <w:tcW w:w="6911" w:type="dxa"/>
            <w:shd w:val="clear" w:color="auto" w:fill="auto"/>
          </w:tcPr>
          <w:p w:rsidR="00951956" w:rsidRPr="009A6272" w:rsidRDefault="002654C3" w:rsidP="002654C3">
            <w:pPr>
              <w:ind w:left="170" w:right="170"/>
              <w:rPr>
                <w:color w:val="000000"/>
                <w:szCs w:val="21"/>
                <w:lang w:eastAsia="en-AU"/>
              </w:rPr>
            </w:pPr>
            <w:r>
              <w:rPr>
                <w:sz w:val="23"/>
                <w:szCs w:val="23"/>
              </w:rPr>
              <w:t>Annualised Relapse Rate</w:t>
            </w:r>
          </w:p>
        </w:tc>
      </w:tr>
      <w:tr w:rsidR="00951956" w:rsidTr="00951956">
        <w:tc>
          <w:tcPr>
            <w:tcW w:w="1890" w:type="dxa"/>
            <w:shd w:val="clear" w:color="auto" w:fill="auto"/>
          </w:tcPr>
          <w:p w:rsidR="00951956" w:rsidRPr="009A6272" w:rsidRDefault="002654C3" w:rsidP="00E10955">
            <w:pPr>
              <w:ind w:left="170" w:right="170"/>
              <w:rPr>
                <w:color w:val="000000"/>
                <w:szCs w:val="21"/>
                <w:lang w:eastAsia="en-AU"/>
              </w:rPr>
            </w:pPr>
            <w:r>
              <w:rPr>
                <w:sz w:val="23"/>
                <w:szCs w:val="23"/>
              </w:rPr>
              <w:t>AST</w:t>
            </w:r>
          </w:p>
        </w:tc>
        <w:tc>
          <w:tcPr>
            <w:tcW w:w="6911" w:type="dxa"/>
            <w:shd w:val="clear" w:color="auto" w:fill="auto"/>
          </w:tcPr>
          <w:p w:rsidR="00951956" w:rsidRPr="009A6272" w:rsidRDefault="002654C3" w:rsidP="00E10955">
            <w:pPr>
              <w:ind w:left="170" w:right="170"/>
              <w:rPr>
                <w:color w:val="000000"/>
                <w:szCs w:val="21"/>
                <w:lang w:eastAsia="en-AU"/>
              </w:rPr>
            </w:pPr>
            <w:proofErr w:type="spellStart"/>
            <w:r>
              <w:rPr>
                <w:sz w:val="23"/>
                <w:szCs w:val="23"/>
              </w:rPr>
              <w:t>Aspartate</w:t>
            </w:r>
            <w:proofErr w:type="spellEnd"/>
            <w:r>
              <w:rPr>
                <w:sz w:val="23"/>
                <w:szCs w:val="23"/>
              </w:rPr>
              <w:t xml:space="preserve"> </w:t>
            </w:r>
            <w:proofErr w:type="spellStart"/>
            <w:r>
              <w:rPr>
                <w:sz w:val="23"/>
                <w:szCs w:val="23"/>
              </w:rPr>
              <w:t>Aminotransferase</w:t>
            </w:r>
            <w:proofErr w:type="spellEnd"/>
          </w:p>
        </w:tc>
      </w:tr>
      <w:tr w:rsidR="00951956" w:rsidTr="00951956">
        <w:tc>
          <w:tcPr>
            <w:tcW w:w="1890" w:type="dxa"/>
            <w:shd w:val="clear" w:color="auto" w:fill="auto"/>
          </w:tcPr>
          <w:p w:rsidR="00951956" w:rsidRPr="009A6272" w:rsidRDefault="002654C3" w:rsidP="00E10955">
            <w:pPr>
              <w:ind w:left="170" w:right="170"/>
              <w:rPr>
                <w:color w:val="000000"/>
                <w:szCs w:val="21"/>
                <w:lang w:eastAsia="en-AU"/>
              </w:rPr>
            </w:pPr>
            <w:proofErr w:type="spellStart"/>
            <w:r>
              <w:rPr>
                <w:sz w:val="23"/>
                <w:szCs w:val="23"/>
              </w:rPr>
              <w:t>BAbs</w:t>
            </w:r>
            <w:proofErr w:type="spellEnd"/>
          </w:p>
        </w:tc>
        <w:tc>
          <w:tcPr>
            <w:tcW w:w="6911" w:type="dxa"/>
            <w:shd w:val="clear" w:color="auto" w:fill="auto"/>
          </w:tcPr>
          <w:p w:rsidR="00951956" w:rsidRPr="009A6272" w:rsidRDefault="002654C3" w:rsidP="00E10955">
            <w:pPr>
              <w:ind w:left="170" w:right="170"/>
              <w:rPr>
                <w:color w:val="000000"/>
                <w:szCs w:val="21"/>
                <w:lang w:eastAsia="en-AU"/>
              </w:rPr>
            </w:pPr>
            <w:r>
              <w:rPr>
                <w:sz w:val="23"/>
                <w:szCs w:val="23"/>
              </w:rPr>
              <w:t>Binding Antibodies</w:t>
            </w:r>
          </w:p>
        </w:tc>
      </w:tr>
      <w:tr w:rsidR="00951956" w:rsidTr="00951956">
        <w:tc>
          <w:tcPr>
            <w:tcW w:w="1890" w:type="dxa"/>
            <w:shd w:val="clear" w:color="auto" w:fill="auto"/>
          </w:tcPr>
          <w:p w:rsidR="00951956" w:rsidRPr="009A6272" w:rsidRDefault="002654C3" w:rsidP="00E10955">
            <w:pPr>
              <w:ind w:left="170" w:right="170"/>
              <w:rPr>
                <w:color w:val="000000"/>
                <w:szCs w:val="21"/>
                <w:lang w:eastAsia="en-AU"/>
              </w:rPr>
            </w:pPr>
            <w:r>
              <w:rPr>
                <w:sz w:val="23"/>
                <w:szCs w:val="23"/>
              </w:rPr>
              <w:t>CCSI</w:t>
            </w:r>
          </w:p>
        </w:tc>
        <w:tc>
          <w:tcPr>
            <w:tcW w:w="6911" w:type="dxa"/>
            <w:shd w:val="clear" w:color="auto" w:fill="auto"/>
          </w:tcPr>
          <w:p w:rsidR="00951956" w:rsidRPr="009A6272" w:rsidRDefault="002654C3" w:rsidP="00E10955">
            <w:pPr>
              <w:ind w:left="170" w:right="170"/>
              <w:rPr>
                <w:color w:val="000000"/>
                <w:szCs w:val="21"/>
                <w:lang w:eastAsia="en-AU"/>
              </w:rPr>
            </w:pPr>
            <w:r>
              <w:rPr>
                <w:sz w:val="23"/>
                <w:szCs w:val="23"/>
              </w:rPr>
              <w:t>Company Core Safety Information</w:t>
            </w:r>
          </w:p>
        </w:tc>
      </w:tr>
      <w:tr w:rsidR="00951956" w:rsidTr="00951956">
        <w:tc>
          <w:tcPr>
            <w:tcW w:w="1890" w:type="dxa"/>
            <w:shd w:val="clear" w:color="auto" w:fill="auto"/>
          </w:tcPr>
          <w:p w:rsidR="00951956" w:rsidRPr="009A6272" w:rsidRDefault="00270663" w:rsidP="00E10955">
            <w:pPr>
              <w:ind w:left="170" w:right="170"/>
              <w:rPr>
                <w:color w:val="000000"/>
                <w:szCs w:val="21"/>
                <w:lang w:eastAsia="en-AU"/>
              </w:rPr>
            </w:pPr>
            <w:r>
              <w:rPr>
                <w:sz w:val="23"/>
                <w:szCs w:val="23"/>
              </w:rPr>
              <w:t>CDMS</w:t>
            </w:r>
          </w:p>
        </w:tc>
        <w:tc>
          <w:tcPr>
            <w:tcW w:w="6911" w:type="dxa"/>
            <w:shd w:val="clear" w:color="auto" w:fill="auto"/>
          </w:tcPr>
          <w:p w:rsidR="00951956" w:rsidRPr="009A6272" w:rsidRDefault="00270663" w:rsidP="00E10955">
            <w:pPr>
              <w:ind w:left="170" w:right="170"/>
              <w:rPr>
                <w:color w:val="000000"/>
                <w:szCs w:val="21"/>
                <w:lang w:eastAsia="en-AU"/>
              </w:rPr>
            </w:pPr>
            <w:r>
              <w:rPr>
                <w:sz w:val="23"/>
                <w:szCs w:val="23"/>
              </w:rPr>
              <w:t>Clinically Definite Multiple Sclerosis</w:t>
            </w:r>
          </w:p>
        </w:tc>
      </w:tr>
      <w:tr w:rsidR="00951956" w:rsidTr="00951956">
        <w:tc>
          <w:tcPr>
            <w:tcW w:w="1890" w:type="dxa"/>
            <w:shd w:val="clear" w:color="auto" w:fill="auto"/>
          </w:tcPr>
          <w:p w:rsidR="00951956" w:rsidRPr="009A6272" w:rsidRDefault="00270663" w:rsidP="00E10955">
            <w:pPr>
              <w:ind w:left="170" w:right="170"/>
              <w:rPr>
                <w:color w:val="000000"/>
                <w:szCs w:val="21"/>
                <w:lang w:eastAsia="en-AU"/>
              </w:rPr>
            </w:pPr>
            <w:r>
              <w:rPr>
                <w:sz w:val="23"/>
                <w:szCs w:val="23"/>
              </w:rPr>
              <w:t>CI</w:t>
            </w:r>
          </w:p>
        </w:tc>
        <w:tc>
          <w:tcPr>
            <w:tcW w:w="6911" w:type="dxa"/>
            <w:shd w:val="clear" w:color="auto" w:fill="auto"/>
          </w:tcPr>
          <w:p w:rsidR="00951956" w:rsidRPr="009A6272" w:rsidRDefault="00270663" w:rsidP="00E10955">
            <w:pPr>
              <w:ind w:left="170" w:right="170"/>
              <w:rPr>
                <w:color w:val="000000"/>
                <w:szCs w:val="21"/>
                <w:lang w:eastAsia="en-AU"/>
              </w:rPr>
            </w:pPr>
            <w:r>
              <w:rPr>
                <w:color w:val="000000"/>
                <w:szCs w:val="21"/>
                <w:lang w:eastAsia="en-AU"/>
              </w:rPr>
              <w:t>Confidence Interval</w:t>
            </w:r>
          </w:p>
        </w:tc>
      </w:tr>
      <w:tr w:rsidR="00951956" w:rsidTr="00951956">
        <w:tc>
          <w:tcPr>
            <w:tcW w:w="1890" w:type="dxa"/>
            <w:shd w:val="clear" w:color="auto" w:fill="auto"/>
          </w:tcPr>
          <w:p w:rsidR="00951956" w:rsidRPr="009A6272" w:rsidRDefault="00456F6C" w:rsidP="00E10955">
            <w:pPr>
              <w:ind w:left="170" w:right="170"/>
              <w:rPr>
                <w:color w:val="000000"/>
                <w:szCs w:val="21"/>
                <w:lang w:eastAsia="en-AU"/>
              </w:rPr>
            </w:pPr>
            <w:r>
              <w:rPr>
                <w:sz w:val="23"/>
                <w:szCs w:val="23"/>
              </w:rPr>
              <w:t>CIS</w:t>
            </w:r>
          </w:p>
        </w:tc>
        <w:tc>
          <w:tcPr>
            <w:tcW w:w="6911" w:type="dxa"/>
            <w:shd w:val="clear" w:color="auto" w:fill="auto"/>
          </w:tcPr>
          <w:p w:rsidR="00951956" w:rsidRPr="009A6272" w:rsidRDefault="00456F6C" w:rsidP="00E10955">
            <w:pPr>
              <w:ind w:left="170" w:right="170"/>
              <w:rPr>
                <w:color w:val="000000"/>
                <w:szCs w:val="21"/>
                <w:lang w:eastAsia="en-AU"/>
              </w:rPr>
            </w:pPr>
            <w:r>
              <w:rPr>
                <w:sz w:val="23"/>
                <w:szCs w:val="23"/>
              </w:rPr>
              <w:t>Clinically Isolated Syndrome</w:t>
            </w:r>
          </w:p>
        </w:tc>
      </w:tr>
      <w:tr w:rsidR="00951956" w:rsidTr="00951956">
        <w:tc>
          <w:tcPr>
            <w:tcW w:w="1890" w:type="dxa"/>
            <w:shd w:val="clear" w:color="auto" w:fill="auto"/>
          </w:tcPr>
          <w:p w:rsidR="00951956" w:rsidRPr="009A6272" w:rsidRDefault="00456F6C" w:rsidP="00E10955">
            <w:pPr>
              <w:ind w:left="170" w:right="170"/>
              <w:rPr>
                <w:color w:val="000000"/>
                <w:szCs w:val="21"/>
                <w:lang w:eastAsia="en-AU"/>
              </w:rPr>
            </w:pPr>
            <w:r>
              <w:rPr>
                <w:sz w:val="23"/>
                <w:szCs w:val="23"/>
              </w:rPr>
              <w:t>CNS</w:t>
            </w:r>
          </w:p>
        </w:tc>
        <w:tc>
          <w:tcPr>
            <w:tcW w:w="6911" w:type="dxa"/>
            <w:shd w:val="clear" w:color="auto" w:fill="auto"/>
          </w:tcPr>
          <w:p w:rsidR="00951956" w:rsidRPr="009A6272" w:rsidRDefault="00456F6C" w:rsidP="00E10955">
            <w:pPr>
              <w:ind w:left="170" w:right="170"/>
              <w:rPr>
                <w:color w:val="000000"/>
                <w:szCs w:val="21"/>
                <w:lang w:eastAsia="en-AU"/>
              </w:rPr>
            </w:pPr>
            <w:r>
              <w:rPr>
                <w:sz w:val="23"/>
                <w:szCs w:val="23"/>
              </w:rPr>
              <w:t>Central Nervous System</w:t>
            </w:r>
          </w:p>
        </w:tc>
      </w:tr>
      <w:tr w:rsidR="00951956" w:rsidTr="00951956">
        <w:tc>
          <w:tcPr>
            <w:tcW w:w="1890" w:type="dxa"/>
            <w:shd w:val="clear" w:color="auto" w:fill="auto"/>
          </w:tcPr>
          <w:p w:rsidR="00951956" w:rsidRPr="009A6272" w:rsidRDefault="00456F6C" w:rsidP="00E10955">
            <w:pPr>
              <w:ind w:left="170" w:right="170"/>
              <w:rPr>
                <w:color w:val="000000"/>
                <w:szCs w:val="21"/>
                <w:lang w:eastAsia="en-AU"/>
              </w:rPr>
            </w:pPr>
            <w:r>
              <w:rPr>
                <w:sz w:val="23"/>
                <w:szCs w:val="23"/>
              </w:rPr>
              <w:t>CPMP/CHMP</w:t>
            </w:r>
          </w:p>
        </w:tc>
        <w:tc>
          <w:tcPr>
            <w:tcW w:w="6911" w:type="dxa"/>
            <w:shd w:val="clear" w:color="auto" w:fill="auto"/>
          </w:tcPr>
          <w:p w:rsidR="00951956" w:rsidRPr="009A6272" w:rsidRDefault="00456F6C" w:rsidP="00E10955">
            <w:pPr>
              <w:ind w:left="170" w:right="170"/>
              <w:rPr>
                <w:color w:val="000000"/>
                <w:szCs w:val="21"/>
                <w:lang w:eastAsia="en-AU"/>
              </w:rPr>
            </w:pPr>
            <w:r>
              <w:rPr>
                <w:sz w:val="23"/>
                <w:szCs w:val="23"/>
              </w:rPr>
              <w:t>Committee for Medicinal Products for Human Use</w:t>
            </w:r>
          </w:p>
        </w:tc>
      </w:tr>
      <w:tr w:rsidR="00951956" w:rsidTr="00951956">
        <w:tc>
          <w:tcPr>
            <w:tcW w:w="1890" w:type="dxa"/>
            <w:shd w:val="clear" w:color="auto" w:fill="auto"/>
          </w:tcPr>
          <w:p w:rsidR="00951956" w:rsidRPr="009A6272" w:rsidRDefault="00A77E2B" w:rsidP="00E10955">
            <w:pPr>
              <w:ind w:left="170" w:right="170"/>
              <w:rPr>
                <w:color w:val="000000"/>
                <w:szCs w:val="21"/>
                <w:lang w:eastAsia="en-AU"/>
              </w:rPr>
            </w:pPr>
            <w:r>
              <w:rPr>
                <w:sz w:val="23"/>
                <w:szCs w:val="23"/>
              </w:rPr>
              <w:t>CSF</w:t>
            </w:r>
          </w:p>
        </w:tc>
        <w:tc>
          <w:tcPr>
            <w:tcW w:w="6911" w:type="dxa"/>
            <w:shd w:val="clear" w:color="auto" w:fill="auto"/>
          </w:tcPr>
          <w:p w:rsidR="00951956" w:rsidRPr="009A6272" w:rsidRDefault="00A77E2B" w:rsidP="00E10955">
            <w:pPr>
              <w:ind w:left="170" w:right="170"/>
              <w:rPr>
                <w:color w:val="000000"/>
                <w:szCs w:val="21"/>
                <w:lang w:eastAsia="en-AU"/>
              </w:rPr>
            </w:pPr>
            <w:r>
              <w:rPr>
                <w:sz w:val="23"/>
                <w:szCs w:val="23"/>
              </w:rPr>
              <w:t>Cerebrospinal Fluid</w:t>
            </w:r>
          </w:p>
        </w:tc>
      </w:tr>
      <w:tr w:rsidR="00951956" w:rsidTr="00951956">
        <w:tc>
          <w:tcPr>
            <w:tcW w:w="1890" w:type="dxa"/>
            <w:shd w:val="clear" w:color="auto" w:fill="auto"/>
          </w:tcPr>
          <w:p w:rsidR="00951956" w:rsidRPr="009A6272" w:rsidRDefault="005017E5" w:rsidP="00E10955">
            <w:pPr>
              <w:ind w:left="170" w:right="170"/>
              <w:rPr>
                <w:color w:val="000000"/>
                <w:szCs w:val="21"/>
                <w:lang w:eastAsia="en-AU"/>
              </w:rPr>
            </w:pPr>
            <w:r>
              <w:rPr>
                <w:sz w:val="23"/>
                <w:szCs w:val="23"/>
              </w:rPr>
              <w:t>CTCAE</w:t>
            </w:r>
          </w:p>
        </w:tc>
        <w:tc>
          <w:tcPr>
            <w:tcW w:w="6911" w:type="dxa"/>
            <w:shd w:val="clear" w:color="auto" w:fill="auto"/>
          </w:tcPr>
          <w:p w:rsidR="00951956" w:rsidRPr="009A6272" w:rsidRDefault="005017E5" w:rsidP="00E10955">
            <w:pPr>
              <w:ind w:left="170" w:right="170"/>
              <w:rPr>
                <w:color w:val="000000"/>
                <w:szCs w:val="21"/>
                <w:lang w:eastAsia="en-AU"/>
              </w:rPr>
            </w:pPr>
            <w:r>
              <w:rPr>
                <w:sz w:val="23"/>
                <w:szCs w:val="23"/>
              </w:rPr>
              <w:t>Common Toxicity Criteria Adverse Event</w:t>
            </w:r>
          </w:p>
        </w:tc>
      </w:tr>
      <w:tr w:rsidR="00951956" w:rsidTr="00951956">
        <w:tc>
          <w:tcPr>
            <w:tcW w:w="1890" w:type="dxa"/>
            <w:shd w:val="clear" w:color="auto" w:fill="auto"/>
          </w:tcPr>
          <w:p w:rsidR="00951956" w:rsidRPr="009A6272" w:rsidRDefault="005017E5" w:rsidP="00E10955">
            <w:pPr>
              <w:ind w:left="170" w:right="170"/>
              <w:rPr>
                <w:color w:val="000000"/>
                <w:szCs w:val="21"/>
                <w:lang w:eastAsia="en-AU"/>
              </w:rPr>
            </w:pPr>
            <w:r>
              <w:rPr>
                <w:sz w:val="23"/>
                <w:szCs w:val="23"/>
              </w:rPr>
              <w:t>CTR</w:t>
            </w:r>
          </w:p>
        </w:tc>
        <w:tc>
          <w:tcPr>
            <w:tcW w:w="6911" w:type="dxa"/>
            <w:shd w:val="clear" w:color="auto" w:fill="auto"/>
          </w:tcPr>
          <w:p w:rsidR="00951956" w:rsidRPr="009A6272" w:rsidRDefault="005017E5" w:rsidP="00E10955">
            <w:pPr>
              <w:ind w:left="170" w:right="170"/>
              <w:rPr>
                <w:color w:val="000000"/>
                <w:szCs w:val="21"/>
                <w:lang w:eastAsia="en-AU"/>
              </w:rPr>
            </w:pPr>
            <w:r>
              <w:rPr>
                <w:sz w:val="23"/>
                <w:szCs w:val="23"/>
              </w:rPr>
              <w:t>Clinical Trial Report</w:t>
            </w:r>
          </w:p>
        </w:tc>
      </w:tr>
      <w:tr w:rsidR="00951956" w:rsidTr="00951956">
        <w:tc>
          <w:tcPr>
            <w:tcW w:w="1890" w:type="dxa"/>
            <w:shd w:val="clear" w:color="auto" w:fill="auto"/>
          </w:tcPr>
          <w:p w:rsidR="00951956" w:rsidRPr="009A6272" w:rsidRDefault="005017E5" w:rsidP="00E10955">
            <w:pPr>
              <w:ind w:left="170" w:right="170"/>
              <w:rPr>
                <w:color w:val="000000"/>
                <w:szCs w:val="21"/>
                <w:lang w:eastAsia="en-AU"/>
              </w:rPr>
            </w:pPr>
            <w:r>
              <w:rPr>
                <w:sz w:val="23"/>
                <w:szCs w:val="23"/>
              </w:rPr>
              <w:t>CUA</w:t>
            </w:r>
          </w:p>
        </w:tc>
        <w:tc>
          <w:tcPr>
            <w:tcW w:w="6911" w:type="dxa"/>
            <w:shd w:val="clear" w:color="auto" w:fill="auto"/>
          </w:tcPr>
          <w:p w:rsidR="00951956" w:rsidRPr="009A6272" w:rsidRDefault="005017E5" w:rsidP="00E10955">
            <w:pPr>
              <w:ind w:left="170" w:right="170"/>
              <w:rPr>
                <w:color w:val="000000"/>
                <w:szCs w:val="21"/>
                <w:lang w:eastAsia="en-AU"/>
              </w:rPr>
            </w:pPr>
            <w:r>
              <w:rPr>
                <w:sz w:val="23"/>
                <w:szCs w:val="23"/>
              </w:rPr>
              <w:t>Combined Unique Active</w:t>
            </w:r>
          </w:p>
        </w:tc>
      </w:tr>
      <w:tr w:rsidR="00951956" w:rsidTr="00951956">
        <w:tc>
          <w:tcPr>
            <w:tcW w:w="1890" w:type="dxa"/>
            <w:shd w:val="clear" w:color="auto" w:fill="auto"/>
          </w:tcPr>
          <w:p w:rsidR="00951956" w:rsidRPr="009A6272" w:rsidRDefault="00A942C1" w:rsidP="00E10955">
            <w:pPr>
              <w:ind w:left="170" w:right="170"/>
              <w:rPr>
                <w:color w:val="000000"/>
                <w:szCs w:val="21"/>
                <w:lang w:eastAsia="en-AU"/>
              </w:rPr>
            </w:pPr>
            <w:r>
              <w:rPr>
                <w:sz w:val="23"/>
                <w:szCs w:val="23"/>
              </w:rPr>
              <w:t>DB</w:t>
            </w:r>
          </w:p>
        </w:tc>
        <w:tc>
          <w:tcPr>
            <w:tcW w:w="6911" w:type="dxa"/>
            <w:shd w:val="clear" w:color="auto" w:fill="auto"/>
          </w:tcPr>
          <w:p w:rsidR="00951956" w:rsidRPr="009A6272" w:rsidRDefault="00A942C1" w:rsidP="00E10955">
            <w:pPr>
              <w:ind w:left="170" w:right="170"/>
              <w:rPr>
                <w:color w:val="000000"/>
                <w:szCs w:val="21"/>
                <w:lang w:eastAsia="en-AU"/>
              </w:rPr>
            </w:pPr>
            <w:r>
              <w:rPr>
                <w:sz w:val="23"/>
                <w:szCs w:val="23"/>
              </w:rPr>
              <w:t>Double-Blind</w:t>
            </w:r>
          </w:p>
        </w:tc>
      </w:tr>
      <w:tr w:rsidR="00951956" w:rsidTr="00951956">
        <w:tc>
          <w:tcPr>
            <w:tcW w:w="1890" w:type="dxa"/>
            <w:shd w:val="clear" w:color="auto" w:fill="auto"/>
          </w:tcPr>
          <w:p w:rsidR="00951956" w:rsidRPr="009A6272" w:rsidRDefault="00A942C1" w:rsidP="00E10955">
            <w:pPr>
              <w:ind w:left="170" w:right="170"/>
              <w:rPr>
                <w:color w:val="000000"/>
                <w:szCs w:val="21"/>
                <w:lang w:eastAsia="en-AU"/>
              </w:rPr>
            </w:pPr>
            <w:r>
              <w:rPr>
                <w:sz w:val="23"/>
                <w:szCs w:val="23"/>
              </w:rPr>
              <w:t>DMD</w:t>
            </w:r>
          </w:p>
        </w:tc>
        <w:tc>
          <w:tcPr>
            <w:tcW w:w="6911" w:type="dxa"/>
            <w:shd w:val="clear" w:color="auto" w:fill="auto"/>
          </w:tcPr>
          <w:p w:rsidR="00951956" w:rsidRPr="009A6272" w:rsidRDefault="00A942C1" w:rsidP="00E10955">
            <w:pPr>
              <w:ind w:left="170" w:right="170"/>
              <w:rPr>
                <w:color w:val="000000"/>
                <w:szCs w:val="21"/>
                <w:lang w:eastAsia="en-AU"/>
              </w:rPr>
            </w:pPr>
            <w:r>
              <w:rPr>
                <w:sz w:val="23"/>
                <w:szCs w:val="23"/>
              </w:rPr>
              <w:t>Disease-Modifying Drug</w:t>
            </w:r>
          </w:p>
        </w:tc>
      </w:tr>
      <w:tr w:rsidR="00951956" w:rsidTr="00951956">
        <w:tc>
          <w:tcPr>
            <w:tcW w:w="1890" w:type="dxa"/>
            <w:shd w:val="clear" w:color="auto" w:fill="auto"/>
          </w:tcPr>
          <w:p w:rsidR="00951956" w:rsidRPr="009A6272" w:rsidRDefault="00A942C1" w:rsidP="00E10955">
            <w:pPr>
              <w:ind w:left="170" w:right="170"/>
              <w:rPr>
                <w:color w:val="000000"/>
                <w:szCs w:val="21"/>
                <w:lang w:eastAsia="en-AU"/>
              </w:rPr>
            </w:pPr>
            <w:proofErr w:type="spellStart"/>
            <w:r>
              <w:rPr>
                <w:sz w:val="23"/>
                <w:szCs w:val="23"/>
              </w:rPr>
              <w:t>eCRF</w:t>
            </w:r>
            <w:proofErr w:type="spellEnd"/>
          </w:p>
        </w:tc>
        <w:tc>
          <w:tcPr>
            <w:tcW w:w="6911" w:type="dxa"/>
            <w:shd w:val="clear" w:color="auto" w:fill="auto"/>
          </w:tcPr>
          <w:p w:rsidR="00951956" w:rsidRPr="009A6272" w:rsidRDefault="00A942C1" w:rsidP="00E10955">
            <w:pPr>
              <w:ind w:left="170" w:right="170"/>
              <w:rPr>
                <w:color w:val="000000"/>
                <w:szCs w:val="21"/>
                <w:lang w:eastAsia="en-AU"/>
              </w:rPr>
            </w:pPr>
            <w:r>
              <w:rPr>
                <w:sz w:val="23"/>
                <w:szCs w:val="23"/>
              </w:rPr>
              <w:t>electronic Case Report Form</w:t>
            </w:r>
          </w:p>
        </w:tc>
      </w:tr>
      <w:tr w:rsidR="00951956" w:rsidTr="00951956">
        <w:tc>
          <w:tcPr>
            <w:tcW w:w="1890" w:type="dxa"/>
            <w:shd w:val="clear" w:color="auto" w:fill="auto"/>
          </w:tcPr>
          <w:p w:rsidR="00951956" w:rsidRPr="009A6272" w:rsidRDefault="00FF317D" w:rsidP="00E10955">
            <w:pPr>
              <w:ind w:left="170" w:right="170"/>
              <w:rPr>
                <w:color w:val="000000"/>
                <w:szCs w:val="21"/>
                <w:lang w:eastAsia="en-AU"/>
              </w:rPr>
            </w:pPr>
            <w:r>
              <w:rPr>
                <w:sz w:val="23"/>
                <w:szCs w:val="23"/>
              </w:rPr>
              <w:t>EDSS</w:t>
            </w:r>
          </w:p>
        </w:tc>
        <w:tc>
          <w:tcPr>
            <w:tcW w:w="6911" w:type="dxa"/>
            <w:shd w:val="clear" w:color="auto" w:fill="auto"/>
          </w:tcPr>
          <w:p w:rsidR="00951956" w:rsidRPr="009A6272" w:rsidRDefault="00FF317D" w:rsidP="00E10955">
            <w:pPr>
              <w:ind w:left="170" w:right="170"/>
              <w:rPr>
                <w:color w:val="000000"/>
                <w:szCs w:val="21"/>
                <w:lang w:eastAsia="en-AU"/>
              </w:rPr>
            </w:pPr>
            <w:r>
              <w:rPr>
                <w:sz w:val="23"/>
                <w:szCs w:val="23"/>
              </w:rPr>
              <w:t>Expanded Disability Status Scale</w:t>
            </w:r>
          </w:p>
        </w:tc>
      </w:tr>
      <w:tr w:rsidR="00951956" w:rsidTr="00951956">
        <w:tc>
          <w:tcPr>
            <w:tcW w:w="1890" w:type="dxa"/>
            <w:shd w:val="clear" w:color="auto" w:fill="auto"/>
          </w:tcPr>
          <w:p w:rsidR="00951956" w:rsidRPr="009A6272" w:rsidRDefault="00FF317D" w:rsidP="00E10955">
            <w:pPr>
              <w:ind w:left="170" w:right="170"/>
              <w:rPr>
                <w:color w:val="000000"/>
                <w:szCs w:val="21"/>
                <w:lang w:eastAsia="en-AU"/>
              </w:rPr>
            </w:pPr>
            <w:r>
              <w:rPr>
                <w:sz w:val="23"/>
                <w:szCs w:val="23"/>
              </w:rPr>
              <w:t>EMA/EMEA</w:t>
            </w:r>
          </w:p>
        </w:tc>
        <w:tc>
          <w:tcPr>
            <w:tcW w:w="6911" w:type="dxa"/>
            <w:shd w:val="clear" w:color="auto" w:fill="auto"/>
          </w:tcPr>
          <w:p w:rsidR="00951956" w:rsidRPr="009A6272" w:rsidRDefault="00FF317D" w:rsidP="00E10955">
            <w:pPr>
              <w:ind w:left="170" w:right="170"/>
              <w:rPr>
                <w:color w:val="000000"/>
                <w:szCs w:val="21"/>
                <w:lang w:eastAsia="en-AU"/>
              </w:rPr>
            </w:pPr>
            <w:r>
              <w:rPr>
                <w:sz w:val="23"/>
                <w:szCs w:val="23"/>
              </w:rPr>
              <w:t>European Medicines Agency</w:t>
            </w:r>
          </w:p>
        </w:tc>
      </w:tr>
      <w:tr w:rsidR="00951956" w:rsidTr="00951956">
        <w:tc>
          <w:tcPr>
            <w:tcW w:w="1890" w:type="dxa"/>
            <w:shd w:val="clear" w:color="auto" w:fill="auto"/>
          </w:tcPr>
          <w:p w:rsidR="00951956" w:rsidRPr="009A6272" w:rsidRDefault="00FF317D" w:rsidP="00E10955">
            <w:pPr>
              <w:ind w:left="170" w:right="170"/>
              <w:rPr>
                <w:color w:val="000000"/>
                <w:szCs w:val="21"/>
                <w:lang w:eastAsia="en-AU"/>
              </w:rPr>
            </w:pPr>
            <w:r>
              <w:rPr>
                <w:sz w:val="23"/>
                <w:szCs w:val="23"/>
              </w:rPr>
              <w:t>EPAR</w:t>
            </w:r>
          </w:p>
        </w:tc>
        <w:tc>
          <w:tcPr>
            <w:tcW w:w="6911" w:type="dxa"/>
            <w:shd w:val="clear" w:color="auto" w:fill="auto"/>
          </w:tcPr>
          <w:p w:rsidR="00951956" w:rsidRPr="009A6272" w:rsidRDefault="00FF317D" w:rsidP="00E10955">
            <w:pPr>
              <w:ind w:left="170" w:right="170"/>
              <w:rPr>
                <w:color w:val="000000"/>
                <w:szCs w:val="21"/>
                <w:lang w:eastAsia="en-AU"/>
              </w:rPr>
            </w:pPr>
            <w:r>
              <w:rPr>
                <w:sz w:val="23"/>
                <w:szCs w:val="23"/>
              </w:rPr>
              <w:t>European Public Assessment Report</w:t>
            </w:r>
          </w:p>
        </w:tc>
      </w:tr>
      <w:tr w:rsidR="00951956" w:rsidTr="00951956">
        <w:tc>
          <w:tcPr>
            <w:tcW w:w="1890" w:type="dxa"/>
            <w:shd w:val="clear" w:color="auto" w:fill="auto"/>
          </w:tcPr>
          <w:p w:rsidR="00951956" w:rsidRPr="009A6272" w:rsidRDefault="00FF317D" w:rsidP="00E10955">
            <w:pPr>
              <w:ind w:left="170" w:right="170"/>
              <w:rPr>
                <w:color w:val="000000"/>
                <w:szCs w:val="21"/>
                <w:lang w:eastAsia="en-AU"/>
              </w:rPr>
            </w:pPr>
            <w:r>
              <w:rPr>
                <w:sz w:val="23"/>
                <w:szCs w:val="23"/>
              </w:rPr>
              <w:t>EWP</w:t>
            </w:r>
          </w:p>
        </w:tc>
        <w:tc>
          <w:tcPr>
            <w:tcW w:w="6911" w:type="dxa"/>
            <w:shd w:val="clear" w:color="auto" w:fill="auto"/>
          </w:tcPr>
          <w:p w:rsidR="00951956" w:rsidRPr="009A6272" w:rsidRDefault="00FF317D" w:rsidP="00E10955">
            <w:pPr>
              <w:ind w:left="170" w:right="170"/>
              <w:rPr>
                <w:color w:val="000000"/>
                <w:szCs w:val="21"/>
                <w:lang w:eastAsia="en-AU"/>
              </w:rPr>
            </w:pPr>
            <w:r>
              <w:rPr>
                <w:sz w:val="23"/>
                <w:szCs w:val="23"/>
              </w:rPr>
              <w:t>Efficacy Working Party</w:t>
            </w:r>
          </w:p>
        </w:tc>
      </w:tr>
      <w:tr w:rsidR="00951956" w:rsidTr="00951956">
        <w:tc>
          <w:tcPr>
            <w:tcW w:w="1890" w:type="dxa"/>
            <w:shd w:val="clear" w:color="auto" w:fill="auto"/>
          </w:tcPr>
          <w:p w:rsidR="00951956" w:rsidRPr="009A6272" w:rsidRDefault="00FF317D" w:rsidP="00E10955">
            <w:pPr>
              <w:ind w:left="170" w:right="170"/>
              <w:rPr>
                <w:color w:val="000000"/>
                <w:szCs w:val="21"/>
                <w:lang w:eastAsia="en-AU"/>
              </w:rPr>
            </w:pPr>
            <w:r>
              <w:rPr>
                <w:sz w:val="23"/>
                <w:szCs w:val="23"/>
              </w:rPr>
              <w:t>FBS</w:t>
            </w:r>
          </w:p>
        </w:tc>
        <w:tc>
          <w:tcPr>
            <w:tcW w:w="6911" w:type="dxa"/>
            <w:shd w:val="clear" w:color="auto" w:fill="auto"/>
          </w:tcPr>
          <w:p w:rsidR="00951956" w:rsidRPr="009A6272" w:rsidRDefault="00FF317D" w:rsidP="00E10955">
            <w:pPr>
              <w:ind w:left="170" w:right="170"/>
              <w:rPr>
                <w:color w:val="000000"/>
                <w:szCs w:val="21"/>
                <w:lang w:eastAsia="en-AU"/>
              </w:rPr>
            </w:pPr>
            <w:proofErr w:type="spellStart"/>
            <w:r>
              <w:rPr>
                <w:sz w:val="23"/>
                <w:szCs w:val="23"/>
              </w:rPr>
              <w:t>Fetal</w:t>
            </w:r>
            <w:proofErr w:type="spellEnd"/>
            <w:r>
              <w:rPr>
                <w:sz w:val="23"/>
                <w:szCs w:val="23"/>
              </w:rPr>
              <w:t xml:space="preserve"> Bovine Serum</w:t>
            </w:r>
          </w:p>
        </w:tc>
      </w:tr>
      <w:tr w:rsidR="00951956" w:rsidTr="00951956">
        <w:tc>
          <w:tcPr>
            <w:tcW w:w="1890" w:type="dxa"/>
            <w:shd w:val="clear" w:color="auto" w:fill="auto"/>
          </w:tcPr>
          <w:p w:rsidR="00951956" w:rsidRPr="009A6272" w:rsidRDefault="001F3277" w:rsidP="00E10955">
            <w:pPr>
              <w:ind w:left="170" w:right="170"/>
              <w:rPr>
                <w:color w:val="000000"/>
                <w:szCs w:val="21"/>
                <w:lang w:eastAsia="en-AU"/>
              </w:rPr>
            </w:pPr>
            <w:r>
              <w:rPr>
                <w:sz w:val="23"/>
                <w:szCs w:val="23"/>
              </w:rPr>
              <w:lastRenderedPageBreak/>
              <w:t>FLS</w:t>
            </w:r>
          </w:p>
        </w:tc>
        <w:tc>
          <w:tcPr>
            <w:tcW w:w="6911" w:type="dxa"/>
            <w:shd w:val="clear" w:color="auto" w:fill="auto"/>
          </w:tcPr>
          <w:p w:rsidR="00951956" w:rsidRPr="009A6272" w:rsidRDefault="001F3277" w:rsidP="00E10955">
            <w:pPr>
              <w:ind w:left="170" w:right="170"/>
              <w:rPr>
                <w:color w:val="000000"/>
                <w:szCs w:val="21"/>
                <w:lang w:eastAsia="en-AU"/>
              </w:rPr>
            </w:pPr>
            <w:r>
              <w:rPr>
                <w:sz w:val="23"/>
                <w:szCs w:val="23"/>
              </w:rPr>
              <w:t>Flu-Like Syndrome</w:t>
            </w:r>
          </w:p>
        </w:tc>
      </w:tr>
      <w:tr w:rsidR="00951956" w:rsidTr="00951956">
        <w:tc>
          <w:tcPr>
            <w:tcW w:w="1890" w:type="dxa"/>
            <w:shd w:val="clear" w:color="auto" w:fill="auto"/>
          </w:tcPr>
          <w:p w:rsidR="00951956" w:rsidRPr="009A6272" w:rsidRDefault="001F3277" w:rsidP="00E10955">
            <w:pPr>
              <w:ind w:left="170" w:right="170"/>
              <w:rPr>
                <w:color w:val="000000"/>
                <w:szCs w:val="21"/>
                <w:lang w:eastAsia="en-AU"/>
              </w:rPr>
            </w:pPr>
            <w:proofErr w:type="spellStart"/>
            <w:r>
              <w:rPr>
                <w:sz w:val="23"/>
                <w:szCs w:val="23"/>
              </w:rPr>
              <w:t>Gd</w:t>
            </w:r>
            <w:proofErr w:type="spellEnd"/>
          </w:p>
        </w:tc>
        <w:tc>
          <w:tcPr>
            <w:tcW w:w="6911" w:type="dxa"/>
            <w:shd w:val="clear" w:color="auto" w:fill="auto"/>
          </w:tcPr>
          <w:p w:rsidR="00951956" w:rsidRPr="009A6272" w:rsidRDefault="001F3277" w:rsidP="00E10955">
            <w:pPr>
              <w:ind w:left="170" w:right="170"/>
              <w:rPr>
                <w:color w:val="000000"/>
                <w:szCs w:val="21"/>
                <w:lang w:eastAsia="en-AU"/>
              </w:rPr>
            </w:pPr>
            <w:r>
              <w:rPr>
                <w:sz w:val="23"/>
                <w:szCs w:val="23"/>
              </w:rPr>
              <w:t>Gadolinium</w:t>
            </w:r>
          </w:p>
        </w:tc>
      </w:tr>
      <w:tr w:rsidR="00951956" w:rsidTr="00951956">
        <w:tc>
          <w:tcPr>
            <w:tcW w:w="1890" w:type="dxa"/>
            <w:shd w:val="clear" w:color="auto" w:fill="auto"/>
          </w:tcPr>
          <w:p w:rsidR="00951956" w:rsidRPr="009A6272" w:rsidRDefault="00DD723B" w:rsidP="00E10955">
            <w:pPr>
              <w:ind w:left="170" w:right="170"/>
              <w:rPr>
                <w:color w:val="000000"/>
                <w:szCs w:val="21"/>
                <w:lang w:eastAsia="en-AU"/>
              </w:rPr>
            </w:pPr>
            <w:r>
              <w:rPr>
                <w:sz w:val="23"/>
                <w:szCs w:val="23"/>
              </w:rPr>
              <w:t>HR</w:t>
            </w:r>
          </w:p>
        </w:tc>
        <w:tc>
          <w:tcPr>
            <w:tcW w:w="6911" w:type="dxa"/>
            <w:shd w:val="clear" w:color="auto" w:fill="auto"/>
          </w:tcPr>
          <w:p w:rsidR="00951956" w:rsidRPr="009A6272" w:rsidRDefault="00DD723B" w:rsidP="00E10955">
            <w:pPr>
              <w:ind w:left="170" w:right="170"/>
              <w:rPr>
                <w:color w:val="000000"/>
                <w:szCs w:val="21"/>
                <w:lang w:eastAsia="en-AU"/>
              </w:rPr>
            </w:pPr>
            <w:r>
              <w:rPr>
                <w:sz w:val="23"/>
                <w:szCs w:val="23"/>
              </w:rPr>
              <w:t>Hazard Ratio</w:t>
            </w:r>
          </w:p>
        </w:tc>
      </w:tr>
      <w:tr w:rsidR="00951956" w:rsidTr="00951956">
        <w:tc>
          <w:tcPr>
            <w:tcW w:w="1890" w:type="dxa"/>
            <w:shd w:val="clear" w:color="auto" w:fill="auto"/>
          </w:tcPr>
          <w:p w:rsidR="00951956" w:rsidRPr="009A6272" w:rsidRDefault="00DD723B" w:rsidP="00E10955">
            <w:pPr>
              <w:ind w:left="170" w:right="170"/>
              <w:rPr>
                <w:color w:val="000000"/>
                <w:szCs w:val="21"/>
                <w:lang w:eastAsia="en-AU"/>
              </w:rPr>
            </w:pPr>
            <w:r>
              <w:rPr>
                <w:sz w:val="23"/>
                <w:szCs w:val="23"/>
              </w:rPr>
              <w:t>HSA</w:t>
            </w:r>
          </w:p>
        </w:tc>
        <w:tc>
          <w:tcPr>
            <w:tcW w:w="6911" w:type="dxa"/>
            <w:shd w:val="clear" w:color="auto" w:fill="auto"/>
          </w:tcPr>
          <w:p w:rsidR="00951956" w:rsidRPr="009A6272" w:rsidRDefault="00DD723B" w:rsidP="00E10955">
            <w:pPr>
              <w:ind w:left="170" w:right="170"/>
              <w:rPr>
                <w:color w:val="000000"/>
                <w:szCs w:val="21"/>
                <w:lang w:eastAsia="en-AU"/>
              </w:rPr>
            </w:pPr>
            <w:r>
              <w:rPr>
                <w:sz w:val="23"/>
                <w:szCs w:val="23"/>
              </w:rPr>
              <w:t>Human Serum Albumin</w:t>
            </w:r>
          </w:p>
        </w:tc>
      </w:tr>
      <w:tr w:rsidR="00951956" w:rsidTr="00951956">
        <w:tc>
          <w:tcPr>
            <w:tcW w:w="1890" w:type="dxa"/>
            <w:shd w:val="clear" w:color="auto" w:fill="auto"/>
          </w:tcPr>
          <w:p w:rsidR="00951956" w:rsidRPr="009A6272" w:rsidRDefault="00DD723B" w:rsidP="00E10955">
            <w:pPr>
              <w:ind w:left="170" w:right="170"/>
              <w:rPr>
                <w:color w:val="000000"/>
                <w:szCs w:val="21"/>
                <w:lang w:eastAsia="en-AU"/>
              </w:rPr>
            </w:pPr>
            <w:r>
              <w:rPr>
                <w:sz w:val="23"/>
                <w:szCs w:val="23"/>
              </w:rPr>
              <w:t>IFN</w:t>
            </w:r>
          </w:p>
        </w:tc>
        <w:tc>
          <w:tcPr>
            <w:tcW w:w="6911" w:type="dxa"/>
            <w:shd w:val="clear" w:color="auto" w:fill="auto"/>
          </w:tcPr>
          <w:p w:rsidR="00951956" w:rsidRPr="009A6272" w:rsidRDefault="00DD723B" w:rsidP="00E10955">
            <w:pPr>
              <w:ind w:left="170" w:right="170"/>
              <w:rPr>
                <w:color w:val="000000"/>
                <w:szCs w:val="21"/>
                <w:lang w:eastAsia="en-AU"/>
              </w:rPr>
            </w:pPr>
            <w:r>
              <w:rPr>
                <w:sz w:val="23"/>
                <w:szCs w:val="23"/>
              </w:rPr>
              <w:t>Interferon</w:t>
            </w:r>
          </w:p>
        </w:tc>
      </w:tr>
      <w:tr w:rsidR="00951956" w:rsidTr="00951956">
        <w:tc>
          <w:tcPr>
            <w:tcW w:w="1890" w:type="dxa"/>
            <w:shd w:val="clear" w:color="auto" w:fill="auto"/>
          </w:tcPr>
          <w:p w:rsidR="00951956" w:rsidRPr="009A6272" w:rsidRDefault="00DD723B" w:rsidP="00E10955">
            <w:pPr>
              <w:ind w:left="170" w:right="170"/>
              <w:rPr>
                <w:color w:val="000000"/>
                <w:szCs w:val="21"/>
                <w:lang w:eastAsia="en-AU"/>
              </w:rPr>
            </w:pPr>
            <w:r>
              <w:rPr>
                <w:sz w:val="23"/>
                <w:szCs w:val="23"/>
              </w:rPr>
              <w:t>IMP</w:t>
            </w:r>
          </w:p>
        </w:tc>
        <w:tc>
          <w:tcPr>
            <w:tcW w:w="6911" w:type="dxa"/>
            <w:shd w:val="clear" w:color="auto" w:fill="auto"/>
          </w:tcPr>
          <w:p w:rsidR="00951956" w:rsidRPr="009A6272" w:rsidRDefault="00DD723B" w:rsidP="00E10955">
            <w:pPr>
              <w:ind w:left="170" w:right="170"/>
              <w:rPr>
                <w:color w:val="000000"/>
                <w:szCs w:val="21"/>
                <w:lang w:eastAsia="en-AU"/>
              </w:rPr>
            </w:pPr>
            <w:r>
              <w:rPr>
                <w:sz w:val="23"/>
                <w:szCs w:val="23"/>
              </w:rPr>
              <w:t>Investigational Medicinal Product</w:t>
            </w:r>
          </w:p>
        </w:tc>
      </w:tr>
      <w:tr w:rsidR="00951956" w:rsidTr="00951956">
        <w:tc>
          <w:tcPr>
            <w:tcW w:w="1890" w:type="dxa"/>
            <w:shd w:val="clear" w:color="auto" w:fill="auto"/>
          </w:tcPr>
          <w:p w:rsidR="00951956" w:rsidRPr="009A6272" w:rsidRDefault="00DD723B" w:rsidP="00E10955">
            <w:pPr>
              <w:ind w:left="170" w:right="170"/>
              <w:rPr>
                <w:color w:val="000000"/>
                <w:szCs w:val="21"/>
                <w:lang w:eastAsia="en-AU"/>
              </w:rPr>
            </w:pPr>
            <w:r>
              <w:rPr>
                <w:sz w:val="23"/>
                <w:szCs w:val="23"/>
              </w:rPr>
              <w:t>ITT</w:t>
            </w:r>
          </w:p>
        </w:tc>
        <w:tc>
          <w:tcPr>
            <w:tcW w:w="6911" w:type="dxa"/>
            <w:shd w:val="clear" w:color="auto" w:fill="auto"/>
          </w:tcPr>
          <w:p w:rsidR="00951956" w:rsidRPr="009A6272" w:rsidRDefault="00DD723B" w:rsidP="00E10955">
            <w:pPr>
              <w:ind w:left="170" w:right="170"/>
              <w:rPr>
                <w:color w:val="000000"/>
                <w:szCs w:val="21"/>
                <w:lang w:eastAsia="en-AU"/>
              </w:rPr>
            </w:pPr>
            <w:r>
              <w:rPr>
                <w:sz w:val="23"/>
                <w:szCs w:val="23"/>
              </w:rPr>
              <w:t>Intent-To-Treat</w:t>
            </w:r>
          </w:p>
        </w:tc>
      </w:tr>
      <w:tr w:rsidR="00DD723B" w:rsidTr="00E10955">
        <w:tc>
          <w:tcPr>
            <w:tcW w:w="1890" w:type="dxa"/>
            <w:shd w:val="clear" w:color="auto" w:fill="auto"/>
          </w:tcPr>
          <w:p w:rsidR="00DD723B" w:rsidRPr="009A6272" w:rsidRDefault="00FC61E6" w:rsidP="00E10955">
            <w:pPr>
              <w:ind w:left="170" w:right="170"/>
              <w:rPr>
                <w:color w:val="000000"/>
                <w:szCs w:val="21"/>
                <w:lang w:eastAsia="en-AU"/>
              </w:rPr>
            </w:pPr>
            <w:r>
              <w:rPr>
                <w:sz w:val="23"/>
                <w:szCs w:val="23"/>
              </w:rPr>
              <w:t>IV</w:t>
            </w:r>
          </w:p>
        </w:tc>
        <w:tc>
          <w:tcPr>
            <w:tcW w:w="6911" w:type="dxa"/>
            <w:shd w:val="clear" w:color="auto" w:fill="auto"/>
          </w:tcPr>
          <w:p w:rsidR="00DD723B" w:rsidRPr="009A6272" w:rsidRDefault="00FC61E6" w:rsidP="00E10955">
            <w:pPr>
              <w:ind w:left="170" w:right="170"/>
              <w:rPr>
                <w:color w:val="000000"/>
                <w:szCs w:val="21"/>
                <w:lang w:eastAsia="en-AU"/>
              </w:rPr>
            </w:pPr>
            <w:r>
              <w:rPr>
                <w:sz w:val="23"/>
                <w:szCs w:val="23"/>
              </w:rPr>
              <w:t>Intravenous</w:t>
            </w:r>
          </w:p>
        </w:tc>
      </w:tr>
      <w:tr w:rsidR="00DD723B" w:rsidTr="00E10955">
        <w:tc>
          <w:tcPr>
            <w:tcW w:w="1890" w:type="dxa"/>
            <w:shd w:val="clear" w:color="auto" w:fill="auto"/>
          </w:tcPr>
          <w:p w:rsidR="00DD723B" w:rsidRPr="009A6272" w:rsidRDefault="00FC61E6" w:rsidP="00E10955">
            <w:pPr>
              <w:ind w:left="170" w:right="170"/>
              <w:rPr>
                <w:color w:val="000000"/>
                <w:szCs w:val="21"/>
                <w:lang w:eastAsia="en-AU"/>
              </w:rPr>
            </w:pPr>
            <w:r>
              <w:rPr>
                <w:color w:val="000000"/>
                <w:szCs w:val="21"/>
                <w:lang w:eastAsia="en-AU"/>
              </w:rPr>
              <w:t>K</w:t>
            </w:r>
            <w:r w:rsidR="002C6D74">
              <w:rPr>
                <w:color w:val="000000"/>
                <w:szCs w:val="21"/>
                <w:lang w:eastAsia="en-AU"/>
              </w:rPr>
              <w:t>M</w:t>
            </w:r>
          </w:p>
        </w:tc>
        <w:tc>
          <w:tcPr>
            <w:tcW w:w="6911" w:type="dxa"/>
            <w:shd w:val="clear" w:color="auto" w:fill="auto"/>
          </w:tcPr>
          <w:p w:rsidR="00DD723B" w:rsidRPr="009A6272" w:rsidRDefault="00FC61E6" w:rsidP="00E10955">
            <w:pPr>
              <w:ind w:left="170" w:right="170"/>
              <w:rPr>
                <w:color w:val="000000"/>
                <w:szCs w:val="21"/>
                <w:lang w:eastAsia="en-AU"/>
              </w:rPr>
            </w:pPr>
            <w:r>
              <w:rPr>
                <w:color w:val="000000"/>
                <w:szCs w:val="21"/>
                <w:lang w:eastAsia="en-AU"/>
              </w:rPr>
              <w:t>Kaplan-Meier</w:t>
            </w:r>
          </w:p>
        </w:tc>
      </w:tr>
      <w:tr w:rsidR="00DD723B" w:rsidTr="00E10955">
        <w:tc>
          <w:tcPr>
            <w:tcW w:w="1890" w:type="dxa"/>
            <w:shd w:val="clear" w:color="auto" w:fill="auto"/>
          </w:tcPr>
          <w:p w:rsidR="00DD723B" w:rsidRPr="009A6272" w:rsidRDefault="003928DC" w:rsidP="00E10955">
            <w:pPr>
              <w:ind w:left="170" w:right="170"/>
              <w:rPr>
                <w:color w:val="000000"/>
                <w:szCs w:val="21"/>
                <w:lang w:eastAsia="en-AU"/>
              </w:rPr>
            </w:pPr>
            <w:r>
              <w:rPr>
                <w:sz w:val="23"/>
                <w:szCs w:val="23"/>
              </w:rPr>
              <w:t>LOV</w:t>
            </w:r>
          </w:p>
        </w:tc>
        <w:tc>
          <w:tcPr>
            <w:tcW w:w="6911" w:type="dxa"/>
            <w:shd w:val="clear" w:color="auto" w:fill="auto"/>
          </w:tcPr>
          <w:p w:rsidR="00DD723B" w:rsidRPr="009A6272" w:rsidRDefault="003928DC" w:rsidP="00E10955">
            <w:pPr>
              <w:ind w:left="170" w:right="170"/>
              <w:rPr>
                <w:color w:val="000000"/>
                <w:szCs w:val="21"/>
                <w:lang w:eastAsia="en-AU"/>
              </w:rPr>
            </w:pPr>
            <w:r>
              <w:rPr>
                <w:sz w:val="23"/>
                <w:szCs w:val="23"/>
              </w:rPr>
              <w:t>Last Observed Value</w:t>
            </w:r>
          </w:p>
        </w:tc>
      </w:tr>
      <w:tr w:rsidR="00DD723B" w:rsidTr="00E10955">
        <w:tc>
          <w:tcPr>
            <w:tcW w:w="1890" w:type="dxa"/>
            <w:shd w:val="clear" w:color="auto" w:fill="auto"/>
          </w:tcPr>
          <w:p w:rsidR="00DD723B" w:rsidRPr="009A6272" w:rsidRDefault="00D93815" w:rsidP="00E10955">
            <w:pPr>
              <w:ind w:left="170" w:right="170"/>
              <w:rPr>
                <w:color w:val="000000"/>
                <w:szCs w:val="21"/>
                <w:lang w:eastAsia="en-AU"/>
              </w:rPr>
            </w:pPr>
            <w:proofErr w:type="spellStart"/>
            <w:r>
              <w:rPr>
                <w:sz w:val="23"/>
                <w:szCs w:val="23"/>
              </w:rPr>
              <w:t>MedDRA</w:t>
            </w:r>
            <w:proofErr w:type="spellEnd"/>
          </w:p>
        </w:tc>
        <w:tc>
          <w:tcPr>
            <w:tcW w:w="6911" w:type="dxa"/>
            <w:shd w:val="clear" w:color="auto" w:fill="auto"/>
          </w:tcPr>
          <w:p w:rsidR="00DD723B" w:rsidRPr="009A6272" w:rsidRDefault="00D93815" w:rsidP="00E10955">
            <w:pPr>
              <w:ind w:left="170" w:right="170"/>
              <w:rPr>
                <w:color w:val="000000"/>
                <w:szCs w:val="21"/>
                <w:lang w:eastAsia="en-AU"/>
              </w:rPr>
            </w:pPr>
            <w:r>
              <w:rPr>
                <w:sz w:val="23"/>
                <w:szCs w:val="23"/>
              </w:rPr>
              <w:t>Medical Dictionary for Regulatory Activities</w:t>
            </w:r>
          </w:p>
        </w:tc>
      </w:tr>
      <w:tr w:rsidR="00DD723B" w:rsidTr="00E10955">
        <w:tc>
          <w:tcPr>
            <w:tcW w:w="1890" w:type="dxa"/>
            <w:shd w:val="clear" w:color="auto" w:fill="auto"/>
          </w:tcPr>
          <w:p w:rsidR="00DD723B" w:rsidRPr="009A6272" w:rsidRDefault="00D93815" w:rsidP="00E10955">
            <w:pPr>
              <w:ind w:left="170" w:right="170"/>
              <w:rPr>
                <w:color w:val="000000"/>
                <w:szCs w:val="21"/>
                <w:lang w:eastAsia="en-AU"/>
              </w:rPr>
            </w:pPr>
            <w:r>
              <w:rPr>
                <w:sz w:val="23"/>
                <w:szCs w:val="23"/>
              </w:rPr>
              <w:t>MRI</w:t>
            </w:r>
          </w:p>
        </w:tc>
        <w:tc>
          <w:tcPr>
            <w:tcW w:w="6911" w:type="dxa"/>
            <w:shd w:val="clear" w:color="auto" w:fill="auto"/>
          </w:tcPr>
          <w:p w:rsidR="00DD723B" w:rsidRPr="009A6272" w:rsidRDefault="00D93815" w:rsidP="00E10955">
            <w:pPr>
              <w:ind w:left="170" w:right="170"/>
              <w:rPr>
                <w:color w:val="000000"/>
                <w:szCs w:val="21"/>
                <w:lang w:eastAsia="en-AU"/>
              </w:rPr>
            </w:pPr>
            <w:r>
              <w:rPr>
                <w:sz w:val="23"/>
                <w:szCs w:val="23"/>
              </w:rPr>
              <w:t>Magnetic Resonance Imaging</w:t>
            </w:r>
          </w:p>
        </w:tc>
      </w:tr>
      <w:tr w:rsidR="00DD723B" w:rsidTr="00E10955">
        <w:tc>
          <w:tcPr>
            <w:tcW w:w="1890" w:type="dxa"/>
            <w:shd w:val="clear" w:color="auto" w:fill="auto"/>
          </w:tcPr>
          <w:p w:rsidR="00DD723B" w:rsidRPr="009A6272" w:rsidRDefault="00D93815" w:rsidP="00E10955">
            <w:pPr>
              <w:ind w:left="170" w:right="170"/>
              <w:rPr>
                <w:color w:val="000000"/>
                <w:szCs w:val="21"/>
                <w:lang w:eastAsia="en-AU"/>
              </w:rPr>
            </w:pPr>
            <w:r>
              <w:rPr>
                <w:sz w:val="23"/>
                <w:szCs w:val="23"/>
              </w:rPr>
              <w:t>MS</w:t>
            </w:r>
          </w:p>
        </w:tc>
        <w:tc>
          <w:tcPr>
            <w:tcW w:w="6911" w:type="dxa"/>
            <w:shd w:val="clear" w:color="auto" w:fill="auto"/>
          </w:tcPr>
          <w:p w:rsidR="00DD723B" w:rsidRPr="009A6272" w:rsidRDefault="00D93815" w:rsidP="00E10955">
            <w:pPr>
              <w:ind w:left="170" w:right="170"/>
              <w:rPr>
                <w:color w:val="000000"/>
                <w:szCs w:val="21"/>
                <w:lang w:eastAsia="en-AU"/>
              </w:rPr>
            </w:pPr>
            <w:r>
              <w:rPr>
                <w:sz w:val="23"/>
                <w:szCs w:val="23"/>
              </w:rPr>
              <w:t>Multiple Sclerosis</w:t>
            </w:r>
          </w:p>
        </w:tc>
      </w:tr>
      <w:tr w:rsidR="00DD723B" w:rsidTr="00E10955">
        <w:tc>
          <w:tcPr>
            <w:tcW w:w="1890" w:type="dxa"/>
            <w:shd w:val="clear" w:color="auto" w:fill="auto"/>
          </w:tcPr>
          <w:p w:rsidR="00DD723B" w:rsidRPr="009A6272" w:rsidRDefault="00D93815" w:rsidP="00E10955">
            <w:pPr>
              <w:ind w:left="170" w:right="170"/>
              <w:rPr>
                <w:color w:val="000000"/>
                <w:szCs w:val="21"/>
                <w:lang w:eastAsia="en-AU"/>
              </w:rPr>
            </w:pPr>
            <w:proofErr w:type="spellStart"/>
            <w:r>
              <w:rPr>
                <w:sz w:val="23"/>
                <w:szCs w:val="23"/>
              </w:rPr>
              <w:t>NAbs</w:t>
            </w:r>
            <w:proofErr w:type="spellEnd"/>
          </w:p>
        </w:tc>
        <w:tc>
          <w:tcPr>
            <w:tcW w:w="6911" w:type="dxa"/>
            <w:shd w:val="clear" w:color="auto" w:fill="auto"/>
          </w:tcPr>
          <w:p w:rsidR="00DD723B" w:rsidRPr="009A6272" w:rsidRDefault="00D93815" w:rsidP="00D93815">
            <w:pPr>
              <w:ind w:left="170" w:right="170"/>
              <w:rPr>
                <w:color w:val="000000"/>
                <w:szCs w:val="21"/>
                <w:lang w:eastAsia="en-AU"/>
              </w:rPr>
            </w:pPr>
            <w:r>
              <w:rPr>
                <w:sz w:val="23"/>
                <w:szCs w:val="23"/>
              </w:rPr>
              <w:t>Neutralising Antibodies</w:t>
            </w:r>
          </w:p>
        </w:tc>
      </w:tr>
      <w:tr w:rsidR="00DD723B" w:rsidTr="00E10955">
        <w:tc>
          <w:tcPr>
            <w:tcW w:w="1890" w:type="dxa"/>
            <w:shd w:val="clear" w:color="auto" w:fill="auto"/>
          </w:tcPr>
          <w:p w:rsidR="00DD723B" w:rsidRPr="009A6272" w:rsidRDefault="00D93815" w:rsidP="00E10955">
            <w:pPr>
              <w:ind w:left="170" w:right="170"/>
              <w:rPr>
                <w:color w:val="000000"/>
                <w:szCs w:val="21"/>
                <w:lang w:eastAsia="en-AU"/>
              </w:rPr>
            </w:pPr>
            <w:r>
              <w:rPr>
                <w:sz w:val="23"/>
                <w:szCs w:val="23"/>
              </w:rPr>
              <w:t>NU</w:t>
            </w:r>
          </w:p>
        </w:tc>
        <w:tc>
          <w:tcPr>
            <w:tcW w:w="6911" w:type="dxa"/>
            <w:shd w:val="clear" w:color="auto" w:fill="auto"/>
          </w:tcPr>
          <w:p w:rsidR="00DD723B" w:rsidRPr="009A6272" w:rsidRDefault="00D93815" w:rsidP="00D93815">
            <w:pPr>
              <w:ind w:left="170" w:right="170"/>
              <w:rPr>
                <w:color w:val="000000"/>
                <w:szCs w:val="21"/>
                <w:lang w:eastAsia="en-AU"/>
              </w:rPr>
            </w:pPr>
            <w:r>
              <w:rPr>
                <w:sz w:val="23"/>
                <w:szCs w:val="23"/>
              </w:rPr>
              <w:t>Neutralising Unit</w:t>
            </w:r>
          </w:p>
        </w:tc>
      </w:tr>
      <w:tr w:rsidR="00951956" w:rsidTr="00951956">
        <w:tc>
          <w:tcPr>
            <w:tcW w:w="1890" w:type="dxa"/>
            <w:shd w:val="clear" w:color="auto" w:fill="auto"/>
          </w:tcPr>
          <w:p w:rsidR="00951956" w:rsidRPr="009A6272" w:rsidRDefault="00D93815" w:rsidP="00E10955">
            <w:pPr>
              <w:ind w:left="170" w:right="170"/>
              <w:rPr>
                <w:color w:val="000000"/>
                <w:szCs w:val="21"/>
                <w:lang w:eastAsia="en-AU"/>
              </w:rPr>
            </w:pPr>
            <w:r>
              <w:rPr>
                <w:sz w:val="23"/>
                <w:szCs w:val="23"/>
              </w:rPr>
              <w:t>OL</w:t>
            </w:r>
          </w:p>
        </w:tc>
        <w:tc>
          <w:tcPr>
            <w:tcW w:w="6911" w:type="dxa"/>
            <w:shd w:val="clear" w:color="auto" w:fill="auto"/>
          </w:tcPr>
          <w:p w:rsidR="00951956" w:rsidRPr="009A6272" w:rsidRDefault="00D93815" w:rsidP="00E10955">
            <w:pPr>
              <w:ind w:left="170" w:right="170"/>
              <w:rPr>
                <w:color w:val="000000"/>
                <w:szCs w:val="21"/>
                <w:lang w:eastAsia="en-AU"/>
              </w:rPr>
            </w:pPr>
            <w:r>
              <w:rPr>
                <w:sz w:val="23"/>
                <w:szCs w:val="23"/>
              </w:rPr>
              <w:t>Open-Label</w:t>
            </w:r>
          </w:p>
        </w:tc>
      </w:tr>
      <w:tr w:rsidR="00951956" w:rsidTr="00951956">
        <w:tc>
          <w:tcPr>
            <w:tcW w:w="1890" w:type="dxa"/>
            <w:shd w:val="clear" w:color="auto" w:fill="auto"/>
          </w:tcPr>
          <w:p w:rsidR="00951956" w:rsidRPr="009A6272" w:rsidRDefault="00D93815" w:rsidP="00E10955">
            <w:pPr>
              <w:ind w:left="170" w:right="170"/>
              <w:rPr>
                <w:color w:val="000000"/>
                <w:szCs w:val="21"/>
                <w:lang w:eastAsia="en-AU"/>
              </w:rPr>
            </w:pPr>
            <w:proofErr w:type="spellStart"/>
            <w:r>
              <w:rPr>
                <w:sz w:val="23"/>
                <w:szCs w:val="23"/>
              </w:rPr>
              <w:t>ow</w:t>
            </w:r>
            <w:proofErr w:type="spellEnd"/>
          </w:p>
        </w:tc>
        <w:tc>
          <w:tcPr>
            <w:tcW w:w="6911" w:type="dxa"/>
            <w:shd w:val="clear" w:color="auto" w:fill="auto"/>
          </w:tcPr>
          <w:p w:rsidR="00951956" w:rsidRPr="009A6272" w:rsidRDefault="00D93815" w:rsidP="00E10955">
            <w:pPr>
              <w:ind w:left="170" w:right="170"/>
              <w:rPr>
                <w:color w:val="000000"/>
                <w:szCs w:val="21"/>
                <w:lang w:eastAsia="en-AU"/>
              </w:rPr>
            </w:pPr>
            <w:r>
              <w:rPr>
                <w:sz w:val="23"/>
                <w:szCs w:val="23"/>
              </w:rPr>
              <w:t>Once weekly</w:t>
            </w:r>
          </w:p>
        </w:tc>
      </w:tr>
      <w:tr w:rsidR="00D93815" w:rsidTr="00E10955">
        <w:tc>
          <w:tcPr>
            <w:tcW w:w="1890" w:type="dxa"/>
            <w:shd w:val="clear" w:color="auto" w:fill="auto"/>
          </w:tcPr>
          <w:p w:rsidR="00D93815" w:rsidRPr="009A6272" w:rsidRDefault="00D93815" w:rsidP="00E10955">
            <w:pPr>
              <w:ind w:left="170" w:right="170"/>
              <w:rPr>
                <w:color w:val="000000"/>
                <w:szCs w:val="21"/>
                <w:lang w:eastAsia="en-AU"/>
              </w:rPr>
            </w:pPr>
            <w:r>
              <w:rPr>
                <w:sz w:val="23"/>
                <w:szCs w:val="23"/>
              </w:rPr>
              <w:t>PE</w:t>
            </w:r>
          </w:p>
        </w:tc>
        <w:tc>
          <w:tcPr>
            <w:tcW w:w="6911" w:type="dxa"/>
            <w:shd w:val="clear" w:color="auto" w:fill="auto"/>
          </w:tcPr>
          <w:p w:rsidR="00D93815" w:rsidRPr="009A6272" w:rsidRDefault="00D93815" w:rsidP="00E10955">
            <w:pPr>
              <w:ind w:left="170" w:right="170"/>
              <w:rPr>
                <w:color w:val="000000"/>
                <w:szCs w:val="21"/>
                <w:lang w:eastAsia="en-AU"/>
              </w:rPr>
            </w:pPr>
            <w:r>
              <w:rPr>
                <w:sz w:val="23"/>
                <w:szCs w:val="23"/>
              </w:rPr>
              <w:t>Point Estimate</w:t>
            </w:r>
          </w:p>
        </w:tc>
      </w:tr>
      <w:tr w:rsidR="00D93815" w:rsidTr="00E10955">
        <w:tc>
          <w:tcPr>
            <w:tcW w:w="1890" w:type="dxa"/>
            <w:shd w:val="clear" w:color="auto" w:fill="auto"/>
          </w:tcPr>
          <w:p w:rsidR="00D93815" w:rsidRPr="009A6272" w:rsidRDefault="00D93815" w:rsidP="00E10955">
            <w:pPr>
              <w:ind w:left="170" w:right="170"/>
              <w:rPr>
                <w:color w:val="000000"/>
                <w:szCs w:val="21"/>
                <w:lang w:eastAsia="en-AU"/>
              </w:rPr>
            </w:pPr>
            <w:r>
              <w:rPr>
                <w:sz w:val="23"/>
                <w:szCs w:val="23"/>
              </w:rPr>
              <w:t>PP</w:t>
            </w:r>
          </w:p>
        </w:tc>
        <w:tc>
          <w:tcPr>
            <w:tcW w:w="6911" w:type="dxa"/>
            <w:shd w:val="clear" w:color="auto" w:fill="auto"/>
          </w:tcPr>
          <w:p w:rsidR="00D93815" w:rsidRPr="009A6272" w:rsidRDefault="00D93815" w:rsidP="00E10955">
            <w:pPr>
              <w:ind w:left="170" w:right="170"/>
              <w:rPr>
                <w:color w:val="000000"/>
                <w:szCs w:val="21"/>
                <w:lang w:eastAsia="en-AU"/>
              </w:rPr>
            </w:pPr>
            <w:r>
              <w:rPr>
                <w:sz w:val="23"/>
                <w:szCs w:val="23"/>
              </w:rPr>
              <w:t>Per-Protocol</w:t>
            </w:r>
          </w:p>
        </w:tc>
      </w:tr>
      <w:tr w:rsidR="00D93815" w:rsidTr="00E10955">
        <w:tc>
          <w:tcPr>
            <w:tcW w:w="1890" w:type="dxa"/>
            <w:shd w:val="clear" w:color="auto" w:fill="auto"/>
          </w:tcPr>
          <w:p w:rsidR="00D93815" w:rsidRPr="009A6272" w:rsidRDefault="00D93815" w:rsidP="00E10955">
            <w:pPr>
              <w:ind w:left="170" w:right="170"/>
              <w:rPr>
                <w:color w:val="000000"/>
                <w:szCs w:val="21"/>
                <w:lang w:eastAsia="en-AU"/>
              </w:rPr>
            </w:pPr>
            <w:r>
              <w:rPr>
                <w:sz w:val="23"/>
                <w:szCs w:val="23"/>
              </w:rPr>
              <w:t>RNF</w:t>
            </w:r>
          </w:p>
        </w:tc>
        <w:tc>
          <w:tcPr>
            <w:tcW w:w="6911" w:type="dxa"/>
            <w:shd w:val="clear" w:color="auto" w:fill="auto"/>
          </w:tcPr>
          <w:p w:rsidR="00D93815" w:rsidRPr="009A6272" w:rsidRDefault="00D93815" w:rsidP="00E10955">
            <w:pPr>
              <w:ind w:left="170" w:right="170"/>
              <w:rPr>
                <w:color w:val="000000"/>
                <w:szCs w:val="21"/>
                <w:lang w:eastAsia="en-AU"/>
              </w:rPr>
            </w:pPr>
            <w:proofErr w:type="spellStart"/>
            <w:r>
              <w:rPr>
                <w:sz w:val="23"/>
                <w:szCs w:val="23"/>
              </w:rPr>
              <w:t>Rebif</w:t>
            </w:r>
            <w:proofErr w:type="spellEnd"/>
            <w:r>
              <w:rPr>
                <w:sz w:val="23"/>
                <w:szCs w:val="23"/>
              </w:rPr>
              <w:t xml:space="preserve"> HSA-free formulation (</w:t>
            </w:r>
            <w:proofErr w:type="spellStart"/>
            <w:r>
              <w:rPr>
                <w:sz w:val="23"/>
                <w:szCs w:val="23"/>
              </w:rPr>
              <w:t>Rebif</w:t>
            </w:r>
            <w:proofErr w:type="spellEnd"/>
            <w:r>
              <w:rPr>
                <w:sz w:val="23"/>
                <w:szCs w:val="23"/>
              </w:rPr>
              <w:t xml:space="preserve"> New Formulation)</w:t>
            </w:r>
          </w:p>
        </w:tc>
      </w:tr>
      <w:tr w:rsidR="00D93815" w:rsidTr="00E10955">
        <w:tc>
          <w:tcPr>
            <w:tcW w:w="1890" w:type="dxa"/>
            <w:shd w:val="clear" w:color="auto" w:fill="auto"/>
          </w:tcPr>
          <w:p w:rsidR="00D93815" w:rsidRPr="009A6272" w:rsidRDefault="00D93815" w:rsidP="00E10955">
            <w:pPr>
              <w:ind w:left="170" w:right="170"/>
              <w:rPr>
                <w:color w:val="000000"/>
                <w:szCs w:val="21"/>
                <w:lang w:eastAsia="en-AU"/>
              </w:rPr>
            </w:pPr>
            <w:r>
              <w:rPr>
                <w:sz w:val="23"/>
                <w:szCs w:val="23"/>
              </w:rPr>
              <w:t>RRMS</w:t>
            </w:r>
          </w:p>
        </w:tc>
        <w:tc>
          <w:tcPr>
            <w:tcW w:w="6911" w:type="dxa"/>
            <w:shd w:val="clear" w:color="auto" w:fill="auto"/>
          </w:tcPr>
          <w:p w:rsidR="00D93815" w:rsidRPr="009A6272" w:rsidRDefault="00D93815" w:rsidP="00E10955">
            <w:pPr>
              <w:ind w:left="170" w:right="170"/>
              <w:rPr>
                <w:color w:val="000000"/>
                <w:szCs w:val="21"/>
                <w:lang w:eastAsia="en-AU"/>
              </w:rPr>
            </w:pPr>
            <w:r>
              <w:rPr>
                <w:sz w:val="23"/>
                <w:szCs w:val="23"/>
              </w:rPr>
              <w:t>Relapsing-Remitting Multiple Sclerosis</w:t>
            </w:r>
          </w:p>
        </w:tc>
      </w:tr>
      <w:tr w:rsidR="00D93815" w:rsidTr="00E10955">
        <w:tc>
          <w:tcPr>
            <w:tcW w:w="1890" w:type="dxa"/>
            <w:shd w:val="clear" w:color="auto" w:fill="auto"/>
          </w:tcPr>
          <w:p w:rsidR="00D93815" w:rsidRPr="009A6272" w:rsidRDefault="00D93815" w:rsidP="00E10955">
            <w:pPr>
              <w:ind w:left="170" w:right="170"/>
              <w:rPr>
                <w:color w:val="000000"/>
                <w:szCs w:val="21"/>
                <w:lang w:eastAsia="en-AU"/>
              </w:rPr>
            </w:pPr>
            <w:r>
              <w:rPr>
                <w:sz w:val="23"/>
                <w:szCs w:val="23"/>
              </w:rPr>
              <w:t>SAE</w:t>
            </w:r>
          </w:p>
        </w:tc>
        <w:tc>
          <w:tcPr>
            <w:tcW w:w="6911" w:type="dxa"/>
            <w:shd w:val="clear" w:color="auto" w:fill="auto"/>
          </w:tcPr>
          <w:p w:rsidR="00D93815" w:rsidRPr="009A6272" w:rsidRDefault="00D93815" w:rsidP="00E10955">
            <w:pPr>
              <w:ind w:left="170" w:right="170"/>
              <w:rPr>
                <w:color w:val="000000"/>
                <w:szCs w:val="21"/>
                <w:lang w:eastAsia="en-AU"/>
              </w:rPr>
            </w:pPr>
            <w:r>
              <w:rPr>
                <w:sz w:val="23"/>
                <w:szCs w:val="23"/>
              </w:rPr>
              <w:t>Serious Adverse Event</w:t>
            </w:r>
          </w:p>
        </w:tc>
      </w:tr>
      <w:tr w:rsidR="00D93815" w:rsidTr="00E10955">
        <w:tc>
          <w:tcPr>
            <w:tcW w:w="1890" w:type="dxa"/>
            <w:shd w:val="clear" w:color="auto" w:fill="auto"/>
          </w:tcPr>
          <w:p w:rsidR="00D93815" w:rsidRPr="009A6272" w:rsidRDefault="00D93815" w:rsidP="00E10955">
            <w:pPr>
              <w:ind w:left="170" w:right="170"/>
              <w:rPr>
                <w:color w:val="000000"/>
                <w:szCs w:val="21"/>
                <w:lang w:eastAsia="en-AU"/>
              </w:rPr>
            </w:pPr>
            <w:r>
              <w:rPr>
                <w:sz w:val="23"/>
                <w:szCs w:val="23"/>
              </w:rPr>
              <w:t>SC</w:t>
            </w:r>
          </w:p>
        </w:tc>
        <w:tc>
          <w:tcPr>
            <w:tcW w:w="6911" w:type="dxa"/>
            <w:shd w:val="clear" w:color="auto" w:fill="auto"/>
          </w:tcPr>
          <w:p w:rsidR="00D93815" w:rsidRPr="009A6272" w:rsidRDefault="00D93815" w:rsidP="00E10955">
            <w:pPr>
              <w:ind w:left="170" w:right="170"/>
              <w:rPr>
                <w:color w:val="000000"/>
                <w:szCs w:val="21"/>
                <w:lang w:eastAsia="en-AU"/>
              </w:rPr>
            </w:pPr>
            <w:r>
              <w:rPr>
                <w:sz w:val="23"/>
                <w:szCs w:val="23"/>
              </w:rPr>
              <w:t>Subcutaneously, subcutaneous</w:t>
            </w:r>
          </w:p>
        </w:tc>
      </w:tr>
      <w:tr w:rsidR="00D93815" w:rsidTr="00E10955">
        <w:tc>
          <w:tcPr>
            <w:tcW w:w="1890" w:type="dxa"/>
            <w:shd w:val="clear" w:color="auto" w:fill="auto"/>
          </w:tcPr>
          <w:p w:rsidR="00D93815" w:rsidRPr="009A6272" w:rsidRDefault="00D93815" w:rsidP="00E10955">
            <w:pPr>
              <w:ind w:left="170" w:right="170"/>
              <w:rPr>
                <w:color w:val="000000"/>
                <w:szCs w:val="21"/>
                <w:lang w:eastAsia="en-AU"/>
              </w:rPr>
            </w:pPr>
            <w:r>
              <w:rPr>
                <w:sz w:val="23"/>
                <w:szCs w:val="23"/>
              </w:rPr>
              <w:t>SD</w:t>
            </w:r>
          </w:p>
        </w:tc>
        <w:tc>
          <w:tcPr>
            <w:tcW w:w="6911" w:type="dxa"/>
            <w:shd w:val="clear" w:color="auto" w:fill="auto"/>
          </w:tcPr>
          <w:p w:rsidR="00D93815" w:rsidRPr="009A6272" w:rsidRDefault="00D93815" w:rsidP="00E10955">
            <w:pPr>
              <w:ind w:left="170" w:right="170"/>
              <w:rPr>
                <w:color w:val="000000"/>
                <w:szCs w:val="21"/>
                <w:lang w:eastAsia="en-AU"/>
              </w:rPr>
            </w:pPr>
            <w:r>
              <w:rPr>
                <w:sz w:val="23"/>
                <w:szCs w:val="23"/>
              </w:rPr>
              <w:t>Standard Deviation</w:t>
            </w:r>
          </w:p>
        </w:tc>
      </w:tr>
      <w:tr w:rsidR="00D93815" w:rsidTr="00E10955">
        <w:tc>
          <w:tcPr>
            <w:tcW w:w="1890" w:type="dxa"/>
            <w:shd w:val="clear" w:color="auto" w:fill="auto"/>
          </w:tcPr>
          <w:p w:rsidR="00D93815" w:rsidRPr="009A6272" w:rsidRDefault="00D93815" w:rsidP="00E10955">
            <w:pPr>
              <w:ind w:left="170" w:right="170"/>
              <w:rPr>
                <w:color w:val="000000"/>
                <w:szCs w:val="21"/>
                <w:lang w:eastAsia="en-AU"/>
              </w:rPr>
            </w:pPr>
            <w:r>
              <w:rPr>
                <w:sz w:val="23"/>
                <w:szCs w:val="23"/>
              </w:rPr>
              <w:t>SE</w:t>
            </w:r>
          </w:p>
        </w:tc>
        <w:tc>
          <w:tcPr>
            <w:tcW w:w="6911" w:type="dxa"/>
            <w:shd w:val="clear" w:color="auto" w:fill="auto"/>
          </w:tcPr>
          <w:p w:rsidR="00D93815" w:rsidRPr="009A6272" w:rsidRDefault="00D93815" w:rsidP="00E10955">
            <w:pPr>
              <w:ind w:left="170" w:right="170"/>
              <w:rPr>
                <w:color w:val="000000"/>
                <w:szCs w:val="21"/>
                <w:lang w:eastAsia="en-AU"/>
              </w:rPr>
            </w:pPr>
            <w:r>
              <w:rPr>
                <w:sz w:val="23"/>
                <w:szCs w:val="23"/>
              </w:rPr>
              <w:t>Standard Error</w:t>
            </w:r>
          </w:p>
        </w:tc>
      </w:tr>
      <w:tr w:rsidR="00D93815" w:rsidTr="00E10955">
        <w:tc>
          <w:tcPr>
            <w:tcW w:w="1890" w:type="dxa"/>
            <w:shd w:val="clear" w:color="auto" w:fill="auto"/>
          </w:tcPr>
          <w:p w:rsidR="00D93815" w:rsidRPr="009A6272" w:rsidRDefault="00D93815" w:rsidP="00E10955">
            <w:pPr>
              <w:ind w:left="170" w:right="170"/>
              <w:rPr>
                <w:color w:val="000000"/>
                <w:szCs w:val="21"/>
                <w:lang w:eastAsia="en-AU"/>
              </w:rPr>
            </w:pPr>
            <w:r>
              <w:rPr>
                <w:sz w:val="23"/>
                <w:szCs w:val="23"/>
              </w:rPr>
              <w:lastRenderedPageBreak/>
              <w:t>SPMS</w:t>
            </w:r>
          </w:p>
        </w:tc>
        <w:tc>
          <w:tcPr>
            <w:tcW w:w="6911" w:type="dxa"/>
            <w:shd w:val="clear" w:color="auto" w:fill="auto"/>
          </w:tcPr>
          <w:p w:rsidR="00D93815" w:rsidRPr="009A6272" w:rsidRDefault="00D93815" w:rsidP="00E10955">
            <w:pPr>
              <w:ind w:left="170" w:right="170"/>
              <w:rPr>
                <w:color w:val="000000"/>
                <w:szCs w:val="21"/>
                <w:lang w:eastAsia="en-AU"/>
              </w:rPr>
            </w:pPr>
            <w:r>
              <w:rPr>
                <w:sz w:val="23"/>
                <w:szCs w:val="23"/>
              </w:rPr>
              <w:t>Secondary Progressive Multiple Sclerosis</w:t>
            </w:r>
          </w:p>
        </w:tc>
      </w:tr>
      <w:tr w:rsidR="00D93815" w:rsidTr="00E10955">
        <w:tc>
          <w:tcPr>
            <w:tcW w:w="1890" w:type="dxa"/>
            <w:shd w:val="clear" w:color="auto" w:fill="auto"/>
          </w:tcPr>
          <w:p w:rsidR="00D93815" w:rsidRPr="009A6272" w:rsidRDefault="00D93815" w:rsidP="00E10955">
            <w:pPr>
              <w:ind w:left="170" w:right="170"/>
              <w:rPr>
                <w:color w:val="000000"/>
                <w:szCs w:val="21"/>
                <w:lang w:eastAsia="en-AU"/>
              </w:rPr>
            </w:pPr>
            <w:r>
              <w:rPr>
                <w:sz w:val="23"/>
                <w:szCs w:val="23"/>
              </w:rPr>
              <w:t>TEAE</w:t>
            </w:r>
          </w:p>
        </w:tc>
        <w:tc>
          <w:tcPr>
            <w:tcW w:w="6911" w:type="dxa"/>
            <w:shd w:val="clear" w:color="auto" w:fill="auto"/>
          </w:tcPr>
          <w:p w:rsidR="00D93815" w:rsidRPr="009A6272" w:rsidRDefault="00D93815" w:rsidP="00E10955">
            <w:pPr>
              <w:ind w:left="170" w:right="170"/>
              <w:rPr>
                <w:color w:val="000000"/>
                <w:szCs w:val="21"/>
                <w:lang w:eastAsia="en-AU"/>
              </w:rPr>
            </w:pPr>
            <w:r>
              <w:rPr>
                <w:sz w:val="23"/>
                <w:szCs w:val="23"/>
              </w:rPr>
              <w:t>Treatment-Emergent Adverse Event</w:t>
            </w:r>
          </w:p>
        </w:tc>
      </w:tr>
      <w:tr w:rsidR="00D93815" w:rsidTr="00E10955">
        <w:tc>
          <w:tcPr>
            <w:tcW w:w="1890" w:type="dxa"/>
            <w:shd w:val="clear" w:color="auto" w:fill="auto"/>
          </w:tcPr>
          <w:p w:rsidR="00D93815" w:rsidRPr="009A6272" w:rsidRDefault="00D93815" w:rsidP="00E10955">
            <w:pPr>
              <w:ind w:left="170" w:right="170"/>
              <w:rPr>
                <w:color w:val="000000"/>
                <w:szCs w:val="21"/>
                <w:lang w:eastAsia="en-AU"/>
              </w:rPr>
            </w:pPr>
            <w:proofErr w:type="spellStart"/>
            <w:r>
              <w:rPr>
                <w:sz w:val="23"/>
                <w:szCs w:val="23"/>
              </w:rPr>
              <w:t>tiw</w:t>
            </w:r>
            <w:proofErr w:type="spellEnd"/>
          </w:p>
        </w:tc>
        <w:tc>
          <w:tcPr>
            <w:tcW w:w="6911" w:type="dxa"/>
            <w:shd w:val="clear" w:color="auto" w:fill="auto"/>
          </w:tcPr>
          <w:p w:rsidR="00D93815" w:rsidRPr="009A6272" w:rsidRDefault="00D93815" w:rsidP="00E10955">
            <w:pPr>
              <w:ind w:left="170" w:right="170"/>
              <w:rPr>
                <w:color w:val="000000"/>
                <w:szCs w:val="21"/>
                <w:lang w:eastAsia="en-AU"/>
              </w:rPr>
            </w:pPr>
            <w:r>
              <w:rPr>
                <w:sz w:val="23"/>
                <w:szCs w:val="23"/>
              </w:rPr>
              <w:t>Three times weekly</w:t>
            </w:r>
          </w:p>
        </w:tc>
      </w:tr>
      <w:tr w:rsidR="00586F98" w:rsidTr="00951956">
        <w:tc>
          <w:tcPr>
            <w:tcW w:w="1890" w:type="dxa"/>
            <w:shd w:val="clear" w:color="auto" w:fill="auto"/>
          </w:tcPr>
          <w:p w:rsidR="00586F98" w:rsidRPr="009A6272" w:rsidRDefault="00D93815" w:rsidP="009A6272">
            <w:pPr>
              <w:ind w:left="170" w:right="170"/>
              <w:rPr>
                <w:color w:val="000000"/>
                <w:szCs w:val="21"/>
                <w:lang w:eastAsia="en-AU"/>
              </w:rPr>
            </w:pPr>
            <w:r>
              <w:t>WBC</w:t>
            </w:r>
          </w:p>
        </w:tc>
        <w:tc>
          <w:tcPr>
            <w:tcW w:w="6911" w:type="dxa"/>
            <w:shd w:val="clear" w:color="auto" w:fill="auto"/>
          </w:tcPr>
          <w:p w:rsidR="00586F98" w:rsidRPr="009A6272" w:rsidRDefault="00D93815" w:rsidP="00D93815">
            <w:pPr>
              <w:ind w:left="170" w:right="170"/>
              <w:rPr>
                <w:color w:val="000000"/>
                <w:szCs w:val="21"/>
                <w:lang w:eastAsia="en-AU"/>
              </w:rPr>
            </w:pPr>
            <w:r>
              <w:rPr>
                <w:color w:val="000000"/>
                <w:szCs w:val="21"/>
                <w:lang w:eastAsia="en-AU"/>
              </w:rPr>
              <w:t>White Blood Cell</w:t>
            </w:r>
          </w:p>
        </w:tc>
      </w:tr>
    </w:tbl>
    <w:p w:rsidR="00586F98" w:rsidRDefault="00586F98" w:rsidP="0043797D">
      <w:pPr>
        <w:pStyle w:val="Heading2"/>
        <w:pageBreakBefore/>
        <w:rPr>
          <w:lang w:eastAsia="en-AU"/>
        </w:rPr>
      </w:pPr>
      <w:bookmarkStart w:id="7" w:name="_Toc373928621"/>
      <w:bookmarkStart w:id="8" w:name="_Toc351718900"/>
      <w:bookmarkStart w:id="9" w:name="_Toc355338635"/>
      <w:r>
        <w:rPr>
          <w:lang w:eastAsia="en-AU"/>
        </w:rPr>
        <w:lastRenderedPageBreak/>
        <w:t>Clinical rationale</w:t>
      </w:r>
      <w:bookmarkEnd w:id="7"/>
    </w:p>
    <w:p w:rsidR="00E10955" w:rsidRDefault="00E10955" w:rsidP="00A574ED">
      <w:r>
        <w:t>M</w:t>
      </w:r>
      <w:r w:rsidR="0052472C">
        <w:t>ultiple sclerosis (M</w:t>
      </w:r>
      <w:r>
        <w:t>S</w:t>
      </w:r>
      <w:r w:rsidR="0052472C">
        <w:t>)</w:t>
      </w:r>
      <w:r>
        <w:t xml:space="preserve"> is a relatively common neurological condition in young adults, in which plaques of demyelination develop in the central nervous system (CNS): the brain, spinal cord or optic nerve. Demyelination of the peripheral nervous system (PNS) does not occur in MS, and </w:t>
      </w:r>
      <w:proofErr w:type="spellStart"/>
      <w:r>
        <w:t>Rebif</w:t>
      </w:r>
      <w:proofErr w:type="spellEnd"/>
      <w:r>
        <w:t xml:space="preserve"> is not indicated for PNS demyelination – a point that</w:t>
      </w:r>
      <w:r w:rsidR="00A574ED">
        <w:t xml:space="preserve"> should be clarified in the PI.</w:t>
      </w:r>
    </w:p>
    <w:p w:rsidR="00E10955" w:rsidRDefault="00E10955" w:rsidP="00A574ED">
      <w:r>
        <w:t xml:space="preserve">MS can be subdivided into a primary progressive form (primary progressive MS, or PPMS) and a relapsing remitting form (relapsing and remitting MS, RRMS). In the relapsing form, patients present with episodes of focal neurological deficit that eventually improve, but they subsequently develop new episodes and eventually most patients accumulate disability because of a combination of incomplete recovery from relapses and some background progression of disease between relapses; this is known as secondary progressive MS, or SPMS. Many SPMS patients reach a stage in which relapses are no longer identifiable and they then show continuous progression. </w:t>
      </w:r>
      <w:proofErr w:type="spellStart"/>
      <w:r>
        <w:t>Rebif</w:t>
      </w:r>
      <w:proofErr w:type="spellEnd"/>
      <w:r>
        <w:t xml:space="preserve"> is currently indicated for RRMS patients or SPMS patients with on-going relapses, but it should not be initiated in SPMS patients without relapses. RRMS and SPMS-with-relapses are sometimes grouped as ‘relapsing MS’.</w:t>
      </w:r>
    </w:p>
    <w:p w:rsidR="00E10955" w:rsidRDefault="00E10955" w:rsidP="00A574ED">
      <w:r>
        <w:t xml:space="preserve">A key feature of MS is that patients experience </w:t>
      </w:r>
      <w:proofErr w:type="spellStart"/>
      <w:r>
        <w:t>demyelinating</w:t>
      </w:r>
      <w:proofErr w:type="spellEnd"/>
      <w:r>
        <w:t xml:space="preserve"> CNS lesions that are </w:t>
      </w:r>
      <w:r w:rsidRPr="007263C6">
        <w:rPr>
          <w:i/>
        </w:rPr>
        <w:t>disseminated in time and space</w:t>
      </w:r>
      <w:r>
        <w:t xml:space="preserve">. The term clinically isolated syndrome (CIS) refers to the situation in which a patient has had a bout of demyelination typical of MS, such as optic neuritis or transverse </w:t>
      </w:r>
      <w:proofErr w:type="spellStart"/>
      <w:r>
        <w:t>myelitis</w:t>
      </w:r>
      <w:proofErr w:type="spellEnd"/>
      <w:r>
        <w:t>, but does not yet satisfy diagnostic criteria for MS because they have not shown dissemination in both time and space.</w:t>
      </w:r>
    </w:p>
    <w:p w:rsidR="00E10955" w:rsidRDefault="00E10955" w:rsidP="00A574ED">
      <w:r>
        <w:t xml:space="preserve">Early diagnostic criteria for MS required </w:t>
      </w:r>
      <w:r w:rsidRPr="00A35A30">
        <w:rPr>
          <w:i/>
        </w:rPr>
        <w:t>clinical</w:t>
      </w:r>
      <w:r>
        <w:t xml:space="preserve"> dissemination in time and space: that is, separate episodes of demyelination leading to a focal neurological deficit at different times and due to involvement of different parts of the CNS. MS diagnosed by these criteria is usually called “Clinically Definite MS” (CDMS). More recently, MRI criteria have been included. Several MRI studies have revealed that many of the individual lesions of MS are clinically silent, and only ~10% of radiological lesions are clinically apparent at the time they occur. This partially reflects the fact that some lesions are mild, and signal transmission continues through the inflammatory plaque. More importantly, it reflects the fact that lesions are much more obvious when they affect functionally specialised regions of the brain, such as the optic nerve, and much less obvious in other areas. Lesions are relatively well tolerated when they merely remove a small portion of fibres from a much larger, diffuse structure, such as the corona </w:t>
      </w:r>
      <w:proofErr w:type="spellStart"/>
      <w:r>
        <w:t>radiata</w:t>
      </w:r>
      <w:proofErr w:type="spellEnd"/>
      <w:r>
        <w:t xml:space="preserve">. Even lesions that are clinically silent on an individual basis, however, are likely to contribute to overall disability as the white matter tracts of the brain progressively lose bandwidth. Recent diagnostic criteria for MS have therefore allowed radiological lesions to be included when assessing the patient for dissemination of lesions in space and time (McDonald 2001, </w:t>
      </w:r>
      <w:proofErr w:type="spellStart"/>
      <w:r>
        <w:t>Polman</w:t>
      </w:r>
      <w:proofErr w:type="spellEnd"/>
      <w:r>
        <w:t xml:space="preserve"> 2005, </w:t>
      </w:r>
      <w:proofErr w:type="spellStart"/>
      <w:r>
        <w:t>Polman</w:t>
      </w:r>
      <w:proofErr w:type="spellEnd"/>
      <w:r>
        <w:t xml:space="preserve"> 2011), and this is known as “McDonald MS”.</w:t>
      </w:r>
    </w:p>
    <w:p w:rsidR="00E10955" w:rsidRDefault="00E10955" w:rsidP="00A574ED">
      <w:r>
        <w:t xml:space="preserve">Evidence has accumulated over many decades that MS has an inflammatory basis, and this is clearest for the RRMS form. This evidence includes: pathological analysis of plaques, which contain numerous lymphocytes; improvement in symptoms in response to immune suppression with steroids; and amelioration of the disease with a variety of </w:t>
      </w:r>
      <w:proofErr w:type="spellStart"/>
      <w:r>
        <w:t>immunomodulators</w:t>
      </w:r>
      <w:proofErr w:type="spellEnd"/>
      <w:r>
        <w:t xml:space="preserve"> including the beta </w:t>
      </w:r>
      <w:proofErr w:type="spellStart"/>
      <w:r>
        <w:t>interferons</w:t>
      </w:r>
      <w:proofErr w:type="spellEnd"/>
      <w:r>
        <w:t xml:space="preserve">. All registered therapies for disease modulation in MS have an immune mechanism of action: these include the beta </w:t>
      </w:r>
      <w:proofErr w:type="spellStart"/>
      <w:r>
        <w:t>interferons</w:t>
      </w:r>
      <w:proofErr w:type="spellEnd"/>
      <w:r>
        <w:t xml:space="preserve">, </w:t>
      </w:r>
      <w:proofErr w:type="spellStart"/>
      <w:r>
        <w:t>glatiramer</w:t>
      </w:r>
      <w:proofErr w:type="spellEnd"/>
      <w:r>
        <w:t xml:space="preserve"> acetate, </w:t>
      </w:r>
      <w:proofErr w:type="spellStart"/>
      <w:r>
        <w:t>natalizumab</w:t>
      </w:r>
      <w:proofErr w:type="spellEnd"/>
      <w:r>
        <w:t xml:space="preserve">, </w:t>
      </w:r>
      <w:proofErr w:type="spellStart"/>
      <w:r>
        <w:t>fingolimod</w:t>
      </w:r>
      <w:proofErr w:type="spellEnd"/>
      <w:r>
        <w:t xml:space="preserve"> and </w:t>
      </w:r>
      <w:proofErr w:type="spellStart"/>
      <w:r>
        <w:t>cladribine</w:t>
      </w:r>
      <w:proofErr w:type="spellEnd"/>
      <w:r>
        <w:t>.</w:t>
      </w:r>
    </w:p>
    <w:p w:rsidR="00E10955" w:rsidRDefault="00E10955" w:rsidP="00A574ED">
      <w:r>
        <w:t xml:space="preserve">There is also increasing evidence suggesting that early immune modulation is more effective than delayed treatment (Gold et al, 2010). In particular, for most of the established, first-line MS treatments, published studies have already shown that early treatment of CIS delays progression to multiple sclerosis. The two competing beta interferon products, </w:t>
      </w:r>
      <w:proofErr w:type="spellStart"/>
      <w:r>
        <w:t>Avonex</w:t>
      </w:r>
      <w:proofErr w:type="spellEnd"/>
      <w:r>
        <w:t xml:space="preserve"> and </w:t>
      </w:r>
      <w:proofErr w:type="spellStart"/>
      <w:r>
        <w:t>Betaferon</w:t>
      </w:r>
      <w:proofErr w:type="spellEnd"/>
      <w:r>
        <w:t xml:space="preserve">, are already registered for this indication. Thus, there is a strong a priori case to be </w:t>
      </w:r>
      <w:r>
        <w:lastRenderedPageBreak/>
        <w:t xml:space="preserve">made that </w:t>
      </w:r>
      <w:proofErr w:type="spellStart"/>
      <w:r>
        <w:t>Rebif</w:t>
      </w:r>
      <w:proofErr w:type="spellEnd"/>
      <w:r>
        <w:t>, administered after a CIS episode, would be expected to reduce the incidence of a second episode of demyelination, and hence reduce conversion to MS, as has already been demonstrated</w:t>
      </w:r>
      <w:r w:rsidR="00CC1B49">
        <w:t xml:space="preserve"> for the other beta </w:t>
      </w:r>
      <w:proofErr w:type="spellStart"/>
      <w:r w:rsidR="00CC1B49">
        <w:t>interferons</w:t>
      </w:r>
      <w:proofErr w:type="spellEnd"/>
      <w:r>
        <w:t xml:space="preserve"> including </w:t>
      </w:r>
      <w:proofErr w:type="spellStart"/>
      <w:r>
        <w:t>Avonex</w:t>
      </w:r>
      <w:proofErr w:type="spellEnd"/>
      <w:r>
        <w:t xml:space="preserve">, which is in many ways an IM form of </w:t>
      </w:r>
      <w:proofErr w:type="spellStart"/>
      <w:r>
        <w:t>Rebif</w:t>
      </w:r>
      <w:proofErr w:type="spellEnd"/>
      <w:r>
        <w:t>.</w:t>
      </w:r>
    </w:p>
    <w:p w:rsidR="00586F98" w:rsidRDefault="00586F98" w:rsidP="00A574ED">
      <w:pPr>
        <w:pStyle w:val="Heading2"/>
        <w:rPr>
          <w:lang w:eastAsia="en-AU"/>
        </w:rPr>
      </w:pPr>
      <w:bookmarkStart w:id="10" w:name="_Toc373928622"/>
      <w:r>
        <w:rPr>
          <w:lang w:eastAsia="en-AU"/>
        </w:rPr>
        <w:t>Contents of the clinical dossier</w:t>
      </w:r>
      <w:bookmarkEnd w:id="8"/>
      <w:bookmarkEnd w:id="9"/>
      <w:bookmarkEnd w:id="10"/>
    </w:p>
    <w:p w:rsidR="00586F98" w:rsidRDefault="00586F98" w:rsidP="00A574ED">
      <w:pPr>
        <w:pStyle w:val="Heading3"/>
      </w:pPr>
      <w:bookmarkStart w:id="11" w:name="_Toc373928623"/>
      <w:r>
        <w:t>Scope of the clinical dossier</w:t>
      </w:r>
      <w:bookmarkEnd w:id="11"/>
    </w:p>
    <w:p w:rsidR="001328C1" w:rsidRDefault="001328C1" w:rsidP="00A574ED">
      <w:r>
        <w:t>This was a small submission, with a single pivotal study (IMP27025, published as the ‘REFLEX’ study) and one open label extension study (IMP28981).</w:t>
      </w:r>
    </w:p>
    <w:p w:rsidR="001328C1" w:rsidRPr="00297B1D" w:rsidRDefault="001328C1" w:rsidP="00A574ED">
      <w:r>
        <w:t xml:space="preserve">The sponsor also submitted a number of relevant references relating to CIS and definitions of </w:t>
      </w:r>
      <w:r w:rsidRPr="007F0222">
        <w:t xml:space="preserve">Clinically Definite Multiple Sclerosis </w:t>
      </w:r>
      <w:r>
        <w:t>(CDMS).</w:t>
      </w:r>
    </w:p>
    <w:p w:rsidR="00586F98" w:rsidRDefault="00586F98" w:rsidP="00586F98">
      <w:pPr>
        <w:pStyle w:val="Heading3"/>
      </w:pPr>
      <w:bookmarkStart w:id="12" w:name="_Toc373928624"/>
      <w:r>
        <w:t>Paediatric data</w:t>
      </w:r>
      <w:bookmarkEnd w:id="12"/>
    </w:p>
    <w:p w:rsidR="00177BD2" w:rsidRDefault="00177BD2" w:rsidP="00177BD2">
      <w:r>
        <w:t xml:space="preserve">The submission did not include any paediatric data and the pivotal study excluded subjects younger than 18. Given that MS is rare in children, this is reasonable. It is unlikely that adequate recruitment would ever occur in a CIS study in children. Clinicians looking after children with a single </w:t>
      </w:r>
      <w:proofErr w:type="spellStart"/>
      <w:r>
        <w:t>demyelinating</w:t>
      </w:r>
      <w:proofErr w:type="spellEnd"/>
      <w:r>
        <w:t xml:space="preserve"> event will have to decide to what extent the results in adult studies can be extrapolated to children.</w:t>
      </w:r>
    </w:p>
    <w:p w:rsidR="00586F98" w:rsidRDefault="00586F98" w:rsidP="00586F98">
      <w:pPr>
        <w:pStyle w:val="Heading3"/>
      </w:pPr>
      <w:bookmarkStart w:id="13" w:name="_Toc373928625"/>
      <w:r>
        <w:t>Good clinical practice</w:t>
      </w:r>
      <w:bookmarkEnd w:id="13"/>
    </w:p>
    <w:p w:rsidR="00177BD2" w:rsidRDefault="00177BD2" w:rsidP="00177BD2">
      <w:bookmarkStart w:id="14" w:name="_Toc241374282"/>
      <w:r>
        <w:t>The sponsor has declared that all studies were performed in agreement with accepted standards of Good Clinical Practice (GCP).</w:t>
      </w:r>
    </w:p>
    <w:p w:rsidR="00586F98" w:rsidRDefault="00586F98" w:rsidP="00A574ED">
      <w:pPr>
        <w:pStyle w:val="Heading2"/>
      </w:pPr>
      <w:bookmarkStart w:id="15" w:name="_Toc355338639"/>
      <w:bookmarkStart w:id="16" w:name="_Toc373928626"/>
      <w:bookmarkEnd w:id="14"/>
      <w:r>
        <w:t>Pharmacokinetics</w:t>
      </w:r>
      <w:bookmarkEnd w:id="15"/>
      <w:bookmarkEnd w:id="16"/>
    </w:p>
    <w:p w:rsidR="001A0BAC" w:rsidRDefault="001A0BAC" w:rsidP="001A0BAC">
      <w:bookmarkStart w:id="17" w:name="_Ref271017296"/>
      <w:bookmarkStart w:id="18" w:name="_Ref271018924"/>
      <w:bookmarkStart w:id="19" w:name="_Ref271018934"/>
      <w:bookmarkStart w:id="20" w:name="_Toc272414614"/>
      <w:bookmarkStart w:id="21" w:name="_Toc290846238"/>
      <w:r>
        <w:t>No pharmacokinetic studies</w:t>
      </w:r>
      <w:bookmarkEnd w:id="17"/>
      <w:bookmarkEnd w:id="18"/>
      <w:bookmarkEnd w:id="19"/>
      <w:r>
        <w:t xml:space="preserve"> were submitted. The pharmacokinetic properties of </w:t>
      </w:r>
      <w:proofErr w:type="spellStart"/>
      <w:r>
        <w:t>Rebif</w:t>
      </w:r>
      <w:proofErr w:type="spellEnd"/>
      <w:r>
        <w:t xml:space="preserve"> have been adequately explored in previous submissions, but an assessment of that data is beyond the scope of this evaluation. The pharmacokinetic profile of </w:t>
      </w:r>
      <w:proofErr w:type="spellStart"/>
      <w:r>
        <w:t>Rebif</w:t>
      </w:r>
      <w:proofErr w:type="spellEnd"/>
      <w:r>
        <w:t xml:space="preserve"> is described in the approved PI as follows:</w:t>
      </w:r>
    </w:p>
    <w:p w:rsidR="001A0BAC" w:rsidRPr="00461923" w:rsidRDefault="001A0BAC" w:rsidP="001A0BAC">
      <w:pPr>
        <w:ind w:left="720"/>
        <w:rPr>
          <w:i/>
        </w:rPr>
      </w:pPr>
      <w:r w:rsidRPr="00461923">
        <w:rPr>
          <w:i/>
        </w:rPr>
        <w:t xml:space="preserve">The pharmacokinetic and pharmacodynamic profiles of the </w:t>
      </w:r>
      <w:proofErr w:type="spellStart"/>
      <w:r>
        <w:rPr>
          <w:i/>
        </w:rPr>
        <w:t>Rebif</w:t>
      </w:r>
      <w:proofErr w:type="spellEnd"/>
      <w:r w:rsidRPr="00461923">
        <w:rPr>
          <w:i/>
        </w:rPr>
        <w:t xml:space="preserve"> </w:t>
      </w:r>
      <w:r>
        <w:rPr>
          <w:i/>
        </w:rPr>
        <w:t xml:space="preserve">HSA </w:t>
      </w:r>
      <w:r w:rsidRPr="00461923">
        <w:rPr>
          <w:i/>
        </w:rPr>
        <w:t>free formulation were investigated in Phase I Study 25827, a double</w:t>
      </w:r>
      <w:r>
        <w:rPr>
          <w:i/>
        </w:rPr>
        <w:t xml:space="preserve"> </w:t>
      </w:r>
      <w:r w:rsidRPr="00461923">
        <w:rPr>
          <w:i/>
        </w:rPr>
        <w:t>blind, randomised, two period, crossover study in which 41 heal</w:t>
      </w:r>
      <w:r>
        <w:rPr>
          <w:i/>
        </w:rPr>
        <w:t xml:space="preserve">thy subjects received single 44 µg </w:t>
      </w:r>
      <w:r w:rsidRPr="00461923">
        <w:rPr>
          <w:i/>
        </w:rPr>
        <w:t xml:space="preserve">doses of </w:t>
      </w:r>
      <w:proofErr w:type="spellStart"/>
      <w:r>
        <w:rPr>
          <w:i/>
        </w:rPr>
        <w:t>Rebif</w:t>
      </w:r>
      <w:proofErr w:type="spellEnd"/>
      <w:r w:rsidRPr="00461923">
        <w:rPr>
          <w:i/>
        </w:rPr>
        <w:t xml:space="preserve"> (containing Human Serum Albumin (HSA)) and the </w:t>
      </w:r>
      <w:proofErr w:type="spellStart"/>
      <w:r>
        <w:rPr>
          <w:i/>
        </w:rPr>
        <w:t>Rebif</w:t>
      </w:r>
      <w:proofErr w:type="spellEnd"/>
      <w:r w:rsidRPr="00461923">
        <w:rPr>
          <w:i/>
        </w:rPr>
        <w:t xml:space="preserve"> </w:t>
      </w:r>
      <w:r>
        <w:rPr>
          <w:i/>
        </w:rPr>
        <w:t xml:space="preserve">HSA </w:t>
      </w:r>
      <w:r w:rsidRPr="00461923">
        <w:rPr>
          <w:i/>
        </w:rPr>
        <w:t xml:space="preserve">free formulation. The geometric mean </w:t>
      </w:r>
      <w:proofErr w:type="spellStart"/>
      <w:r w:rsidRPr="00461923">
        <w:rPr>
          <w:i/>
        </w:rPr>
        <w:t>Cmax</w:t>
      </w:r>
      <w:proofErr w:type="spellEnd"/>
      <w:r w:rsidRPr="00461923">
        <w:rPr>
          <w:i/>
        </w:rPr>
        <w:t xml:space="preserve"> (17.1 IU/</w:t>
      </w:r>
      <w:proofErr w:type="spellStart"/>
      <w:r w:rsidRPr="00461923">
        <w:rPr>
          <w:i/>
        </w:rPr>
        <w:t>mL</w:t>
      </w:r>
      <w:proofErr w:type="spellEnd"/>
      <w:r w:rsidRPr="00461923">
        <w:rPr>
          <w:i/>
        </w:rPr>
        <w:t xml:space="preserve">) and AUC (54.0 </w:t>
      </w:r>
      <w:proofErr w:type="spellStart"/>
      <w:r w:rsidRPr="00461923">
        <w:rPr>
          <w:i/>
        </w:rPr>
        <w:t>IU·h</w:t>
      </w:r>
      <w:proofErr w:type="spellEnd"/>
      <w:r w:rsidRPr="00461923">
        <w:rPr>
          <w:i/>
        </w:rPr>
        <w:t>/</w:t>
      </w:r>
      <w:proofErr w:type="spellStart"/>
      <w:r w:rsidRPr="00461923">
        <w:rPr>
          <w:i/>
        </w:rPr>
        <w:t>mL</w:t>
      </w:r>
      <w:proofErr w:type="spellEnd"/>
      <w:r w:rsidRPr="00461923">
        <w:rPr>
          <w:i/>
        </w:rPr>
        <w:t>) of the current formulation were approximately 70% higher than that of the previous formulation (10.2 IU/</w:t>
      </w:r>
      <w:proofErr w:type="spellStart"/>
      <w:r w:rsidRPr="00461923">
        <w:rPr>
          <w:i/>
        </w:rPr>
        <w:t>mL</w:t>
      </w:r>
      <w:proofErr w:type="spellEnd"/>
      <w:r w:rsidRPr="00461923">
        <w:rPr>
          <w:i/>
        </w:rPr>
        <w:t xml:space="preserve"> and 31.9 </w:t>
      </w:r>
      <w:proofErr w:type="spellStart"/>
      <w:r w:rsidRPr="00461923">
        <w:rPr>
          <w:i/>
        </w:rPr>
        <w:t>IU·h</w:t>
      </w:r>
      <w:proofErr w:type="spellEnd"/>
      <w:r w:rsidRPr="00461923">
        <w:rPr>
          <w:i/>
        </w:rPr>
        <w:t>/</w:t>
      </w:r>
      <w:proofErr w:type="spellStart"/>
      <w:r w:rsidRPr="00461923">
        <w:rPr>
          <w:i/>
        </w:rPr>
        <w:t>mL</w:t>
      </w:r>
      <w:proofErr w:type="spellEnd"/>
      <w:r w:rsidRPr="00461923">
        <w:rPr>
          <w:i/>
        </w:rPr>
        <w:t>, respectively)</w:t>
      </w:r>
      <w:r>
        <w:rPr>
          <w:i/>
        </w:rPr>
        <w:t xml:space="preserve">. The median </w:t>
      </w:r>
      <w:proofErr w:type="spellStart"/>
      <w:r>
        <w:rPr>
          <w:i/>
        </w:rPr>
        <w:t>Tmax</w:t>
      </w:r>
      <w:proofErr w:type="spellEnd"/>
      <w:r>
        <w:rPr>
          <w:i/>
        </w:rPr>
        <w:t xml:space="preserve"> was 0.25 h (versus</w:t>
      </w:r>
      <w:r w:rsidRPr="00461923">
        <w:rPr>
          <w:i/>
        </w:rPr>
        <w:t xml:space="preserve"> 0.33 h for the previous formulation). There was high inter</w:t>
      </w:r>
      <w:r>
        <w:rPr>
          <w:i/>
        </w:rPr>
        <w:t xml:space="preserve"> </w:t>
      </w:r>
      <w:r w:rsidRPr="00461923">
        <w:rPr>
          <w:i/>
        </w:rPr>
        <w:t xml:space="preserve">patient variability in the pharmacokinetics of interferon beta-1a with both formulations. Bioequivalence was not demonstrated for PK parameters. However, in this study, both </w:t>
      </w:r>
      <w:proofErr w:type="spellStart"/>
      <w:r>
        <w:rPr>
          <w:i/>
        </w:rPr>
        <w:t>Rebif</w:t>
      </w:r>
      <w:proofErr w:type="spellEnd"/>
      <w:r w:rsidRPr="00461923">
        <w:rPr>
          <w:i/>
        </w:rPr>
        <w:t xml:space="preserve"> HSA and </w:t>
      </w:r>
      <w:proofErr w:type="spellStart"/>
      <w:r>
        <w:rPr>
          <w:i/>
        </w:rPr>
        <w:t>Rebif</w:t>
      </w:r>
      <w:proofErr w:type="spellEnd"/>
      <w:r w:rsidRPr="00461923">
        <w:rPr>
          <w:i/>
        </w:rPr>
        <w:t xml:space="preserve"> HSA</w:t>
      </w:r>
      <w:r>
        <w:rPr>
          <w:i/>
        </w:rPr>
        <w:t xml:space="preserve"> </w:t>
      </w:r>
      <w:r w:rsidRPr="00461923">
        <w:rPr>
          <w:i/>
        </w:rPr>
        <w:t>free formulations were shown to be bioequivalent on the basis of two markers of biol</w:t>
      </w:r>
      <w:r>
        <w:rPr>
          <w:i/>
        </w:rPr>
        <w:t xml:space="preserve">ogical activity, </w:t>
      </w:r>
      <w:proofErr w:type="spellStart"/>
      <w:r>
        <w:rPr>
          <w:i/>
        </w:rPr>
        <w:t>neopterin</w:t>
      </w:r>
      <w:proofErr w:type="spellEnd"/>
      <w:r>
        <w:rPr>
          <w:i/>
        </w:rPr>
        <w:t xml:space="preserve"> and beta</w:t>
      </w:r>
      <w:r w:rsidRPr="00461923">
        <w:rPr>
          <w:i/>
        </w:rPr>
        <w:t xml:space="preserve">-2 </w:t>
      </w:r>
      <w:proofErr w:type="spellStart"/>
      <w:r w:rsidRPr="00461923">
        <w:rPr>
          <w:i/>
        </w:rPr>
        <w:t>microglobulin</w:t>
      </w:r>
      <w:proofErr w:type="spellEnd"/>
      <w:r w:rsidRPr="00461923">
        <w:rPr>
          <w:i/>
        </w:rPr>
        <w:t>.</w:t>
      </w:r>
    </w:p>
    <w:p w:rsidR="001A0BAC" w:rsidRPr="00461923" w:rsidRDefault="001A0BAC" w:rsidP="001A0BAC">
      <w:pPr>
        <w:ind w:left="720"/>
        <w:rPr>
          <w:i/>
        </w:rPr>
      </w:pPr>
      <w:r w:rsidRPr="00461923">
        <w:rPr>
          <w:i/>
        </w:rPr>
        <w:t xml:space="preserve">The raw </w:t>
      </w:r>
      <w:proofErr w:type="spellStart"/>
      <w:r w:rsidRPr="00461923">
        <w:rPr>
          <w:i/>
        </w:rPr>
        <w:t>neopterin</w:t>
      </w:r>
      <w:proofErr w:type="spellEnd"/>
      <w:r w:rsidRPr="00461923">
        <w:rPr>
          <w:i/>
        </w:rPr>
        <w:t xml:space="preserve"> responses measured for </w:t>
      </w:r>
      <w:proofErr w:type="spellStart"/>
      <w:r>
        <w:rPr>
          <w:i/>
        </w:rPr>
        <w:t>Rebif</w:t>
      </w:r>
      <w:proofErr w:type="spellEnd"/>
      <w:r w:rsidRPr="00461923">
        <w:rPr>
          <w:i/>
        </w:rPr>
        <w:t xml:space="preserve"> HSA and </w:t>
      </w:r>
      <w:proofErr w:type="spellStart"/>
      <w:r>
        <w:rPr>
          <w:i/>
        </w:rPr>
        <w:t>Rebif</w:t>
      </w:r>
      <w:proofErr w:type="spellEnd"/>
      <w:r w:rsidRPr="00461923">
        <w:rPr>
          <w:i/>
        </w:rPr>
        <w:t xml:space="preserve"> HSA</w:t>
      </w:r>
      <w:r>
        <w:rPr>
          <w:i/>
        </w:rPr>
        <w:t xml:space="preserve"> </w:t>
      </w:r>
      <w:r w:rsidRPr="00461923">
        <w:rPr>
          <w:i/>
        </w:rPr>
        <w:t>free formulations were s</w:t>
      </w:r>
      <w:r>
        <w:rPr>
          <w:i/>
        </w:rPr>
        <w:t xml:space="preserve">imilar. Median </w:t>
      </w:r>
      <w:proofErr w:type="spellStart"/>
      <w:r>
        <w:rPr>
          <w:i/>
        </w:rPr>
        <w:t>Tmax</w:t>
      </w:r>
      <w:proofErr w:type="spellEnd"/>
      <w:r>
        <w:rPr>
          <w:i/>
        </w:rPr>
        <w:t xml:space="preserve"> was 24 h</w:t>
      </w:r>
      <w:r w:rsidRPr="00461923">
        <w:rPr>
          <w:i/>
        </w:rPr>
        <w:t xml:space="preserve"> after dosing f</w:t>
      </w:r>
      <w:r>
        <w:rPr>
          <w:i/>
        </w:rPr>
        <w:t>or both formulations. Mean (± SD</w:t>
      </w:r>
      <w:r w:rsidRPr="00461923">
        <w:rPr>
          <w:i/>
        </w:rPr>
        <w:t xml:space="preserve">) </w:t>
      </w:r>
      <w:proofErr w:type="spellStart"/>
      <w:r w:rsidRPr="00461923">
        <w:rPr>
          <w:i/>
        </w:rPr>
        <w:t>Cmax</w:t>
      </w:r>
      <w:proofErr w:type="spellEnd"/>
      <w:r w:rsidRPr="00461923">
        <w:rPr>
          <w:i/>
        </w:rPr>
        <w:t xml:space="preserve"> was </w:t>
      </w:r>
      <w:proofErr w:type="gramStart"/>
      <w:r w:rsidRPr="00461923">
        <w:rPr>
          <w:i/>
        </w:rPr>
        <w:t xml:space="preserve">42 ± 21 </w:t>
      </w:r>
      <w:proofErr w:type="spellStart"/>
      <w:r w:rsidRPr="00461923">
        <w:rPr>
          <w:i/>
        </w:rPr>
        <w:t>nmol</w:t>
      </w:r>
      <w:proofErr w:type="spellEnd"/>
      <w:r w:rsidRPr="00461923">
        <w:rPr>
          <w:i/>
        </w:rPr>
        <w:t xml:space="preserve">/L for </w:t>
      </w:r>
      <w:proofErr w:type="spellStart"/>
      <w:r>
        <w:rPr>
          <w:i/>
        </w:rPr>
        <w:t>Rebif</w:t>
      </w:r>
      <w:proofErr w:type="spellEnd"/>
      <w:r w:rsidRPr="00461923">
        <w:rPr>
          <w:i/>
        </w:rPr>
        <w:t xml:space="preserve"> HSA</w:t>
      </w:r>
      <w:r>
        <w:rPr>
          <w:i/>
        </w:rPr>
        <w:t xml:space="preserve"> </w:t>
      </w:r>
      <w:r w:rsidRPr="00461923">
        <w:rPr>
          <w:i/>
        </w:rPr>
        <w:t>free formulation,</w:t>
      </w:r>
      <w:proofErr w:type="gramEnd"/>
      <w:r w:rsidRPr="00461923">
        <w:rPr>
          <w:i/>
        </w:rPr>
        <w:t xml:space="preserve"> and 40 ± 19 </w:t>
      </w:r>
      <w:proofErr w:type="spellStart"/>
      <w:r w:rsidRPr="00461923">
        <w:rPr>
          <w:i/>
        </w:rPr>
        <w:t>nmol</w:t>
      </w:r>
      <w:proofErr w:type="spellEnd"/>
      <w:r w:rsidRPr="00461923">
        <w:rPr>
          <w:i/>
        </w:rPr>
        <w:t xml:space="preserve">/L for </w:t>
      </w:r>
      <w:proofErr w:type="spellStart"/>
      <w:r>
        <w:rPr>
          <w:i/>
        </w:rPr>
        <w:t>Rebif</w:t>
      </w:r>
      <w:proofErr w:type="spellEnd"/>
      <w:r w:rsidRPr="00461923">
        <w:rPr>
          <w:i/>
        </w:rPr>
        <w:t xml:space="preserve"> HSA formulation. Mean </w:t>
      </w:r>
      <w:proofErr w:type="spellStart"/>
      <w:r w:rsidRPr="00461923">
        <w:rPr>
          <w:i/>
        </w:rPr>
        <w:t>AUC</w:t>
      </w:r>
      <w:r w:rsidRPr="00A546EE">
        <w:rPr>
          <w:i/>
          <w:vertAlign w:val="subscript"/>
        </w:rPr>
        <w:t>last</w:t>
      </w:r>
      <w:proofErr w:type="spellEnd"/>
      <w:r w:rsidRPr="00A546EE">
        <w:rPr>
          <w:i/>
          <w:vertAlign w:val="subscript"/>
        </w:rPr>
        <w:t xml:space="preserve"> </w:t>
      </w:r>
      <w:r w:rsidRPr="00461923">
        <w:rPr>
          <w:i/>
        </w:rPr>
        <w:t xml:space="preserve">were 3882 ± 1804 </w:t>
      </w:r>
      <w:proofErr w:type="spellStart"/>
      <w:r w:rsidRPr="00461923">
        <w:rPr>
          <w:i/>
        </w:rPr>
        <w:t>nmol·h</w:t>
      </w:r>
      <w:proofErr w:type="spellEnd"/>
      <w:r w:rsidRPr="00461923">
        <w:rPr>
          <w:i/>
        </w:rPr>
        <w:t xml:space="preserve">/L for </w:t>
      </w:r>
      <w:proofErr w:type="spellStart"/>
      <w:r>
        <w:rPr>
          <w:i/>
        </w:rPr>
        <w:t>Rebif</w:t>
      </w:r>
      <w:proofErr w:type="spellEnd"/>
      <w:r w:rsidRPr="00461923">
        <w:rPr>
          <w:i/>
        </w:rPr>
        <w:t xml:space="preserve"> HSA</w:t>
      </w:r>
      <w:r>
        <w:rPr>
          <w:i/>
        </w:rPr>
        <w:t xml:space="preserve"> </w:t>
      </w:r>
      <w:r w:rsidRPr="00461923">
        <w:rPr>
          <w:i/>
        </w:rPr>
        <w:t xml:space="preserve">free formulation and 3581 ± 1475 </w:t>
      </w:r>
      <w:proofErr w:type="spellStart"/>
      <w:r w:rsidRPr="00461923">
        <w:rPr>
          <w:i/>
        </w:rPr>
        <w:t>nmol·h</w:t>
      </w:r>
      <w:proofErr w:type="spellEnd"/>
      <w:r w:rsidRPr="00461923">
        <w:rPr>
          <w:i/>
        </w:rPr>
        <w:t xml:space="preserve">/L for the </w:t>
      </w:r>
      <w:proofErr w:type="spellStart"/>
      <w:r>
        <w:rPr>
          <w:i/>
        </w:rPr>
        <w:t>Rebif</w:t>
      </w:r>
      <w:proofErr w:type="spellEnd"/>
      <w:r w:rsidRPr="00461923">
        <w:rPr>
          <w:i/>
        </w:rPr>
        <w:t xml:space="preserve"> HSA formulation.</w:t>
      </w:r>
    </w:p>
    <w:p w:rsidR="001A0BAC" w:rsidRPr="00461923" w:rsidRDefault="001A0BAC" w:rsidP="001A0BAC">
      <w:pPr>
        <w:ind w:left="720"/>
      </w:pPr>
      <w:r>
        <w:rPr>
          <w:i/>
        </w:rPr>
        <w:lastRenderedPageBreak/>
        <w:t>The beta</w:t>
      </w:r>
      <w:r w:rsidRPr="00461923">
        <w:rPr>
          <w:i/>
        </w:rPr>
        <w:t xml:space="preserve">-2 </w:t>
      </w:r>
      <w:proofErr w:type="spellStart"/>
      <w:r w:rsidRPr="00461923">
        <w:rPr>
          <w:i/>
        </w:rPr>
        <w:t>microglobulin</w:t>
      </w:r>
      <w:proofErr w:type="spellEnd"/>
      <w:r w:rsidRPr="00461923">
        <w:rPr>
          <w:i/>
        </w:rPr>
        <w:t xml:space="preserve"> responses of </w:t>
      </w:r>
      <w:proofErr w:type="spellStart"/>
      <w:r>
        <w:rPr>
          <w:i/>
        </w:rPr>
        <w:t>Rebif</w:t>
      </w:r>
      <w:proofErr w:type="spellEnd"/>
      <w:r w:rsidRPr="00461923">
        <w:rPr>
          <w:i/>
        </w:rPr>
        <w:t xml:space="preserve"> HSA and </w:t>
      </w:r>
      <w:proofErr w:type="spellStart"/>
      <w:r>
        <w:rPr>
          <w:i/>
        </w:rPr>
        <w:t>Rebif</w:t>
      </w:r>
      <w:proofErr w:type="spellEnd"/>
      <w:r w:rsidRPr="00461923">
        <w:rPr>
          <w:i/>
        </w:rPr>
        <w:t xml:space="preserve"> HSA</w:t>
      </w:r>
      <w:r>
        <w:rPr>
          <w:i/>
        </w:rPr>
        <w:t xml:space="preserve"> </w:t>
      </w:r>
      <w:r w:rsidRPr="00461923">
        <w:rPr>
          <w:i/>
        </w:rPr>
        <w:t>free formulations were similar. Fo</w:t>
      </w:r>
      <w:r>
        <w:rPr>
          <w:i/>
        </w:rPr>
        <w:t xml:space="preserve">r both formulations the median </w:t>
      </w:r>
      <w:proofErr w:type="spellStart"/>
      <w:r>
        <w:rPr>
          <w:i/>
        </w:rPr>
        <w:t>Tmax</w:t>
      </w:r>
      <w:proofErr w:type="spellEnd"/>
      <w:r>
        <w:rPr>
          <w:i/>
        </w:rPr>
        <w:t xml:space="preserve"> was 48 h</w:t>
      </w:r>
      <w:r w:rsidRPr="00461923">
        <w:rPr>
          <w:i/>
        </w:rPr>
        <w:t xml:space="preserve"> after administration. Mean </w:t>
      </w:r>
      <w:proofErr w:type="spellStart"/>
      <w:r w:rsidRPr="00461923">
        <w:rPr>
          <w:i/>
        </w:rPr>
        <w:t>Cmax</w:t>
      </w:r>
      <w:proofErr w:type="spellEnd"/>
      <w:r w:rsidRPr="00461923">
        <w:rPr>
          <w:i/>
        </w:rPr>
        <w:t xml:space="preserve"> was 3017 ± 597ng/</w:t>
      </w:r>
      <w:proofErr w:type="spellStart"/>
      <w:r w:rsidRPr="00461923">
        <w:rPr>
          <w:i/>
        </w:rPr>
        <w:t>mL</w:t>
      </w:r>
      <w:proofErr w:type="spellEnd"/>
      <w:r w:rsidRPr="00461923">
        <w:rPr>
          <w:i/>
        </w:rPr>
        <w:t xml:space="preserve"> for </w:t>
      </w:r>
      <w:proofErr w:type="spellStart"/>
      <w:r>
        <w:rPr>
          <w:i/>
        </w:rPr>
        <w:t>Rebif</w:t>
      </w:r>
      <w:proofErr w:type="spellEnd"/>
      <w:r w:rsidRPr="00461923">
        <w:rPr>
          <w:i/>
        </w:rPr>
        <w:t xml:space="preserve"> HSA</w:t>
      </w:r>
      <w:r>
        <w:rPr>
          <w:i/>
        </w:rPr>
        <w:t xml:space="preserve"> </w:t>
      </w:r>
      <w:r w:rsidRPr="00461923">
        <w:rPr>
          <w:i/>
        </w:rPr>
        <w:t xml:space="preserve">free formulation, and 2970 ± </w:t>
      </w:r>
      <w:proofErr w:type="gramStart"/>
      <w:r w:rsidRPr="00461923">
        <w:rPr>
          <w:i/>
        </w:rPr>
        <w:t xml:space="preserve">646 </w:t>
      </w:r>
      <w:proofErr w:type="spellStart"/>
      <w:r w:rsidRPr="00461923">
        <w:rPr>
          <w:i/>
        </w:rPr>
        <w:t>ng</w:t>
      </w:r>
      <w:proofErr w:type="spellEnd"/>
      <w:r w:rsidRPr="00461923">
        <w:rPr>
          <w:i/>
        </w:rPr>
        <w:t>/</w:t>
      </w:r>
      <w:proofErr w:type="spellStart"/>
      <w:r w:rsidRPr="00461923">
        <w:rPr>
          <w:i/>
        </w:rPr>
        <w:t>mL</w:t>
      </w:r>
      <w:proofErr w:type="spellEnd"/>
      <w:r w:rsidRPr="00461923">
        <w:rPr>
          <w:i/>
        </w:rPr>
        <w:t xml:space="preserve"> for </w:t>
      </w:r>
      <w:proofErr w:type="spellStart"/>
      <w:r>
        <w:rPr>
          <w:i/>
        </w:rPr>
        <w:t>Rebif</w:t>
      </w:r>
      <w:proofErr w:type="spellEnd"/>
      <w:r w:rsidRPr="00461923">
        <w:rPr>
          <w:i/>
        </w:rPr>
        <w:t xml:space="preserve"> HSA formulation</w:t>
      </w:r>
      <w:proofErr w:type="gramEnd"/>
      <w:r w:rsidRPr="00461923">
        <w:rPr>
          <w:i/>
        </w:rPr>
        <w:t xml:space="preserve">. Mean </w:t>
      </w:r>
      <w:proofErr w:type="spellStart"/>
      <w:r w:rsidRPr="00461923">
        <w:rPr>
          <w:i/>
        </w:rPr>
        <w:t>AUC</w:t>
      </w:r>
      <w:r w:rsidRPr="00450AE7">
        <w:rPr>
          <w:i/>
          <w:vertAlign w:val="subscript"/>
        </w:rPr>
        <w:t>last</w:t>
      </w:r>
      <w:proofErr w:type="spellEnd"/>
      <w:r w:rsidRPr="00461923">
        <w:rPr>
          <w:i/>
        </w:rPr>
        <w:t xml:space="preserve"> were 401 ± 67 </w:t>
      </w:r>
      <w:proofErr w:type="spellStart"/>
      <w:r w:rsidRPr="00461923">
        <w:rPr>
          <w:i/>
        </w:rPr>
        <w:t>μg·h</w:t>
      </w:r>
      <w:proofErr w:type="spellEnd"/>
      <w:r w:rsidRPr="00461923">
        <w:rPr>
          <w:i/>
        </w:rPr>
        <w:t>/</w:t>
      </w:r>
      <w:proofErr w:type="spellStart"/>
      <w:r w:rsidRPr="00461923">
        <w:rPr>
          <w:i/>
        </w:rPr>
        <w:t>mL</w:t>
      </w:r>
      <w:proofErr w:type="spellEnd"/>
      <w:r w:rsidRPr="00461923">
        <w:rPr>
          <w:i/>
        </w:rPr>
        <w:t xml:space="preserve"> and 392 ± 70 </w:t>
      </w:r>
      <w:proofErr w:type="spellStart"/>
      <w:r w:rsidRPr="00461923">
        <w:rPr>
          <w:i/>
        </w:rPr>
        <w:t>μg·h</w:t>
      </w:r>
      <w:proofErr w:type="spellEnd"/>
      <w:r w:rsidRPr="00461923">
        <w:rPr>
          <w:i/>
        </w:rPr>
        <w:t>/</w:t>
      </w:r>
      <w:proofErr w:type="spellStart"/>
      <w:r w:rsidRPr="00461923">
        <w:rPr>
          <w:i/>
        </w:rPr>
        <w:t>mL</w:t>
      </w:r>
      <w:proofErr w:type="spellEnd"/>
      <w:r w:rsidRPr="00461923">
        <w:rPr>
          <w:i/>
        </w:rPr>
        <w:t xml:space="preserve"> for the </w:t>
      </w:r>
      <w:proofErr w:type="spellStart"/>
      <w:r>
        <w:rPr>
          <w:i/>
        </w:rPr>
        <w:t>Rebif</w:t>
      </w:r>
      <w:proofErr w:type="spellEnd"/>
      <w:r w:rsidRPr="00461923">
        <w:rPr>
          <w:i/>
        </w:rPr>
        <w:t xml:space="preserve"> HSA</w:t>
      </w:r>
      <w:r>
        <w:rPr>
          <w:i/>
        </w:rPr>
        <w:t xml:space="preserve"> </w:t>
      </w:r>
      <w:r w:rsidRPr="00461923">
        <w:rPr>
          <w:i/>
        </w:rPr>
        <w:t xml:space="preserve">free and </w:t>
      </w:r>
      <w:proofErr w:type="spellStart"/>
      <w:r>
        <w:rPr>
          <w:i/>
        </w:rPr>
        <w:t>Rebif</w:t>
      </w:r>
      <w:proofErr w:type="spellEnd"/>
      <w:r w:rsidRPr="00461923">
        <w:rPr>
          <w:i/>
        </w:rPr>
        <w:t xml:space="preserve"> HSA formulations, respectively.</w:t>
      </w:r>
    </w:p>
    <w:p w:rsidR="00586F98" w:rsidRDefault="00586F98" w:rsidP="00A574ED">
      <w:pPr>
        <w:pStyle w:val="Heading2"/>
      </w:pPr>
      <w:bookmarkStart w:id="22" w:name="_Toc373928627"/>
      <w:bookmarkEnd w:id="20"/>
      <w:bookmarkEnd w:id="21"/>
      <w:r>
        <w:t>Pharmacodynamics</w:t>
      </w:r>
      <w:bookmarkEnd w:id="22"/>
    </w:p>
    <w:p w:rsidR="001A0BAC" w:rsidRDefault="001A0BAC" w:rsidP="00A574ED">
      <w:r>
        <w:t xml:space="preserve">No new pharmacodynamic studies were submitted. Given that MS plaques are relatively infrequent over the course of a year of treatment, the pharmacodynamic effects of treatment on disease risk can only be inferred indirectly. Endogenous immune compounds, such as </w:t>
      </w:r>
      <w:proofErr w:type="spellStart"/>
      <w:r>
        <w:t>neopterin</w:t>
      </w:r>
      <w:proofErr w:type="spellEnd"/>
      <w:r>
        <w:t xml:space="preserve"> and beta-2 </w:t>
      </w:r>
      <w:proofErr w:type="spellStart"/>
      <w:r>
        <w:t>microglobulin</w:t>
      </w:r>
      <w:proofErr w:type="spellEnd"/>
      <w:r>
        <w:t xml:space="preserve"> have been used as surrogate markers of pharmacodynamic activity, as described above.</w:t>
      </w:r>
    </w:p>
    <w:p w:rsidR="001A0BAC" w:rsidRDefault="001A0BAC" w:rsidP="00A574ED">
      <w:r>
        <w:t xml:space="preserve">The pivotal efficacy study included two dose groups, a 44 µg </w:t>
      </w:r>
      <w:r w:rsidRPr="007953FA">
        <w:t>three times weekly</w:t>
      </w:r>
      <w:r>
        <w:t xml:space="preserve"> (</w:t>
      </w:r>
      <w:proofErr w:type="spellStart"/>
      <w:r>
        <w:t>tiw</w:t>
      </w:r>
      <w:proofErr w:type="spellEnd"/>
      <w:r>
        <w:t>) dose group and a 44 µg once weekly (</w:t>
      </w:r>
      <w:proofErr w:type="spellStart"/>
      <w:r>
        <w:t>ow</w:t>
      </w:r>
      <w:proofErr w:type="spellEnd"/>
      <w:r>
        <w:t xml:space="preserve">) dose group. Endogenous markers of the biological activity of beta interferon suggest that the main effects of interferon therapy persist for 3-4 days after treatment, so once weekly dosing may leave the patient under treated for part of each week. For instance, </w:t>
      </w:r>
      <w:proofErr w:type="spellStart"/>
      <w:r>
        <w:t>Durelli</w:t>
      </w:r>
      <w:proofErr w:type="spellEnd"/>
      <w:r>
        <w:t xml:space="preserve"> (2004) writes:</w:t>
      </w:r>
    </w:p>
    <w:p w:rsidR="001A0BAC" w:rsidRPr="00657480" w:rsidRDefault="001A0BAC" w:rsidP="001A0BAC">
      <w:pPr>
        <w:autoSpaceDE w:val="0"/>
        <w:autoSpaceDN w:val="0"/>
        <w:adjustRightInd w:val="0"/>
        <w:ind w:left="720"/>
        <w:rPr>
          <w:i/>
        </w:rPr>
      </w:pPr>
      <w:r w:rsidRPr="00657480">
        <w:rPr>
          <w:i/>
        </w:rPr>
        <w:t xml:space="preserve">“Evidence from pharmacokinetic and pharmacodynamic studies </w:t>
      </w:r>
      <w:proofErr w:type="gramStart"/>
      <w:r w:rsidRPr="00657480">
        <w:rPr>
          <w:i/>
        </w:rPr>
        <w:t>have</w:t>
      </w:r>
      <w:proofErr w:type="gramEnd"/>
      <w:r w:rsidRPr="00657480">
        <w:rPr>
          <w:i/>
        </w:rPr>
        <w:t xml:space="preserve"> </w:t>
      </w:r>
      <w:r>
        <w:rPr>
          <w:i/>
        </w:rPr>
        <w:t xml:space="preserve">[sic] </w:t>
      </w:r>
      <w:r w:rsidRPr="00657480">
        <w:rPr>
          <w:i/>
        </w:rPr>
        <w:t>shown that a single dose of beta interferon</w:t>
      </w:r>
      <w:r>
        <w:rPr>
          <w:i/>
        </w:rPr>
        <w:t xml:space="preserve"> </w:t>
      </w:r>
      <w:r w:rsidRPr="00657480">
        <w:rPr>
          <w:i/>
        </w:rPr>
        <w:t>results in an increase in beta interferon activity in the serum within several hours of injection, re</w:t>
      </w:r>
      <w:r>
        <w:rPr>
          <w:i/>
        </w:rPr>
        <w:t>aching a maximum level after 12-18 h</w:t>
      </w:r>
      <w:r w:rsidRPr="00657480">
        <w:rPr>
          <w:i/>
        </w:rPr>
        <w:t xml:space="preserve">, followed by a gradual decrease to baseline within 48 hours following injection. Increases in BRM </w:t>
      </w:r>
      <w:r>
        <w:rPr>
          <w:i/>
        </w:rPr>
        <w:t>[biological response marker] levels reach a maximum after 24-</w:t>
      </w:r>
      <w:r w:rsidRPr="00657480">
        <w:rPr>
          <w:i/>
        </w:rPr>
        <w:t xml:space="preserve">36 hours, and return </w:t>
      </w:r>
      <w:r>
        <w:rPr>
          <w:i/>
        </w:rPr>
        <w:t>to baseline levels a further 48-96 h</w:t>
      </w:r>
      <w:r w:rsidRPr="00657480">
        <w:rPr>
          <w:i/>
        </w:rPr>
        <w:t xml:space="preserve"> later.”</w:t>
      </w:r>
    </w:p>
    <w:p w:rsidR="001A0BAC" w:rsidRDefault="001A0BAC" w:rsidP="001A0BAC">
      <w:pPr>
        <w:autoSpaceDE w:val="0"/>
        <w:autoSpaceDN w:val="0"/>
        <w:adjustRightInd w:val="0"/>
      </w:pPr>
      <w:r>
        <w:t xml:space="preserve">This could partially account for the weaker therapeutic effect of </w:t>
      </w:r>
      <w:proofErr w:type="spellStart"/>
      <w:r>
        <w:t>Rebif</w:t>
      </w:r>
      <w:proofErr w:type="spellEnd"/>
      <w:r>
        <w:t xml:space="preserve"> </w:t>
      </w:r>
      <w:proofErr w:type="spellStart"/>
      <w:r>
        <w:t>ow</w:t>
      </w:r>
      <w:proofErr w:type="spellEnd"/>
      <w:r>
        <w:t xml:space="preserve"> versus </w:t>
      </w:r>
      <w:proofErr w:type="spellStart"/>
      <w:r>
        <w:t>Rebif</w:t>
      </w:r>
      <w:proofErr w:type="spellEnd"/>
      <w:r>
        <w:t xml:space="preserve"> </w:t>
      </w:r>
      <w:proofErr w:type="spellStart"/>
      <w:r>
        <w:t>tiw</w:t>
      </w:r>
      <w:proofErr w:type="spellEnd"/>
      <w:r>
        <w:t xml:space="preserve"> in the submitted pivotal study.</w:t>
      </w:r>
    </w:p>
    <w:p w:rsidR="00586F98" w:rsidRDefault="00C22678" w:rsidP="00A574ED">
      <w:pPr>
        <w:pStyle w:val="Heading2"/>
      </w:pPr>
      <w:bookmarkStart w:id="23" w:name="_Toc373928628"/>
      <w:r>
        <w:t>Dosage selection for the pivotal studies</w:t>
      </w:r>
      <w:bookmarkEnd w:id="23"/>
    </w:p>
    <w:p w:rsidR="001A0BAC" w:rsidRDefault="001A0BAC" w:rsidP="00A574ED">
      <w:r>
        <w:t xml:space="preserve">Underlying the treatment of CIS patients with </w:t>
      </w:r>
      <w:proofErr w:type="spellStart"/>
      <w:r>
        <w:t>immunomodulators</w:t>
      </w:r>
      <w:proofErr w:type="spellEnd"/>
      <w:r>
        <w:t xml:space="preserve"> is the notion that most of these patients have the same disease as patients diagnosed with MS; it is just that they have not yet had a second clinical event allowing the diagnosis of MS to be made. Thus, it would be expected that the dose used in MS would be suitable for CIS as well, and the pivotal study primarily sought to assess</w:t>
      </w:r>
      <w:r w:rsidR="00DB22EB">
        <w:t xml:space="preserve"> the standard </w:t>
      </w:r>
      <w:proofErr w:type="spellStart"/>
      <w:r w:rsidR="00DB22EB">
        <w:t>Rebif</w:t>
      </w:r>
      <w:proofErr w:type="spellEnd"/>
      <w:r w:rsidR="00DB22EB">
        <w:t xml:space="preserve"> dose of 44 µ</w:t>
      </w:r>
      <w:r>
        <w:t xml:space="preserve">g </w:t>
      </w:r>
      <w:proofErr w:type="spellStart"/>
      <w:r>
        <w:t>tiw</w:t>
      </w:r>
      <w:proofErr w:type="spellEnd"/>
      <w:r>
        <w:t xml:space="preserve">. For each of the other beta </w:t>
      </w:r>
      <w:proofErr w:type="spellStart"/>
      <w:r>
        <w:t>interferons</w:t>
      </w:r>
      <w:proofErr w:type="spellEnd"/>
      <w:r>
        <w:t>, a similar approach was adopted, and the same dose has been registered for</w:t>
      </w:r>
      <w:r w:rsidR="00136805">
        <w:t xml:space="preserve"> both indications (CIS and MS).</w:t>
      </w:r>
    </w:p>
    <w:p w:rsidR="001A0BAC" w:rsidRDefault="001A0BAC" w:rsidP="00A574ED">
      <w:r>
        <w:t>The sponsor also studied a low-dose once-weekly regimen (44</w:t>
      </w:r>
      <w:r w:rsidR="00DB22EB">
        <w:t xml:space="preserve"> µg</w:t>
      </w:r>
      <w:r>
        <w:t xml:space="preserve"> </w:t>
      </w:r>
      <w:proofErr w:type="spellStart"/>
      <w:r>
        <w:t>ow</w:t>
      </w:r>
      <w:proofErr w:type="spellEnd"/>
      <w:r>
        <w:t>) in addition to the standard regimen (44</w:t>
      </w:r>
      <w:r w:rsidR="00DB22EB">
        <w:t xml:space="preserve"> µg</w:t>
      </w:r>
      <w:r>
        <w:t xml:space="preserve"> </w:t>
      </w:r>
      <w:proofErr w:type="spellStart"/>
      <w:r>
        <w:t>tiw</w:t>
      </w:r>
      <w:proofErr w:type="spellEnd"/>
      <w:r>
        <w:t xml:space="preserve">). This was a reasonable approach, which tested the hypothesis that very early disease might be milder and require lower doses. Although the results subsequently showed that the low-dose regimen was inferior, there was a need to show that the full </w:t>
      </w:r>
      <w:proofErr w:type="spellStart"/>
      <w:r>
        <w:t>tiw</w:t>
      </w:r>
      <w:proofErr w:type="spellEnd"/>
      <w:r>
        <w:t xml:space="preserve"> regimen was necessary. There is a widespread belief amongst MS researchers, and increasing evidence, that early MS is more responsive to treatment than established MS (Rolf et al, 2010). Also, the low-dose regimen in this submission was broadly similar to the dose already registered for the competing product</w:t>
      </w:r>
      <w:r w:rsidR="00136805">
        <w:t xml:space="preserve">, </w:t>
      </w:r>
      <w:proofErr w:type="spellStart"/>
      <w:r w:rsidR="00136805">
        <w:t>Avonex</w:t>
      </w:r>
      <w:proofErr w:type="spellEnd"/>
      <w:r w:rsidR="00136805">
        <w:t xml:space="preserve"> –</w:t>
      </w:r>
      <w:r>
        <w:t xml:space="preserve"> though the </w:t>
      </w:r>
      <w:proofErr w:type="spellStart"/>
      <w:r>
        <w:t>Avonex</w:t>
      </w:r>
      <w:proofErr w:type="spellEnd"/>
      <w:r>
        <w:t xml:space="preserve"> dose is even lower (30</w:t>
      </w:r>
      <w:r w:rsidR="00DB22EB">
        <w:t xml:space="preserve"> µg</w:t>
      </w:r>
      <w:r>
        <w:t xml:space="preserve"> </w:t>
      </w:r>
      <w:proofErr w:type="spellStart"/>
      <w:r>
        <w:t>ow</w:t>
      </w:r>
      <w:proofErr w:type="spellEnd"/>
      <w:r>
        <w:t>). A once-weekly regimen would have been cheaper and would have been more attractive to patients than the three-times-weekly regimen, had it proven effective.</w:t>
      </w:r>
    </w:p>
    <w:p w:rsidR="00C22678" w:rsidRDefault="00C22678" w:rsidP="00C22678">
      <w:pPr>
        <w:pStyle w:val="Heading2"/>
      </w:pPr>
      <w:bookmarkStart w:id="24" w:name="_Toc373928629"/>
      <w:r>
        <w:lastRenderedPageBreak/>
        <w:t>Clinical efficacy</w:t>
      </w:r>
      <w:bookmarkEnd w:id="24"/>
    </w:p>
    <w:p w:rsidR="006C35E6" w:rsidRPr="006C35E6" w:rsidRDefault="006C35E6" w:rsidP="006C35E6">
      <w:r w:rsidRPr="006C35E6">
        <w:t>Only one pivotal study was submitted for the new indication. Its open-label extension was also mentioned, but this extension is ongoing and the results were unavailable. Thus, the submission rests on a single study.</w:t>
      </w:r>
    </w:p>
    <w:p w:rsidR="006C35E6" w:rsidRPr="004858E5" w:rsidRDefault="006C35E6" w:rsidP="006C35E6">
      <w:pPr>
        <w:pStyle w:val="Heading3"/>
      </w:pPr>
      <w:bookmarkStart w:id="25" w:name="_Ref271037274"/>
      <w:bookmarkStart w:id="26" w:name="_Toc272414652"/>
      <w:bookmarkStart w:id="27" w:name="_Toc290846274"/>
      <w:bookmarkStart w:id="28" w:name="_Toc348083939"/>
      <w:bookmarkStart w:id="29" w:name="_Toc373928630"/>
      <w:r>
        <w:t>Pivotal efficacy stud</w:t>
      </w:r>
      <w:bookmarkEnd w:id="25"/>
      <w:bookmarkEnd w:id="26"/>
      <w:bookmarkEnd w:id="27"/>
      <w:r>
        <w:t>y, Study 27025, “REFLEX” (n=517)</w:t>
      </w:r>
      <w:bookmarkEnd w:id="28"/>
      <w:bookmarkEnd w:id="29"/>
    </w:p>
    <w:p w:rsidR="006C35E6" w:rsidRPr="003C0A48" w:rsidRDefault="006C35E6" w:rsidP="00A574ED">
      <w:pPr>
        <w:pStyle w:val="Heading4"/>
      </w:pPr>
      <w:bookmarkStart w:id="30" w:name="_Toc348083940"/>
      <w:r w:rsidRPr="003C0A48">
        <w:t>Study design, objectives, locations and dates</w:t>
      </w:r>
      <w:bookmarkEnd w:id="30"/>
    </w:p>
    <w:p w:rsidR="006C35E6" w:rsidRDefault="006C35E6" w:rsidP="00A574ED">
      <w:r w:rsidRPr="004858E5">
        <w:t xml:space="preserve">The REFLEX study was </w:t>
      </w:r>
      <w:r>
        <w:t xml:space="preserve">a randomised, double-blind, placebo-controlled study </w:t>
      </w:r>
      <w:r w:rsidRPr="004858E5">
        <w:t xml:space="preserve">carried out over two-years and </w:t>
      </w:r>
      <w:r>
        <w:t>involving</w:t>
      </w:r>
      <w:r w:rsidRPr="004858E5">
        <w:t xml:space="preserve"> 517 patients considered at risk of developing MS, due to a recently experienced iso</w:t>
      </w:r>
      <w:r>
        <w:t xml:space="preserve">lated </w:t>
      </w:r>
      <w:proofErr w:type="spellStart"/>
      <w:r>
        <w:t>demyelinating</w:t>
      </w:r>
      <w:proofErr w:type="spellEnd"/>
      <w:r>
        <w:t xml:space="preserve"> event (CIS) of the CNS, consisting of </w:t>
      </w:r>
      <w:r w:rsidRPr="004858E5">
        <w:t xml:space="preserve">optic neuritis, </w:t>
      </w:r>
      <w:proofErr w:type="spellStart"/>
      <w:r w:rsidRPr="004858E5">
        <w:t>myelopathy</w:t>
      </w:r>
      <w:proofErr w:type="spellEnd"/>
      <w:r w:rsidRPr="004858E5">
        <w:t xml:space="preserve"> or a brai</w:t>
      </w:r>
      <w:r>
        <w:t>nstem syndrome</w:t>
      </w:r>
      <w:r w:rsidRPr="004858E5">
        <w:t>.</w:t>
      </w:r>
    </w:p>
    <w:p w:rsidR="006C35E6" w:rsidRDefault="006C35E6" w:rsidP="00A574ED">
      <w:r w:rsidRPr="004858E5">
        <w:t>Participants w</w:t>
      </w:r>
      <w:r>
        <w:t xml:space="preserve">ere randomised to receive </w:t>
      </w:r>
      <w:proofErr w:type="spellStart"/>
      <w:r>
        <w:t>Rebif</w:t>
      </w:r>
      <w:proofErr w:type="spellEnd"/>
      <w:r>
        <w:t xml:space="preserve"> 44 </w:t>
      </w:r>
      <w:r w:rsidR="00DB22EB">
        <w:t>µg</w:t>
      </w:r>
      <w:r w:rsidRPr="004858E5">
        <w:t xml:space="preserve"> three times weekly</w:t>
      </w:r>
      <w:r>
        <w:t xml:space="preserve"> (</w:t>
      </w:r>
      <w:proofErr w:type="spellStart"/>
      <w:r>
        <w:t>tiw</w:t>
      </w:r>
      <w:proofErr w:type="spellEnd"/>
      <w:r>
        <w:t>)</w:t>
      </w:r>
      <w:r w:rsidRPr="004858E5">
        <w:t xml:space="preserve">, </w:t>
      </w:r>
      <w:proofErr w:type="spellStart"/>
      <w:r>
        <w:t>Rebif</w:t>
      </w:r>
      <w:proofErr w:type="spellEnd"/>
      <w:r>
        <w:t xml:space="preserve"> 44 </w:t>
      </w:r>
      <w:r w:rsidR="00DB22EB">
        <w:t>µg</w:t>
      </w:r>
      <w:r>
        <w:t xml:space="preserve"> </w:t>
      </w:r>
      <w:r w:rsidRPr="004858E5">
        <w:t>once weekly</w:t>
      </w:r>
      <w:r>
        <w:t xml:space="preserve"> (</w:t>
      </w:r>
      <w:proofErr w:type="spellStart"/>
      <w:r>
        <w:t>ow</w:t>
      </w:r>
      <w:proofErr w:type="spellEnd"/>
      <w:r>
        <w:t xml:space="preserve">) </w:t>
      </w:r>
      <w:r w:rsidRPr="004858E5">
        <w:t>or placebo as a subcutaneous injection for a period of two years</w:t>
      </w:r>
      <w:r>
        <w:t xml:space="preserve"> (</w:t>
      </w:r>
      <w:r w:rsidRPr="004858E5">
        <w:t>or up to the time when they experienced a second clinical at</w:t>
      </w:r>
      <w:r>
        <w:t xml:space="preserve">tack leading to a diagnosis of CDMS or experienced progression defined by a sustained </w:t>
      </w:r>
      <w:r w:rsidRPr="00964952">
        <w:t>increase of at least 1·5 points in the EDSS</w:t>
      </w:r>
      <w:r>
        <w:t xml:space="preserve">, at which time they qualified for open-label </w:t>
      </w:r>
      <w:proofErr w:type="spellStart"/>
      <w:r>
        <w:t>Rebif</w:t>
      </w:r>
      <w:proofErr w:type="spellEnd"/>
      <w:r>
        <w:t xml:space="preserve"> treatment)</w:t>
      </w:r>
      <w:r w:rsidRPr="004858E5">
        <w:t>.</w:t>
      </w:r>
    </w:p>
    <w:p w:rsidR="006C35E6" w:rsidRPr="004858E5" w:rsidRDefault="006C35E6" w:rsidP="00A574ED">
      <w:r>
        <w:t>The primary endpoint was the time to progression to MS, as defined by the McDonald 2005 criteria. In practice this meant the development of a second clinical episode, a new MRI lesion, or progression of disability.</w:t>
      </w:r>
    </w:p>
    <w:p w:rsidR="006C35E6" w:rsidRDefault="006C35E6" w:rsidP="006C35E6">
      <w:pPr>
        <w:pStyle w:val="Heading4"/>
      </w:pPr>
      <w:bookmarkStart w:id="31" w:name="_Toc348083941"/>
      <w:r w:rsidRPr="004B259C">
        <w:t>Inclusion and exclusion criteria</w:t>
      </w:r>
      <w:bookmarkEnd w:id="31"/>
    </w:p>
    <w:p w:rsidR="006C35E6" w:rsidRDefault="006C35E6" w:rsidP="006C35E6">
      <w:pPr>
        <w:rPr>
          <w:rFonts w:eastAsia="TimesNewRoman"/>
        </w:rPr>
      </w:pPr>
      <w:r>
        <w:t xml:space="preserve">In broad terms, the study recruited adult </w:t>
      </w:r>
      <w:r w:rsidRPr="00D53C66">
        <w:t xml:space="preserve">patients </w:t>
      </w:r>
      <w:r w:rsidRPr="00D53C66">
        <w:rPr>
          <w:rFonts w:eastAsia="TimesNewRoman"/>
        </w:rPr>
        <w:t>of either sex with a single, first clinical event suggestive of</w:t>
      </w:r>
      <w:r>
        <w:rPr>
          <w:rFonts w:eastAsia="TimesNewRoman"/>
        </w:rPr>
        <w:t xml:space="preserve"> </w:t>
      </w:r>
      <w:r w:rsidRPr="00D53C66">
        <w:rPr>
          <w:rFonts w:eastAsia="TimesNewRoman"/>
        </w:rPr>
        <w:t xml:space="preserve">MS within 60 days prior to </w:t>
      </w:r>
      <w:r>
        <w:rPr>
          <w:rFonts w:eastAsia="TimesNewRoman"/>
        </w:rPr>
        <w:t xml:space="preserve">randomisation. Subjects were required to have </w:t>
      </w:r>
      <w:r w:rsidRPr="00D53C66">
        <w:rPr>
          <w:rFonts w:eastAsia="TimesNewRoman"/>
        </w:rPr>
        <w:t>at least 2 clinically silent lesions on the T2-weighted MRI</w:t>
      </w:r>
      <w:r>
        <w:rPr>
          <w:rFonts w:eastAsia="TimesNewRoman"/>
        </w:rPr>
        <w:t xml:space="preserve"> </w:t>
      </w:r>
      <w:r w:rsidRPr="00D53C66">
        <w:rPr>
          <w:rFonts w:eastAsia="TimesNewRoman"/>
        </w:rPr>
        <w:t xml:space="preserve">scan, with a size of at least 3 mm, at least one of which was ovoid or </w:t>
      </w:r>
      <w:proofErr w:type="spellStart"/>
      <w:r w:rsidRPr="00D53C66">
        <w:rPr>
          <w:rFonts w:eastAsia="TimesNewRoman"/>
        </w:rPr>
        <w:t>periventricular</w:t>
      </w:r>
      <w:proofErr w:type="spellEnd"/>
      <w:r w:rsidRPr="00D53C66">
        <w:rPr>
          <w:rFonts w:eastAsia="TimesNewRoman"/>
        </w:rPr>
        <w:t xml:space="preserve"> or</w:t>
      </w:r>
      <w:r>
        <w:rPr>
          <w:rFonts w:eastAsia="TimesNewRoman"/>
        </w:rPr>
        <w:t xml:space="preserve"> </w:t>
      </w:r>
      <w:proofErr w:type="spellStart"/>
      <w:r>
        <w:rPr>
          <w:rFonts w:eastAsia="TimesNewRoman"/>
        </w:rPr>
        <w:t>infratentorial</w:t>
      </w:r>
      <w:proofErr w:type="spellEnd"/>
      <w:r>
        <w:rPr>
          <w:rFonts w:eastAsia="TimesNewRoman"/>
        </w:rPr>
        <w:t>, and a disability score (</w:t>
      </w:r>
      <w:r w:rsidRPr="00D53C66">
        <w:rPr>
          <w:rFonts w:eastAsia="TimesNewRoman"/>
        </w:rPr>
        <w:t>EDSS</w:t>
      </w:r>
      <w:r>
        <w:rPr>
          <w:rFonts w:eastAsia="TimesNewRoman"/>
        </w:rPr>
        <w:t>)</w:t>
      </w:r>
      <w:r w:rsidRPr="00D53C66">
        <w:rPr>
          <w:rFonts w:eastAsia="TimesNewRoman"/>
        </w:rPr>
        <w:t xml:space="preserve"> </w:t>
      </w:r>
      <w:r>
        <w:rPr>
          <w:rFonts w:eastAsia="TimesNewRoman"/>
        </w:rPr>
        <w:t>of ≤</w:t>
      </w:r>
      <w:r w:rsidRPr="00D53C66">
        <w:rPr>
          <w:rFonts w:eastAsia="TimesNewRoman"/>
        </w:rPr>
        <w:t xml:space="preserve">5.0. The </w:t>
      </w:r>
      <w:r>
        <w:rPr>
          <w:rFonts w:eastAsia="TimesNewRoman"/>
        </w:rPr>
        <w:t>defining clinical event had</w:t>
      </w:r>
      <w:r w:rsidRPr="00D53C66">
        <w:rPr>
          <w:rFonts w:eastAsia="TimesNewRoman"/>
        </w:rPr>
        <w:t xml:space="preserve"> to be a new neurological abnormality</w:t>
      </w:r>
      <w:r>
        <w:rPr>
          <w:rFonts w:eastAsia="TimesNewRoman"/>
        </w:rPr>
        <w:t xml:space="preserve"> </w:t>
      </w:r>
      <w:r w:rsidRPr="00D53C66">
        <w:rPr>
          <w:rFonts w:eastAsia="TimesNewRoman"/>
        </w:rPr>
        <w:t xml:space="preserve">present for at least 24 hours, </w:t>
      </w:r>
      <w:r>
        <w:rPr>
          <w:rFonts w:eastAsia="TimesNewRoman"/>
        </w:rPr>
        <w:t xml:space="preserve">and could be </w:t>
      </w:r>
      <w:r w:rsidRPr="00D53C66">
        <w:rPr>
          <w:rFonts w:eastAsia="TimesNewRoman"/>
        </w:rPr>
        <w:t>either mono</w:t>
      </w:r>
      <w:r>
        <w:rPr>
          <w:rFonts w:eastAsia="TimesNewRoman"/>
        </w:rPr>
        <w:t>-</w:t>
      </w:r>
      <w:r w:rsidRPr="00D53C66">
        <w:rPr>
          <w:rFonts w:eastAsia="TimesNewRoman"/>
        </w:rPr>
        <w:t xml:space="preserve"> o</w:t>
      </w:r>
      <w:r>
        <w:rPr>
          <w:rFonts w:eastAsia="TimesNewRoman"/>
        </w:rPr>
        <w:t xml:space="preserve">r </w:t>
      </w:r>
      <w:proofErr w:type="spellStart"/>
      <w:r>
        <w:rPr>
          <w:rFonts w:eastAsia="TimesNewRoman"/>
        </w:rPr>
        <w:t>polysymptomatic</w:t>
      </w:r>
      <w:proofErr w:type="spellEnd"/>
      <w:r>
        <w:rPr>
          <w:rFonts w:eastAsia="TimesNewRoman"/>
        </w:rPr>
        <w:t xml:space="preserve">, other than </w:t>
      </w:r>
      <w:proofErr w:type="spellStart"/>
      <w:r w:rsidRPr="00D53C66">
        <w:rPr>
          <w:rFonts w:eastAsia="TimesNewRoman"/>
        </w:rPr>
        <w:t>par</w:t>
      </w:r>
      <w:r>
        <w:rPr>
          <w:rFonts w:eastAsia="TimesNewRoman"/>
        </w:rPr>
        <w:t>a</w:t>
      </w:r>
      <w:r w:rsidRPr="00D53C66">
        <w:rPr>
          <w:rFonts w:eastAsia="TimesNewRoman"/>
        </w:rPr>
        <w:t>esthesia</w:t>
      </w:r>
      <w:proofErr w:type="spellEnd"/>
      <w:r w:rsidRPr="00D53C66">
        <w:rPr>
          <w:rFonts w:eastAsia="TimesNewRoman"/>
        </w:rPr>
        <w:t>,</w:t>
      </w:r>
      <w:r>
        <w:rPr>
          <w:rFonts w:eastAsia="TimesNewRoman"/>
        </w:rPr>
        <w:t xml:space="preserve"> </w:t>
      </w:r>
      <w:r w:rsidRPr="00D53C66">
        <w:rPr>
          <w:rFonts w:eastAsia="TimesNewRoman"/>
        </w:rPr>
        <w:t xml:space="preserve">vegetative </w:t>
      </w:r>
      <w:r>
        <w:rPr>
          <w:rFonts w:eastAsia="TimesNewRoman"/>
        </w:rPr>
        <w:t xml:space="preserve">symptoms </w:t>
      </w:r>
      <w:r w:rsidRPr="00D53C66">
        <w:rPr>
          <w:rFonts w:eastAsia="TimesNewRoman"/>
        </w:rPr>
        <w:t xml:space="preserve">or cerebral </w:t>
      </w:r>
      <w:r>
        <w:rPr>
          <w:rFonts w:eastAsia="TimesNewRoman"/>
        </w:rPr>
        <w:t>d</w:t>
      </w:r>
      <w:r w:rsidRPr="00D53C66">
        <w:rPr>
          <w:rFonts w:eastAsia="TimesNewRoman"/>
        </w:rPr>
        <w:t>ysfunction.</w:t>
      </w:r>
    </w:p>
    <w:p w:rsidR="006C35E6" w:rsidRDefault="006C35E6" w:rsidP="006C35E6">
      <w:r>
        <w:t>More specific inclusion and exclusion criteria are listed below. In most cases the criteria are obvious and commonsensical, aimed at recruiting patients who truly represented the target population with CIS, excluding those who already had MS, and minimising the risk of including patients with other neurological illnesses.</w:t>
      </w:r>
    </w:p>
    <w:p w:rsidR="006C35E6" w:rsidRDefault="006C35E6" w:rsidP="006C35E6">
      <w:r>
        <w:t>A couple of the inclusion and exclusion criteria are worthy of comment: exclusion of patients with &lt;2 clinically silent MRI lesions, and exclusions based on the McDonald 2005 criteria for diagnosing MS. These are addressed below the lists of inclusion and exclusion criteria, below.</w:t>
      </w:r>
    </w:p>
    <w:p w:rsidR="006C35E6" w:rsidRPr="007A0D28" w:rsidRDefault="00A574ED" w:rsidP="00A574ED">
      <w:pPr>
        <w:pStyle w:val="Heading5"/>
        <w:rPr>
          <w:rFonts w:eastAsia="MS Mincho"/>
        </w:rPr>
      </w:pPr>
      <w:r>
        <w:rPr>
          <w:rFonts w:eastAsia="MS Mincho"/>
        </w:rPr>
        <w:t>Inclusion c</w:t>
      </w:r>
      <w:r w:rsidR="006C35E6" w:rsidRPr="007A0D28">
        <w:rPr>
          <w:rFonts w:eastAsia="MS Mincho"/>
        </w:rPr>
        <w:t>riteria</w:t>
      </w:r>
    </w:p>
    <w:p w:rsidR="006C35E6" w:rsidRPr="00A574ED" w:rsidRDefault="006C35E6" w:rsidP="00A574ED">
      <w:pPr>
        <w:pStyle w:val="ListBullet"/>
      </w:pPr>
      <w:r w:rsidRPr="00A574ED">
        <w:t xml:space="preserve">Single, first clinical event suggestive of MS with an onset within 60 days prior to randomisation. The event had to be a new neurological abnormality present for at least 24 hours, either mono- or </w:t>
      </w:r>
      <w:proofErr w:type="spellStart"/>
      <w:r w:rsidRPr="00A574ED">
        <w:t>polysymptomatic</w:t>
      </w:r>
      <w:proofErr w:type="spellEnd"/>
      <w:r w:rsidRPr="00A574ED">
        <w:t xml:space="preserve">, other than </w:t>
      </w:r>
      <w:proofErr w:type="spellStart"/>
      <w:r w:rsidRPr="00A574ED">
        <w:t>paraesthesia</w:t>
      </w:r>
      <w:proofErr w:type="spellEnd"/>
      <w:r w:rsidRPr="00A574ED">
        <w:t>, vegetative symptoms or cerebral dysfunction.</w:t>
      </w:r>
    </w:p>
    <w:p w:rsidR="006C35E6" w:rsidRPr="00A574ED" w:rsidRDefault="006C35E6" w:rsidP="00A574ED">
      <w:pPr>
        <w:pStyle w:val="ListBullet"/>
      </w:pPr>
      <w:r w:rsidRPr="00A574ED">
        <w:t xml:space="preserve">At least two clinically silent lesions on the T2-weighted MRI scan, with a size of at least 3 mm, at least one of which was ovoid or </w:t>
      </w:r>
      <w:proofErr w:type="spellStart"/>
      <w:r w:rsidRPr="00A574ED">
        <w:t>periventricular</w:t>
      </w:r>
      <w:proofErr w:type="spellEnd"/>
      <w:r w:rsidRPr="00A574ED">
        <w:t xml:space="preserve"> or </w:t>
      </w:r>
      <w:proofErr w:type="spellStart"/>
      <w:r w:rsidRPr="00A574ED">
        <w:t>infratentorial</w:t>
      </w:r>
      <w:proofErr w:type="spellEnd"/>
      <w:r w:rsidRPr="00A574ED">
        <w:t>.</w:t>
      </w:r>
    </w:p>
    <w:p w:rsidR="006C35E6" w:rsidRPr="00A574ED" w:rsidRDefault="00CC1B49" w:rsidP="00A574ED">
      <w:pPr>
        <w:pStyle w:val="ListBullet"/>
      </w:pPr>
      <w:r w:rsidRPr="00A574ED">
        <w:t>EDSS 0-5</w:t>
      </w:r>
      <w:r w:rsidR="006C35E6" w:rsidRPr="00A574ED">
        <w:t xml:space="preserve"> during the screening period.</w:t>
      </w:r>
    </w:p>
    <w:p w:rsidR="006C35E6" w:rsidRPr="00A574ED" w:rsidRDefault="006C35E6" w:rsidP="00A574ED">
      <w:pPr>
        <w:pStyle w:val="ListBullet"/>
      </w:pPr>
      <w:r w:rsidRPr="00A574ED">
        <w:t>Between 18 and 50 years old, inclusive.</w:t>
      </w:r>
    </w:p>
    <w:p w:rsidR="006C35E6" w:rsidRPr="00A574ED" w:rsidRDefault="006C35E6" w:rsidP="00A574ED">
      <w:pPr>
        <w:pStyle w:val="ListBullet"/>
      </w:pPr>
      <w:r w:rsidRPr="00A574ED">
        <w:t>Willing to follow study procedures.</w:t>
      </w:r>
    </w:p>
    <w:p w:rsidR="006C35E6" w:rsidRPr="00A574ED" w:rsidRDefault="006C35E6" w:rsidP="00A574ED">
      <w:pPr>
        <w:pStyle w:val="ListBullet"/>
      </w:pPr>
      <w:r w:rsidRPr="00A574ED">
        <w:t>If female, the patient had to be:</w:t>
      </w:r>
    </w:p>
    <w:p w:rsidR="006C35E6" w:rsidRPr="00F35A23" w:rsidRDefault="006C35E6" w:rsidP="006C35E6">
      <w:pPr>
        <w:pStyle w:val="ListBullet2"/>
        <w:rPr>
          <w:lang w:eastAsia="ja-JP"/>
        </w:rPr>
      </w:pPr>
      <w:r w:rsidRPr="00F35A23">
        <w:rPr>
          <w:lang w:eastAsia="ja-JP"/>
        </w:rPr>
        <w:lastRenderedPageBreak/>
        <w:t xml:space="preserve">neither pregnant nor breast-feeding nor attempting to conceive; </w:t>
      </w:r>
    </w:p>
    <w:p w:rsidR="006C35E6" w:rsidRPr="00F35A23" w:rsidRDefault="006C35E6" w:rsidP="006C35E6">
      <w:pPr>
        <w:pStyle w:val="ListBullet2"/>
        <w:rPr>
          <w:lang w:eastAsia="ja-JP"/>
        </w:rPr>
      </w:pPr>
      <w:proofErr w:type="gramStart"/>
      <w:r w:rsidRPr="00F35A23">
        <w:rPr>
          <w:lang w:eastAsia="ja-JP"/>
        </w:rPr>
        <w:t>using</w:t>
      </w:r>
      <w:proofErr w:type="gramEnd"/>
      <w:r w:rsidRPr="00F35A23">
        <w:rPr>
          <w:lang w:eastAsia="ja-JP"/>
        </w:rPr>
        <w:t xml:space="preserve"> a highly effective method of contraception.</w:t>
      </w:r>
    </w:p>
    <w:p w:rsidR="006C35E6" w:rsidRPr="007A0D28" w:rsidRDefault="007A0D28" w:rsidP="00A574ED">
      <w:pPr>
        <w:pStyle w:val="Heading5"/>
        <w:rPr>
          <w:rFonts w:eastAsia="MS Mincho"/>
          <w:lang w:eastAsia="ja-JP"/>
        </w:rPr>
      </w:pPr>
      <w:r w:rsidRPr="007A0D28">
        <w:rPr>
          <w:rFonts w:eastAsia="MS Mincho"/>
          <w:lang w:eastAsia="ja-JP"/>
        </w:rPr>
        <w:t xml:space="preserve">Exclusion </w:t>
      </w:r>
      <w:r w:rsidR="00A574ED">
        <w:rPr>
          <w:rFonts w:eastAsia="MS Mincho"/>
          <w:lang w:eastAsia="ja-JP"/>
        </w:rPr>
        <w:t>c</w:t>
      </w:r>
      <w:r w:rsidRPr="007A0D28">
        <w:rPr>
          <w:rFonts w:eastAsia="MS Mincho"/>
          <w:lang w:eastAsia="ja-JP"/>
        </w:rPr>
        <w:t>riteria</w:t>
      </w:r>
    </w:p>
    <w:p w:rsidR="006C35E6" w:rsidRPr="00A574ED" w:rsidRDefault="006C35E6" w:rsidP="00A574ED">
      <w:pPr>
        <w:pStyle w:val="ListBullet"/>
      </w:pPr>
      <w:r w:rsidRPr="00A574ED">
        <w:t>Diagnosis of Multiple Sclerosis (per McDonald criteria 2005).</w:t>
      </w:r>
    </w:p>
    <w:p w:rsidR="006C35E6" w:rsidRPr="00A574ED" w:rsidRDefault="006C35E6" w:rsidP="00A574ED">
      <w:pPr>
        <w:pStyle w:val="ListBullet"/>
      </w:pPr>
      <w:r w:rsidRPr="00A574ED">
        <w:t>Any other disease that could better explain the patient's signs and symptoms.</w:t>
      </w:r>
    </w:p>
    <w:p w:rsidR="006C35E6" w:rsidRPr="00A574ED" w:rsidRDefault="006C35E6" w:rsidP="00A574ED">
      <w:pPr>
        <w:pStyle w:val="ListBullet"/>
      </w:pPr>
      <w:r w:rsidRPr="00A574ED">
        <w:t xml:space="preserve">Complete transverse </w:t>
      </w:r>
      <w:proofErr w:type="spellStart"/>
      <w:r w:rsidRPr="00A574ED">
        <w:t>myelitis</w:t>
      </w:r>
      <w:proofErr w:type="spellEnd"/>
      <w:r w:rsidRPr="00A574ED">
        <w:t xml:space="preserve"> or bilateral optic neuritis.</w:t>
      </w:r>
    </w:p>
    <w:p w:rsidR="006C35E6" w:rsidRPr="00A574ED" w:rsidRDefault="006C35E6" w:rsidP="00A574ED">
      <w:pPr>
        <w:pStyle w:val="ListBullet"/>
      </w:pPr>
      <w:r w:rsidRPr="00A574ED">
        <w:t>Subject using or had used any other approved MS disease-modifying agent.</w:t>
      </w:r>
    </w:p>
    <w:p w:rsidR="006C35E6" w:rsidRPr="00A574ED" w:rsidRDefault="006C35E6" w:rsidP="00A574ED">
      <w:pPr>
        <w:pStyle w:val="ListBullet"/>
      </w:pPr>
      <w:r w:rsidRPr="00A574ED">
        <w:t>Subject had used any investigational drug or undergone any experimental procedure within 12 weeks prior to study day 1.</w:t>
      </w:r>
    </w:p>
    <w:p w:rsidR="006C35E6" w:rsidRPr="00A574ED" w:rsidRDefault="006C35E6" w:rsidP="00A574ED">
      <w:pPr>
        <w:pStyle w:val="ListBullet"/>
      </w:pPr>
      <w:r w:rsidRPr="00A574ED">
        <w:t>Oral or systemic corticosteroids or ACTH within 30 days prior to study day 1.</w:t>
      </w:r>
    </w:p>
    <w:p w:rsidR="006C35E6" w:rsidRPr="00A574ED" w:rsidRDefault="006C35E6" w:rsidP="00A574ED">
      <w:pPr>
        <w:pStyle w:val="ListBullet"/>
      </w:pPr>
      <w:r w:rsidRPr="00A574ED">
        <w:t xml:space="preserve">Subject has total </w:t>
      </w:r>
      <w:proofErr w:type="spellStart"/>
      <w:r w:rsidRPr="00A574ED">
        <w:t>bilirubin</w:t>
      </w:r>
      <w:proofErr w:type="spellEnd"/>
      <w:r w:rsidRPr="00A574ED">
        <w:t xml:space="preserve">, </w:t>
      </w:r>
      <w:proofErr w:type="spellStart"/>
      <w:r w:rsidRPr="00A574ED">
        <w:t>aspartate</w:t>
      </w:r>
      <w:proofErr w:type="spellEnd"/>
      <w:r w:rsidRPr="00A574ED">
        <w:t xml:space="preserve"> </w:t>
      </w:r>
      <w:proofErr w:type="spellStart"/>
      <w:r w:rsidRPr="00A574ED">
        <w:t>aminotransferase</w:t>
      </w:r>
      <w:proofErr w:type="spellEnd"/>
      <w:r w:rsidRPr="00A574ED">
        <w:t xml:space="preserve"> (AST) or </w:t>
      </w:r>
      <w:proofErr w:type="spellStart"/>
      <w:r w:rsidRPr="00A574ED">
        <w:t>alanine</w:t>
      </w:r>
      <w:proofErr w:type="spellEnd"/>
      <w:r w:rsidRPr="00A574ED">
        <w:t xml:space="preserve"> </w:t>
      </w:r>
      <w:proofErr w:type="spellStart"/>
      <w:r w:rsidRPr="00A574ED">
        <w:t>aminotransferase</w:t>
      </w:r>
      <w:proofErr w:type="spellEnd"/>
      <w:r w:rsidRPr="00A574ED">
        <w:t xml:space="preserve"> (ALT) or alkaline </w:t>
      </w:r>
      <w:proofErr w:type="spellStart"/>
      <w:r w:rsidRPr="00A574ED">
        <w:t>phosphatase</w:t>
      </w:r>
      <w:proofErr w:type="spellEnd"/>
      <w:r w:rsidRPr="00A574ED">
        <w:t xml:space="preserve"> &gt; 2.5 times the upper limit of normal values at both month 24 and previous visit.</w:t>
      </w:r>
    </w:p>
    <w:p w:rsidR="006C35E6" w:rsidRPr="00A574ED" w:rsidRDefault="006C35E6" w:rsidP="00A574ED">
      <w:pPr>
        <w:pStyle w:val="ListBullet"/>
      </w:pPr>
      <w:r w:rsidRPr="00A574ED">
        <w:t>Inadequate bone marrow reserve, defined as a total white blood cell count &lt; 3.0 x 109/L, platelet count &lt; 75 x 109/L, or haemoglobin &lt; 100 g/L.</w:t>
      </w:r>
    </w:p>
    <w:p w:rsidR="006C35E6" w:rsidRPr="00A574ED" w:rsidRDefault="006C35E6" w:rsidP="00A574ED">
      <w:pPr>
        <w:pStyle w:val="ListBullet"/>
      </w:pPr>
      <w:r w:rsidRPr="00A574ED">
        <w:t>Current autoimmune disease (not counting the CIS).</w:t>
      </w:r>
    </w:p>
    <w:p w:rsidR="006C35E6" w:rsidRPr="00A574ED" w:rsidRDefault="006C35E6" w:rsidP="00A574ED">
      <w:pPr>
        <w:pStyle w:val="ListBullet"/>
      </w:pPr>
      <w:r w:rsidRPr="00A574ED">
        <w:t>Major medical or psychiatric illness (including history of severe depressive disorders and/or suicidal ideation) that in the opinion of the investigator creates undue risk to the subject or could affect compliance with the study protocol.</w:t>
      </w:r>
    </w:p>
    <w:p w:rsidR="006C35E6" w:rsidRPr="00A574ED" w:rsidRDefault="006C35E6" w:rsidP="00A574ED">
      <w:pPr>
        <w:pStyle w:val="ListBullet"/>
      </w:pPr>
      <w:r w:rsidRPr="00A574ED">
        <w:t>History of seizures not adequately controlled by treatment.</w:t>
      </w:r>
    </w:p>
    <w:p w:rsidR="006C35E6" w:rsidRPr="00A574ED" w:rsidRDefault="006C35E6" w:rsidP="00A574ED">
      <w:pPr>
        <w:pStyle w:val="ListBullet"/>
      </w:pPr>
      <w:r w:rsidRPr="00A574ED">
        <w:t>Cardiac disease, such as angina, congestive heart failure or arrhythmia.</w:t>
      </w:r>
    </w:p>
    <w:p w:rsidR="006C35E6" w:rsidRPr="00A574ED" w:rsidRDefault="006C35E6" w:rsidP="00A574ED">
      <w:pPr>
        <w:pStyle w:val="ListBullet"/>
      </w:pPr>
      <w:r w:rsidRPr="00A574ED">
        <w:t xml:space="preserve">Known allergy to IFN-beta or the </w:t>
      </w:r>
      <w:proofErr w:type="spellStart"/>
      <w:r w:rsidRPr="00A574ED">
        <w:t>excipients</w:t>
      </w:r>
      <w:proofErr w:type="spellEnd"/>
      <w:r w:rsidRPr="00A574ED">
        <w:t xml:space="preserve"> of the study medication.</w:t>
      </w:r>
    </w:p>
    <w:p w:rsidR="006C35E6" w:rsidRPr="00A574ED" w:rsidRDefault="006C35E6" w:rsidP="00A574ED">
      <w:pPr>
        <w:pStyle w:val="ListBullet"/>
      </w:pPr>
      <w:r w:rsidRPr="00A574ED">
        <w:t>Any condition that could interfere with the MRI evaluation.</w:t>
      </w:r>
    </w:p>
    <w:p w:rsidR="006C35E6" w:rsidRPr="00A574ED" w:rsidRDefault="006C35E6" w:rsidP="00A574ED">
      <w:pPr>
        <w:pStyle w:val="ListBullet"/>
      </w:pPr>
      <w:r w:rsidRPr="00A574ED">
        <w:t>Known allergy to gadolinium-DTPA.</w:t>
      </w:r>
    </w:p>
    <w:p w:rsidR="006C35E6" w:rsidRPr="00A574ED" w:rsidRDefault="006C35E6" w:rsidP="00A574ED">
      <w:pPr>
        <w:pStyle w:val="ListBullet"/>
      </w:pPr>
      <w:r w:rsidRPr="00A574ED">
        <w:t>Participated in any clinical trial within the past 6 months prior to study day 1.</w:t>
      </w:r>
    </w:p>
    <w:p w:rsidR="006C35E6" w:rsidRPr="00A574ED" w:rsidRDefault="006C35E6" w:rsidP="00A574ED">
      <w:pPr>
        <w:pStyle w:val="ListBullet"/>
      </w:pPr>
      <w:r w:rsidRPr="00A574ED">
        <w:t xml:space="preserve">Any </w:t>
      </w:r>
      <w:proofErr w:type="spellStart"/>
      <w:r w:rsidRPr="00A574ED">
        <w:t>immunomodulatory</w:t>
      </w:r>
      <w:proofErr w:type="spellEnd"/>
      <w:r w:rsidRPr="00A574ED">
        <w:t xml:space="preserve"> or immunosuppressive therapy at any time prior to study day 1, including: any interferon, </w:t>
      </w:r>
      <w:proofErr w:type="spellStart"/>
      <w:r w:rsidRPr="00A574ED">
        <w:t>glatiramer</w:t>
      </w:r>
      <w:proofErr w:type="spellEnd"/>
      <w:r w:rsidRPr="00A574ED">
        <w:t xml:space="preserve"> acetate, </w:t>
      </w:r>
      <w:proofErr w:type="spellStart"/>
      <w:r w:rsidRPr="00A574ED">
        <w:t>cyclophosphamide</w:t>
      </w:r>
      <w:proofErr w:type="spellEnd"/>
      <w:r w:rsidRPr="00A574ED">
        <w:t xml:space="preserve">, cyclosporine, </w:t>
      </w:r>
      <w:proofErr w:type="spellStart"/>
      <w:r w:rsidRPr="00A574ED">
        <w:t>methotrexate</w:t>
      </w:r>
      <w:proofErr w:type="spellEnd"/>
      <w:r w:rsidRPr="00A574ED">
        <w:t xml:space="preserve">, </w:t>
      </w:r>
      <w:proofErr w:type="spellStart"/>
      <w:r w:rsidRPr="00A574ED">
        <w:t>linomide</w:t>
      </w:r>
      <w:proofErr w:type="spellEnd"/>
      <w:r w:rsidRPr="00A574ED">
        <w:t xml:space="preserve">, </w:t>
      </w:r>
      <w:proofErr w:type="spellStart"/>
      <w:r w:rsidRPr="00A574ED">
        <w:t>azathioprine</w:t>
      </w:r>
      <w:proofErr w:type="spellEnd"/>
      <w:r w:rsidRPr="00A574ED">
        <w:t xml:space="preserve">, </w:t>
      </w:r>
      <w:proofErr w:type="spellStart"/>
      <w:r w:rsidRPr="00A574ED">
        <w:t>mitoxantrone</w:t>
      </w:r>
      <w:proofErr w:type="spellEnd"/>
      <w:r w:rsidRPr="00A574ED">
        <w:t xml:space="preserve">, </w:t>
      </w:r>
      <w:proofErr w:type="spellStart"/>
      <w:r w:rsidRPr="00A574ED">
        <w:t>eriflunomide</w:t>
      </w:r>
      <w:proofErr w:type="spellEnd"/>
      <w:r w:rsidRPr="00A574ED">
        <w:t xml:space="preserve">, </w:t>
      </w:r>
      <w:proofErr w:type="spellStart"/>
      <w:r w:rsidRPr="00A574ED">
        <w:t>laquinimod</w:t>
      </w:r>
      <w:proofErr w:type="spellEnd"/>
      <w:r w:rsidRPr="00A574ED">
        <w:t xml:space="preserve">, </w:t>
      </w:r>
      <w:proofErr w:type="spellStart"/>
      <w:r w:rsidRPr="00A574ED">
        <w:t>cladribine</w:t>
      </w:r>
      <w:proofErr w:type="spellEnd"/>
      <w:r w:rsidRPr="00A574ED">
        <w:t xml:space="preserve">, total lymphoid irradiation, anti-lymphocyte monoclonal antibody treatment (e.g. </w:t>
      </w:r>
      <w:proofErr w:type="spellStart"/>
      <w:r w:rsidRPr="00A574ED">
        <w:t>natalizumab</w:t>
      </w:r>
      <w:proofErr w:type="spellEnd"/>
      <w:r w:rsidRPr="00A574ED">
        <w:t xml:space="preserve">, </w:t>
      </w:r>
      <w:proofErr w:type="spellStart"/>
      <w:r w:rsidRPr="00A574ED">
        <w:t>lemtuzumab</w:t>
      </w:r>
      <w:proofErr w:type="spellEnd"/>
      <w:r w:rsidRPr="00A574ED">
        <w:t>/</w:t>
      </w:r>
      <w:proofErr w:type="spellStart"/>
      <w:r w:rsidRPr="00A574ED">
        <w:t>Campath</w:t>
      </w:r>
      <w:proofErr w:type="spellEnd"/>
      <w:r w:rsidRPr="00A574ED">
        <w:t xml:space="preserve">, anti-CD4), </w:t>
      </w:r>
      <w:proofErr w:type="spellStart"/>
      <w:r w:rsidRPr="00A574ED">
        <w:t>IvIg</w:t>
      </w:r>
      <w:proofErr w:type="spellEnd"/>
      <w:r w:rsidRPr="00A574ED">
        <w:t>, cytokines or anti-cytokine therapy.</w:t>
      </w:r>
    </w:p>
    <w:p w:rsidR="006C35E6" w:rsidRPr="00A574ED" w:rsidRDefault="006C35E6" w:rsidP="00A574ED">
      <w:pPr>
        <w:pStyle w:val="ListBullet"/>
      </w:pPr>
      <w:r w:rsidRPr="00A574ED">
        <w:t xml:space="preserve">Any experimental MS treatment prior to study day 1, including, but not limited to, any </w:t>
      </w:r>
      <w:proofErr w:type="spellStart"/>
      <w:r w:rsidRPr="00A574ED">
        <w:t>statins</w:t>
      </w:r>
      <w:proofErr w:type="spellEnd"/>
      <w:r w:rsidRPr="00A574ED">
        <w:t xml:space="preserve"> (if given to prevent MS) and </w:t>
      </w:r>
      <w:proofErr w:type="spellStart"/>
      <w:r w:rsidRPr="00A574ED">
        <w:t>pentoxyfilline</w:t>
      </w:r>
      <w:proofErr w:type="spellEnd"/>
      <w:r w:rsidRPr="00A574ED">
        <w:t>.</w:t>
      </w:r>
    </w:p>
    <w:p w:rsidR="006C35E6" w:rsidRPr="00A574ED" w:rsidRDefault="006C35E6" w:rsidP="00A574ED">
      <w:pPr>
        <w:pStyle w:val="ListBullet"/>
      </w:pPr>
      <w:r w:rsidRPr="00A574ED">
        <w:t>History of alcohol or drug abuse.</w:t>
      </w:r>
    </w:p>
    <w:p w:rsidR="006C35E6" w:rsidRPr="00A574ED" w:rsidRDefault="006C35E6" w:rsidP="00A574ED">
      <w:pPr>
        <w:pStyle w:val="ListBullet"/>
      </w:pPr>
      <w:r w:rsidRPr="00A574ED">
        <w:t>Intolerance or any contraindication to both paracetamol (acetaminophen) and ibuprofen.</w:t>
      </w:r>
    </w:p>
    <w:p w:rsidR="006C35E6" w:rsidRPr="00A574ED" w:rsidRDefault="006C35E6" w:rsidP="00A574ED">
      <w:pPr>
        <w:pStyle w:val="ListBullet"/>
      </w:pPr>
      <w:r w:rsidRPr="00A574ED">
        <w:t>Inability to administer subcutaneous injections either by self or by caregiver.</w:t>
      </w:r>
    </w:p>
    <w:p w:rsidR="006C35E6" w:rsidRPr="00A574ED" w:rsidRDefault="006C35E6" w:rsidP="00A574ED">
      <w:pPr>
        <w:pStyle w:val="ListBullet"/>
      </w:pPr>
      <w:r w:rsidRPr="00A574ED">
        <w:t>Moderate to severe renal impairment.</w:t>
      </w:r>
    </w:p>
    <w:p w:rsidR="006C35E6" w:rsidRPr="007A0D28" w:rsidRDefault="006C35E6" w:rsidP="00A574ED">
      <w:pPr>
        <w:pStyle w:val="Heading5"/>
      </w:pPr>
      <w:bookmarkStart w:id="32" w:name="_Toc348083942"/>
      <w:bookmarkStart w:id="33" w:name="_Ref324496516"/>
      <w:r w:rsidRPr="007A0D28">
        <w:t>Requirement for ≥2 silent MRI lesions</w:t>
      </w:r>
      <w:bookmarkEnd w:id="32"/>
    </w:p>
    <w:p w:rsidR="006C35E6" w:rsidRDefault="006C35E6" w:rsidP="006C35E6">
      <w:r>
        <w:t xml:space="preserve">The population of CIS subjects recruited to the pivotal study all had at least 2 cerebral MRI lesions. Subjects with only one MRI lesion, or no lesion, would be expected to have a lower risk </w:t>
      </w:r>
      <w:r>
        <w:lastRenderedPageBreak/>
        <w:t xml:space="preserve">of developing MS. It is unknown if </w:t>
      </w:r>
      <w:proofErr w:type="spellStart"/>
      <w:r>
        <w:t>Rebif</w:t>
      </w:r>
      <w:proofErr w:type="spellEnd"/>
      <w:r>
        <w:t xml:space="preserve"> is useful in subjects with ≤ 1 lesion, and the PI should reflect this.</w:t>
      </w:r>
    </w:p>
    <w:p w:rsidR="006C35E6" w:rsidRDefault="00A574ED" w:rsidP="00A574ED">
      <w:pPr>
        <w:pStyle w:val="Heading5"/>
      </w:pPr>
      <w:bookmarkStart w:id="34" w:name="_Ref329769050"/>
      <w:bookmarkStart w:id="35" w:name="_Ref329769054"/>
      <w:bookmarkStart w:id="36" w:name="_Toc348083943"/>
      <w:r>
        <w:t>Changes in McDonald c</w:t>
      </w:r>
      <w:r w:rsidR="006C35E6">
        <w:t>riteria from 2005 to 2010</w:t>
      </w:r>
      <w:bookmarkEnd w:id="33"/>
      <w:bookmarkEnd w:id="34"/>
      <w:bookmarkEnd w:id="35"/>
      <w:bookmarkEnd w:id="36"/>
    </w:p>
    <w:p w:rsidR="006C35E6" w:rsidRDefault="006C35E6" w:rsidP="00A574ED">
      <w:r>
        <w:t xml:space="preserve">The McDonald criteria for diagnosing MS were first published in 2001; they have since been revised in 2005 and 2010 (McDonald 2001, </w:t>
      </w:r>
      <w:proofErr w:type="spellStart"/>
      <w:r>
        <w:t>Polman</w:t>
      </w:r>
      <w:proofErr w:type="spellEnd"/>
      <w:r>
        <w:t xml:space="preserve"> 2005, </w:t>
      </w:r>
      <w:proofErr w:type="spellStart"/>
      <w:r>
        <w:t>Polman</w:t>
      </w:r>
      <w:proofErr w:type="spellEnd"/>
      <w:r>
        <w:t xml:space="preserve"> 2011). In the sponsor’s submission and in this report, the term “McDonald MS” refers to the 2005 criteria unless the 2010 criteria are explicitly mentioned.</w:t>
      </w:r>
    </w:p>
    <w:p w:rsidR="006C35E6" w:rsidRDefault="006C35E6" w:rsidP="00A574ED">
      <w:r>
        <w:t>Some patients who would have been considered CIS patients according to old clinical criteria were (quite appropriately) excluded from the REFLEX study on the basis that they could already be diagnosed with MS by the newer MRI-based criteria. In particular, those with MS according to the McDonald 2005 criteria were explicitly excluded – these patients had already reached the primary endpoint.</w:t>
      </w:r>
    </w:p>
    <w:p w:rsidR="006C35E6" w:rsidRDefault="006C35E6" w:rsidP="00A574ED">
      <w:r>
        <w:t>After the study was already underway, further revisions of the McDonald criteria were agreed upon in 2010 and published in 2011 (</w:t>
      </w:r>
      <w:proofErr w:type="spellStart"/>
      <w:r>
        <w:t>Polman</w:t>
      </w:r>
      <w:proofErr w:type="spellEnd"/>
      <w:r>
        <w:t xml:space="preserve"> 2011). Both sets of criteria (2005 and 2010) allow the results of MRI scans to be used for demonstrating dissemination in time (DIT) and dissemination in space (DIS), but the 2010 criteria are more inclusive, implying that some subjects in REFLEX are likely to have had MS at baseline by the new criteria.</w:t>
      </w:r>
    </w:p>
    <w:p w:rsidR="006C35E6" w:rsidRDefault="006C35E6" w:rsidP="00A574ED">
      <w:r>
        <w:t>The key differences for demonstrating DIT are that the 2005 criteria required a contrast-enhancing lesion (Gadolinium-positive [</w:t>
      </w:r>
      <w:proofErr w:type="spellStart"/>
      <w:r>
        <w:t>Gd</w:t>
      </w:r>
      <w:proofErr w:type="spellEnd"/>
      <w:r>
        <w:t>+] lesion) to be present at least 3 months after the initial event (with enhancement implying active inflammation and hence newness), or a new T2 lesion at least one month after the event (with newness demonstrated by comparison with an earlier scan). The 2010 criteria allow DIT to be inferred from any new lesion, regardless of MRI timing, or from a mix of contrast-enhancing and non-enhancin</w:t>
      </w:r>
      <w:r w:rsidR="00A574ED">
        <w:t>g lesions within a single scan.</w:t>
      </w:r>
    </w:p>
    <w:p w:rsidR="006C35E6" w:rsidRDefault="006C35E6" w:rsidP="00A574ED">
      <w:r>
        <w:t xml:space="preserve">For demonstrating DIS, the main difference is that the 2005 criteria required combinations of lesions at various sites, and in most cases multiple lesions (3 </w:t>
      </w:r>
      <w:proofErr w:type="spellStart"/>
      <w:r>
        <w:t>periventricular</w:t>
      </w:r>
      <w:proofErr w:type="spellEnd"/>
      <w:r>
        <w:t xml:space="preserve"> lesions or 9 total lesions); this could be relaxed if a contrast-enhancing lesion was present. The 2010 criteria are much simpler: as long as at least 2 characteristic MS regions are involved (</w:t>
      </w:r>
      <w:proofErr w:type="spellStart"/>
      <w:r>
        <w:t>periventricular</w:t>
      </w:r>
      <w:proofErr w:type="spellEnd"/>
      <w:r>
        <w:t xml:space="preserve">, </w:t>
      </w:r>
      <w:proofErr w:type="spellStart"/>
      <w:r>
        <w:t>juxtacortical</w:t>
      </w:r>
      <w:proofErr w:type="spellEnd"/>
      <w:r>
        <w:t xml:space="preserve">, </w:t>
      </w:r>
      <w:proofErr w:type="spellStart"/>
      <w:r>
        <w:t>infrantentorial</w:t>
      </w:r>
      <w:proofErr w:type="spellEnd"/>
      <w:r>
        <w:t xml:space="preserve"> or spinal cord), a single lesion in each of the 2 involved regions suffices. A patient could therefore be diagnosed with MS from just 2 appropriate lesions.</w:t>
      </w:r>
    </w:p>
    <w:p w:rsidR="006D039F" w:rsidRDefault="006D039F" w:rsidP="00A574ED">
      <w:r>
        <w:t>The 2010 McDonald criteria were established after reviewing all of the literature on the 2005 criteria, and discussion with MS experts around the world (Tables 1-3). They almost certainly represent an improvement over the early criteria. They are even more sensitive in making a diagnosis of MS, without apparent loss of specificity (</w:t>
      </w:r>
      <w:proofErr w:type="spellStart"/>
      <w:r>
        <w:t>Polman</w:t>
      </w:r>
      <w:proofErr w:type="spellEnd"/>
      <w:r>
        <w:t xml:space="preserve"> et al, 2011). Because of this increased sensitivity, however, some patients accepted into the REFLEX study according to the 2005 criteria would have been rejected by the 2010 criteria on the basis that they could already be diagnosed with MS at baseline. In fact, the sponsor has estimated that about 38% of the study cohort already had MS by the 2010 criteria at the time of randomisation. This does not reflect a fault in the study, because the best available diagnostic criteria were used at the time, but it does mean that the target population studied in REFLEX no longer closely reflects the population to whom the new indication would apply, because clinicians will generally work from the new criteria.</w:t>
      </w:r>
    </w:p>
    <w:p w:rsidR="00484387" w:rsidRDefault="006D039F" w:rsidP="00A574ED">
      <w:pPr>
        <w:pStyle w:val="TableTitle"/>
        <w:rPr>
          <w:lang w:val="en-GB"/>
        </w:rPr>
      </w:pPr>
      <w:r>
        <w:br w:type="page"/>
      </w:r>
      <w:proofErr w:type="gramStart"/>
      <w:r w:rsidR="00484387">
        <w:lastRenderedPageBreak/>
        <w:t>Table 1:</w:t>
      </w:r>
      <w:r w:rsidR="00484387" w:rsidRPr="004C5C28">
        <w:t xml:space="preserve"> </w:t>
      </w:r>
      <w:r w:rsidR="00D73362">
        <w:t>Magnetic Resonance Imaging criteria to demonstrate dissemination of lesions in time</w:t>
      </w:r>
      <w:r w:rsidR="00484387">
        <w:t>.</w:t>
      </w:r>
      <w:proofErr w:type="gramEnd"/>
    </w:p>
    <w:p w:rsidR="006C35E6" w:rsidRDefault="00B90934" w:rsidP="00D73362">
      <w:pPr>
        <w:jc w:val="center"/>
        <w:rPr>
          <w:lang w:eastAsia="ja-JP"/>
        </w:rPr>
      </w:pPr>
      <w:r>
        <w:rPr>
          <w:noProof/>
          <w:lang w:eastAsia="en-AU"/>
        </w:rPr>
        <w:drawing>
          <wp:inline distT="0" distB="0" distL="0" distR="0">
            <wp:extent cx="5725160" cy="1931035"/>
            <wp:effectExtent l="19050" t="0" r="8890" b="0"/>
            <wp:docPr id="50" name="Picture 1" descr="Table 1: Magnetic Resonance Imaging criteria to demonstrate dissemination of lesions in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le 1: Magnetic Resonance Imaging criteria to demonstrate dissemination of lesions in time."/>
                    <pic:cNvPicPr>
                      <a:picLocks noChangeAspect="1" noChangeArrowheads="1"/>
                    </pic:cNvPicPr>
                  </pic:nvPicPr>
                  <pic:blipFill>
                    <a:blip r:embed="rId14" cstate="print"/>
                    <a:srcRect/>
                    <a:stretch>
                      <a:fillRect/>
                    </a:stretch>
                  </pic:blipFill>
                  <pic:spPr bwMode="auto">
                    <a:xfrm>
                      <a:off x="0" y="0"/>
                      <a:ext cx="5725160" cy="1931035"/>
                    </a:xfrm>
                    <a:prstGeom prst="rect">
                      <a:avLst/>
                    </a:prstGeom>
                    <a:noFill/>
                    <a:ln w="9525">
                      <a:noFill/>
                      <a:miter lim="800000"/>
                      <a:headEnd/>
                      <a:tailEnd/>
                    </a:ln>
                  </pic:spPr>
                </pic:pic>
              </a:graphicData>
            </a:graphic>
          </wp:inline>
        </w:drawing>
      </w:r>
    </w:p>
    <w:p w:rsidR="007A62CC" w:rsidRPr="00A574ED" w:rsidRDefault="007A62CC" w:rsidP="00A574ED">
      <w:pPr>
        <w:pStyle w:val="TableTitle"/>
      </w:pPr>
      <w:proofErr w:type="gramStart"/>
      <w:r w:rsidRPr="00A574ED">
        <w:t xml:space="preserve">Table 2: </w:t>
      </w:r>
      <w:r w:rsidR="00D73362" w:rsidRPr="00A574ED">
        <w:t>Magnetic Resonance Imaging criteria to demonstrate brain abnormality and demonstration of dissemination in space</w:t>
      </w:r>
      <w:r w:rsidRPr="00A574ED">
        <w:t>.</w:t>
      </w:r>
      <w:proofErr w:type="gramEnd"/>
    </w:p>
    <w:p w:rsidR="007A62CC" w:rsidRDefault="00B90934" w:rsidP="00D73362">
      <w:pPr>
        <w:jc w:val="center"/>
        <w:rPr>
          <w:lang w:eastAsia="ja-JP"/>
        </w:rPr>
      </w:pPr>
      <w:r>
        <w:rPr>
          <w:noProof/>
          <w:lang w:eastAsia="en-AU"/>
        </w:rPr>
        <w:drawing>
          <wp:inline distT="0" distB="0" distL="0" distR="0">
            <wp:extent cx="5732145" cy="2484120"/>
            <wp:effectExtent l="19050" t="0" r="1905" b="0"/>
            <wp:docPr id="2" name="Picture 2" descr="Table 2: Magnetic Resonance Imaging criteria to demonstrate brain abnormality and demonstration of dissemination i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le 2: Magnetic Resonance Imaging criteria to demonstrate brain abnormality and demonstration of dissemination in space."/>
                    <pic:cNvPicPr>
                      <a:picLocks noChangeAspect="1" noChangeArrowheads="1"/>
                    </pic:cNvPicPr>
                  </pic:nvPicPr>
                  <pic:blipFill>
                    <a:blip r:embed="rId15" cstate="print"/>
                    <a:srcRect/>
                    <a:stretch>
                      <a:fillRect/>
                    </a:stretch>
                  </pic:blipFill>
                  <pic:spPr bwMode="auto">
                    <a:xfrm>
                      <a:off x="0" y="0"/>
                      <a:ext cx="5732145" cy="2484120"/>
                    </a:xfrm>
                    <a:prstGeom prst="rect">
                      <a:avLst/>
                    </a:prstGeom>
                    <a:noFill/>
                    <a:ln w="9525">
                      <a:noFill/>
                      <a:miter lim="800000"/>
                      <a:headEnd/>
                      <a:tailEnd/>
                    </a:ln>
                  </pic:spPr>
                </pic:pic>
              </a:graphicData>
            </a:graphic>
          </wp:inline>
        </w:drawing>
      </w:r>
    </w:p>
    <w:p w:rsidR="007A62CC" w:rsidRDefault="007A62CC" w:rsidP="00A574ED">
      <w:pPr>
        <w:pStyle w:val="TableTitle"/>
        <w:rPr>
          <w:lang w:val="en-GB"/>
        </w:rPr>
      </w:pPr>
      <w:r>
        <w:t>Table 3:</w:t>
      </w:r>
      <w:r w:rsidRPr="004C5C28">
        <w:t xml:space="preserve"> </w:t>
      </w:r>
      <w:r w:rsidR="00DD5E7C">
        <w:t>2010 McDonald MRI criteria for demonstration of DIS (left) and for demonstration for DIT (right)</w:t>
      </w:r>
      <w:r>
        <w:t>.</w:t>
      </w:r>
    </w:p>
    <w:p w:rsidR="007A62CC" w:rsidRDefault="00B90934" w:rsidP="00D142F9">
      <w:pPr>
        <w:jc w:val="center"/>
        <w:rPr>
          <w:lang w:eastAsia="ja-JP"/>
        </w:rPr>
      </w:pPr>
      <w:r>
        <w:rPr>
          <w:noProof/>
          <w:lang w:eastAsia="en-AU"/>
        </w:rPr>
        <w:drawing>
          <wp:inline distT="0" distB="0" distL="0" distR="0">
            <wp:extent cx="5725160" cy="2218055"/>
            <wp:effectExtent l="19050" t="0" r="8890" b="0"/>
            <wp:docPr id="1" name="Picture 3" descr="Table 3: 2010 McDonald MRI criteria for demonstration of DIS (left) and for demonstration for DIT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e 3: 2010 McDonald MRI criteria for demonstration of DIS (left) and for demonstration for DIT (right)."/>
                    <pic:cNvPicPr>
                      <a:picLocks noChangeAspect="1" noChangeArrowheads="1"/>
                    </pic:cNvPicPr>
                  </pic:nvPicPr>
                  <pic:blipFill>
                    <a:blip r:embed="rId16" cstate="print"/>
                    <a:srcRect/>
                    <a:stretch>
                      <a:fillRect/>
                    </a:stretch>
                  </pic:blipFill>
                  <pic:spPr bwMode="auto">
                    <a:xfrm>
                      <a:off x="0" y="0"/>
                      <a:ext cx="5725160" cy="2218055"/>
                    </a:xfrm>
                    <a:prstGeom prst="rect">
                      <a:avLst/>
                    </a:prstGeom>
                    <a:noFill/>
                    <a:ln w="9525">
                      <a:noFill/>
                      <a:miter lim="800000"/>
                      <a:headEnd/>
                      <a:tailEnd/>
                    </a:ln>
                  </pic:spPr>
                </pic:pic>
              </a:graphicData>
            </a:graphic>
          </wp:inline>
        </w:drawing>
      </w:r>
    </w:p>
    <w:p w:rsidR="00FE7615" w:rsidRDefault="00FE7615" w:rsidP="00FE7615">
      <w:r>
        <w:t xml:space="preserve">Importantly, the same logic is likely to apply to the other </w:t>
      </w:r>
      <w:proofErr w:type="spellStart"/>
      <w:r>
        <w:t>interferons</w:t>
      </w:r>
      <w:proofErr w:type="spellEnd"/>
      <w:r>
        <w:t xml:space="preserve">, which were registered for the CIS indication using old diagnostic criteria, so this is not a problem with </w:t>
      </w:r>
      <w:proofErr w:type="spellStart"/>
      <w:r>
        <w:t>Rebif</w:t>
      </w:r>
      <w:proofErr w:type="spellEnd"/>
      <w:r>
        <w:t xml:space="preserve"> in particular. Also, it confirms the notion that CIS and MS lie on a spectrum and that the distinction between them is somewhat arbitrary and prone to diagnostic shift – in which case, it is even more appropriate to treat CIS patients with medica</w:t>
      </w:r>
      <w:r w:rsidR="00A574ED">
        <w:t>tions known to be useful in MS.</w:t>
      </w:r>
    </w:p>
    <w:p w:rsidR="00FE7615" w:rsidRDefault="00FE7615" w:rsidP="00FE7615">
      <w:r>
        <w:lastRenderedPageBreak/>
        <w:t xml:space="preserve">From a purist perspective, though, the recent changes in the diagnostic criteria for MS (and hence for CIS) weaken the sponsor’s submission. It is already accepted that </w:t>
      </w:r>
      <w:proofErr w:type="spellStart"/>
      <w:r>
        <w:t>Rebif</w:t>
      </w:r>
      <w:proofErr w:type="spellEnd"/>
      <w:r>
        <w:t xml:space="preserve"> is effective in MS; if 38% of the purported CIS population in the pivotal study actually had MS at baseline (by 2010 criteria), then the apparent finding of efficacy in CIS could have come, in part, from the </w:t>
      </w:r>
      <w:r w:rsidR="00C97E6A">
        <w:t xml:space="preserve">inclusion of MS patients in the </w:t>
      </w:r>
      <w:r>
        <w:t xml:space="preserve">CIS study cohort. These patients would already be eligible for </w:t>
      </w:r>
      <w:proofErr w:type="spellStart"/>
      <w:r>
        <w:t>Rebif</w:t>
      </w:r>
      <w:proofErr w:type="spellEnd"/>
      <w:r>
        <w:t xml:space="preserve"> treatment under existing indications, and would not need the new CIS indication. The relevant question is whether the remaining 62% of patients also stand to benefit from </w:t>
      </w:r>
      <w:proofErr w:type="spellStart"/>
      <w:r>
        <w:t>Rebif</w:t>
      </w:r>
      <w:proofErr w:type="spellEnd"/>
      <w:r>
        <w:t>. This question could be addressed by a suitable sub-group analysis, but no such analysis was submitted.</w:t>
      </w:r>
      <w:r w:rsidR="003C17AA">
        <w:rPr>
          <w:rStyle w:val="FootnoteReference"/>
        </w:rPr>
        <w:footnoteReference w:id="1"/>
      </w:r>
    </w:p>
    <w:p w:rsidR="00FE7615" w:rsidRDefault="00A574ED" w:rsidP="003C17AA">
      <w:pPr>
        <w:pStyle w:val="Heading5"/>
      </w:pPr>
      <w:bookmarkStart w:id="37" w:name="_Toc348083944"/>
      <w:r>
        <w:t>MRI of the s</w:t>
      </w:r>
      <w:r w:rsidR="00FE7615">
        <w:t xml:space="preserve">pinal </w:t>
      </w:r>
      <w:r>
        <w:t>c</w:t>
      </w:r>
      <w:r w:rsidR="00FE7615">
        <w:t>ord</w:t>
      </w:r>
      <w:bookmarkEnd w:id="37"/>
    </w:p>
    <w:p w:rsidR="00FE7615" w:rsidRDefault="00FE7615" w:rsidP="00FE7615">
      <w:r>
        <w:t>The submission made frequent reference to “MRI” without specifying what was scanned. In most cases, context made it clear that a cerebral MRI was performed but it remained unclear if a spinal MRI was also performed. The diagnosis of McDonald MS (by either 2005 or 2010 criteria) can be made by including spinal cord lesions, so it seems likely that all subjects had a spinal cord MRI at baseline and at regular intervals afterwards, along with their cerebral MRI; the sponsor should be asked to confirm this.</w:t>
      </w:r>
      <w:r w:rsidR="003C17AA">
        <w:rPr>
          <w:rStyle w:val="FootnoteReference"/>
        </w:rPr>
        <w:footnoteReference w:id="2"/>
      </w:r>
    </w:p>
    <w:p w:rsidR="00FE7615" w:rsidRPr="004B259C" w:rsidRDefault="00FE7615" w:rsidP="003C17AA">
      <w:pPr>
        <w:pStyle w:val="Heading4"/>
      </w:pPr>
      <w:bookmarkStart w:id="38" w:name="_Toc348083945"/>
      <w:r w:rsidRPr="004B259C">
        <w:t>Study treatments</w:t>
      </w:r>
      <w:bookmarkEnd w:id="38"/>
    </w:p>
    <w:p w:rsidR="00FE7615" w:rsidRDefault="00FE7615" w:rsidP="003C17AA">
      <w:pPr>
        <w:pStyle w:val="ListBullet"/>
      </w:pPr>
      <w:proofErr w:type="spellStart"/>
      <w:r>
        <w:t>Rebif</w:t>
      </w:r>
      <w:proofErr w:type="spellEnd"/>
      <w:r>
        <w:t xml:space="preserve"> 44</w:t>
      </w:r>
      <w:r w:rsidR="00DB22EB">
        <w:t xml:space="preserve"> µg</w:t>
      </w:r>
      <w:r>
        <w:t xml:space="preserve"> subcutaneously three times weekly</w:t>
      </w:r>
    </w:p>
    <w:p w:rsidR="00FE7615" w:rsidRDefault="00FE7615" w:rsidP="003C17AA">
      <w:pPr>
        <w:pStyle w:val="ListBullet"/>
      </w:pPr>
      <w:proofErr w:type="spellStart"/>
      <w:r>
        <w:t>Rebif</w:t>
      </w:r>
      <w:proofErr w:type="spellEnd"/>
      <w:r>
        <w:t xml:space="preserve"> 44</w:t>
      </w:r>
      <w:r w:rsidR="00DB22EB">
        <w:t xml:space="preserve"> µg</w:t>
      </w:r>
      <w:r w:rsidR="00A574ED">
        <w:t xml:space="preserve"> subcutaneously once weekly</w:t>
      </w:r>
    </w:p>
    <w:p w:rsidR="00FE7615" w:rsidRDefault="00FE7615" w:rsidP="003C17AA">
      <w:pPr>
        <w:pStyle w:val="ListBullet"/>
      </w:pPr>
      <w:r>
        <w:t>Placebo</w:t>
      </w:r>
    </w:p>
    <w:p w:rsidR="00FE7615" w:rsidRDefault="00FE7615" w:rsidP="00FE7615">
      <w:pPr>
        <w:autoSpaceDE w:val="0"/>
        <w:autoSpaceDN w:val="0"/>
        <w:adjustRightInd w:val="0"/>
      </w:pPr>
      <w:r>
        <w:t xml:space="preserve">Appropriate placebo injections were employed in the placebo group and the once-weekly </w:t>
      </w:r>
      <w:proofErr w:type="spellStart"/>
      <w:r>
        <w:t>Rebif</w:t>
      </w:r>
      <w:proofErr w:type="spellEnd"/>
      <w:r>
        <w:t xml:space="preserve"> group in an attempt to maintain blinding. After the development of CDMS, patients switched to standard, open-label </w:t>
      </w:r>
      <w:proofErr w:type="spellStart"/>
      <w:r>
        <w:t>Rebif</w:t>
      </w:r>
      <w:proofErr w:type="spellEnd"/>
      <w:r>
        <w:t xml:space="preserve"> 44</w:t>
      </w:r>
      <w:r w:rsidR="00DB22EB" w:rsidRPr="00DB22EB">
        <w:t xml:space="preserve"> </w:t>
      </w:r>
      <w:r w:rsidR="00DB22EB">
        <w:t>µg</w:t>
      </w:r>
      <w:r>
        <w:t xml:space="preserve"> </w:t>
      </w:r>
      <w:proofErr w:type="spellStart"/>
      <w:r>
        <w:t>tiw</w:t>
      </w:r>
      <w:proofErr w:type="spellEnd"/>
      <w:r>
        <w:t>, while keeping their initial treatment blinded.</w:t>
      </w:r>
    </w:p>
    <w:p w:rsidR="00FE7615" w:rsidRDefault="00FE7615" w:rsidP="00FE7615">
      <w:pPr>
        <w:autoSpaceDE w:val="0"/>
        <w:autoSpaceDN w:val="0"/>
        <w:adjustRightInd w:val="0"/>
      </w:pPr>
      <w:r>
        <w:t>In the active groups, patients received 20% of the full dose for 2 weeks, 50% for the next 2 weeks, and the full dose for the remainder of the study. This is a fairly standard approach aimed at improving tolerance.</w:t>
      </w:r>
    </w:p>
    <w:p w:rsidR="00FE7615" w:rsidRDefault="00FE7615" w:rsidP="00FE7615">
      <w:pPr>
        <w:autoSpaceDE w:val="0"/>
        <w:autoSpaceDN w:val="0"/>
        <w:adjustRightInd w:val="0"/>
      </w:pPr>
      <w:r>
        <w:t xml:space="preserve">Patients were also advised to take ibuprofen (400 mg) or paracetamol (1000 mg) </w:t>
      </w:r>
      <w:proofErr w:type="spellStart"/>
      <w:r>
        <w:t>prophylactically</w:t>
      </w:r>
      <w:proofErr w:type="spellEnd"/>
      <w:r>
        <w:t xml:space="preserve"> with each injection during the first 12 weeks of treatment, to minimise flu-like symptoms.</w:t>
      </w:r>
    </w:p>
    <w:p w:rsidR="00FE7615" w:rsidRDefault="00FE7615" w:rsidP="00FE7615">
      <w:pPr>
        <w:autoSpaceDE w:val="0"/>
        <w:autoSpaceDN w:val="0"/>
        <w:adjustRightInd w:val="0"/>
      </w:pPr>
      <w:r>
        <w:t>Short courses of corticosteroid treatment for MS relapses were permitted at the discretion of the treating physician.</w:t>
      </w:r>
    </w:p>
    <w:p w:rsidR="00FE7615" w:rsidRPr="004B259C" w:rsidRDefault="00FE7615" w:rsidP="003C17AA">
      <w:pPr>
        <w:pStyle w:val="Heading4"/>
      </w:pPr>
      <w:bookmarkStart w:id="39" w:name="_Toc348083946"/>
      <w:r w:rsidRPr="004B259C">
        <w:t>Efficacy variables and outcomes</w:t>
      </w:r>
      <w:bookmarkEnd w:id="39"/>
    </w:p>
    <w:p w:rsidR="00FE7615" w:rsidRDefault="00FE7615" w:rsidP="00FE7615">
      <w:r w:rsidRPr="004B259C">
        <w:t xml:space="preserve">The </w:t>
      </w:r>
      <w:r>
        <w:t>primary efficacy variable was the time to diagnosis of MS</w:t>
      </w:r>
      <w:r w:rsidR="00A574ED">
        <w:t xml:space="preserve"> by the McDonald 2005 criteria.</w:t>
      </w:r>
    </w:p>
    <w:p w:rsidR="00FE7615" w:rsidRPr="004B259C" w:rsidRDefault="00FE7615" w:rsidP="00FE7615">
      <w:pPr>
        <w:pStyle w:val="Bullet1"/>
        <w:numPr>
          <w:ilvl w:val="0"/>
          <w:numId w:val="0"/>
        </w:numPr>
        <w:ind w:left="284" w:hanging="284"/>
      </w:pPr>
      <w:r>
        <w:t>Additional major efficacy variables were:</w:t>
      </w:r>
    </w:p>
    <w:p w:rsidR="00FE7615" w:rsidRPr="004B259C" w:rsidRDefault="00A55A25" w:rsidP="003C17AA">
      <w:pPr>
        <w:pStyle w:val="ListBullet"/>
      </w:pPr>
      <w:r>
        <w:rPr>
          <w:b/>
        </w:rPr>
        <w:t>Main S</w:t>
      </w:r>
      <w:r w:rsidR="00FE7615" w:rsidRPr="00AD11A4">
        <w:rPr>
          <w:b/>
        </w:rPr>
        <w:t xml:space="preserve">econdary </w:t>
      </w:r>
      <w:r>
        <w:rPr>
          <w:b/>
        </w:rPr>
        <w:t>E</w:t>
      </w:r>
      <w:r w:rsidR="00FE7615" w:rsidRPr="00AD11A4">
        <w:rPr>
          <w:b/>
        </w:rPr>
        <w:t>ndpoint:</w:t>
      </w:r>
      <w:r w:rsidR="00FE7615">
        <w:t xml:space="preserve"> Diagnosis of clinically definite MS (CDMS). This requires a second clinical event at a new CNS location, rather than accepting MRI lesions as evidence of disease activity.</w:t>
      </w:r>
    </w:p>
    <w:p w:rsidR="00FE7615" w:rsidRDefault="00FE7615" w:rsidP="003C17AA">
      <w:pPr>
        <w:pStyle w:val="ListBullet"/>
      </w:pPr>
      <w:r w:rsidRPr="00AD11A4">
        <w:rPr>
          <w:b/>
        </w:rPr>
        <w:t>Main MRI-based Secondary Endpoint:</w:t>
      </w:r>
      <w:r>
        <w:t xml:space="preserve"> Number of combined unique active lesions (CUA lesions) on MRI. This is the combination of new or enhancing lesions on the MRI, per patient per scan, during double-blind treatment.</w:t>
      </w:r>
    </w:p>
    <w:p w:rsidR="00FE7615" w:rsidRPr="004B259C" w:rsidRDefault="00FE7615" w:rsidP="00FE7615">
      <w:r>
        <w:lastRenderedPageBreak/>
        <w:t xml:space="preserve">As discussed above, the McDonald criteria require demonstration of dissemination in space and time using a mix of clinical and MRI criteria. If a patient developed MS by having a second clinical event, they could be diagnosed with MS by the McDonald 2005 criteria and they could also be diagnosed with CDMS, reaching two main study endpoints at once. If they developed MS by satisfying an MRI criterion but not a clinical one, they reached the primary study endpoint but not </w:t>
      </w:r>
      <w:r w:rsidR="00A55A25">
        <w:t>the secondary endpoint of CDMS.</w:t>
      </w:r>
    </w:p>
    <w:p w:rsidR="00FE7615" w:rsidRDefault="00FE7615" w:rsidP="00FE7615">
      <w:r w:rsidRPr="004B259C">
        <w:t>The</w:t>
      </w:r>
      <w:r>
        <w:t xml:space="preserve"> primary efficacy outcome was the time to McDonald MS for the high-dose group </w:t>
      </w:r>
      <w:proofErr w:type="spellStart"/>
      <w:r>
        <w:t>vs</w:t>
      </w:r>
      <w:proofErr w:type="spellEnd"/>
      <w:r>
        <w:t xml:space="preserve"> placebo, using a log-rank test in the intent-to-treat (ITT) population. Given that there were </w:t>
      </w:r>
      <w:r w:rsidRPr="00BA1DED">
        <w:rPr>
          <w:i/>
        </w:rPr>
        <w:t>three</w:t>
      </w:r>
      <w:r>
        <w:t xml:space="preserve"> main efficacy variables (time to McDonald MS, time to CDMS and number of CUA lesions) and </w:t>
      </w:r>
      <w:r w:rsidRPr="00BA1DED">
        <w:rPr>
          <w:i/>
        </w:rPr>
        <w:t>two</w:t>
      </w:r>
      <w:r>
        <w:t xml:space="preserve"> active groups (high-dose and low-dose), a total of </w:t>
      </w:r>
      <w:r w:rsidRPr="00BA1DED">
        <w:rPr>
          <w:i/>
        </w:rPr>
        <w:t>six</w:t>
      </w:r>
      <w:r>
        <w:t xml:space="preserve"> major endpoints were examined in a hierarchical fashion: time to McDonald MS, time to CDMS, and number of CUA lesions for the high-dose group </w:t>
      </w:r>
      <w:proofErr w:type="spellStart"/>
      <w:r>
        <w:t>vs</w:t>
      </w:r>
      <w:proofErr w:type="spellEnd"/>
      <w:r>
        <w:t xml:space="preserve"> placebo, and then the same three endpoints for the low-dose group </w:t>
      </w:r>
      <w:proofErr w:type="spellStart"/>
      <w:r>
        <w:t>vs</w:t>
      </w:r>
      <w:proofErr w:type="spellEnd"/>
      <w:r>
        <w:t xml:space="preserve"> placebo. Lower-ranked endpoints in the hierarchy were only considered positive if the previous endpoints had achieved significance. This approach corrects for the </w:t>
      </w:r>
      <w:r w:rsidR="00A55A25">
        <w:t>presence of multiple endpoints.</w:t>
      </w:r>
    </w:p>
    <w:p w:rsidR="00FE7615" w:rsidRPr="004B259C" w:rsidRDefault="00FE7615" w:rsidP="00FE7615">
      <w:r w:rsidRPr="004B259C">
        <w:t xml:space="preserve">Other efficacy outcomes </w:t>
      </w:r>
      <w:r>
        <w:t>included</w:t>
      </w:r>
      <w:r w:rsidRPr="004B259C">
        <w:t>:</w:t>
      </w:r>
    </w:p>
    <w:p w:rsidR="00FE7615" w:rsidRPr="00A55A25" w:rsidRDefault="00FE7615" w:rsidP="00A55A25">
      <w:pPr>
        <w:pStyle w:val="ListBullet"/>
      </w:pPr>
      <w:r w:rsidRPr="00A55A25">
        <w:t>Other MRI-based lesion counts and lesion volumes</w:t>
      </w:r>
    </w:p>
    <w:p w:rsidR="00FE7615" w:rsidRPr="00A55A25" w:rsidRDefault="00FE7615" w:rsidP="00A55A25">
      <w:pPr>
        <w:pStyle w:val="ListBullet"/>
      </w:pPr>
      <w:r w:rsidRPr="00A55A25">
        <w:t>Annualised relapse rate</w:t>
      </w:r>
    </w:p>
    <w:p w:rsidR="00FE7615" w:rsidRPr="00A55A25" w:rsidRDefault="00FE7615" w:rsidP="00A55A25">
      <w:pPr>
        <w:pStyle w:val="ListBullet"/>
      </w:pPr>
      <w:r w:rsidRPr="00A55A25">
        <w:t>Proportion of subjects relapse-free</w:t>
      </w:r>
    </w:p>
    <w:p w:rsidR="00FE7615" w:rsidRPr="00A55A25" w:rsidRDefault="00FE7615" w:rsidP="00A55A25">
      <w:pPr>
        <w:pStyle w:val="ListBullet"/>
      </w:pPr>
      <w:r w:rsidRPr="00A55A25">
        <w:t xml:space="preserve">Change in </w:t>
      </w:r>
      <w:r w:rsidR="006D039F" w:rsidRPr="00A55A25">
        <w:t>EDSS</w:t>
      </w:r>
    </w:p>
    <w:p w:rsidR="00FE7615" w:rsidRPr="00A55A25" w:rsidRDefault="00FE7615" w:rsidP="00A55A25">
      <w:pPr>
        <w:pStyle w:val="ListBullet"/>
      </w:pPr>
      <w:r w:rsidRPr="00A55A25">
        <w:t>Change in MS Functional Composite (MSFC) and its components (Paced Auditory Serial Addition Test [PASAT], timed 25-foot walk, 9-hole peg test)</w:t>
      </w:r>
    </w:p>
    <w:p w:rsidR="00FE7615" w:rsidRPr="00A55A25" w:rsidRDefault="00FE7615" w:rsidP="00A55A25">
      <w:pPr>
        <w:pStyle w:val="ListBullet"/>
      </w:pPr>
      <w:r w:rsidRPr="00A55A25">
        <w:t>Mean improvement from baseline in the EQ-5D quality of life assessments</w:t>
      </w:r>
    </w:p>
    <w:p w:rsidR="00FE7615" w:rsidRPr="004B259C" w:rsidRDefault="00FE7615" w:rsidP="003C17AA">
      <w:pPr>
        <w:pStyle w:val="Heading4"/>
      </w:pPr>
      <w:bookmarkStart w:id="40" w:name="_Toc348083947"/>
      <w:r>
        <w:t>Randomisation and blinding</w:t>
      </w:r>
      <w:bookmarkEnd w:id="40"/>
    </w:p>
    <w:p w:rsidR="00FE7615" w:rsidRDefault="00FE7615" w:rsidP="00FE7615">
      <w:r>
        <w:t>Randomisation to the three treatment arms was performed on a 1:1:1 basis with stratification for four fac</w:t>
      </w:r>
      <w:r w:rsidR="00A55A25">
        <w:t>tors known to affect prognosis:</w:t>
      </w:r>
    </w:p>
    <w:p w:rsidR="00FE7615" w:rsidRPr="00EA1089" w:rsidRDefault="00FE7615" w:rsidP="003C17AA">
      <w:pPr>
        <w:pStyle w:val="ListBullet"/>
      </w:pPr>
      <w:r w:rsidRPr="00EA1089">
        <w:t xml:space="preserve">Age (&lt; 30 years, </w:t>
      </w:r>
      <w:r>
        <w:rPr>
          <w:rFonts w:cs="Cambria"/>
        </w:rPr>
        <w:t>≥</w:t>
      </w:r>
      <w:r w:rsidRPr="00EA1089">
        <w:rPr>
          <w:rFonts w:cs="Cambria"/>
        </w:rPr>
        <w:t xml:space="preserve"> 30 years)</w:t>
      </w:r>
    </w:p>
    <w:p w:rsidR="00FE7615" w:rsidRPr="00EA1089" w:rsidRDefault="00FE7615" w:rsidP="003C17AA">
      <w:pPr>
        <w:pStyle w:val="ListBullet"/>
      </w:pPr>
      <w:r w:rsidRPr="00EA1089">
        <w:t xml:space="preserve">Classification of first clinical </w:t>
      </w:r>
      <w:proofErr w:type="spellStart"/>
      <w:r w:rsidRPr="00EA1089">
        <w:t>demyelinating</w:t>
      </w:r>
      <w:proofErr w:type="spellEnd"/>
      <w:r w:rsidRPr="00EA1089">
        <w:t xml:space="preserve"> event (</w:t>
      </w:r>
      <w:proofErr w:type="spellStart"/>
      <w:r w:rsidRPr="00EA1089">
        <w:t>monofocal</w:t>
      </w:r>
      <w:proofErr w:type="spellEnd"/>
      <w:r w:rsidRPr="00EA1089">
        <w:t>, multifocal)</w:t>
      </w:r>
    </w:p>
    <w:p w:rsidR="00FE7615" w:rsidRPr="00EA1089" w:rsidRDefault="00FE7615" w:rsidP="003C17AA">
      <w:pPr>
        <w:pStyle w:val="ListBullet"/>
      </w:pPr>
      <w:r w:rsidRPr="00EA1089">
        <w:t xml:space="preserve">Steroid use at first clinical </w:t>
      </w:r>
      <w:proofErr w:type="spellStart"/>
      <w:r w:rsidRPr="00EA1089">
        <w:t>demyelinating</w:t>
      </w:r>
      <w:proofErr w:type="spellEnd"/>
      <w:r w:rsidRPr="00EA1089">
        <w:t xml:space="preserve"> event (yes, no)</w:t>
      </w:r>
    </w:p>
    <w:p w:rsidR="00FE7615" w:rsidRDefault="00FE7615" w:rsidP="003C17AA">
      <w:pPr>
        <w:pStyle w:val="ListBullet"/>
      </w:pPr>
      <w:r w:rsidRPr="00EA1089">
        <w:t xml:space="preserve">Presence of at least 1 Gadolinium-enhancing lesion </w:t>
      </w:r>
      <w:r>
        <w:t xml:space="preserve">at baseline </w:t>
      </w:r>
      <w:r w:rsidRPr="00EA1089">
        <w:t>(yes, no)</w:t>
      </w:r>
    </w:p>
    <w:p w:rsidR="00FE7615" w:rsidRDefault="00FE7615" w:rsidP="00FE7615">
      <w:r>
        <w:t>Blinding in this study was threatened by the occurrence of characteristic</w:t>
      </w:r>
      <w:r w:rsidR="00DF1064">
        <w:t xml:space="preserve"> </w:t>
      </w:r>
      <w:proofErr w:type="spellStart"/>
      <w:r w:rsidR="00DF1064">
        <w:t>Rebif</w:t>
      </w:r>
      <w:proofErr w:type="spellEnd"/>
      <w:r w:rsidR="00DF1064">
        <w:t xml:space="preserve"> side effects, including </w:t>
      </w:r>
      <w:r>
        <w:t xml:space="preserve">flu-like symptoms and injection-site reactions. An attempt was made to preserve blinding by using an independent, blinded “evaluating” physician who performed neurological exams but was not involved in patient care, an independent, blinded Adjudication Committee who assessed conversions to McDonald MS and to CDMS, and a central </w:t>
      </w:r>
      <w:proofErr w:type="spellStart"/>
      <w:r>
        <w:t>neuroradiology</w:t>
      </w:r>
      <w:proofErr w:type="spellEnd"/>
      <w:r>
        <w:t xml:space="preserve"> centre, blinded to treatment, who assessed all MRI scans.</w:t>
      </w:r>
      <w:r w:rsidR="00B056CA">
        <w:t xml:space="preserve"> </w:t>
      </w:r>
      <w:r>
        <w:t>Neurological examinations were performed with</w:t>
      </w:r>
      <w:r w:rsidR="00EF5C33">
        <w:t xml:space="preserve"> the injection sites covered. Th</w:t>
      </w:r>
      <w:r>
        <w:t>e treating physician viewed clinical laboratory results and assessed AEs, but did not adjudicate on any if th</w:t>
      </w:r>
      <w:r w:rsidR="00A55A25">
        <w:t>e important efficacy endpoints.</w:t>
      </w:r>
    </w:p>
    <w:p w:rsidR="00FE7615" w:rsidRDefault="00FE7615" w:rsidP="00FE7615">
      <w:r>
        <w:t xml:space="preserve">This design minimised the risk of </w:t>
      </w:r>
      <w:proofErr w:type="spellStart"/>
      <w:r>
        <w:t>unblinding</w:t>
      </w:r>
      <w:proofErr w:type="spellEnd"/>
      <w:r>
        <w:t xml:space="preserve">, but it should be noted that the sponsor did not perform any formal assessment of </w:t>
      </w:r>
      <w:proofErr w:type="spellStart"/>
      <w:r>
        <w:t>unblinding</w:t>
      </w:r>
      <w:proofErr w:type="spellEnd"/>
      <w:r>
        <w:t>, such as asking physicians to guess the patient’s treatment group or repeating the efficacy analysis in the subgroup of subjects without telltale side effects.</w:t>
      </w:r>
    </w:p>
    <w:p w:rsidR="00FE7615" w:rsidRDefault="00FE7615" w:rsidP="003C17AA">
      <w:pPr>
        <w:pStyle w:val="Heading4"/>
      </w:pPr>
      <w:bookmarkStart w:id="41" w:name="_Toc348083948"/>
      <w:r>
        <w:lastRenderedPageBreak/>
        <w:t>Analysis populations</w:t>
      </w:r>
      <w:bookmarkEnd w:id="41"/>
    </w:p>
    <w:p w:rsidR="00FE7615" w:rsidRPr="002153BF" w:rsidRDefault="00FE7615" w:rsidP="00FE7615">
      <w:pPr>
        <w:autoSpaceDE w:val="0"/>
        <w:autoSpaceDN w:val="0"/>
        <w:adjustRightInd w:val="0"/>
      </w:pPr>
      <w:r w:rsidRPr="002153BF">
        <w:t>The primary analysis population was the intent-to-treat (ITT) population, which included all randomised subjects (n=517). The sponsor repeated all major analyses on the per-protocol (PP) population, which consisted of all randomised subjects who did not have any major protocol deviations likely to interfere with assessment of the primary efficacy endpoint (conversion to McDonald MS) (n=458).</w:t>
      </w:r>
    </w:p>
    <w:p w:rsidR="00FE7615" w:rsidRPr="004B259C" w:rsidDel="0081373E" w:rsidRDefault="00FE7615" w:rsidP="003C17AA">
      <w:pPr>
        <w:pStyle w:val="Heading4"/>
      </w:pPr>
      <w:bookmarkStart w:id="42" w:name="_Toc348083949"/>
      <w:r w:rsidRPr="004B259C" w:rsidDel="0081373E">
        <w:t>Sample size</w:t>
      </w:r>
      <w:bookmarkEnd w:id="42"/>
    </w:p>
    <w:p w:rsidR="00FE7615" w:rsidRDefault="00FE7615" w:rsidP="00FE7615">
      <w:r>
        <w:t>Sample size requirements were based on observations of the BENEFIT study (</w:t>
      </w:r>
      <w:proofErr w:type="spellStart"/>
      <w:r>
        <w:t>Kappos</w:t>
      </w:r>
      <w:proofErr w:type="spellEnd"/>
      <w:r>
        <w:t xml:space="preserve"> et al, 2006), in which a similar population of CIS subjects were treated with </w:t>
      </w:r>
      <w:r w:rsidR="00A55A25">
        <w:t>interferon beta-1b (</w:t>
      </w:r>
      <w:proofErr w:type="spellStart"/>
      <w:r w:rsidR="00A55A25">
        <w:t>Betaferon</w:t>
      </w:r>
      <w:proofErr w:type="spellEnd"/>
      <w:r w:rsidR="00A55A25">
        <w:t>).</w:t>
      </w:r>
    </w:p>
    <w:p w:rsidR="00FE7615" w:rsidRDefault="00FE7615" w:rsidP="00FE7615">
      <w:pPr>
        <w:rPr>
          <w:rFonts w:eastAsia="TimesNewRoman"/>
        </w:rPr>
      </w:pPr>
      <w:r w:rsidRPr="00BC4145">
        <w:rPr>
          <w:rFonts w:eastAsia="TimesNewRoman"/>
        </w:rPr>
        <w:t xml:space="preserve">It was estimated that a total of 450 subjects </w:t>
      </w:r>
      <w:r>
        <w:rPr>
          <w:rFonts w:eastAsia="TimesNewRoman"/>
        </w:rPr>
        <w:t>(150 per treatment group)</w:t>
      </w:r>
      <w:r w:rsidRPr="00BC4145">
        <w:rPr>
          <w:rFonts w:eastAsia="TimesNewRoman"/>
        </w:rPr>
        <w:t xml:space="preserve"> would </w:t>
      </w:r>
      <w:r>
        <w:rPr>
          <w:rFonts w:eastAsia="TimesNewRoman"/>
        </w:rPr>
        <w:t>produce ~</w:t>
      </w:r>
      <w:r w:rsidRPr="00BC4145">
        <w:rPr>
          <w:rFonts w:eastAsia="TimesNewRoman"/>
        </w:rPr>
        <w:t>165 events</w:t>
      </w:r>
      <w:r>
        <w:rPr>
          <w:rFonts w:eastAsia="TimesNewRoman"/>
        </w:rPr>
        <w:t xml:space="preserve"> </w:t>
      </w:r>
      <w:r w:rsidRPr="00BC4145">
        <w:rPr>
          <w:rFonts w:eastAsia="TimesNewRoman"/>
        </w:rPr>
        <w:t>(McDonald conversions) for the</w:t>
      </w:r>
      <w:r>
        <w:rPr>
          <w:rFonts w:eastAsia="TimesNewRoman"/>
        </w:rPr>
        <w:t xml:space="preserve"> comparison RNF 44 </w:t>
      </w:r>
      <w:r w:rsidR="00DB22EB">
        <w:t>µg</w:t>
      </w:r>
      <w:r>
        <w:rPr>
          <w:rFonts w:eastAsia="TimesNewRoman"/>
        </w:rPr>
        <w:t xml:space="preserve"> </w:t>
      </w:r>
      <w:proofErr w:type="spellStart"/>
      <w:r>
        <w:rPr>
          <w:rFonts w:eastAsia="TimesNewRoman"/>
        </w:rPr>
        <w:t>tiw</w:t>
      </w:r>
      <w:proofErr w:type="spellEnd"/>
      <w:r>
        <w:rPr>
          <w:rFonts w:eastAsia="TimesNewRoman"/>
        </w:rPr>
        <w:t xml:space="preserve"> </w:t>
      </w:r>
      <w:proofErr w:type="spellStart"/>
      <w:r>
        <w:rPr>
          <w:rFonts w:eastAsia="TimesNewRoman"/>
        </w:rPr>
        <w:t>vs</w:t>
      </w:r>
      <w:proofErr w:type="spellEnd"/>
      <w:r>
        <w:rPr>
          <w:rFonts w:eastAsia="TimesNewRoman"/>
        </w:rPr>
        <w:t xml:space="preserve"> p</w:t>
      </w:r>
      <w:r w:rsidRPr="00BC4145">
        <w:rPr>
          <w:rFonts w:eastAsia="TimesNewRoman"/>
        </w:rPr>
        <w:t>lacebo after</w:t>
      </w:r>
      <w:r>
        <w:rPr>
          <w:rFonts w:eastAsia="TimesNewRoman"/>
        </w:rPr>
        <w:t xml:space="preserve"> </w:t>
      </w:r>
      <w:r w:rsidRPr="00BC4145">
        <w:rPr>
          <w:rFonts w:eastAsia="TimesNewRoman"/>
        </w:rPr>
        <w:t>approximately 21 months of recruitment.</w:t>
      </w:r>
      <w:r>
        <w:rPr>
          <w:rFonts w:eastAsia="TimesNewRoman"/>
        </w:rPr>
        <w:t xml:space="preserve"> </w:t>
      </w:r>
      <w:r w:rsidRPr="00BC4145">
        <w:rPr>
          <w:rFonts w:eastAsia="TimesNewRoman"/>
        </w:rPr>
        <w:t xml:space="preserve">This </w:t>
      </w:r>
      <w:r>
        <w:rPr>
          <w:rFonts w:eastAsia="TimesNewRoman"/>
        </w:rPr>
        <w:t xml:space="preserve">number of events was sufficient to </w:t>
      </w:r>
      <w:r w:rsidRPr="00BC4145">
        <w:rPr>
          <w:rFonts w:eastAsia="TimesNewRoman"/>
        </w:rPr>
        <w:t>provide 90% power using a 2-sided log-rank test at a 0.05 alpha-error for detecting a</w:t>
      </w:r>
      <w:r>
        <w:rPr>
          <w:rFonts w:eastAsia="TimesNewRoman"/>
        </w:rPr>
        <w:t xml:space="preserve"> hazards ratio (</w:t>
      </w:r>
      <w:r w:rsidRPr="00BC4145">
        <w:rPr>
          <w:rFonts w:eastAsia="TimesNewRoman"/>
        </w:rPr>
        <w:t>HR</w:t>
      </w:r>
      <w:r>
        <w:rPr>
          <w:rFonts w:eastAsia="TimesNewRoman"/>
        </w:rPr>
        <w:t>)</w:t>
      </w:r>
      <w:r w:rsidRPr="00BC4145">
        <w:rPr>
          <w:rFonts w:eastAsia="TimesNewRoman"/>
        </w:rPr>
        <w:t xml:space="preserve"> of 0.6 in the primary efficacy endpoint for the main</w:t>
      </w:r>
      <w:r>
        <w:rPr>
          <w:rFonts w:eastAsia="TimesNewRoman"/>
        </w:rPr>
        <w:t xml:space="preserve"> comparison RNF 44 </w:t>
      </w:r>
      <w:r w:rsidR="00DB22EB">
        <w:t>µg</w:t>
      </w:r>
      <w:r w:rsidR="006D039F">
        <w:rPr>
          <w:rFonts w:eastAsia="TimesNewRoman"/>
        </w:rPr>
        <w:t xml:space="preserve"> </w:t>
      </w:r>
      <w:proofErr w:type="spellStart"/>
      <w:r w:rsidR="006D039F">
        <w:rPr>
          <w:rFonts w:eastAsia="TimesNewRoman"/>
        </w:rPr>
        <w:t>tiw</w:t>
      </w:r>
      <w:proofErr w:type="spellEnd"/>
      <w:r w:rsidR="006D039F">
        <w:rPr>
          <w:rFonts w:eastAsia="TimesNewRoman"/>
        </w:rPr>
        <w:t xml:space="preserve"> </w:t>
      </w:r>
      <w:proofErr w:type="spellStart"/>
      <w:r w:rsidR="006D039F">
        <w:rPr>
          <w:rFonts w:eastAsia="TimesNewRoman"/>
        </w:rPr>
        <w:t>vs</w:t>
      </w:r>
      <w:proofErr w:type="spellEnd"/>
      <w:r>
        <w:rPr>
          <w:rFonts w:eastAsia="TimesNewRoman"/>
        </w:rPr>
        <w:t xml:space="preserve"> p</w:t>
      </w:r>
      <w:r w:rsidRPr="00BC4145">
        <w:rPr>
          <w:rFonts w:eastAsia="TimesNewRoman"/>
        </w:rPr>
        <w:t>lacebo.</w:t>
      </w:r>
      <w:r>
        <w:rPr>
          <w:rFonts w:eastAsia="TimesNewRoman"/>
        </w:rPr>
        <w:t xml:space="preserve"> </w:t>
      </w:r>
      <w:r w:rsidRPr="00BC4145">
        <w:rPr>
          <w:rFonts w:eastAsia="TimesNewRoman"/>
        </w:rPr>
        <w:t>This HR correspo</w:t>
      </w:r>
      <w:r>
        <w:rPr>
          <w:rFonts w:eastAsia="TimesNewRoman"/>
        </w:rPr>
        <w:t xml:space="preserve">nded to </w:t>
      </w:r>
      <w:r w:rsidRPr="00BC4145">
        <w:rPr>
          <w:rFonts w:eastAsia="TimesNewRoman"/>
        </w:rPr>
        <w:t xml:space="preserve">15% </w:t>
      </w:r>
      <w:r>
        <w:rPr>
          <w:rFonts w:eastAsia="TimesNewRoman"/>
        </w:rPr>
        <w:t xml:space="preserve">subjects being </w:t>
      </w:r>
      <w:r w:rsidRPr="00BC4145">
        <w:rPr>
          <w:rFonts w:eastAsia="TimesNewRoman"/>
        </w:rPr>
        <w:t>free of conversion over 24 months in the</w:t>
      </w:r>
      <w:r>
        <w:rPr>
          <w:rFonts w:eastAsia="TimesNewRoman"/>
        </w:rPr>
        <w:t xml:space="preserve"> p</w:t>
      </w:r>
      <w:r w:rsidRPr="00BC4145">
        <w:rPr>
          <w:rFonts w:eastAsia="TimesNewRoman"/>
        </w:rPr>
        <w:t xml:space="preserve">lacebo group and 32% </w:t>
      </w:r>
      <w:r>
        <w:rPr>
          <w:rFonts w:eastAsia="TimesNewRoman"/>
        </w:rPr>
        <w:t xml:space="preserve">in the RNF 44 </w:t>
      </w:r>
      <w:r w:rsidR="00DB22EB">
        <w:t>µg</w:t>
      </w:r>
      <w:r>
        <w:rPr>
          <w:rFonts w:eastAsia="TimesNewRoman"/>
        </w:rPr>
        <w:t xml:space="preserve"> </w:t>
      </w:r>
      <w:proofErr w:type="spellStart"/>
      <w:r>
        <w:rPr>
          <w:rFonts w:eastAsia="TimesNewRoman"/>
        </w:rPr>
        <w:t>tiw</w:t>
      </w:r>
      <w:proofErr w:type="spellEnd"/>
      <w:r>
        <w:rPr>
          <w:rFonts w:eastAsia="TimesNewRoman"/>
        </w:rPr>
        <w:t xml:space="preserve"> group, a clinically worthwhile difference</w:t>
      </w:r>
      <w:r w:rsidRPr="00BC4145">
        <w:rPr>
          <w:rFonts w:eastAsia="TimesNewRoman"/>
        </w:rPr>
        <w:t>.</w:t>
      </w:r>
    </w:p>
    <w:p w:rsidR="00FE7615" w:rsidDel="0081373E" w:rsidRDefault="00FE7615" w:rsidP="00FE7615">
      <w:r>
        <w:t xml:space="preserve">Allowing for withdrawals, the proposed sample size was increased to 480 subjects equally allocated to each </w:t>
      </w:r>
      <w:r w:rsidR="006D039F">
        <w:t>of the 3 treatment groups (</w:t>
      </w:r>
      <w:proofErr w:type="spellStart"/>
      <w:r w:rsidR="006D039F">
        <w:t>ie</w:t>
      </w:r>
      <w:proofErr w:type="spellEnd"/>
      <w:r w:rsidR="006D039F">
        <w:t>.</w:t>
      </w:r>
      <w:r>
        <w:t xml:space="preserve"> 160 subjects per group), and this target was exceeded.</w:t>
      </w:r>
    </w:p>
    <w:p w:rsidR="00FE7615" w:rsidRPr="004B259C" w:rsidRDefault="00FE7615" w:rsidP="003C17AA">
      <w:pPr>
        <w:pStyle w:val="Heading4"/>
      </w:pPr>
      <w:bookmarkStart w:id="43" w:name="_Toc348083950"/>
      <w:r w:rsidRPr="004B259C">
        <w:t>Statistical methods</w:t>
      </w:r>
      <w:bookmarkEnd w:id="43"/>
    </w:p>
    <w:p w:rsidR="00FE7615" w:rsidRDefault="00FE7615" w:rsidP="00FE7615">
      <w:r>
        <w:t xml:space="preserve">For the primary efficacy endpoint, the primary analysis was a pair-wise comparison of the ITT treatment groups using a 2-sided stratified log-rank test at the 0.05 significance level: RNF 44 </w:t>
      </w:r>
      <w:r w:rsidR="00DB22EB">
        <w:t>µg</w:t>
      </w:r>
      <w:r>
        <w:t xml:space="preserve"> </w:t>
      </w:r>
      <w:proofErr w:type="spellStart"/>
      <w:r>
        <w:t>tiw</w:t>
      </w:r>
      <w:proofErr w:type="spellEnd"/>
      <w:r>
        <w:t xml:space="preserve"> </w:t>
      </w:r>
      <w:proofErr w:type="spellStart"/>
      <w:r>
        <w:t>vs</w:t>
      </w:r>
      <w:proofErr w:type="spellEnd"/>
      <w:r>
        <w:t xml:space="preserve"> placebo and RNF 44</w:t>
      </w:r>
      <w:r w:rsidR="00DB22EB" w:rsidRPr="00DB22EB">
        <w:t xml:space="preserve"> </w:t>
      </w:r>
      <w:r w:rsidR="00DB22EB">
        <w:t>µg</w:t>
      </w:r>
      <w:r>
        <w:t xml:space="preserve"> </w:t>
      </w:r>
      <w:proofErr w:type="spellStart"/>
      <w:r>
        <w:t>ow</w:t>
      </w:r>
      <w:proofErr w:type="spellEnd"/>
      <w:r>
        <w:t xml:space="preserve"> </w:t>
      </w:r>
      <w:proofErr w:type="spellStart"/>
      <w:r>
        <w:t>vs</w:t>
      </w:r>
      <w:proofErr w:type="spellEnd"/>
      <w:r>
        <w:t xml:space="preserve"> placebo.</w:t>
      </w:r>
      <w:r w:rsidR="00B056CA">
        <w:t xml:space="preserve"> </w:t>
      </w:r>
      <w:r>
        <w:t xml:space="preserve">(RNF 44 </w:t>
      </w:r>
      <w:r w:rsidR="00DB22EB">
        <w:t>µg</w:t>
      </w:r>
      <w:r w:rsidR="006D039F">
        <w:t xml:space="preserve"> </w:t>
      </w:r>
      <w:proofErr w:type="spellStart"/>
      <w:r w:rsidR="006D039F">
        <w:t>tiw</w:t>
      </w:r>
      <w:proofErr w:type="spellEnd"/>
      <w:r w:rsidR="006D039F">
        <w:t xml:space="preserve"> </w:t>
      </w:r>
      <w:proofErr w:type="spellStart"/>
      <w:r w:rsidR="006D039F">
        <w:t>vs</w:t>
      </w:r>
      <w:proofErr w:type="spellEnd"/>
      <w:r>
        <w:t xml:space="preserve"> RNF 44</w:t>
      </w:r>
      <w:r w:rsidR="00DB22EB" w:rsidRPr="00DB22EB">
        <w:t xml:space="preserve"> </w:t>
      </w:r>
      <w:r w:rsidR="00DB22EB">
        <w:t xml:space="preserve">µg </w:t>
      </w:r>
      <w:proofErr w:type="spellStart"/>
      <w:r>
        <w:t>ow</w:t>
      </w:r>
      <w:proofErr w:type="spellEnd"/>
      <w:r>
        <w:t xml:space="preserve"> was compared in an exploratory manner.) Stratification was performed using the same four prognostic factors that were used to stratify randomisation (age, </w:t>
      </w:r>
      <w:proofErr w:type="spellStart"/>
      <w:r>
        <w:t>unifocal</w:t>
      </w:r>
      <w:proofErr w:type="spellEnd"/>
      <w:r>
        <w:t xml:space="preserve"> </w:t>
      </w:r>
      <w:proofErr w:type="spellStart"/>
      <w:r>
        <w:t>vs</w:t>
      </w:r>
      <w:proofErr w:type="spellEnd"/>
      <w:r>
        <w:t xml:space="preserve"> multifocal disease, steroid use and con</w:t>
      </w:r>
      <w:r w:rsidR="00A55A25">
        <w:t>trast-enhancing [</w:t>
      </w:r>
      <w:proofErr w:type="spellStart"/>
      <w:r w:rsidR="00A55A25">
        <w:t>Gd</w:t>
      </w:r>
      <w:proofErr w:type="spellEnd"/>
      <w:r w:rsidR="00A55A25">
        <w:t>+] lesions).</w:t>
      </w:r>
    </w:p>
    <w:p w:rsidR="00FE7615" w:rsidRDefault="00FE7615" w:rsidP="00FE7615">
      <w:r>
        <w:t>The probability of subjects developing McDonald MS in each treatment group was estimated with survival curves using the non-parametric Kaplan-Meier (KM) method.</w:t>
      </w:r>
    </w:p>
    <w:p w:rsidR="00FE7615" w:rsidRDefault="00FE7615" w:rsidP="00FE7615">
      <w:r>
        <w:t>The primary efficacy endpoint was also subjected to a secondary analysis to estimate the magnitude of the treatment effect in terms of the hazard ratio, using an adjusted Cox’s proportional hazards model. Adjustments were performed for the original four stratification factors.</w:t>
      </w:r>
    </w:p>
    <w:p w:rsidR="00FE7615" w:rsidRDefault="00FE7615" w:rsidP="00FE7615">
      <w:r>
        <w:t xml:space="preserve">The same analyses were also performed on the PP population, to confirm robustness of the primary analysis. </w:t>
      </w:r>
    </w:p>
    <w:p w:rsidR="00FE7615" w:rsidRPr="004B259C" w:rsidRDefault="00FE7615" w:rsidP="003C17AA">
      <w:pPr>
        <w:pStyle w:val="Heading4"/>
      </w:pPr>
      <w:bookmarkStart w:id="44" w:name="_Toc348083951"/>
      <w:r w:rsidRPr="004B259C">
        <w:t>Participant flow</w:t>
      </w:r>
      <w:bookmarkEnd w:id="44"/>
    </w:p>
    <w:p w:rsidR="003C17AA" w:rsidRDefault="00FE7615" w:rsidP="003C17AA">
      <w:pPr>
        <w:autoSpaceDE w:val="0"/>
        <w:autoSpaceDN w:val="0"/>
        <w:adjustRightInd w:val="0"/>
        <w:rPr>
          <w:sz w:val="23"/>
          <w:szCs w:val="23"/>
        </w:rPr>
      </w:pPr>
      <w:r>
        <w:rPr>
          <w:sz w:val="23"/>
          <w:szCs w:val="23"/>
        </w:rPr>
        <w:t xml:space="preserve">Of the 517 randomised subjects, 448 (86.7%) completed the study; the other 69 subjects (13.3%) withdrew prematurely (10.9% in the 44 </w:t>
      </w:r>
      <w:r w:rsidR="00DB22EB">
        <w:t>µg</w:t>
      </w:r>
      <w:r>
        <w:rPr>
          <w:sz w:val="23"/>
          <w:szCs w:val="23"/>
        </w:rPr>
        <w:t xml:space="preserve"> </w:t>
      </w:r>
      <w:proofErr w:type="spellStart"/>
      <w:r>
        <w:rPr>
          <w:sz w:val="23"/>
          <w:szCs w:val="23"/>
        </w:rPr>
        <w:t>ow</w:t>
      </w:r>
      <w:proofErr w:type="spellEnd"/>
      <w:r>
        <w:rPr>
          <w:sz w:val="23"/>
          <w:szCs w:val="23"/>
        </w:rPr>
        <w:t xml:space="preserve"> group and 14.6% in both placebo and 44 </w:t>
      </w:r>
      <w:r w:rsidR="00DB22EB">
        <w:t>µg</w:t>
      </w:r>
      <w:r>
        <w:rPr>
          <w:sz w:val="23"/>
          <w:szCs w:val="23"/>
        </w:rPr>
        <w:t xml:space="preserve"> </w:t>
      </w:r>
      <w:proofErr w:type="spellStart"/>
      <w:r>
        <w:rPr>
          <w:sz w:val="23"/>
          <w:szCs w:val="23"/>
        </w:rPr>
        <w:t>tiw</w:t>
      </w:r>
      <w:proofErr w:type="spellEnd"/>
      <w:r>
        <w:rPr>
          <w:sz w:val="23"/>
          <w:szCs w:val="23"/>
        </w:rPr>
        <w:t xml:space="preserve"> groups). This is a relatively high completion rate for a study of this duration. All subjects entered the ITT analysis, even if they withdrew.</w:t>
      </w:r>
      <w:bookmarkStart w:id="45" w:name="_Toc348083952"/>
    </w:p>
    <w:p w:rsidR="00FE7615" w:rsidRPr="003C17AA" w:rsidRDefault="00FE7615" w:rsidP="003C17AA">
      <w:pPr>
        <w:pStyle w:val="Heading4"/>
        <w:rPr>
          <w:sz w:val="23"/>
          <w:szCs w:val="23"/>
        </w:rPr>
      </w:pPr>
      <w:r>
        <w:t>Major protocol violations/deviations</w:t>
      </w:r>
      <w:bookmarkEnd w:id="45"/>
    </w:p>
    <w:p w:rsidR="00FE7615" w:rsidRDefault="00FE7615" w:rsidP="00FE7615">
      <w:r>
        <w:t xml:space="preserve">The number of protocol violations was acceptable overall, and a review of the individual reasons </w:t>
      </w:r>
      <w:r w:rsidR="000E34A6">
        <w:t>as shown in Table 4</w:t>
      </w:r>
      <w:r>
        <w:t xml:space="preserve"> did not suggest that the violations introduced any systemic bias to the study.</w:t>
      </w:r>
    </w:p>
    <w:p w:rsidR="007C0286" w:rsidRDefault="007C0286" w:rsidP="00A55A25">
      <w:pPr>
        <w:pStyle w:val="TableTitle"/>
        <w:rPr>
          <w:lang w:val="en-GB"/>
        </w:rPr>
      </w:pPr>
      <w:r>
        <w:lastRenderedPageBreak/>
        <w:t>Table 4:</w:t>
      </w:r>
      <w:r w:rsidRPr="004C5C28">
        <w:t xml:space="preserve"> </w:t>
      </w:r>
      <w:r w:rsidR="00D142F9">
        <w:t>24 month analysis: subjects excluded from the PP population by reasons for exclusion (ITT population)</w:t>
      </w:r>
      <w:r>
        <w:t>.</w:t>
      </w:r>
    </w:p>
    <w:p w:rsidR="007C0286" w:rsidRDefault="00B90934" w:rsidP="00944D3E">
      <w:pPr>
        <w:jc w:val="center"/>
        <w:rPr>
          <w:lang w:eastAsia="ja-JP"/>
        </w:rPr>
      </w:pPr>
      <w:r>
        <w:rPr>
          <w:noProof/>
          <w:lang w:eastAsia="en-AU"/>
        </w:rPr>
        <w:drawing>
          <wp:inline distT="0" distB="0" distL="0" distR="0">
            <wp:extent cx="5732145" cy="4715510"/>
            <wp:effectExtent l="19050" t="0" r="1905" b="0"/>
            <wp:docPr id="4" name="Picture 4" descr="Table 4: 24 month analysis: subjects excluded from the PP population by reasons for exclusion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ble 4: 24 month analysis: subjects excluded from the PP population by reasons for exclusion (ITT population)."/>
                    <pic:cNvPicPr>
                      <a:picLocks noChangeAspect="1" noChangeArrowheads="1"/>
                    </pic:cNvPicPr>
                  </pic:nvPicPr>
                  <pic:blipFill>
                    <a:blip r:embed="rId17" cstate="print"/>
                    <a:srcRect/>
                    <a:stretch>
                      <a:fillRect/>
                    </a:stretch>
                  </pic:blipFill>
                  <pic:spPr bwMode="auto">
                    <a:xfrm>
                      <a:off x="0" y="0"/>
                      <a:ext cx="5732145" cy="4715510"/>
                    </a:xfrm>
                    <a:prstGeom prst="rect">
                      <a:avLst/>
                    </a:prstGeom>
                    <a:noFill/>
                    <a:ln w="9525">
                      <a:noFill/>
                      <a:miter lim="800000"/>
                      <a:headEnd/>
                      <a:tailEnd/>
                    </a:ln>
                  </pic:spPr>
                </pic:pic>
              </a:graphicData>
            </a:graphic>
          </wp:inline>
        </w:drawing>
      </w:r>
    </w:p>
    <w:p w:rsidR="004B08EC" w:rsidRDefault="004B08EC" w:rsidP="004B08EC">
      <w:pPr>
        <w:pStyle w:val="Heading4"/>
      </w:pPr>
      <w:bookmarkStart w:id="46" w:name="_Toc348083953"/>
      <w:r w:rsidRPr="004B259C">
        <w:t>Baseline data</w:t>
      </w:r>
      <w:bookmarkEnd w:id="46"/>
    </w:p>
    <w:p w:rsidR="004B08EC" w:rsidRDefault="004B08EC" w:rsidP="004B08EC">
      <w:r w:rsidRPr="00BD46A4">
        <w:t xml:space="preserve">The 517 subjects had a mean age of 30.7 years, a median EDSS score of 1.5, and </w:t>
      </w:r>
      <w:r>
        <w:t>64.2% were female, in keeping with the known gender bias of CIS and MS.</w:t>
      </w:r>
      <w:r w:rsidRPr="00BD46A4">
        <w:t xml:space="preserve"> The mean time from onse</w:t>
      </w:r>
      <w:r>
        <w:t>t of the first event to randomisation was 57.6 days.</w:t>
      </w:r>
    </w:p>
    <w:p w:rsidR="004B08EC" w:rsidRDefault="004B08EC" w:rsidP="004B08EC">
      <w:r>
        <w:t xml:space="preserve">The treatment groups were reasonably well balanced at baseline. Because this was a CIS study, they all had </w:t>
      </w:r>
      <w:proofErr w:type="gramStart"/>
      <w:r>
        <w:t>a disease</w:t>
      </w:r>
      <w:proofErr w:type="gramEnd"/>
      <w:r>
        <w:t xml:space="preserve"> duration limited to the qualifying event, and they were stratified in a manner that balanced prognostic factors. Considering the high-dose group, there was a very slight excess of subjects with a </w:t>
      </w:r>
      <w:proofErr w:type="spellStart"/>
      <w:r>
        <w:t>monofocal</w:t>
      </w:r>
      <w:proofErr w:type="spellEnd"/>
      <w:r>
        <w:t xml:space="preserve"> onset and a slightly lower portion of </w:t>
      </w:r>
      <w:proofErr w:type="spellStart"/>
      <w:r>
        <w:t>Gd</w:t>
      </w:r>
      <w:proofErr w:type="spellEnd"/>
      <w:r>
        <w:t>+ lesions, which would improve the baseline prognosis of this group, but there was also a slight excess of patients with ≥9T2 lesions, which would worsen the prognosis of this group. These factors would be expected to balance out and they were also included the stratified analysis, so no important biases are expected on the basis of baseline characteristics.</w:t>
      </w:r>
    </w:p>
    <w:p w:rsidR="004B08EC" w:rsidRDefault="004B08EC" w:rsidP="004B08EC">
      <w:r>
        <w:t xml:space="preserve">These baseline characteristics appear to be typical of the target population, and resemble those observed in the BENEFIT Study, which assessed the competing product </w:t>
      </w:r>
      <w:proofErr w:type="spellStart"/>
      <w:r>
        <w:t>Betaferon</w:t>
      </w:r>
      <w:proofErr w:type="spellEnd"/>
      <w:r>
        <w:t xml:space="preserve"> in CIS (</w:t>
      </w:r>
      <w:proofErr w:type="spellStart"/>
      <w:r>
        <w:t>Kap</w:t>
      </w:r>
      <w:r w:rsidR="00552326">
        <w:t>pos</w:t>
      </w:r>
      <w:proofErr w:type="spellEnd"/>
      <w:r w:rsidR="00552326">
        <w:t>, 2006) (Table 5)</w:t>
      </w:r>
      <w:r>
        <w:t>.</w:t>
      </w:r>
    </w:p>
    <w:p w:rsidR="004B08EC" w:rsidRDefault="004B08EC" w:rsidP="00A55A25">
      <w:pPr>
        <w:pStyle w:val="TableTitle"/>
        <w:rPr>
          <w:lang w:val="en-GB"/>
        </w:rPr>
      </w:pPr>
      <w:r>
        <w:lastRenderedPageBreak/>
        <w:t>Table 5:</w:t>
      </w:r>
      <w:r w:rsidRPr="004C5C28">
        <w:t xml:space="preserve"> </w:t>
      </w:r>
      <w:r>
        <w:t>Baseline demographics (ITT population; n = 517).</w:t>
      </w:r>
    </w:p>
    <w:p w:rsidR="004B08EC" w:rsidRDefault="00B90934" w:rsidP="00C22678">
      <w:pPr>
        <w:rPr>
          <w:lang w:eastAsia="ja-JP"/>
        </w:rPr>
      </w:pPr>
      <w:r>
        <w:rPr>
          <w:noProof/>
          <w:lang w:eastAsia="en-AU"/>
        </w:rPr>
        <w:drawing>
          <wp:inline distT="0" distB="0" distL="0" distR="0">
            <wp:extent cx="5725160" cy="1678940"/>
            <wp:effectExtent l="19050" t="0" r="8890" b="0"/>
            <wp:docPr id="5" name="Picture 5" descr="Table 5: Baseline demographics (ITT population; n =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ble 5: Baseline demographics (ITT population; n = 517)."/>
                    <pic:cNvPicPr>
                      <a:picLocks noChangeAspect="1" noChangeArrowheads="1"/>
                    </pic:cNvPicPr>
                  </pic:nvPicPr>
                  <pic:blipFill>
                    <a:blip r:embed="rId18" cstate="print"/>
                    <a:srcRect/>
                    <a:stretch>
                      <a:fillRect/>
                    </a:stretch>
                  </pic:blipFill>
                  <pic:spPr bwMode="auto">
                    <a:xfrm>
                      <a:off x="0" y="0"/>
                      <a:ext cx="5725160" cy="1678940"/>
                    </a:xfrm>
                    <a:prstGeom prst="rect">
                      <a:avLst/>
                    </a:prstGeom>
                    <a:noFill/>
                    <a:ln w="9525">
                      <a:noFill/>
                      <a:miter lim="800000"/>
                      <a:headEnd/>
                      <a:tailEnd/>
                    </a:ln>
                  </pic:spPr>
                </pic:pic>
              </a:graphicData>
            </a:graphic>
          </wp:inline>
        </w:drawing>
      </w:r>
    </w:p>
    <w:p w:rsidR="002829A3" w:rsidRDefault="002829A3" w:rsidP="002829A3">
      <w:pPr>
        <w:pStyle w:val="Heading4"/>
      </w:pPr>
      <w:bookmarkStart w:id="47" w:name="_Toc348083954"/>
      <w:r w:rsidRPr="004B259C">
        <w:t>Results for the primary efficacy outcome</w:t>
      </w:r>
      <w:r>
        <w:t>, conversion to McDonald MS</w:t>
      </w:r>
      <w:bookmarkEnd w:id="47"/>
    </w:p>
    <w:p w:rsidR="002829A3" w:rsidRDefault="002829A3" w:rsidP="002829A3">
      <w:r>
        <w:t xml:space="preserve">Conversion to McDonald MS (using 2005 criteria) over the course of the study is shown for all three treatment groups in the </w:t>
      </w:r>
      <w:r w:rsidR="00A831BE" w:rsidRPr="00A831BE">
        <w:t>Kaplan-Meier</w:t>
      </w:r>
      <w:r w:rsidR="002C6D74">
        <w:t xml:space="preserve"> (KM) </w:t>
      </w:r>
      <w:r>
        <w:t xml:space="preserve">plot </w:t>
      </w:r>
      <w:r w:rsidR="00A831BE">
        <w:t>in Figure 1</w:t>
      </w:r>
      <w:r>
        <w:t xml:space="preserve">. </w:t>
      </w:r>
      <w:r w:rsidRPr="00054FD9">
        <w:t xml:space="preserve">The total number of subjects diagnosed with McDonald MS was 106/171 (62.0%), 129/175 (73.7%), and 144/171 (84.2%) in </w:t>
      </w:r>
      <w:proofErr w:type="spellStart"/>
      <w:r w:rsidRPr="00054FD9">
        <w:t>R</w:t>
      </w:r>
      <w:r>
        <w:t>ebif</w:t>
      </w:r>
      <w:proofErr w:type="spellEnd"/>
      <w:r w:rsidRPr="00054FD9">
        <w:t xml:space="preserve"> 44 </w:t>
      </w:r>
      <w:r w:rsidR="00DB22EB">
        <w:t>µg</w:t>
      </w:r>
      <w:r w:rsidRPr="00054FD9">
        <w:t xml:space="preserve"> </w:t>
      </w:r>
      <w:proofErr w:type="spellStart"/>
      <w:r>
        <w:t>tiw</w:t>
      </w:r>
      <w:proofErr w:type="spellEnd"/>
      <w:r>
        <w:t xml:space="preserve">, 44 </w:t>
      </w:r>
      <w:r w:rsidR="00DB22EB">
        <w:t>µg</w:t>
      </w:r>
      <w:r>
        <w:t xml:space="preserve"> </w:t>
      </w:r>
      <w:proofErr w:type="spellStart"/>
      <w:r>
        <w:t>ow</w:t>
      </w:r>
      <w:proofErr w:type="spellEnd"/>
      <w:r>
        <w:t>, and p</w:t>
      </w:r>
      <w:r w:rsidRPr="00054FD9">
        <w:t>lacebo</w:t>
      </w:r>
      <w:r>
        <w:t xml:space="preserve"> groups</w:t>
      </w:r>
      <w:r w:rsidRPr="00054FD9">
        <w:t>, respectively.</w:t>
      </w:r>
      <w:r>
        <w:t xml:space="preserve"> From the first MRI scan after randomisation, there was a clear separation of the curves with an excess of conversi</w:t>
      </w:r>
      <w:r w:rsidR="00A55A25">
        <w:t>ons to MS in the placebo group.</w:t>
      </w:r>
    </w:p>
    <w:p w:rsidR="002829A3" w:rsidRDefault="002829A3" w:rsidP="002829A3">
      <w:pPr>
        <w:pStyle w:val="FigureTitle"/>
        <w:rPr>
          <w:lang w:val="en-GB"/>
        </w:rPr>
      </w:pPr>
      <w:r>
        <w:t>Figure 1:</w:t>
      </w:r>
      <w:r w:rsidRPr="004C5C28">
        <w:t xml:space="preserve"> </w:t>
      </w:r>
      <w:r w:rsidR="00C15B46">
        <w:t>Time to conversion to McDonald MS: Kaplan-Meier cumulative incidence curves (ITT population; n = 517)</w:t>
      </w:r>
      <w:r>
        <w:t>.</w:t>
      </w:r>
    </w:p>
    <w:p w:rsidR="002829A3" w:rsidRDefault="00B90934" w:rsidP="00A55A25">
      <w:pPr>
        <w:rPr>
          <w:noProof/>
          <w:lang w:eastAsia="en-AU"/>
        </w:rPr>
      </w:pPr>
      <w:r>
        <w:rPr>
          <w:noProof/>
          <w:lang w:eastAsia="en-AU"/>
        </w:rPr>
        <w:drawing>
          <wp:inline distT="0" distB="0" distL="0" distR="0">
            <wp:extent cx="4981575" cy="3063875"/>
            <wp:effectExtent l="19050" t="0" r="9525" b="0"/>
            <wp:docPr id="6" name="Picture 6" descr="Figure 1: Time to conversion to McDonald MS: Kaplan-Meier cumulative incidence curves (ITT population; n =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1: Time to conversion to McDonald MS: Kaplan-Meier cumulative incidence curves (ITT population; n = 517)."/>
                    <pic:cNvPicPr>
                      <a:picLocks noChangeAspect="1" noChangeArrowheads="1"/>
                    </pic:cNvPicPr>
                  </pic:nvPicPr>
                  <pic:blipFill>
                    <a:blip r:embed="rId19" cstate="print"/>
                    <a:srcRect/>
                    <a:stretch>
                      <a:fillRect/>
                    </a:stretch>
                  </pic:blipFill>
                  <pic:spPr bwMode="auto">
                    <a:xfrm>
                      <a:off x="0" y="0"/>
                      <a:ext cx="4981575" cy="3063875"/>
                    </a:xfrm>
                    <a:prstGeom prst="rect">
                      <a:avLst/>
                    </a:prstGeom>
                    <a:noFill/>
                    <a:ln w="9525">
                      <a:noFill/>
                      <a:miter lim="800000"/>
                      <a:headEnd/>
                      <a:tailEnd/>
                    </a:ln>
                  </pic:spPr>
                </pic:pic>
              </a:graphicData>
            </a:graphic>
          </wp:inline>
        </w:drawing>
      </w:r>
    </w:p>
    <w:p w:rsidR="00A831BE" w:rsidRPr="00DB22EB" w:rsidRDefault="00A831BE" w:rsidP="00A831BE">
      <w:r w:rsidRPr="00DB22EB">
        <w:t xml:space="preserve">By the log-rank test, </w:t>
      </w:r>
      <w:proofErr w:type="spellStart"/>
      <w:r w:rsidRPr="00DB22EB">
        <w:t>Rebif</w:t>
      </w:r>
      <w:proofErr w:type="spellEnd"/>
      <w:r w:rsidRPr="00DB22EB">
        <w:t xml:space="preserve"> 44 µg </w:t>
      </w:r>
      <w:proofErr w:type="spellStart"/>
      <w:r w:rsidRPr="00DB22EB">
        <w:t>tiw</w:t>
      </w:r>
      <w:proofErr w:type="spellEnd"/>
      <w:r w:rsidRPr="00DB22EB">
        <w:t xml:space="preserve"> and 44 </w:t>
      </w:r>
      <w:r>
        <w:t>µg</w:t>
      </w:r>
      <w:r w:rsidRPr="00DB22EB">
        <w:t xml:space="preserve"> </w:t>
      </w:r>
      <w:proofErr w:type="spellStart"/>
      <w:r w:rsidRPr="00DB22EB">
        <w:t>ow</w:t>
      </w:r>
      <w:proofErr w:type="spellEnd"/>
      <w:r w:rsidRPr="00DB22EB">
        <w:t xml:space="preserve"> each delayed progression significantly compared to placebo (p&lt;0.001 and p=0.008, respectively). In the adjusted proportional hazards model, the risk</w:t>
      </w:r>
      <w:r w:rsidR="00A55A25">
        <w:t xml:space="preserve"> of progression was reduced by:</w:t>
      </w:r>
    </w:p>
    <w:p w:rsidR="00A831BE" w:rsidRPr="0035395A" w:rsidRDefault="00A831BE" w:rsidP="00A831BE">
      <w:pPr>
        <w:pStyle w:val="ListBullet"/>
      </w:pPr>
      <w:r w:rsidRPr="0035395A">
        <w:t xml:space="preserve">51% for </w:t>
      </w:r>
      <w:proofErr w:type="spellStart"/>
      <w:r w:rsidRPr="0035395A">
        <w:t>Rebif</w:t>
      </w:r>
      <w:proofErr w:type="spellEnd"/>
      <w:r w:rsidRPr="0035395A">
        <w:t xml:space="preserve"> 44</w:t>
      </w:r>
      <w:r w:rsidRPr="00DB22EB">
        <w:t xml:space="preserve"> </w:t>
      </w:r>
      <w:r>
        <w:t>µg</w:t>
      </w:r>
      <w:r w:rsidRPr="0035395A">
        <w:t xml:space="preserve"> </w:t>
      </w:r>
      <w:proofErr w:type="spellStart"/>
      <w:r w:rsidRPr="0035395A">
        <w:t>tiw</w:t>
      </w:r>
      <w:proofErr w:type="spellEnd"/>
      <w:r w:rsidRPr="0035395A">
        <w:t xml:space="preserve"> compared to Placebo (HR = 0.49, 95% CI [0.38, 0.64])</w:t>
      </w:r>
    </w:p>
    <w:p w:rsidR="00A831BE" w:rsidRPr="0035395A" w:rsidRDefault="00A831BE" w:rsidP="00A831BE">
      <w:pPr>
        <w:pStyle w:val="ListBullet"/>
      </w:pPr>
      <w:r w:rsidRPr="0035395A">
        <w:t xml:space="preserve">31%for </w:t>
      </w:r>
      <w:proofErr w:type="spellStart"/>
      <w:r w:rsidRPr="0035395A">
        <w:t>Rebif</w:t>
      </w:r>
      <w:proofErr w:type="spellEnd"/>
      <w:r w:rsidRPr="0035395A">
        <w:t xml:space="preserve"> 44</w:t>
      </w:r>
      <w:r w:rsidRPr="00DB22EB">
        <w:t xml:space="preserve"> </w:t>
      </w:r>
      <w:r>
        <w:t>µg</w:t>
      </w:r>
      <w:r w:rsidRPr="0035395A">
        <w:t xml:space="preserve"> </w:t>
      </w:r>
      <w:proofErr w:type="spellStart"/>
      <w:r w:rsidRPr="0035395A">
        <w:t>ow</w:t>
      </w:r>
      <w:proofErr w:type="spellEnd"/>
      <w:r w:rsidRPr="0035395A">
        <w:t xml:space="preserve"> compared to Placebo (HR = 0.69, 95% CI [0.54, 0.87])</w:t>
      </w:r>
    </w:p>
    <w:p w:rsidR="00A831BE" w:rsidRPr="0035395A" w:rsidRDefault="00A831BE" w:rsidP="00A831BE">
      <w:r w:rsidRPr="0035395A">
        <w:t xml:space="preserve">The median time for conversion to McDonald MS was 97, 182, and </w:t>
      </w:r>
      <w:r>
        <w:t xml:space="preserve">310 days in the Placebo, the </w:t>
      </w:r>
      <w:proofErr w:type="spellStart"/>
      <w:r>
        <w:t>Rebif</w:t>
      </w:r>
      <w:proofErr w:type="spellEnd"/>
      <w:r>
        <w:t xml:space="preserve"> 44 µg </w:t>
      </w:r>
      <w:proofErr w:type="spellStart"/>
      <w:r>
        <w:t>ow</w:t>
      </w:r>
      <w:proofErr w:type="spellEnd"/>
      <w:r>
        <w:t>, and 44 µg</w:t>
      </w:r>
      <w:r w:rsidRPr="0035395A">
        <w:t xml:space="preserve"> </w:t>
      </w:r>
      <w:proofErr w:type="spellStart"/>
      <w:r w:rsidRPr="0035395A">
        <w:t>tiw</w:t>
      </w:r>
      <w:proofErr w:type="spellEnd"/>
      <w:r w:rsidRPr="0035395A">
        <w:t xml:space="preserve"> groups, respectively</w:t>
      </w:r>
      <w:r w:rsidR="00A55A25">
        <w:t>.</w:t>
      </w:r>
    </w:p>
    <w:p w:rsidR="00F47C5D" w:rsidRDefault="00F47C5D" w:rsidP="00F47C5D">
      <w:r w:rsidRPr="0035395A">
        <w:t xml:space="preserve">Additional methods of analysis, including a </w:t>
      </w:r>
      <w:r w:rsidRPr="00B61075">
        <w:rPr>
          <w:i/>
        </w:rPr>
        <w:t>non</w:t>
      </w:r>
      <w:r w:rsidRPr="0035395A">
        <w:t xml:space="preserve">-stratified log-rank test and a </w:t>
      </w:r>
      <w:r w:rsidRPr="00B61075">
        <w:rPr>
          <w:i/>
        </w:rPr>
        <w:t>non</w:t>
      </w:r>
      <w:r w:rsidRPr="0035395A">
        <w:t xml:space="preserve">-adjusted proportional hazards model, produced very similar results, adding confidence to the overall conclusions. </w:t>
      </w:r>
    </w:p>
    <w:p w:rsidR="00F47C5D" w:rsidRPr="0035395A" w:rsidRDefault="00F47C5D" w:rsidP="00F47C5D">
      <w:r w:rsidRPr="0035395A">
        <w:lastRenderedPageBreak/>
        <w:t>The results in the PP population were also similar (</w:t>
      </w:r>
      <w:proofErr w:type="spellStart"/>
      <w:r w:rsidRPr="0035395A">
        <w:t>Rebif</w:t>
      </w:r>
      <w:proofErr w:type="spellEnd"/>
      <w:r w:rsidRPr="0035395A">
        <w:t xml:space="preserve"> 44 </w:t>
      </w:r>
      <w:r w:rsidR="00DB22EB">
        <w:t>µg</w:t>
      </w:r>
      <w:r w:rsidRPr="0035395A">
        <w:t xml:space="preserve"> </w:t>
      </w:r>
      <w:proofErr w:type="spellStart"/>
      <w:r w:rsidRPr="0035395A">
        <w:t>tiw</w:t>
      </w:r>
      <w:proofErr w:type="spellEnd"/>
      <w:r w:rsidRPr="0035395A">
        <w:t xml:space="preserve"> </w:t>
      </w:r>
      <w:proofErr w:type="spellStart"/>
      <w:r w:rsidRPr="0035395A">
        <w:t>vs</w:t>
      </w:r>
      <w:proofErr w:type="spellEnd"/>
      <w:r w:rsidRPr="0035395A">
        <w:t xml:space="preserve"> placebo, p&lt;0.001; </w:t>
      </w:r>
      <w:proofErr w:type="spellStart"/>
      <w:r w:rsidRPr="0035395A">
        <w:t>Rebif</w:t>
      </w:r>
      <w:proofErr w:type="spellEnd"/>
      <w:r w:rsidRPr="0035395A">
        <w:t xml:space="preserve"> 44 </w:t>
      </w:r>
      <w:r w:rsidR="00DB22EB">
        <w:t>µg</w:t>
      </w:r>
      <w:r w:rsidRPr="0035395A">
        <w:t xml:space="preserve"> </w:t>
      </w:r>
      <w:proofErr w:type="spellStart"/>
      <w:r w:rsidRPr="0035395A">
        <w:t>ow</w:t>
      </w:r>
      <w:proofErr w:type="spellEnd"/>
      <w:r w:rsidRPr="0035395A">
        <w:t xml:space="preserve"> </w:t>
      </w:r>
      <w:proofErr w:type="spellStart"/>
      <w:r w:rsidRPr="0035395A">
        <w:t>vs</w:t>
      </w:r>
      <w:proofErr w:type="spellEnd"/>
      <w:r w:rsidRPr="0035395A">
        <w:t xml:space="preserve"> placebo p=0.017; </w:t>
      </w:r>
      <w:proofErr w:type="spellStart"/>
      <w:r w:rsidRPr="0035395A">
        <w:t>Rebif</w:t>
      </w:r>
      <w:proofErr w:type="spellEnd"/>
      <w:r w:rsidRPr="0035395A">
        <w:t xml:space="preserve"> 44 </w:t>
      </w:r>
      <w:r w:rsidR="00DB22EB">
        <w:t>µg</w:t>
      </w:r>
      <w:r w:rsidRPr="0035395A">
        <w:t xml:space="preserve"> </w:t>
      </w:r>
      <w:proofErr w:type="spellStart"/>
      <w:r w:rsidRPr="0035395A">
        <w:t>tiw</w:t>
      </w:r>
      <w:proofErr w:type="spellEnd"/>
      <w:r w:rsidRPr="0035395A">
        <w:t xml:space="preserve"> versus </w:t>
      </w:r>
      <w:proofErr w:type="spellStart"/>
      <w:r w:rsidRPr="0035395A">
        <w:t>Rebif</w:t>
      </w:r>
      <w:proofErr w:type="spellEnd"/>
      <w:r w:rsidRPr="0035395A">
        <w:t xml:space="preserve"> 44 </w:t>
      </w:r>
      <w:r w:rsidR="00DB22EB">
        <w:t>µg</w:t>
      </w:r>
      <w:r w:rsidRPr="0035395A">
        <w:t xml:space="preserve"> </w:t>
      </w:r>
      <w:proofErr w:type="spellStart"/>
      <w:r w:rsidRPr="0035395A">
        <w:t>ow</w:t>
      </w:r>
      <w:proofErr w:type="spellEnd"/>
      <w:r w:rsidRPr="0035395A">
        <w:t>, p=0.030).</w:t>
      </w:r>
    </w:p>
    <w:p w:rsidR="00F47C5D" w:rsidRPr="0035395A" w:rsidRDefault="00F47C5D" w:rsidP="00F47C5D">
      <w:r w:rsidRPr="0035395A">
        <w:t xml:space="preserve">Note that the risk reduction cited in HR analysis relates to </w:t>
      </w:r>
      <w:r w:rsidRPr="0035395A">
        <w:rPr>
          <w:i/>
        </w:rPr>
        <w:t>instantaneous hazard rates</w:t>
      </w:r>
      <w:r w:rsidRPr="0035395A">
        <w:t xml:space="preserve"> in at-risk patients, and it is not the same as the </w:t>
      </w:r>
      <w:r w:rsidRPr="0035395A">
        <w:rPr>
          <w:i/>
        </w:rPr>
        <w:t>cumulative risk reduction</w:t>
      </w:r>
      <w:r w:rsidRPr="0035395A">
        <w:t xml:space="preserve"> over two years (partly because patients converting to MS early in the study are no longer at risk of conversion, and </w:t>
      </w:r>
      <w:r>
        <w:t xml:space="preserve">they </w:t>
      </w:r>
      <w:r w:rsidRPr="0035395A">
        <w:t>are censored from that point onwards in the hazard analysis). The two-year risk reduction can be estimated from the difference in overall conversions: 62.0% in the 44</w:t>
      </w:r>
      <w:r w:rsidR="00DB22EB" w:rsidRPr="00DB22EB">
        <w:t xml:space="preserve"> </w:t>
      </w:r>
      <w:r w:rsidR="00DB22EB">
        <w:t>µg</w:t>
      </w:r>
      <w:r w:rsidRPr="0035395A">
        <w:t xml:space="preserve"> </w:t>
      </w:r>
      <w:proofErr w:type="spellStart"/>
      <w:r w:rsidRPr="0035395A">
        <w:t>tiw</w:t>
      </w:r>
      <w:proofErr w:type="spellEnd"/>
      <w:r w:rsidRPr="0035395A">
        <w:t xml:space="preserve"> group versus 84.2% in the placebo group, an absolute difference of 22.2%, which is 26.4% of the two-year placebo conversion rate. Using the stratified, adjusted model, the two-year probability of conversion was similar to the raw conversion rates (62.5%</w:t>
      </w:r>
      <w:r>
        <w:t xml:space="preserve"> and </w:t>
      </w:r>
      <w:r w:rsidRPr="0035395A">
        <w:t>85.8%</w:t>
      </w:r>
      <w:r>
        <w:t xml:space="preserve"> </w:t>
      </w:r>
      <w:r w:rsidRPr="0035395A">
        <w:t xml:space="preserve">for the proposed dose and placebo, respectively, which gives an absolute risk reduction of 23.3% and a relative risk reduction of 27.1%). </w:t>
      </w:r>
      <w:r w:rsidRPr="0035395A">
        <w:rPr>
          <w:i/>
        </w:rPr>
        <w:t>For patients and clinicians, this relative risk reduction of ~26-27% is likely to be more meaningful than the 51% cited in the analysis.</w:t>
      </w:r>
    </w:p>
    <w:p w:rsidR="00F47C5D" w:rsidRPr="0035395A" w:rsidRDefault="00F47C5D" w:rsidP="00F47C5D">
      <w:r w:rsidRPr="0035395A">
        <w:t xml:space="preserve">The hazard reduction of 51% observed with </w:t>
      </w:r>
      <w:proofErr w:type="spellStart"/>
      <w:r w:rsidRPr="0035395A">
        <w:t>Rebif</w:t>
      </w:r>
      <w:proofErr w:type="spellEnd"/>
      <w:r w:rsidRPr="0035395A">
        <w:t xml:space="preserve"> 44 </w:t>
      </w:r>
      <w:r w:rsidR="00DB22EB">
        <w:t>µg</w:t>
      </w:r>
      <w:r w:rsidRPr="0035395A">
        <w:t xml:space="preserve"> </w:t>
      </w:r>
      <w:proofErr w:type="spellStart"/>
      <w:r w:rsidRPr="0035395A">
        <w:t>tiw</w:t>
      </w:r>
      <w:proofErr w:type="spellEnd"/>
      <w:r w:rsidRPr="0035395A">
        <w:t xml:space="preserve"> </w:t>
      </w:r>
      <w:proofErr w:type="spellStart"/>
      <w:r w:rsidRPr="0035395A">
        <w:t>vs</w:t>
      </w:r>
      <w:proofErr w:type="spellEnd"/>
      <w:r w:rsidRPr="0035395A">
        <w:t xml:space="preserve"> placebo is broadly comparable to that achieved with IFN-beta-1b sc </w:t>
      </w:r>
      <w:proofErr w:type="spellStart"/>
      <w:r w:rsidRPr="0035395A">
        <w:t>vs</w:t>
      </w:r>
      <w:proofErr w:type="spellEnd"/>
      <w:r w:rsidRPr="0035395A">
        <w:t xml:space="preserve"> placebo in the similarly designed BENEFIT study (46%, </w:t>
      </w:r>
      <w:proofErr w:type="spellStart"/>
      <w:r w:rsidRPr="0035395A">
        <w:t>Kappos</w:t>
      </w:r>
      <w:proofErr w:type="spellEnd"/>
      <w:r w:rsidRPr="0035395A">
        <w:t xml:space="preserve"> et al 2006). This sugge</w:t>
      </w:r>
      <w:r>
        <w:t xml:space="preserve">sts that the findings have </w:t>
      </w:r>
      <w:r w:rsidRPr="0035395A">
        <w:t>external validity, though the BENEFIT study used a slightly different beta interferon preparation.</w:t>
      </w:r>
    </w:p>
    <w:p w:rsidR="00F47C5D" w:rsidRPr="0035395A" w:rsidRDefault="00F47C5D" w:rsidP="00F47C5D">
      <w:r w:rsidRPr="0035395A">
        <w:t>In clinical terms, this result is modest but worthwhile. Clinicians can tell patients that their absolute risk of progressing to MS in the first two years of treatment will be</w:t>
      </w:r>
      <w:r>
        <w:t xml:space="preserve"> reduced by approximately 1 in 4</w:t>
      </w:r>
      <w:r w:rsidRPr="0035395A">
        <w:t xml:space="preserve"> if they commence </w:t>
      </w:r>
      <w:proofErr w:type="spellStart"/>
      <w:r w:rsidRPr="0035395A">
        <w:t>Rebif</w:t>
      </w:r>
      <w:proofErr w:type="spellEnd"/>
      <w:r w:rsidRPr="0035395A">
        <w:t xml:space="preserve"> treatment. That is, given 5 patients with CIS and </w:t>
      </w:r>
      <w:r>
        <w:t>an MRI suggestive of MS</w:t>
      </w:r>
      <w:r w:rsidRPr="0035395A">
        <w:t>, about 4 of them (84.2% or 85.8% by the model) would be expected to convert to McDonald MS without treat</w:t>
      </w:r>
      <w:r>
        <w:t>ment, and</w:t>
      </w:r>
      <w:r w:rsidRPr="0035395A">
        <w:t xml:space="preserve"> </w:t>
      </w:r>
      <w:proofErr w:type="spellStart"/>
      <w:r w:rsidRPr="0035395A">
        <w:t>Rebif</w:t>
      </w:r>
      <w:proofErr w:type="spellEnd"/>
      <w:r w:rsidRPr="0035395A">
        <w:t xml:space="preserve"> would be expected to reduce this to about 3 (62.0% or 62.5% by the model) – the number needed to treat (NNT) to prevent one conversion over two years is therefore ~5. For most patients this is likely to offset the inconvenience of injections and the known side effects of beta </w:t>
      </w:r>
      <w:proofErr w:type="spellStart"/>
      <w:r w:rsidRPr="0035395A">
        <w:t>interferons</w:t>
      </w:r>
      <w:proofErr w:type="spellEnd"/>
      <w:r w:rsidRPr="0035395A">
        <w:t>.</w:t>
      </w:r>
    </w:p>
    <w:p w:rsidR="00F47C5D" w:rsidRPr="0035395A" w:rsidRDefault="00F47C5D" w:rsidP="00F47C5D">
      <w:r w:rsidRPr="0035395A">
        <w:t xml:space="preserve">Comparisons between the </w:t>
      </w:r>
      <w:proofErr w:type="spellStart"/>
      <w:r w:rsidRPr="0035395A">
        <w:t>tiw</w:t>
      </w:r>
      <w:proofErr w:type="spellEnd"/>
      <w:r w:rsidRPr="0035395A">
        <w:t xml:space="preserve"> and </w:t>
      </w:r>
      <w:proofErr w:type="spellStart"/>
      <w:r w:rsidRPr="0035395A">
        <w:t>ow</w:t>
      </w:r>
      <w:proofErr w:type="spellEnd"/>
      <w:r w:rsidRPr="0035395A">
        <w:t xml:space="preserve"> </w:t>
      </w:r>
      <w:proofErr w:type="spellStart"/>
      <w:r w:rsidRPr="0035395A">
        <w:t>Rebif</w:t>
      </w:r>
      <w:proofErr w:type="spellEnd"/>
      <w:r w:rsidRPr="0035395A">
        <w:t xml:space="preserve"> groups were considered exploratory, but </w:t>
      </w:r>
      <w:r>
        <w:t xml:space="preserve">they </w:t>
      </w:r>
      <w:r w:rsidRPr="0035395A">
        <w:t xml:space="preserve">support the proposed </w:t>
      </w:r>
      <w:proofErr w:type="spellStart"/>
      <w:r w:rsidRPr="0035395A">
        <w:t>tiw</w:t>
      </w:r>
      <w:proofErr w:type="spellEnd"/>
      <w:r w:rsidRPr="0035395A">
        <w:t xml:space="preserve"> dose. The KM curves show a clear benefit of </w:t>
      </w:r>
      <w:proofErr w:type="spellStart"/>
      <w:r w:rsidRPr="0035395A">
        <w:t>tiw</w:t>
      </w:r>
      <w:proofErr w:type="spellEnd"/>
      <w:r w:rsidRPr="0035395A">
        <w:t xml:space="preserve"> dosing, and this was statistically significant (p=0.009 by log-rank test). The HR for </w:t>
      </w:r>
      <w:proofErr w:type="spellStart"/>
      <w:r w:rsidRPr="0035395A">
        <w:t>Rebif</w:t>
      </w:r>
      <w:proofErr w:type="spellEnd"/>
      <w:r w:rsidRPr="0035395A">
        <w:t xml:space="preserve"> 44 </w:t>
      </w:r>
      <w:r w:rsidR="00DB22EB">
        <w:t>µg</w:t>
      </w:r>
      <w:r w:rsidRPr="0035395A">
        <w:t xml:space="preserve"> </w:t>
      </w:r>
      <w:proofErr w:type="spellStart"/>
      <w:r w:rsidRPr="0035395A">
        <w:t>tiw</w:t>
      </w:r>
      <w:proofErr w:type="spellEnd"/>
      <w:r w:rsidRPr="0035395A">
        <w:t xml:space="preserve"> versus </w:t>
      </w:r>
      <w:proofErr w:type="spellStart"/>
      <w:r w:rsidRPr="0035395A">
        <w:t>ow</w:t>
      </w:r>
      <w:proofErr w:type="spellEnd"/>
      <w:r w:rsidRPr="0035395A">
        <w:t xml:space="preserve"> was also significant, with the 95%CI &lt;1 (HR: 0.71; 95% CI: [0.54; 0.91]).</w:t>
      </w:r>
    </w:p>
    <w:p w:rsidR="00F47C5D" w:rsidRDefault="00F47C5D" w:rsidP="00F47C5D">
      <w:r>
        <w:t xml:space="preserve">The overall results of the hazards model are shown in </w:t>
      </w:r>
      <w:r w:rsidR="005F384B">
        <w:t>Table 6</w:t>
      </w:r>
      <w:r>
        <w:t xml:space="preserve">. In addition to randomised treatment, a number of other factors influenced the likelihood of progressing to McDonald MS, as expected. These included multifocal clinical disease and the presence of a </w:t>
      </w:r>
      <w:proofErr w:type="spellStart"/>
      <w:r>
        <w:t>Gd</w:t>
      </w:r>
      <w:proofErr w:type="spellEnd"/>
      <w:r>
        <w:t>+ MRI lesion.</w:t>
      </w:r>
    </w:p>
    <w:p w:rsidR="00F47C5D" w:rsidRDefault="00F47C5D" w:rsidP="00A55A25">
      <w:pPr>
        <w:pStyle w:val="TableTitle"/>
        <w:rPr>
          <w:lang w:val="en-GB"/>
        </w:rPr>
      </w:pPr>
      <w:r>
        <w:lastRenderedPageBreak/>
        <w:t xml:space="preserve">Table </w:t>
      </w:r>
      <w:r w:rsidR="007811E1">
        <w:t>6</w:t>
      </w:r>
      <w:r>
        <w:t>:</w:t>
      </w:r>
      <w:r w:rsidRPr="004C5C28">
        <w:t xml:space="preserve"> </w:t>
      </w:r>
      <w:r>
        <w:t xml:space="preserve">24 month analysis: time to conversion to McDonald MS – estimated Hazard Ratio – Adjusted Cox’s proportional hazards </w:t>
      </w:r>
      <w:proofErr w:type="spellStart"/>
      <w:r>
        <w:t>model</w:t>
      </w:r>
      <w:r w:rsidR="007811E1">
        <w:rPr>
          <w:vertAlign w:val="superscript"/>
        </w:rPr>
        <w:t>b</w:t>
      </w:r>
      <w:proofErr w:type="spellEnd"/>
      <w:r>
        <w:t xml:space="preserve"> for randomisation stratification factors (ITT population).</w:t>
      </w:r>
    </w:p>
    <w:p w:rsidR="00F47C5D" w:rsidRDefault="00B90934" w:rsidP="007811E1">
      <w:pPr>
        <w:jc w:val="center"/>
        <w:rPr>
          <w:lang w:eastAsia="ja-JP"/>
        </w:rPr>
      </w:pPr>
      <w:r>
        <w:rPr>
          <w:noProof/>
          <w:lang w:eastAsia="en-AU"/>
        </w:rPr>
        <w:drawing>
          <wp:inline distT="0" distB="0" distL="0" distR="0">
            <wp:extent cx="5725160" cy="3200400"/>
            <wp:effectExtent l="19050" t="0" r="8890" b="0"/>
            <wp:docPr id="7" name="Picture 7" descr="Table 6: 24 month analysis: time to conversion to McDonald MS – estimated Hazard Ratio – Adjusted Cox’s proportional hazards modelb for randomisation stratification factor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ble 6: 24 month analysis: time to conversion to McDonald MS – estimated Hazard Ratio – Adjusted Cox’s proportional hazards modelb for randomisation stratification factors (ITT population)."/>
                    <pic:cNvPicPr>
                      <a:picLocks noChangeAspect="1" noChangeArrowheads="1"/>
                    </pic:cNvPicPr>
                  </pic:nvPicPr>
                  <pic:blipFill>
                    <a:blip r:embed="rId20" cstate="print"/>
                    <a:srcRect/>
                    <a:stretch>
                      <a:fillRect/>
                    </a:stretch>
                  </pic:blipFill>
                  <pic:spPr bwMode="auto">
                    <a:xfrm>
                      <a:off x="0" y="0"/>
                      <a:ext cx="5725160" cy="3200400"/>
                    </a:xfrm>
                    <a:prstGeom prst="rect">
                      <a:avLst/>
                    </a:prstGeom>
                    <a:noFill/>
                    <a:ln w="9525">
                      <a:noFill/>
                      <a:miter lim="800000"/>
                      <a:headEnd/>
                      <a:tailEnd/>
                    </a:ln>
                  </pic:spPr>
                </pic:pic>
              </a:graphicData>
            </a:graphic>
          </wp:inline>
        </w:drawing>
      </w:r>
    </w:p>
    <w:p w:rsidR="007811E1" w:rsidRDefault="007811E1" w:rsidP="007811E1">
      <w:pPr>
        <w:pStyle w:val="Heading4"/>
      </w:pPr>
      <w:bookmarkStart w:id="48" w:name="_Toc348083955"/>
      <w:r w:rsidRPr="004B259C">
        <w:t>Results for other efficacy outcomes</w:t>
      </w:r>
      <w:bookmarkEnd w:id="48"/>
    </w:p>
    <w:p w:rsidR="007811E1" w:rsidRPr="00907550" w:rsidRDefault="007811E1" w:rsidP="00A55A25">
      <w:pPr>
        <w:pStyle w:val="Heading5"/>
      </w:pPr>
      <w:bookmarkStart w:id="49" w:name="_Toc348083956"/>
      <w:r>
        <w:t>Conversion to CDMS</w:t>
      </w:r>
      <w:bookmarkEnd w:id="49"/>
    </w:p>
    <w:p w:rsidR="007811E1" w:rsidRDefault="007811E1" w:rsidP="007811E1">
      <w:r>
        <w:t xml:space="preserve">Conversion to clinically definite MS (diagnosed because of a second clinical episode) occurred at a slower rate than conversion to McDonald MS. Active treatment slowed the conversion rate, as shown in </w:t>
      </w:r>
      <w:r w:rsidR="00CD754A">
        <w:t>Figure 2</w:t>
      </w:r>
      <w:r>
        <w:t>. Over the course of the two-year study, this difference was statistically significant (p&lt;0.001 and p=0.002 for the 44</w:t>
      </w:r>
      <w:r w:rsidR="00DB22EB" w:rsidRPr="00DB22EB">
        <w:t xml:space="preserve"> </w:t>
      </w:r>
      <w:r w:rsidR="00DB22EB">
        <w:t>µg</w:t>
      </w:r>
      <w:r>
        <w:t xml:space="preserve"> </w:t>
      </w:r>
      <w:proofErr w:type="spellStart"/>
      <w:r>
        <w:t>tiw</w:t>
      </w:r>
      <w:proofErr w:type="spellEnd"/>
      <w:r>
        <w:t xml:space="preserve"> and 44</w:t>
      </w:r>
      <w:r w:rsidR="00DB22EB" w:rsidRPr="00DB22EB">
        <w:t xml:space="preserve"> </w:t>
      </w:r>
      <w:r w:rsidR="00DB22EB">
        <w:t>µg</w:t>
      </w:r>
      <w:r>
        <w:t xml:space="preserve"> </w:t>
      </w:r>
      <w:proofErr w:type="spellStart"/>
      <w:r>
        <w:t>ow</w:t>
      </w:r>
      <w:proofErr w:type="spellEnd"/>
      <w:r>
        <w:t xml:space="preserve"> groups, respectively, compared to placebo). To visual inspection, a benefit of active treatment appears in the KM curve after about six months. For this endpoint, there was no apparent difference between the two active dose groups.</w:t>
      </w:r>
    </w:p>
    <w:p w:rsidR="007811E1" w:rsidRDefault="007811E1" w:rsidP="007811E1">
      <w:pPr>
        <w:pStyle w:val="FigureTitle"/>
        <w:rPr>
          <w:lang w:val="en-GB"/>
        </w:rPr>
      </w:pPr>
      <w:r>
        <w:t>Figure 2:</w:t>
      </w:r>
      <w:r w:rsidRPr="004C5C28">
        <w:t xml:space="preserve"> </w:t>
      </w:r>
      <w:r>
        <w:t>Time to conversion to CDMS: Kaplan-Meier cumulative incidence curves (ITT population; n = 517).</w:t>
      </w:r>
    </w:p>
    <w:p w:rsidR="007811E1" w:rsidRDefault="00B90934" w:rsidP="00A55A25">
      <w:pPr>
        <w:rPr>
          <w:noProof/>
          <w:lang w:eastAsia="en-AU"/>
        </w:rPr>
      </w:pPr>
      <w:r>
        <w:rPr>
          <w:noProof/>
          <w:lang w:eastAsia="en-AU"/>
        </w:rPr>
        <w:drawing>
          <wp:inline distT="0" distB="0" distL="0" distR="0">
            <wp:extent cx="4264660" cy="2729865"/>
            <wp:effectExtent l="19050" t="0" r="2540" b="0"/>
            <wp:docPr id="8" name="Picture 8" descr="Figure 2: Time to conversion to CDMS: Kaplan-Meier cumulative incidence curves (ITT population; n =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2: Time to conversion to CDMS: Kaplan-Meier cumulative incidence curves (ITT population; n = 517)."/>
                    <pic:cNvPicPr>
                      <a:picLocks noChangeAspect="1" noChangeArrowheads="1"/>
                    </pic:cNvPicPr>
                  </pic:nvPicPr>
                  <pic:blipFill>
                    <a:blip r:embed="rId21" cstate="print"/>
                    <a:srcRect/>
                    <a:stretch>
                      <a:fillRect/>
                    </a:stretch>
                  </pic:blipFill>
                  <pic:spPr bwMode="auto">
                    <a:xfrm>
                      <a:off x="0" y="0"/>
                      <a:ext cx="4264660" cy="2729865"/>
                    </a:xfrm>
                    <a:prstGeom prst="rect">
                      <a:avLst/>
                    </a:prstGeom>
                    <a:noFill/>
                    <a:ln w="9525">
                      <a:noFill/>
                      <a:miter lim="800000"/>
                      <a:headEnd/>
                      <a:tailEnd/>
                    </a:ln>
                  </pic:spPr>
                </pic:pic>
              </a:graphicData>
            </a:graphic>
          </wp:inline>
        </w:drawing>
      </w:r>
    </w:p>
    <w:p w:rsidR="00CD754A" w:rsidRDefault="00CD754A" w:rsidP="00CD754A">
      <w:r>
        <w:lastRenderedPageBreak/>
        <w:t xml:space="preserve">The hazard reduction ratios using the adjusted Cox’s proportional hazard model showed a significant hazard reduction for </w:t>
      </w:r>
      <w:proofErr w:type="spellStart"/>
      <w:r>
        <w:t>Rebif</w:t>
      </w:r>
      <w:proofErr w:type="spellEnd"/>
      <w:r>
        <w:t xml:space="preserve"> 44 µg </w:t>
      </w:r>
      <w:proofErr w:type="spellStart"/>
      <w:r>
        <w:t>tiw</w:t>
      </w:r>
      <w:proofErr w:type="spellEnd"/>
      <w:r>
        <w:t xml:space="preserve"> (HR: 0.48; 95% CI: [0.31; 0.73]) and </w:t>
      </w:r>
      <w:proofErr w:type="spellStart"/>
      <w:r>
        <w:t>Rebif</w:t>
      </w:r>
      <w:proofErr w:type="spellEnd"/>
      <w:r>
        <w:t xml:space="preserve"> 44 µg </w:t>
      </w:r>
      <w:proofErr w:type="spellStart"/>
      <w:r>
        <w:t>ow</w:t>
      </w:r>
      <w:proofErr w:type="spellEnd"/>
      <w:r>
        <w:t xml:space="preserve"> (HR=0.53; 95% CI: [0.</w:t>
      </w:r>
      <w:r w:rsidR="00A55A25">
        <w:t>35; 0.79]) relative to placebo.</w:t>
      </w:r>
    </w:p>
    <w:p w:rsidR="00CD754A" w:rsidRPr="009F2184" w:rsidRDefault="00CD754A" w:rsidP="00CD754A">
      <w:r>
        <w:t>As noted in discussion of the primary endpoint, these hazard reductions differ from the cumulative risk reduction over two years. The model-adjusted conversion rates to CDMS over two years were 21%, 22% and 38% in the 44</w:t>
      </w:r>
      <w:r w:rsidRPr="00DB22EB">
        <w:t xml:space="preserve"> </w:t>
      </w:r>
      <w:r>
        <w:t xml:space="preserve">µg </w:t>
      </w:r>
      <w:proofErr w:type="spellStart"/>
      <w:r>
        <w:t>tiw</w:t>
      </w:r>
      <w:proofErr w:type="spellEnd"/>
      <w:r>
        <w:t xml:space="preserve"> group, 44</w:t>
      </w:r>
      <w:r w:rsidRPr="00DB22EB">
        <w:t xml:space="preserve"> </w:t>
      </w:r>
      <w:r>
        <w:t xml:space="preserve">µg </w:t>
      </w:r>
      <w:proofErr w:type="spellStart"/>
      <w:r>
        <w:t>ow</w:t>
      </w:r>
      <w:proofErr w:type="spellEnd"/>
      <w:r>
        <w:t xml:space="preserve"> group and placebo group, respectively, giving an absolute risk reduction of 17% for the proposed </w:t>
      </w:r>
      <w:proofErr w:type="spellStart"/>
      <w:r>
        <w:t>tiw</w:t>
      </w:r>
      <w:proofErr w:type="spellEnd"/>
      <w:r>
        <w:t xml:space="preserve"> dose, and a relative risk reduction of 45%.</w:t>
      </w:r>
    </w:p>
    <w:p w:rsidR="007811E1" w:rsidRDefault="007811E1" w:rsidP="007811E1">
      <w:r>
        <w:t>The fact that the study was positive for this clinical endpoint is generally reassuring, because the primary endpoint included radiological criteria that are in some ways merely surrogate markers for disease activity. It would be theoretically possible for an immune-modifying agent to alter the radiological appearance of MS plaques (say, by reducing oedema) without producing substantial benefit (by allowing myelin and axonal damage to continue independently of the epiphenomenon of oedema, for instance). While there is no evidence that such a radiological-clinical dissociation occurs in response to beta-interferon treatment, it is a common observation in neurological practice that the severity of scan changes and clinical changes may be discordant in individual patients. A treatment that merely improved scan appearances would not be worthwhile. Thus, although this endpoint was secondary in terms of the protocol, it has an importance equal to the primary endpoint.</w:t>
      </w:r>
    </w:p>
    <w:p w:rsidR="007811E1" w:rsidRDefault="007811E1" w:rsidP="007811E1">
      <w:r>
        <w:t xml:space="preserve">As shown in </w:t>
      </w:r>
      <w:r w:rsidR="000B0ABB">
        <w:t>Table 7,</w:t>
      </w:r>
      <w:r>
        <w:t xml:space="preserve"> results for this secondary endpoint are broadly concordant with the primary endpoint, apart from the lack of an apparent dose-response relationship. The lack of a dose response is somewhat unexpected given the strong and statistically significant dose response seen for the primary endpoint. Given that this secondary endpoint was reached less often than the primary endpoint, the secondary endpoint may simply have been underpowered for the comparison between dose groups. Alternatively, there may be biological factors that cause radiological conversions to MS and clinical conversions to MS to have a different dose response. Other CIS studies, such as BENEFIT, did not employ a low-dose group, so the apparent lack of a dose-response relationship for CDMS, compared to McDonald MS, remains an isolated observation of unknown significance.</w:t>
      </w:r>
    </w:p>
    <w:p w:rsidR="007811E1" w:rsidRDefault="007811E1" w:rsidP="00A55A25">
      <w:pPr>
        <w:pStyle w:val="TableTitle"/>
        <w:rPr>
          <w:lang w:val="en-GB"/>
        </w:rPr>
      </w:pPr>
      <w:r>
        <w:t>Table 7:</w:t>
      </w:r>
      <w:r w:rsidRPr="004C5C28">
        <w:t xml:space="preserve"> </w:t>
      </w:r>
      <w:r>
        <w:t>Results for time to CDMS and time to McDonald MS (ITT population; n = 517).</w:t>
      </w:r>
    </w:p>
    <w:p w:rsidR="007811E1" w:rsidRDefault="00B90934" w:rsidP="00A55A25">
      <w:pPr>
        <w:rPr>
          <w:noProof/>
          <w:lang w:eastAsia="en-AU"/>
        </w:rPr>
      </w:pPr>
      <w:r>
        <w:rPr>
          <w:noProof/>
          <w:lang w:eastAsia="en-AU"/>
        </w:rPr>
        <w:drawing>
          <wp:inline distT="0" distB="0" distL="0" distR="0">
            <wp:extent cx="5725160" cy="1733550"/>
            <wp:effectExtent l="19050" t="0" r="8890" b="0"/>
            <wp:docPr id="9" name="Picture 9" descr="Table 7: Results for time to CDMS and time to McDonald MS (ITT population; n =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ble 7: Results for time to CDMS and time to McDonald MS (ITT population; n = 517)."/>
                    <pic:cNvPicPr>
                      <a:picLocks noChangeAspect="1" noChangeArrowheads="1"/>
                    </pic:cNvPicPr>
                  </pic:nvPicPr>
                  <pic:blipFill>
                    <a:blip r:embed="rId22" cstate="print"/>
                    <a:srcRect/>
                    <a:stretch>
                      <a:fillRect/>
                    </a:stretch>
                  </pic:blipFill>
                  <pic:spPr bwMode="auto">
                    <a:xfrm>
                      <a:off x="0" y="0"/>
                      <a:ext cx="5725160" cy="1733550"/>
                    </a:xfrm>
                    <a:prstGeom prst="rect">
                      <a:avLst/>
                    </a:prstGeom>
                    <a:noFill/>
                    <a:ln w="9525">
                      <a:noFill/>
                      <a:miter lim="800000"/>
                      <a:headEnd/>
                      <a:tailEnd/>
                    </a:ln>
                  </pic:spPr>
                </pic:pic>
              </a:graphicData>
            </a:graphic>
          </wp:inline>
        </w:drawing>
      </w:r>
    </w:p>
    <w:p w:rsidR="00066D87" w:rsidRPr="00066D87" w:rsidRDefault="00A55A25" w:rsidP="00A55A25">
      <w:pPr>
        <w:pStyle w:val="Heading5"/>
      </w:pPr>
      <w:bookmarkStart w:id="50" w:name="_Toc348083957"/>
      <w:r>
        <w:t>Combined u</w:t>
      </w:r>
      <w:r w:rsidR="00066D87" w:rsidRPr="00066D87">
        <w:t xml:space="preserve">nique </w:t>
      </w:r>
      <w:r>
        <w:t>a</w:t>
      </w:r>
      <w:r w:rsidR="00066D87" w:rsidRPr="00066D87">
        <w:t xml:space="preserve">ctive </w:t>
      </w:r>
      <w:r>
        <w:t>l</w:t>
      </w:r>
      <w:r w:rsidR="00066D87" w:rsidRPr="00066D87">
        <w:t>esions</w:t>
      </w:r>
      <w:bookmarkEnd w:id="50"/>
    </w:p>
    <w:p w:rsidR="00066D87" w:rsidRDefault="00066D87" w:rsidP="00066D87">
      <w:r>
        <w:t xml:space="preserve">The main secondary MRI-based endpoint was the mean number of combined unique active lesions (CUA). MRI scans were performed at 3-monthly intervals and active lesions were counted using centralised, blinded </w:t>
      </w:r>
      <w:proofErr w:type="spellStart"/>
      <w:r>
        <w:t>neuroradiological</w:t>
      </w:r>
      <w:proofErr w:type="spellEnd"/>
      <w:r>
        <w:t xml:space="preserve"> experts. Active lesions included those that were new, enlarging or contrast-enhancing. These lesions represent a useful non-clinical surrogate for disease activity, with improved sensitivity over clinical relapses – it is estimated that only 10% of inflammatory plaques produce an obvious clinical correlate. On the other hand, as discussed previously, it would be theoretically possible for an agent to modify the </w:t>
      </w:r>
      <w:r>
        <w:lastRenderedPageBreak/>
        <w:t>radiological appearance of lesions in a way that provided little clinical benefit. This endpoint can therefore only be considered supportive.</w:t>
      </w:r>
    </w:p>
    <w:p w:rsidR="00066D87" w:rsidRDefault="00066D87" w:rsidP="00066D87">
      <w:r>
        <w:t xml:space="preserve">The mean number of active lesions per subject per scan is shown </w:t>
      </w:r>
      <w:r w:rsidR="000B0ABB">
        <w:t>in Table 8</w:t>
      </w:r>
      <w:r>
        <w:t xml:space="preserve">: there was a clear and significant reduction in lesion counts from 2.58 in the placebo group to 0.95 in </w:t>
      </w:r>
      <w:proofErr w:type="gramStart"/>
      <w:r>
        <w:t xml:space="preserve">the </w:t>
      </w:r>
      <w:proofErr w:type="spellStart"/>
      <w:r>
        <w:t>ow</w:t>
      </w:r>
      <w:proofErr w:type="spellEnd"/>
      <w:proofErr w:type="gramEnd"/>
      <w:r>
        <w:t xml:space="preserve"> group and 0.50 in the </w:t>
      </w:r>
      <w:proofErr w:type="spellStart"/>
      <w:r>
        <w:t>tiw</w:t>
      </w:r>
      <w:proofErr w:type="spellEnd"/>
      <w:r>
        <w:t xml:space="preserve"> group. Comparisons between each active group and placebo, and between the two active groups, all showed a highly significant p-value (p&lt;0.001) using an ANCOVA.</w:t>
      </w:r>
    </w:p>
    <w:p w:rsidR="00C91615" w:rsidRDefault="00C91615" w:rsidP="00A55A25">
      <w:pPr>
        <w:pStyle w:val="TableTitle"/>
        <w:rPr>
          <w:lang w:val="en-GB"/>
        </w:rPr>
      </w:pPr>
      <w:r>
        <w:t>Table 8:</w:t>
      </w:r>
      <w:r w:rsidRPr="004C5C28">
        <w:t xml:space="preserve"> </w:t>
      </w:r>
      <w:r>
        <w:t>Estimates for treatment effect on number of CUA lesions per subject per scan using adjusted negative binomial model (ITT population; n = 517).</w:t>
      </w:r>
    </w:p>
    <w:p w:rsidR="00066D87" w:rsidRDefault="00B90934" w:rsidP="00C22678">
      <w:pPr>
        <w:rPr>
          <w:noProof/>
          <w:lang w:eastAsia="en-AU"/>
        </w:rPr>
      </w:pPr>
      <w:r>
        <w:rPr>
          <w:noProof/>
          <w:lang w:eastAsia="en-AU"/>
        </w:rPr>
        <w:drawing>
          <wp:inline distT="0" distB="0" distL="0" distR="0">
            <wp:extent cx="5725160" cy="2463165"/>
            <wp:effectExtent l="19050" t="0" r="8890" b="0"/>
            <wp:docPr id="10" name="Picture 10" descr="Table 8: Estimates for treatment effect on number of CUA lesions per subject per scan using adjusted negative binomial model (ITT population; n =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able 8: Estimates for treatment effect on number of CUA lesions per subject per scan using adjusted negative binomial model (ITT population; n = 517)."/>
                    <pic:cNvPicPr>
                      <a:picLocks noChangeAspect="1" noChangeArrowheads="1"/>
                    </pic:cNvPicPr>
                  </pic:nvPicPr>
                  <pic:blipFill>
                    <a:blip r:embed="rId23" cstate="print"/>
                    <a:srcRect/>
                    <a:stretch>
                      <a:fillRect/>
                    </a:stretch>
                  </pic:blipFill>
                  <pic:spPr bwMode="auto">
                    <a:xfrm>
                      <a:off x="0" y="0"/>
                      <a:ext cx="5725160" cy="2463165"/>
                    </a:xfrm>
                    <a:prstGeom prst="rect">
                      <a:avLst/>
                    </a:prstGeom>
                    <a:noFill/>
                    <a:ln w="9525">
                      <a:noFill/>
                      <a:miter lim="800000"/>
                      <a:headEnd/>
                      <a:tailEnd/>
                    </a:ln>
                  </pic:spPr>
                </pic:pic>
              </a:graphicData>
            </a:graphic>
          </wp:inline>
        </w:drawing>
      </w:r>
    </w:p>
    <w:p w:rsidR="00C91615" w:rsidRDefault="00A55A25" w:rsidP="00A55A25">
      <w:pPr>
        <w:pStyle w:val="Heading5"/>
      </w:pPr>
      <w:bookmarkStart w:id="51" w:name="_Toc348083958"/>
      <w:r>
        <w:t>Minor e</w:t>
      </w:r>
      <w:r w:rsidR="00C91615">
        <w:t xml:space="preserve">fficacy </w:t>
      </w:r>
      <w:r>
        <w:t>e</w:t>
      </w:r>
      <w:r w:rsidR="00C91615">
        <w:t>ndpoints</w:t>
      </w:r>
      <w:bookmarkEnd w:id="51"/>
    </w:p>
    <w:p w:rsidR="00C91615" w:rsidRDefault="00C91615" w:rsidP="00C91615">
      <w:r>
        <w:t xml:space="preserve">Most tertiary endpoints significantly favoured active treatment, as shown in the tables below. </w:t>
      </w:r>
    </w:p>
    <w:p w:rsidR="00C91615" w:rsidRPr="00237CFA" w:rsidRDefault="00C91615" w:rsidP="00C91615">
      <w:r>
        <w:t xml:space="preserve">The sponsor analysed the relapse rate and the proportion of subjects who were free of “qualifying relapses”, where a qualifying relapse was </w:t>
      </w:r>
      <w:r w:rsidRPr="00237CFA">
        <w:t xml:space="preserve">defined as </w:t>
      </w:r>
      <w:r w:rsidRPr="00D95A69">
        <w:rPr>
          <w:i/>
        </w:rPr>
        <w:t>“</w:t>
      </w:r>
      <w:r w:rsidRPr="00D95A69">
        <w:rPr>
          <w:rFonts w:eastAsia="TimesNewRoman"/>
          <w:i/>
        </w:rPr>
        <w:t>a new or worsening neurological symptom, in the absence of fever, lasting for ≥ 24 hours, accompanied by an o</w:t>
      </w:r>
      <w:r>
        <w:rPr>
          <w:rFonts w:eastAsia="TimesNewRoman"/>
          <w:i/>
        </w:rPr>
        <w:t>bjective change in the relevant</w:t>
      </w:r>
      <w:r w:rsidRPr="00D95A69">
        <w:rPr>
          <w:rFonts w:eastAsia="TimesNewRoman"/>
          <w:i/>
        </w:rPr>
        <w:t xml:space="preserve"> functional system, and preceded by at least 30 days of clinical stability or improvement”</w:t>
      </w:r>
      <w:r w:rsidRPr="00237CFA">
        <w:rPr>
          <w:rFonts w:eastAsia="TimesNewRoman"/>
        </w:rPr>
        <w:t>. Relapses that did not satisfy this definition – for instance, those that resolved before being assessed, or those that were purely symptomatic</w:t>
      </w:r>
      <w:r>
        <w:rPr>
          <w:rFonts w:eastAsia="TimesNewRoman"/>
        </w:rPr>
        <w:t xml:space="preserve"> without objective signs on examination</w:t>
      </w:r>
      <w:r w:rsidRPr="00237CFA">
        <w:rPr>
          <w:rFonts w:eastAsia="TimesNewRoman"/>
        </w:rPr>
        <w:t>, were considered non-qualifying relapses.</w:t>
      </w:r>
    </w:p>
    <w:p w:rsidR="00C91615" w:rsidRPr="00D95A69" w:rsidRDefault="00C91615" w:rsidP="00C91615">
      <w:r w:rsidRPr="00D95A69">
        <w:t xml:space="preserve">As expected from the lower conversion rates to CDMS (diagnosed with the first qualifying relapse), a significantly greater proportion of subjects were free of qualifying relapses at the end of the two-year study period in the </w:t>
      </w:r>
      <w:proofErr w:type="spellStart"/>
      <w:r w:rsidRPr="00D95A69">
        <w:t>Rebif</w:t>
      </w:r>
      <w:proofErr w:type="spellEnd"/>
      <w:r w:rsidRPr="00D95A69">
        <w:t xml:space="preserve"> 44 </w:t>
      </w:r>
      <w:r w:rsidR="00DB22EB">
        <w:t>µg</w:t>
      </w:r>
      <w:r w:rsidRPr="00D95A69">
        <w:t xml:space="preserve"> </w:t>
      </w:r>
      <w:proofErr w:type="spellStart"/>
      <w:r w:rsidRPr="00D95A69">
        <w:t>tiw</w:t>
      </w:r>
      <w:proofErr w:type="spellEnd"/>
      <w:r w:rsidRPr="00D95A69">
        <w:t xml:space="preserve"> (70.2%) and </w:t>
      </w:r>
      <w:proofErr w:type="spellStart"/>
      <w:r w:rsidRPr="00D95A69">
        <w:t>ow</w:t>
      </w:r>
      <w:proofErr w:type="spellEnd"/>
      <w:r w:rsidRPr="00D95A69">
        <w:t xml:space="preserve"> (70.9%) groups than in the placebo group (53.8%)</w:t>
      </w:r>
      <w:r w:rsidR="000B0ABB">
        <w:t xml:space="preserve"> </w:t>
      </w:r>
      <w:proofErr w:type="gramStart"/>
      <w:r w:rsidR="000B0ABB">
        <w:t>(Table 9)</w:t>
      </w:r>
      <w:r w:rsidRPr="00D95A69">
        <w:t>.</w:t>
      </w:r>
      <w:proofErr w:type="gramEnd"/>
      <w:r w:rsidRPr="00D95A69">
        <w:t xml:space="preserve"> Withdrawing subjects were </w:t>
      </w:r>
      <w:r w:rsidRPr="00D95A69">
        <w:rPr>
          <w:i/>
        </w:rPr>
        <w:t>not</w:t>
      </w:r>
      <w:r w:rsidRPr="00D95A69">
        <w:t xml:space="preserve"> counted as being relapse-free (worst-case imputation).</w:t>
      </w:r>
    </w:p>
    <w:p w:rsidR="00C91615" w:rsidRDefault="00C91615" w:rsidP="00A55A25">
      <w:pPr>
        <w:pStyle w:val="TableTitle"/>
        <w:rPr>
          <w:lang w:val="en-GB"/>
        </w:rPr>
      </w:pPr>
      <w:r>
        <w:lastRenderedPageBreak/>
        <w:t>Table 9:</w:t>
      </w:r>
      <w:r w:rsidRPr="004C5C28">
        <w:t xml:space="preserve"> </w:t>
      </w:r>
      <w:r>
        <w:t>24 month analysis: qualifying relapse-free subjects during the whole study period (ITT population).</w:t>
      </w:r>
    </w:p>
    <w:p w:rsidR="00C91615" w:rsidRDefault="00B90934" w:rsidP="00A55A25">
      <w:pPr>
        <w:rPr>
          <w:lang w:eastAsia="ja-JP"/>
        </w:rPr>
      </w:pPr>
      <w:r>
        <w:rPr>
          <w:noProof/>
          <w:lang w:eastAsia="en-AU"/>
        </w:rPr>
        <w:drawing>
          <wp:inline distT="0" distB="0" distL="0" distR="0">
            <wp:extent cx="5104130" cy="3056890"/>
            <wp:effectExtent l="19050" t="0" r="1270" b="0"/>
            <wp:docPr id="11" name="Picture 11" descr="Table 9: 24 month analysis: qualifying relapse-free subjects during the whole study period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able 9: 24 month analysis: qualifying relapse-free subjects during the whole study period (ITT population)."/>
                    <pic:cNvPicPr>
                      <a:picLocks noChangeAspect="1" noChangeArrowheads="1"/>
                    </pic:cNvPicPr>
                  </pic:nvPicPr>
                  <pic:blipFill>
                    <a:blip r:embed="rId24" cstate="print"/>
                    <a:srcRect/>
                    <a:stretch>
                      <a:fillRect/>
                    </a:stretch>
                  </pic:blipFill>
                  <pic:spPr bwMode="auto">
                    <a:xfrm>
                      <a:off x="0" y="0"/>
                      <a:ext cx="5104130" cy="3056890"/>
                    </a:xfrm>
                    <a:prstGeom prst="rect">
                      <a:avLst/>
                    </a:prstGeom>
                    <a:noFill/>
                    <a:ln w="9525">
                      <a:noFill/>
                      <a:miter lim="800000"/>
                      <a:headEnd/>
                      <a:tailEnd/>
                    </a:ln>
                  </pic:spPr>
                </pic:pic>
              </a:graphicData>
            </a:graphic>
          </wp:inline>
        </w:drawing>
      </w:r>
    </w:p>
    <w:p w:rsidR="00C91615" w:rsidRPr="0055285B" w:rsidRDefault="00C91615" w:rsidP="00C91615">
      <w:pPr>
        <w:pStyle w:val="Notes"/>
        <w:rPr>
          <w:rFonts w:ascii="Cambria" w:hAnsi="Cambria"/>
        </w:rPr>
      </w:pPr>
      <w:r w:rsidRPr="0055285B">
        <w:rPr>
          <w:rFonts w:ascii="Cambria" w:hAnsi="Cambria"/>
        </w:rPr>
        <w:t>(a) Censored = withdrew and did not have relapse status.</w:t>
      </w:r>
    </w:p>
    <w:p w:rsidR="00505FAE" w:rsidRDefault="00505FAE" w:rsidP="00505FAE">
      <w:r>
        <w:t xml:space="preserve">The annualised relapse rate (for qualifying relapses) was approximately halved by active treatment </w:t>
      </w:r>
      <w:proofErr w:type="gramStart"/>
      <w:r>
        <w:t>from 0.22 relapses/year</w:t>
      </w:r>
      <w:proofErr w:type="gramEnd"/>
      <w:r>
        <w:t xml:space="preserve"> to 0.12 relapses/year, without any apparent difference between active dose groups, as shown in </w:t>
      </w:r>
      <w:r w:rsidR="0044103E">
        <w:t>Table 10</w:t>
      </w:r>
      <w:r>
        <w:t xml:space="preserve">. The direction and magnitude of this benefit is broadly comparable to the original study showing that beta interferon was useful in reducing relapse rate in MS (PRISMS, 1998) and a more recent study in early MS (SPECTRIMS, 2001) that failed to show prevention of progression with </w:t>
      </w:r>
      <w:proofErr w:type="spellStart"/>
      <w:r>
        <w:t>Rebif</w:t>
      </w:r>
      <w:proofErr w:type="spellEnd"/>
      <w:r>
        <w:t xml:space="preserve"> 44</w:t>
      </w:r>
      <w:r w:rsidR="00DB22EB" w:rsidRPr="00DB22EB">
        <w:t xml:space="preserve"> </w:t>
      </w:r>
      <w:r w:rsidR="00DB22EB">
        <w:t>µg</w:t>
      </w:r>
      <w:r>
        <w:t xml:space="preserve"> </w:t>
      </w:r>
      <w:proofErr w:type="spellStart"/>
      <w:r>
        <w:t>tiw</w:t>
      </w:r>
      <w:proofErr w:type="spellEnd"/>
      <w:r>
        <w:t>, but did show improvements in annualised relapse rate.</w:t>
      </w:r>
    </w:p>
    <w:p w:rsidR="00505FAE" w:rsidRDefault="00505FAE" w:rsidP="00A55A25">
      <w:pPr>
        <w:pStyle w:val="TableTitle"/>
        <w:rPr>
          <w:lang w:val="en-GB"/>
        </w:rPr>
      </w:pPr>
      <w:r>
        <w:t>Table 10:</w:t>
      </w:r>
      <w:r w:rsidRPr="004C5C28">
        <w:t xml:space="preserve"> </w:t>
      </w:r>
      <w:r>
        <w:t>Qualifying relapses during the whole study period (ITT population; n = 517).</w:t>
      </w:r>
    </w:p>
    <w:p w:rsidR="00505FAE" w:rsidRDefault="00B90934" w:rsidP="00A55A25">
      <w:pPr>
        <w:rPr>
          <w:lang w:eastAsia="ja-JP"/>
        </w:rPr>
      </w:pPr>
      <w:r>
        <w:rPr>
          <w:noProof/>
          <w:lang w:eastAsia="en-AU"/>
        </w:rPr>
        <w:drawing>
          <wp:inline distT="0" distB="0" distL="0" distR="0">
            <wp:extent cx="5186045" cy="2756535"/>
            <wp:effectExtent l="19050" t="0" r="0" b="0"/>
            <wp:docPr id="12" name="Picture 12" descr="Table 10: Qualifying relapses during the whole study period (ITT population; n =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able 10: Qualifying relapses during the whole study period (ITT population; n = 517)."/>
                    <pic:cNvPicPr>
                      <a:picLocks noChangeAspect="1" noChangeArrowheads="1"/>
                    </pic:cNvPicPr>
                  </pic:nvPicPr>
                  <pic:blipFill>
                    <a:blip r:embed="rId25" cstate="print"/>
                    <a:srcRect/>
                    <a:stretch>
                      <a:fillRect/>
                    </a:stretch>
                  </pic:blipFill>
                  <pic:spPr bwMode="auto">
                    <a:xfrm>
                      <a:off x="0" y="0"/>
                      <a:ext cx="5186045" cy="2756535"/>
                    </a:xfrm>
                    <a:prstGeom prst="rect">
                      <a:avLst/>
                    </a:prstGeom>
                    <a:noFill/>
                    <a:ln w="9525">
                      <a:noFill/>
                      <a:miter lim="800000"/>
                      <a:headEnd/>
                      <a:tailEnd/>
                    </a:ln>
                  </pic:spPr>
                </pic:pic>
              </a:graphicData>
            </a:graphic>
          </wp:inline>
        </w:drawing>
      </w:r>
    </w:p>
    <w:p w:rsidR="00505FAE" w:rsidRDefault="00505FAE" w:rsidP="00505FAE">
      <w:r>
        <w:t xml:space="preserve">Disease progression, as quantified with the widely used Extended Disability Status Scale (EDSS), was delayed with active treatment. The study used a last-observed-value (LOV) approach in which the EDSS was recorded when the patient converted to CDMS (and hence qualified for open-label </w:t>
      </w:r>
      <w:proofErr w:type="spellStart"/>
      <w:r>
        <w:t>Rebif</w:t>
      </w:r>
      <w:proofErr w:type="spellEnd"/>
      <w:r>
        <w:t xml:space="preserve">), or at the end of the 24 months if they failed to convert. This approach would </w:t>
      </w:r>
      <w:r>
        <w:lastRenderedPageBreak/>
        <w:t xml:space="preserve">tend to underestimate the magnitude of the treatment effect, because placebo recipients tended to reach CDMS earlier, and progression beyond this point was not captured. Nonetheless, there was a significant benefit with </w:t>
      </w:r>
      <w:proofErr w:type="spellStart"/>
      <w:r>
        <w:t>tiw</w:t>
      </w:r>
      <w:proofErr w:type="spellEnd"/>
      <w:r>
        <w:t xml:space="preserve"> </w:t>
      </w:r>
      <w:proofErr w:type="spellStart"/>
      <w:r>
        <w:t>Rebif</w:t>
      </w:r>
      <w:proofErr w:type="spellEnd"/>
      <w:r>
        <w:t xml:space="preserve"> treatment, by ANCOVA (p=0.011, </w:t>
      </w:r>
      <w:proofErr w:type="spellStart"/>
      <w:r>
        <w:t>Rebif</w:t>
      </w:r>
      <w:proofErr w:type="spellEnd"/>
      <w:r>
        <w:t xml:space="preserve"> </w:t>
      </w:r>
      <w:proofErr w:type="spellStart"/>
      <w:r>
        <w:t>tiw</w:t>
      </w:r>
      <w:proofErr w:type="spellEnd"/>
      <w:r>
        <w:t xml:space="preserve"> </w:t>
      </w:r>
      <w:proofErr w:type="spellStart"/>
      <w:r>
        <w:t>vs</w:t>
      </w:r>
      <w:proofErr w:type="spellEnd"/>
      <w:r>
        <w:t xml:space="preserve"> placebo). Placebo recipients showed a mean increase in EDSS (a deterioration of 0.14 points) while the high-dose group showed a </w:t>
      </w:r>
      <w:r w:rsidRPr="008419F9">
        <w:t>mean</w:t>
      </w:r>
      <w:r>
        <w:t xml:space="preserve"> reduction (an improvement of 0.09 points). The </w:t>
      </w:r>
      <w:r w:rsidRPr="00D95A69">
        <w:rPr>
          <w:i/>
        </w:rPr>
        <w:t>median</w:t>
      </w:r>
      <w:r>
        <w:t xml:space="preserve"> change was zero in all groups, because most patients did not progress at this early stage of their illness (Table 11).</w:t>
      </w:r>
    </w:p>
    <w:p w:rsidR="00F139B8" w:rsidRDefault="00F139B8" w:rsidP="00A55A25">
      <w:pPr>
        <w:pStyle w:val="TableTitle"/>
        <w:rPr>
          <w:lang w:val="en-GB"/>
        </w:rPr>
      </w:pPr>
      <w:r>
        <w:t>Table 11:</w:t>
      </w:r>
      <w:r w:rsidRPr="004C5C28">
        <w:t xml:space="preserve"> </w:t>
      </w:r>
      <w:r>
        <w:t xml:space="preserve">24 month analysis: change from baseline in EDSS score at </w:t>
      </w:r>
      <w:proofErr w:type="spellStart"/>
      <w:r>
        <w:t>LOV</w:t>
      </w:r>
      <w:r>
        <w:rPr>
          <w:vertAlign w:val="superscript"/>
        </w:rPr>
        <w:t>a</w:t>
      </w:r>
      <w:proofErr w:type="spellEnd"/>
      <w:r>
        <w:t xml:space="preserve"> during the DB period (ITT population).</w:t>
      </w:r>
    </w:p>
    <w:p w:rsidR="00F139B8" w:rsidRDefault="00B90934" w:rsidP="00A55A25">
      <w:r>
        <w:rPr>
          <w:noProof/>
          <w:lang w:eastAsia="en-AU"/>
        </w:rPr>
        <w:drawing>
          <wp:inline distT="0" distB="0" distL="0" distR="0">
            <wp:extent cx="5138420" cy="3828415"/>
            <wp:effectExtent l="19050" t="0" r="5080" b="0"/>
            <wp:docPr id="13" name="Picture 13" descr="Table 11: 24 month analysis: change from baseline in EDSS score at LOVa during the DB period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able 11: 24 month analysis: change from baseline in EDSS score at LOVa during the DB period (ITT population)."/>
                    <pic:cNvPicPr>
                      <a:picLocks noChangeAspect="1" noChangeArrowheads="1"/>
                    </pic:cNvPicPr>
                  </pic:nvPicPr>
                  <pic:blipFill>
                    <a:blip r:embed="rId26" cstate="print"/>
                    <a:srcRect/>
                    <a:stretch>
                      <a:fillRect/>
                    </a:stretch>
                  </pic:blipFill>
                  <pic:spPr bwMode="auto">
                    <a:xfrm>
                      <a:off x="0" y="0"/>
                      <a:ext cx="5138420" cy="3828415"/>
                    </a:xfrm>
                    <a:prstGeom prst="rect">
                      <a:avLst/>
                    </a:prstGeom>
                    <a:noFill/>
                    <a:ln w="9525">
                      <a:noFill/>
                      <a:miter lim="800000"/>
                      <a:headEnd/>
                      <a:tailEnd/>
                    </a:ln>
                  </pic:spPr>
                </pic:pic>
              </a:graphicData>
            </a:graphic>
          </wp:inline>
        </w:drawing>
      </w:r>
    </w:p>
    <w:p w:rsidR="00505FAE" w:rsidRDefault="00505FAE" w:rsidP="00505FAE">
      <w:r>
        <w:t>Progression was also assessed with the MS functional composite (MSFC), which is a performance-based assessment of neurological disability in 3 domains: upper limb function is assessed with the 9-hole peg test, lower limb function with a 25-ft timed walk, and cognitive function with a paced auditory serial addition test (PASAT). This score did not show a difference between groups; nor did the individual performance tests show a significant difference. Given that the patients had early disease and little disability, the failure of this test to show a treatment effect is not surprising.</w:t>
      </w:r>
    </w:p>
    <w:p w:rsidR="00F139B8" w:rsidRPr="00D95A69" w:rsidRDefault="00F139B8" w:rsidP="00F139B8">
      <w:r w:rsidRPr="00D95A69">
        <w:t xml:space="preserve">Minor MRI endpoints (active T1 </w:t>
      </w:r>
      <w:proofErr w:type="spellStart"/>
      <w:r w:rsidRPr="00D95A69">
        <w:t>Gd</w:t>
      </w:r>
      <w:proofErr w:type="spellEnd"/>
      <w:r>
        <w:t>+</w:t>
      </w:r>
      <w:r w:rsidRPr="00D95A69">
        <w:t xml:space="preserve"> lesions, new T2 lesions, </w:t>
      </w:r>
      <w:proofErr w:type="gramStart"/>
      <w:r w:rsidRPr="00D95A69">
        <w:t>new</w:t>
      </w:r>
      <w:proofErr w:type="gramEnd"/>
      <w:r w:rsidRPr="00D95A69">
        <w:t xml:space="preserve"> T1 </w:t>
      </w:r>
      <w:proofErr w:type="spellStart"/>
      <w:r w:rsidRPr="00D95A69">
        <w:t>hypointense</w:t>
      </w:r>
      <w:proofErr w:type="spellEnd"/>
      <w:r w:rsidRPr="00D95A69">
        <w:t xml:space="preserve"> lesions) also favoured active therapy, showing significantly less disease activity during double-blind treatment </w:t>
      </w:r>
      <w:r>
        <w:t>compared to placebo. The results</w:t>
      </w:r>
      <w:r w:rsidRPr="00D95A69">
        <w:t xml:space="preserve"> for </w:t>
      </w:r>
      <w:r>
        <w:t>each of these minor endpoints are</w:t>
      </w:r>
      <w:r w:rsidRPr="00D95A69">
        <w:t xml:space="preserve"> shown in Tables </w:t>
      </w:r>
      <w:r w:rsidR="00827B06">
        <w:t>12-14</w:t>
      </w:r>
      <w:r w:rsidRPr="00D95A69">
        <w:t>.</w:t>
      </w:r>
      <w:r w:rsidR="00B056CA">
        <w:t xml:space="preserve"> </w:t>
      </w:r>
      <w:r w:rsidRPr="00D95A69">
        <w:t xml:space="preserve">For the proposed </w:t>
      </w:r>
      <w:proofErr w:type="spellStart"/>
      <w:r w:rsidRPr="00D95A69">
        <w:t>tiw</w:t>
      </w:r>
      <w:proofErr w:type="spellEnd"/>
      <w:r w:rsidRPr="00D95A69">
        <w:t xml:space="preserve"> dose, all comparisons </w:t>
      </w:r>
      <w:r>
        <w:t xml:space="preserve">versus placebo </w:t>
      </w:r>
      <w:r w:rsidRPr="00D95A69">
        <w:t>were associated wit</w:t>
      </w:r>
      <w:r>
        <w:t>h a p-value &lt;0.001. The between-</w:t>
      </w:r>
      <w:r w:rsidRPr="00D95A69">
        <w:t>dose comparison (44</w:t>
      </w:r>
      <w:r w:rsidR="00DB22EB" w:rsidRPr="00DB22EB">
        <w:t xml:space="preserve"> </w:t>
      </w:r>
      <w:r w:rsidR="00DB22EB">
        <w:t>µg</w:t>
      </w:r>
      <w:r w:rsidRPr="00D95A69">
        <w:t xml:space="preserve"> </w:t>
      </w:r>
      <w:proofErr w:type="spellStart"/>
      <w:r w:rsidRPr="00D95A69">
        <w:t>t</w:t>
      </w:r>
      <w:r>
        <w:t>iw</w:t>
      </w:r>
      <w:proofErr w:type="spellEnd"/>
      <w:r>
        <w:t xml:space="preserve"> </w:t>
      </w:r>
      <w:proofErr w:type="spellStart"/>
      <w:r>
        <w:t>vs</w:t>
      </w:r>
      <w:proofErr w:type="spellEnd"/>
      <w:r>
        <w:t xml:space="preserve"> 44</w:t>
      </w:r>
      <w:r w:rsidR="00DB22EB" w:rsidRPr="00DB22EB">
        <w:t xml:space="preserve"> </w:t>
      </w:r>
      <w:r w:rsidR="00DB22EB">
        <w:t>µg</w:t>
      </w:r>
      <w:r>
        <w:t xml:space="preserve"> </w:t>
      </w:r>
      <w:proofErr w:type="spellStart"/>
      <w:r>
        <w:t>ow</w:t>
      </w:r>
      <w:proofErr w:type="spellEnd"/>
      <w:r>
        <w:t>) was also statistically</w:t>
      </w:r>
      <w:r w:rsidRPr="00D95A69">
        <w:t xml:space="preserve"> significant for all MRI parameters, in favour of the higher dose.</w:t>
      </w:r>
    </w:p>
    <w:p w:rsidR="00F139B8" w:rsidRDefault="00F139B8" w:rsidP="00A55A25">
      <w:pPr>
        <w:pStyle w:val="TableTitle"/>
        <w:rPr>
          <w:lang w:val="en-GB"/>
        </w:rPr>
      </w:pPr>
      <w:r>
        <w:lastRenderedPageBreak/>
        <w:t>Table 12:</w:t>
      </w:r>
      <w:r w:rsidRPr="004C5C28">
        <w:t xml:space="preserve"> </w:t>
      </w:r>
      <w:r>
        <w:t xml:space="preserve">24 month analysis: </w:t>
      </w:r>
      <w:r w:rsidR="000725C7">
        <w:t>number of new T2 lesions during the DB period – stratified non parametric ANCOVA</w:t>
      </w:r>
      <w:r>
        <w:t xml:space="preserve"> (ITT population).</w:t>
      </w:r>
    </w:p>
    <w:p w:rsidR="00505FAE" w:rsidRDefault="00B90934" w:rsidP="00A55A25">
      <w:pPr>
        <w:rPr>
          <w:lang w:eastAsia="ja-JP"/>
        </w:rPr>
      </w:pPr>
      <w:r>
        <w:rPr>
          <w:noProof/>
          <w:lang w:eastAsia="en-AU"/>
        </w:rPr>
        <w:drawing>
          <wp:inline distT="0" distB="0" distL="0" distR="0">
            <wp:extent cx="4906645" cy="5022215"/>
            <wp:effectExtent l="19050" t="0" r="8255" b="0"/>
            <wp:docPr id="14" name="Picture 14" descr="Table 12: 24 month analysis: number of new T2 lesions during the DB period – stratified non parametric ANCOVA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able 12: 24 month analysis: number of new T2 lesions during the DB period – stratified non parametric ANCOVA (ITT population)."/>
                    <pic:cNvPicPr>
                      <a:picLocks noChangeAspect="1" noChangeArrowheads="1"/>
                    </pic:cNvPicPr>
                  </pic:nvPicPr>
                  <pic:blipFill>
                    <a:blip r:embed="rId27" cstate="print"/>
                    <a:srcRect/>
                    <a:stretch>
                      <a:fillRect/>
                    </a:stretch>
                  </pic:blipFill>
                  <pic:spPr bwMode="auto">
                    <a:xfrm>
                      <a:off x="0" y="0"/>
                      <a:ext cx="4906645" cy="5022215"/>
                    </a:xfrm>
                    <a:prstGeom prst="rect">
                      <a:avLst/>
                    </a:prstGeom>
                    <a:noFill/>
                    <a:ln w="9525">
                      <a:noFill/>
                      <a:miter lim="800000"/>
                      <a:headEnd/>
                      <a:tailEnd/>
                    </a:ln>
                  </pic:spPr>
                </pic:pic>
              </a:graphicData>
            </a:graphic>
          </wp:inline>
        </w:drawing>
      </w:r>
    </w:p>
    <w:p w:rsidR="00F139B8" w:rsidRDefault="00F139B8" w:rsidP="00A55A25">
      <w:pPr>
        <w:pStyle w:val="TableTitle"/>
        <w:rPr>
          <w:lang w:val="en-GB"/>
        </w:rPr>
      </w:pPr>
      <w:r>
        <w:lastRenderedPageBreak/>
        <w:t>Table 13:</w:t>
      </w:r>
      <w:r w:rsidRPr="004C5C28">
        <w:t xml:space="preserve"> </w:t>
      </w:r>
      <w:r w:rsidR="000725C7">
        <w:t xml:space="preserve">24 month analysis: number of new T1 </w:t>
      </w:r>
      <w:proofErr w:type="spellStart"/>
      <w:r w:rsidR="000725C7">
        <w:t>hypointense</w:t>
      </w:r>
      <w:proofErr w:type="spellEnd"/>
      <w:r w:rsidR="000725C7">
        <w:t xml:space="preserve"> lesions during the DB period – stratified non parametric ANCOVA (ITT population</w:t>
      </w:r>
      <w:r>
        <w:t>).</w:t>
      </w:r>
    </w:p>
    <w:p w:rsidR="00F139B8" w:rsidRDefault="00B90934" w:rsidP="00A55A25">
      <w:pPr>
        <w:rPr>
          <w:lang w:eastAsia="ja-JP"/>
        </w:rPr>
      </w:pPr>
      <w:r>
        <w:rPr>
          <w:noProof/>
          <w:lang w:eastAsia="en-AU"/>
        </w:rPr>
        <w:drawing>
          <wp:inline distT="0" distB="0" distL="0" distR="0">
            <wp:extent cx="4701540" cy="4906645"/>
            <wp:effectExtent l="19050" t="0" r="3810" b="0"/>
            <wp:docPr id="15" name="Picture 15" descr="Table 13: 24 month analysis: number of new T1 hypointense lesions during the DB period – stratified non parametric ANCOVA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able 13: 24 month analysis: number of new T1 hypointense lesions during the DB period – stratified non parametric ANCOVA (ITT population)."/>
                    <pic:cNvPicPr>
                      <a:picLocks noChangeAspect="1" noChangeArrowheads="1"/>
                    </pic:cNvPicPr>
                  </pic:nvPicPr>
                  <pic:blipFill>
                    <a:blip r:embed="rId28" cstate="print"/>
                    <a:srcRect/>
                    <a:stretch>
                      <a:fillRect/>
                    </a:stretch>
                  </pic:blipFill>
                  <pic:spPr bwMode="auto">
                    <a:xfrm>
                      <a:off x="0" y="0"/>
                      <a:ext cx="4701540" cy="4906645"/>
                    </a:xfrm>
                    <a:prstGeom prst="rect">
                      <a:avLst/>
                    </a:prstGeom>
                    <a:noFill/>
                    <a:ln w="9525">
                      <a:noFill/>
                      <a:miter lim="800000"/>
                      <a:headEnd/>
                      <a:tailEnd/>
                    </a:ln>
                  </pic:spPr>
                </pic:pic>
              </a:graphicData>
            </a:graphic>
          </wp:inline>
        </w:drawing>
      </w:r>
    </w:p>
    <w:p w:rsidR="00F139B8" w:rsidRDefault="00F139B8" w:rsidP="00A55A25">
      <w:pPr>
        <w:pStyle w:val="TableTitle"/>
        <w:rPr>
          <w:lang w:val="en-GB"/>
        </w:rPr>
      </w:pPr>
      <w:r>
        <w:lastRenderedPageBreak/>
        <w:t>Table 14:</w:t>
      </w:r>
      <w:r w:rsidRPr="004C5C28">
        <w:t xml:space="preserve"> </w:t>
      </w:r>
      <w:r w:rsidR="000725C7">
        <w:t>24 month analysis: number of new GD enhancing lesions during the DB period – stratified non parametric ANCOVA (ITT population</w:t>
      </w:r>
      <w:r>
        <w:t>).</w:t>
      </w:r>
    </w:p>
    <w:p w:rsidR="00F139B8" w:rsidRDefault="00B90934" w:rsidP="00A55A25">
      <w:pPr>
        <w:rPr>
          <w:lang w:eastAsia="ja-JP"/>
        </w:rPr>
      </w:pPr>
      <w:r>
        <w:rPr>
          <w:noProof/>
          <w:lang w:eastAsia="en-AU"/>
        </w:rPr>
        <w:drawing>
          <wp:inline distT="0" distB="0" distL="0" distR="0">
            <wp:extent cx="4749165" cy="5029200"/>
            <wp:effectExtent l="19050" t="0" r="0" b="0"/>
            <wp:docPr id="16" name="Picture 16" descr="Table 14: 24 month analysis: number of new GD enhancing lesions during the DB period – stratified non parametric ANCOVA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able 14: 24 month analysis: number of new GD enhancing lesions during the DB period – stratified non parametric ANCOVA (ITT population)."/>
                    <pic:cNvPicPr>
                      <a:picLocks noChangeAspect="1" noChangeArrowheads="1"/>
                    </pic:cNvPicPr>
                  </pic:nvPicPr>
                  <pic:blipFill>
                    <a:blip r:embed="rId29" cstate="print"/>
                    <a:srcRect/>
                    <a:stretch>
                      <a:fillRect/>
                    </a:stretch>
                  </pic:blipFill>
                  <pic:spPr bwMode="auto">
                    <a:xfrm>
                      <a:off x="0" y="0"/>
                      <a:ext cx="4749165" cy="5029200"/>
                    </a:xfrm>
                    <a:prstGeom prst="rect">
                      <a:avLst/>
                    </a:prstGeom>
                    <a:noFill/>
                    <a:ln w="9525">
                      <a:noFill/>
                      <a:miter lim="800000"/>
                      <a:headEnd/>
                      <a:tailEnd/>
                    </a:ln>
                  </pic:spPr>
                </pic:pic>
              </a:graphicData>
            </a:graphic>
          </wp:inline>
        </w:drawing>
      </w:r>
    </w:p>
    <w:p w:rsidR="00F139B8" w:rsidRDefault="00F139B8" w:rsidP="00F139B8">
      <w:r>
        <w:t xml:space="preserve">The sponsor also collected quality-of-life data using a validated questionnaire, the EQ-5D, but the groups were essentially similar, showing no major changes over the course of 24 months, and no difference with active treatment </w:t>
      </w:r>
      <w:proofErr w:type="spellStart"/>
      <w:r>
        <w:t>vs</w:t>
      </w:r>
      <w:proofErr w:type="spellEnd"/>
      <w:r>
        <w:t xml:space="preserve"> placebo. The median scores in all 3 groups at 24 months were the same (data not shown). This is not surprising given the very early stage of the disease.</w:t>
      </w:r>
    </w:p>
    <w:p w:rsidR="000725C7" w:rsidRDefault="00A55A25" w:rsidP="00A55A25">
      <w:pPr>
        <w:pStyle w:val="Heading4"/>
      </w:pPr>
      <w:bookmarkStart w:id="52" w:name="_Toc348083959"/>
      <w:r>
        <w:t>Subgroup a</w:t>
      </w:r>
      <w:r w:rsidR="000725C7">
        <w:t>nalyses</w:t>
      </w:r>
      <w:bookmarkEnd w:id="52"/>
    </w:p>
    <w:p w:rsidR="000725C7" w:rsidRDefault="000725C7" w:rsidP="000725C7">
      <w:r>
        <w:t xml:space="preserve">Subgroup analyses were performed based on the four pre-specified stratification factors: age, multifocal </w:t>
      </w:r>
      <w:proofErr w:type="spellStart"/>
      <w:r>
        <w:t>vs</w:t>
      </w:r>
      <w:proofErr w:type="spellEnd"/>
      <w:r>
        <w:t xml:space="preserve"> </w:t>
      </w:r>
      <w:proofErr w:type="spellStart"/>
      <w:r>
        <w:t>unifocal</w:t>
      </w:r>
      <w:proofErr w:type="spellEnd"/>
      <w:r>
        <w:t xml:space="preserve"> clinical disease, steroid use at disease onset, and the presence of </w:t>
      </w:r>
      <w:proofErr w:type="spellStart"/>
      <w:r>
        <w:t>Gd</w:t>
      </w:r>
      <w:proofErr w:type="spellEnd"/>
      <w:r>
        <w:t xml:space="preserve">+ lesions on MRI. The sponsor also assessed subgroups based on gender and on the number of T2 lesions on MRI at baseline (&lt;9 </w:t>
      </w:r>
      <w:proofErr w:type="spellStart"/>
      <w:r>
        <w:t>vs</w:t>
      </w:r>
      <w:proofErr w:type="spellEnd"/>
      <w:r>
        <w:t xml:space="preserve"> ≥9).</w:t>
      </w:r>
    </w:p>
    <w:p w:rsidR="000725C7" w:rsidRDefault="000725C7" w:rsidP="000725C7">
      <w:r>
        <w:t xml:space="preserve">The subgroup analyses for the primary endpoint (McDonald MS) are shown in the table below. In all subgroups, the hazard ratio numerically favoured active treatment, even at the low, once-weekly dose. For the proposed </w:t>
      </w:r>
      <w:proofErr w:type="spellStart"/>
      <w:r>
        <w:t>tiw</w:t>
      </w:r>
      <w:proofErr w:type="spellEnd"/>
      <w:r>
        <w:t xml:space="preserve"> dose, the treatment effect was statistically significant in nearly every subgroup. The only exception was male gender, which was not one of the pre-specified stratification factors. In males, the hazard ratio was 0.71 in favour of active treatment, but</w:t>
      </w:r>
      <w:r w:rsidR="00C37FD7">
        <w:t xml:space="preserve"> the 95%CI crossed unity (0.46-</w:t>
      </w:r>
      <w:r>
        <w:t xml:space="preserve">1.08), as shown </w:t>
      </w:r>
      <w:r w:rsidR="00C37FD7">
        <w:t>in Table 15.</w:t>
      </w:r>
      <w:r>
        <w:t xml:space="preserve"> For females, the benefit appeared more pronounced: the hazard ratio was 0.44 with the 95%CI showing clear statistical significance (0.32 – 0.61).</w:t>
      </w:r>
    </w:p>
    <w:p w:rsidR="00294084" w:rsidRDefault="00294084" w:rsidP="00A55A25">
      <w:pPr>
        <w:pStyle w:val="TableTitle"/>
        <w:rPr>
          <w:lang w:val="en-GB"/>
        </w:rPr>
      </w:pPr>
      <w:r>
        <w:lastRenderedPageBreak/>
        <w:t>Table 15:</w:t>
      </w:r>
      <w:r w:rsidRPr="004C5C28">
        <w:t xml:space="preserve"> </w:t>
      </w:r>
      <w:r>
        <w:t>Analysis of the time to conversion to McDonald MS according to pre specified subgroups (ITT population; n = 517).</w:t>
      </w:r>
    </w:p>
    <w:p w:rsidR="00F139B8" w:rsidRDefault="00B90934" w:rsidP="00A55A25">
      <w:pPr>
        <w:rPr>
          <w:noProof/>
          <w:lang w:eastAsia="en-AU"/>
        </w:rPr>
      </w:pPr>
      <w:r>
        <w:rPr>
          <w:noProof/>
          <w:lang w:eastAsia="en-AU"/>
        </w:rPr>
        <w:drawing>
          <wp:inline distT="0" distB="0" distL="0" distR="0">
            <wp:extent cx="5206365" cy="3677920"/>
            <wp:effectExtent l="19050" t="0" r="0" b="0"/>
            <wp:docPr id="17" name="Picture 17" descr="Table 15: Analysis of the time to conversion to McDonald MS according to pre specified subgroups (ITT population; n =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able 15: Analysis of the time to conversion to McDonald MS according to pre specified subgroups (ITT population; n = 517)."/>
                    <pic:cNvPicPr>
                      <a:picLocks noChangeAspect="1" noChangeArrowheads="1"/>
                    </pic:cNvPicPr>
                  </pic:nvPicPr>
                  <pic:blipFill>
                    <a:blip r:embed="rId30" cstate="print"/>
                    <a:srcRect/>
                    <a:stretch>
                      <a:fillRect/>
                    </a:stretch>
                  </pic:blipFill>
                  <pic:spPr bwMode="auto">
                    <a:xfrm>
                      <a:off x="0" y="0"/>
                      <a:ext cx="5206365" cy="3677920"/>
                    </a:xfrm>
                    <a:prstGeom prst="rect">
                      <a:avLst/>
                    </a:prstGeom>
                    <a:noFill/>
                    <a:ln w="9525">
                      <a:noFill/>
                      <a:miter lim="800000"/>
                      <a:headEnd/>
                      <a:tailEnd/>
                    </a:ln>
                  </pic:spPr>
                </pic:pic>
              </a:graphicData>
            </a:graphic>
          </wp:inline>
        </w:drawing>
      </w:r>
    </w:p>
    <w:p w:rsidR="00C37FD7" w:rsidRDefault="00C37FD7" w:rsidP="00C37FD7">
      <w:r>
        <w:t xml:space="preserve">The reasons behind the lack of significant benefit in males </w:t>
      </w:r>
      <w:r w:rsidR="00936202">
        <w:t>are</w:t>
      </w:r>
      <w:r>
        <w:t xml:space="preserve"> unclear, but this subgroup was smaller than the female subgroup, and the study was not powered to address efficacy according to gender. The </w:t>
      </w:r>
      <w:r w:rsidRPr="008853C4">
        <w:rPr>
          <w:i/>
        </w:rPr>
        <w:t>direction</w:t>
      </w:r>
      <w:r>
        <w:t xml:space="preserve"> of the effect in males was at least favourable. Also, when a similar subgroup analysis was performed for the secondary endpoint (CDMS), as shown in the subsequent table, the hazard ratios in the two gender-based subgroups were numerically similar (males 0.53, females 0.46), suggesting a broadly consistent treatment effect in the two genders. For the secondary endpoint of CDMS, the 95%CI in the male subgroup crossed unity, but this subgroup was about half the size of the female subgroup, reducing the statistical power of the analysis.</w:t>
      </w:r>
    </w:p>
    <w:p w:rsidR="005E625B" w:rsidRDefault="005E625B" w:rsidP="005E625B">
      <w:r>
        <w:t>Subgroup analysis for the secondary endpoint (CDMS) is shown in Table 16. This endpoint was reached less frequently than the primary endpoint, and the subgroup analysis was therefore underpowered. The direction of the treatment effect was favourable in every subgroup, but this did not always reach statistical significance.</w:t>
      </w:r>
    </w:p>
    <w:p w:rsidR="005E625B" w:rsidRDefault="005E625B" w:rsidP="00A55A25">
      <w:pPr>
        <w:pStyle w:val="TableTitle"/>
        <w:rPr>
          <w:lang w:val="en-GB"/>
        </w:rPr>
      </w:pPr>
      <w:r>
        <w:lastRenderedPageBreak/>
        <w:t>Table 1</w:t>
      </w:r>
      <w:r w:rsidR="00B4680A">
        <w:t>6</w:t>
      </w:r>
      <w:r>
        <w:t>:</w:t>
      </w:r>
      <w:r w:rsidRPr="004C5C28">
        <w:t xml:space="preserve"> </w:t>
      </w:r>
      <w:r>
        <w:t xml:space="preserve">Analysis of the time to conversion to </w:t>
      </w:r>
      <w:r w:rsidR="004770D0">
        <w:t>CD</w:t>
      </w:r>
      <w:r>
        <w:t>MS according to pre specified subgroups (ITT population; n = 517).</w:t>
      </w:r>
    </w:p>
    <w:p w:rsidR="005E625B" w:rsidRDefault="00B90934" w:rsidP="00A55A25">
      <w:pPr>
        <w:rPr>
          <w:lang w:eastAsia="ja-JP"/>
        </w:rPr>
      </w:pPr>
      <w:r>
        <w:rPr>
          <w:noProof/>
          <w:lang w:eastAsia="en-AU"/>
        </w:rPr>
        <w:drawing>
          <wp:inline distT="0" distB="0" distL="0" distR="0">
            <wp:extent cx="5118100" cy="3644265"/>
            <wp:effectExtent l="19050" t="0" r="6350" b="0"/>
            <wp:docPr id="18" name="Picture 18" descr="Table 16: Analysis of the time to conversion to CDMS according to pre specified subgroups (ITT population; n =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able 16: Analysis of the time to conversion to CDMS according to pre specified subgroups (ITT population; n = 517)."/>
                    <pic:cNvPicPr>
                      <a:picLocks noChangeAspect="1" noChangeArrowheads="1"/>
                    </pic:cNvPicPr>
                  </pic:nvPicPr>
                  <pic:blipFill>
                    <a:blip r:embed="rId31" cstate="print"/>
                    <a:srcRect/>
                    <a:stretch>
                      <a:fillRect/>
                    </a:stretch>
                  </pic:blipFill>
                  <pic:spPr bwMode="auto">
                    <a:xfrm>
                      <a:off x="0" y="0"/>
                      <a:ext cx="5118100" cy="3644265"/>
                    </a:xfrm>
                    <a:prstGeom prst="rect">
                      <a:avLst/>
                    </a:prstGeom>
                    <a:noFill/>
                    <a:ln w="9525">
                      <a:noFill/>
                      <a:miter lim="800000"/>
                      <a:headEnd/>
                      <a:tailEnd/>
                    </a:ln>
                  </pic:spPr>
                </pic:pic>
              </a:graphicData>
            </a:graphic>
          </wp:inline>
        </w:drawing>
      </w:r>
    </w:p>
    <w:p w:rsidR="004770D0" w:rsidRDefault="00A55A25" w:rsidP="00A55A25">
      <w:pPr>
        <w:pStyle w:val="Heading3"/>
      </w:pPr>
      <w:bookmarkStart w:id="53" w:name="_Toc348083960"/>
      <w:bookmarkStart w:id="54" w:name="_Toc373928631"/>
      <w:bookmarkStart w:id="55" w:name="_Toc290846276"/>
      <w:r>
        <w:t>Other e</w:t>
      </w:r>
      <w:r w:rsidR="004770D0">
        <w:t xml:space="preserve">fficacy </w:t>
      </w:r>
      <w:r>
        <w:t>s</w:t>
      </w:r>
      <w:r w:rsidR="004770D0">
        <w:t>tudies</w:t>
      </w:r>
      <w:bookmarkEnd w:id="53"/>
      <w:bookmarkEnd w:id="54"/>
    </w:p>
    <w:p w:rsidR="004770D0" w:rsidRDefault="004770D0" w:rsidP="00A55A25">
      <w:pPr>
        <w:pStyle w:val="Heading4"/>
      </w:pPr>
      <w:bookmarkStart w:id="56" w:name="_Toc348083961"/>
      <w:r>
        <w:t xml:space="preserve">Extension </w:t>
      </w:r>
      <w:r w:rsidR="00A55A25">
        <w:t>s</w:t>
      </w:r>
      <w:r>
        <w:t>tudy (</w:t>
      </w:r>
      <w:bookmarkEnd w:id="55"/>
      <w:r>
        <w:t>REFLEXION, 28981)</w:t>
      </w:r>
      <w:bookmarkEnd w:id="56"/>
    </w:p>
    <w:p w:rsidR="004770D0" w:rsidRDefault="004770D0" w:rsidP="004770D0">
      <w:r>
        <w:t>The sponsor has designed an open-label extension study, which is still on-going. No interim results for this study were submitted. In the Clinical Overview, the sponsor described it as follows:</w:t>
      </w:r>
    </w:p>
    <w:p w:rsidR="004770D0" w:rsidRPr="0026452F" w:rsidRDefault="004770D0" w:rsidP="00DE1000">
      <w:pPr>
        <w:ind w:left="720"/>
        <w:rPr>
          <w:i/>
        </w:rPr>
      </w:pPr>
      <w:r w:rsidRPr="0026452F">
        <w:rPr>
          <w:i/>
        </w:rPr>
        <w:t xml:space="preserve">“To further explore the long-term benefits of early RNF treatment in subjects with a single </w:t>
      </w:r>
      <w:proofErr w:type="spellStart"/>
      <w:r w:rsidRPr="0026452F">
        <w:rPr>
          <w:i/>
        </w:rPr>
        <w:t>demyelinating</w:t>
      </w:r>
      <w:proofErr w:type="spellEnd"/>
      <w:r w:rsidRPr="0026452F">
        <w:rPr>
          <w:i/>
        </w:rPr>
        <w:t xml:space="preserve"> event, subjects who completed Study 27025 (REFLEX) were offered enrolment into a pre-planned double-blind extension study. The ongoing extension Study 28981 (REFLEXION) will examine subjects for a total observation period of 60 months after the start of treatment in Study 27025 (REFLEX). Relapses, neurological disability, safety, and immunogenicity will be evaluated, among other outcome variables, for both </w:t>
      </w:r>
      <w:r w:rsidRPr="00DB22EB">
        <w:rPr>
          <w:i/>
        </w:rPr>
        <w:t xml:space="preserve">RNF 44 </w:t>
      </w:r>
      <w:r w:rsidR="00DB22EB" w:rsidRPr="00DB22EB">
        <w:rPr>
          <w:i/>
        </w:rPr>
        <w:t>µg</w:t>
      </w:r>
      <w:r w:rsidRPr="00DB22EB">
        <w:rPr>
          <w:i/>
        </w:rPr>
        <w:t xml:space="preserve"> </w:t>
      </w:r>
      <w:proofErr w:type="spellStart"/>
      <w:r w:rsidRPr="00DB22EB">
        <w:rPr>
          <w:i/>
        </w:rPr>
        <w:t>tiw</w:t>
      </w:r>
      <w:proofErr w:type="spellEnd"/>
      <w:r w:rsidRPr="00DB22EB">
        <w:rPr>
          <w:i/>
        </w:rPr>
        <w:t xml:space="preserve"> and 44 </w:t>
      </w:r>
      <w:r w:rsidR="00DB22EB" w:rsidRPr="00DB22EB">
        <w:rPr>
          <w:i/>
        </w:rPr>
        <w:t>µg</w:t>
      </w:r>
      <w:r w:rsidRPr="00DB22EB">
        <w:rPr>
          <w:i/>
        </w:rPr>
        <w:t xml:space="preserve"> </w:t>
      </w:r>
      <w:proofErr w:type="spellStart"/>
      <w:r w:rsidRPr="00DB22EB">
        <w:rPr>
          <w:i/>
        </w:rPr>
        <w:t>ow</w:t>
      </w:r>
      <w:proofErr w:type="spellEnd"/>
      <w:r w:rsidRPr="00DB22EB">
        <w:rPr>
          <w:i/>
        </w:rPr>
        <w:t>. After 2 years in Study 27025 (REFLEX), subjects who had not</w:t>
      </w:r>
      <w:r w:rsidRPr="0026452F">
        <w:rPr>
          <w:i/>
        </w:rPr>
        <w:t xml:space="preserve"> converted to CDMS were </w:t>
      </w:r>
      <w:r w:rsidRPr="00DB22EB">
        <w:rPr>
          <w:i/>
        </w:rPr>
        <w:t xml:space="preserve">switched to RNF 44 </w:t>
      </w:r>
      <w:r w:rsidR="00DB22EB" w:rsidRPr="00DB22EB">
        <w:rPr>
          <w:i/>
        </w:rPr>
        <w:t>µg</w:t>
      </w:r>
      <w:r w:rsidRPr="00DB22EB">
        <w:rPr>
          <w:i/>
        </w:rPr>
        <w:t xml:space="preserve"> </w:t>
      </w:r>
      <w:proofErr w:type="spellStart"/>
      <w:r w:rsidRPr="00DB22EB">
        <w:rPr>
          <w:i/>
        </w:rPr>
        <w:t>tiw</w:t>
      </w:r>
      <w:proofErr w:type="spellEnd"/>
      <w:r w:rsidRPr="00DB22EB">
        <w:rPr>
          <w:i/>
        </w:rPr>
        <w:t xml:space="preserve"> at Month 24 in a double-blind manner if they were initially randomized to Placebo, and those initially randomi</w:t>
      </w:r>
      <w:r w:rsidR="00DE1000" w:rsidRPr="00DB22EB">
        <w:rPr>
          <w:i/>
        </w:rPr>
        <w:t>s</w:t>
      </w:r>
      <w:r w:rsidRPr="00DB22EB">
        <w:rPr>
          <w:i/>
        </w:rPr>
        <w:t xml:space="preserve">ed to the active treatment (RNF 44 </w:t>
      </w:r>
      <w:r w:rsidR="00DB22EB" w:rsidRPr="00DB22EB">
        <w:rPr>
          <w:i/>
        </w:rPr>
        <w:t>µg</w:t>
      </w:r>
      <w:r w:rsidRPr="00DB22EB">
        <w:rPr>
          <w:i/>
        </w:rPr>
        <w:t xml:space="preserve"> </w:t>
      </w:r>
      <w:proofErr w:type="spellStart"/>
      <w:r w:rsidRPr="00DB22EB">
        <w:rPr>
          <w:i/>
        </w:rPr>
        <w:t>tiw</w:t>
      </w:r>
      <w:proofErr w:type="spellEnd"/>
      <w:r w:rsidRPr="00DB22EB">
        <w:rPr>
          <w:i/>
        </w:rPr>
        <w:t xml:space="preserve"> or 44 </w:t>
      </w:r>
      <w:r w:rsidR="00DB22EB" w:rsidRPr="00DB22EB">
        <w:rPr>
          <w:i/>
        </w:rPr>
        <w:t>µg</w:t>
      </w:r>
      <w:r w:rsidRPr="00DB22EB">
        <w:rPr>
          <w:i/>
        </w:rPr>
        <w:t xml:space="preserve"> </w:t>
      </w:r>
      <w:proofErr w:type="spellStart"/>
      <w:r w:rsidRPr="00DB22EB">
        <w:rPr>
          <w:i/>
        </w:rPr>
        <w:t>ow</w:t>
      </w:r>
      <w:proofErr w:type="spellEnd"/>
      <w:r w:rsidRPr="00DB22EB">
        <w:rPr>
          <w:i/>
        </w:rPr>
        <w:t>) continue with their treatment</w:t>
      </w:r>
      <w:r w:rsidRPr="0026452F">
        <w:rPr>
          <w:i/>
        </w:rPr>
        <w:t xml:space="preserve"> schedule.”</w:t>
      </w:r>
    </w:p>
    <w:p w:rsidR="004770D0" w:rsidRDefault="004770D0" w:rsidP="00A55A25">
      <w:pPr>
        <w:pStyle w:val="Heading4"/>
      </w:pPr>
      <w:bookmarkStart w:id="57" w:name="_Toc348083962"/>
      <w:r>
        <w:t xml:space="preserve">Previously </w:t>
      </w:r>
      <w:r w:rsidR="00A55A25">
        <w:t>p</w:t>
      </w:r>
      <w:r>
        <w:t xml:space="preserve">ublished </w:t>
      </w:r>
      <w:r w:rsidR="00A55A25">
        <w:t>s</w:t>
      </w:r>
      <w:r>
        <w:t xml:space="preserve">tudy of </w:t>
      </w:r>
      <w:proofErr w:type="spellStart"/>
      <w:r>
        <w:t>Rebif</w:t>
      </w:r>
      <w:proofErr w:type="spellEnd"/>
      <w:r>
        <w:t xml:space="preserve"> in CIS</w:t>
      </w:r>
      <w:bookmarkEnd w:id="57"/>
    </w:p>
    <w:p w:rsidR="00DE1000" w:rsidRDefault="004770D0" w:rsidP="004770D0">
      <w:r w:rsidRPr="00CB721C">
        <w:rPr>
          <w:b/>
        </w:rPr>
        <w:t>The ETOMS study</w:t>
      </w:r>
      <w:r>
        <w:t xml:space="preserve"> was not submitted but has been published previously. </w:t>
      </w:r>
      <w:proofErr w:type="spellStart"/>
      <w:r>
        <w:t>Comi</w:t>
      </w:r>
      <w:proofErr w:type="spellEnd"/>
      <w:r>
        <w:t xml:space="preserve"> et al (2001) recruited CIS patients with MRI scans suggestive of MS. (It is likely that some of them would have been diagnosed with MS by modern diagnostic criteria, given the increasing sensitivity of the McDonald 2005 and 2010 criteria.) They were randomised to a </w:t>
      </w:r>
      <w:r w:rsidRPr="0026452F">
        <w:rPr>
          <w:b/>
          <w:i/>
        </w:rPr>
        <w:t xml:space="preserve">very low dose of </w:t>
      </w:r>
      <w:proofErr w:type="spellStart"/>
      <w:r w:rsidRPr="0026452F">
        <w:rPr>
          <w:b/>
          <w:i/>
        </w:rPr>
        <w:t>Rebif</w:t>
      </w:r>
      <w:proofErr w:type="spellEnd"/>
      <w:r>
        <w:t xml:space="preserve"> (22</w:t>
      </w:r>
      <w:r w:rsidR="00DB22EB" w:rsidRPr="00DB22EB">
        <w:t xml:space="preserve"> </w:t>
      </w:r>
      <w:r w:rsidR="00DB22EB">
        <w:t>µg</w:t>
      </w:r>
      <w:r>
        <w:t xml:space="preserve"> SC once weekly) or to placebo, and they were followed for two years to see if they develo</w:t>
      </w:r>
      <w:r w:rsidRPr="00CB721C">
        <w:t>ped CDMS. There was a narrowly significant treatment effect</w:t>
      </w:r>
      <w:r>
        <w:t>, as summarised in the abstract</w:t>
      </w:r>
      <w:r w:rsidR="00DE1000">
        <w:t>:</w:t>
      </w:r>
    </w:p>
    <w:p w:rsidR="004770D0" w:rsidRPr="00CB721C" w:rsidRDefault="004770D0" w:rsidP="00DE1000">
      <w:pPr>
        <w:ind w:left="720"/>
        <w:rPr>
          <w:i/>
        </w:rPr>
      </w:pPr>
      <w:r w:rsidRPr="00CB721C">
        <w:rPr>
          <w:i/>
        </w:rPr>
        <w:t>“</w:t>
      </w:r>
      <w:r w:rsidRPr="00CB721C">
        <w:rPr>
          <w:rFonts w:eastAsia="MS Mincho"/>
          <w:i/>
        </w:rPr>
        <w:t xml:space="preserve">241 (78%) of 308 randomised patients received study treatment for 2 years; 278 (90%) remained in the study until termination. </w:t>
      </w:r>
      <w:proofErr w:type="gramStart"/>
      <w:r w:rsidRPr="00CB721C">
        <w:rPr>
          <w:rFonts w:eastAsia="MS Mincho"/>
          <w:i/>
        </w:rPr>
        <w:t xml:space="preserve">57 (85%) of 67 who stopped therapy did so after </w:t>
      </w:r>
      <w:r w:rsidRPr="00CB721C">
        <w:rPr>
          <w:rFonts w:eastAsia="MS Mincho"/>
          <w:i/>
        </w:rPr>
        <w:lastRenderedPageBreak/>
        <w:t>conversion to clinically definite multiple sclerosis.</w:t>
      </w:r>
      <w:proofErr w:type="gramEnd"/>
      <w:r w:rsidRPr="00CB721C">
        <w:rPr>
          <w:rFonts w:eastAsia="MS Mincho"/>
          <w:i/>
        </w:rPr>
        <w:t xml:space="preserve"> Fewer patients developed clinically definite multiple sclerosis in the</w:t>
      </w:r>
      <w:r>
        <w:rPr>
          <w:rFonts w:eastAsia="MS Mincho"/>
          <w:i/>
        </w:rPr>
        <w:t xml:space="preserve"> </w:t>
      </w:r>
      <w:r w:rsidRPr="00CB721C">
        <w:rPr>
          <w:rFonts w:eastAsia="MS Mincho"/>
          <w:i/>
        </w:rPr>
        <w:t xml:space="preserve">interferon group than in the placebo group (52/154 [34%] </w:t>
      </w:r>
      <w:proofErr w:type="spellStart"/>
      <w:r w:rsidRPr="00CB721C">
        <w:rPr>
          <w:rFonts w:eastAsia="MS Mincho"/>
          <w:i/>
        </w:rPr>
        <w:t>vs</w:t>
      </w:r>
      <w:proofErr w:type="spellEnd"/>
      <w:r w:rsidRPr="00CB721C">
        <w:rPr>
          <w:rFonts w:eastAsia="MS Mincho"/>
          <w:i/>
        </w:rPr>
        <w:t xml:space="preserve"> 69/154 [45%]; p=0·047).”</w:t>
      </w:r>
    </w:p>
    <w:p w:rsidR="004770D0" w:rsidRDefault="004770D0" w:rsidP="004770D0">
      <w:r>
        <w:t>By log-rank analysis, the p-value was slightly more significant (p=0.034) and to visual inspection the KM curves</w:t>
      </w:r>
      <w:r w:rsidR="00B946B0">
        <w:t xml:space="preserve"> in Figure 3</w:t>
      </w:r>
      <w:r>
        <w:t xml:space="preserve"> showed a plausible treatment effect.</w:t>
      </w:r>
    </w:p>
    <w:p w:rsidR="004770D0" w:rsidRDefault="004770D0" w:rsidP="004770D0">
      <w:pPr>
        <w:pStyle w:val="FigureTitle"/>
        <w:rPr>
          <w:lang w:val="en-GB"/>
        </w:rPr>
      </w:pPr>
      <w:r>
        <w:t>Figure 3:</w:t>
      </w:r>
      <w:r w:rsidRPr="004C5C28">
        <w:t xml:space="preserve"> </w:t>
      </w:r>
      <w:r>
        <w:t xml:space="preserve">Kaplan-Meier </w:t>
      </w:r>
      <w:proofErr w:type="gramStart"/>
      <w:r>
        <w:t>survival curve</w:t>
      </w:r>
      <w:proofErr w:type="gramEnd"/>
      <w:r>
        <w:t xml:space="preserve"> of probability of no conversion to clinically definite multiple sclerosis (CDMS) over 2 years.</w:t>
      </w:r>
    </w:p>
    <w:p w:rsidR="004770D0" w:rsidRDefault="00B90934" w:rsidP="00A55A25">
      <w:pPr>
        <w:rPr>
          <w:lang w:eastAsia="ja-JP"/>
        </w:rPr>
      </w:pPr>
      <w:r>
        <w:rPr>
          <w:noProof/>
          <w:lang w:eastAsia="en-AU"/>
        </w:rPr>
        <w:drawing>
          <wp:inline distT="0" distB="0" distL="0" distR="0">
            <wp:extent cx="4981575" cy="3077845"/>
            <wp:effectExtent l="19050" t="0" r="9525" b="0"/>
            <wp:docPr id="19" name="Picture 19" descr="Figure 3: Kaplan-Meier survival curve of probability of no conversion to clinically definite multiple sclerosis (CDMS) over 2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ure 3: Kaplan-Meier survival curve of probability of no conversion to clinically definite multiple sclerosis (CDMS) over 2 years."/>
                    <pic:cNvPicPr>
                      <a:picLocks noChangeAspect="1" noChangeArrowheads="1"/>
                    </pic:cNvPicPr>
                  </pic:nvPicPr>
                  <pic:blipFill>
                    <a:blip r:embed="rId32" cstate="print"/>
                    <a:srcRect/>
                    <a:stretch>
                      <a:fillRect/>
                    </a:stretch>
                  </pic:blipFill>
                  <pic:spPr bwMode="auto">
                    <a:xfrm>
                      <a:off x="0" y="0"/>
                      <a:ext cx="4981575" cy="3077845"/>
                    </a:xfrm>
                    <a:prstGeom prst="rect">
                      <a:avLst/>
                    </a:prstGeom>
                    <a:noFill/>
                    <a:ln w="9525">
                      <a:noFill/>
                      <a:miter lim="800000"/>
                      <a:headEnd/>
                      <a:tailEnd/>
                    </a:ln>
                  </pic:spPr>
                </pic:pic>
              </a:graphicData>
            </a:graphic>
          </wp:inline>
        </w:drawing>
      </w:r>
    </w:p>
    <w:p w:rsidR="004770D0" w:rsidRDefault="004770D0" w:rsidP="004770D0">
      <w:r>
        <w:t xml:space="preserve">This result adds to the external validity of the submitted study, in that it helps fill in the likely dose response curve for </w:t>
      </w:r>
      <w:proofErr w:type="spellStart"/>
      <w:r>
        <w:t>Rebif</w:t>
      </w:r>
      <w:proofErr w:type="spellEnd"/>
      <w:r>
        <w:t xml:space="preserve"> in CIS, showing that even this very low dose had some efficacy in preventing CDMS. Differences in cohorts across studies and changing definitions of MS mean that stronger conclusions cannot be drawn, and the ETOMS study should be considered exploratory. Most importantly, the relevance of the ETOMS study to CIS has been questioned because of the high lesion count in the study cohort. </w:t>
      </w:r>
    </w:p>
    <w:p w:rsidR="004770D0" w:rsidRDefault="004770D0" w:rsidP="004770D0">
      <w:pPr>
        <w:pStyle w:val="Heading3"/>
      </w:pPr>
      <w:bookmarkStart w:id="58" w:name="_Toc241374312"/>
      <w:bookmarkStart w:id="59" w:name="_Toc272414656"/>
      <w:bookmarkStart w:id="60" w:name="_Toc290846281"/>
      <w:bookmarkStart w:id="61" w:name="_Toc348083963"/>
      <w:bookmarkStart w:id="62" w:name="_Toc373928632"/>
      <w:r>
        <w:t xml:space="preserve">Analyses performed across </w:t>
      </w:r>
      <w:r w:rsidR="00AF7969">
        <w:t xml:space="preserve">trials (pooled &amp; </w:t>
      </w:r>
      <w:proofErr w:type="gramStart"/>
      <w:r w:rsidR="00AF7969">
        <w:t>meta</w:t>
      </w:r>
      <w:proofErr w:type="gramEnd"/>
      <w:r w:rsidR="00AF7969">
        <w:t xml:space="preserve"> </w:t>
      </w:r>
      <w:r>
        <w:t>analyses)</w:t>
      </w:r>
      <w:bookmarkEnd w:id="58"/>
      <w:bookmarkEnd w:id="59"/>
      <w:bookmarkEnd w:id="60"/>
      <w:bookmarkEnd w:id="61"/>
      <w:bookmarkEnd w:id="62"/>
    </w:p>
    <w:p w:rsidR="004770D0" w:rsidRDefault="004770D0" w:rsidP="004770D0">
      <w:pPr>
        <w:autoSpaceDE w:val="0"/>
        <w:autoSpaceDN w:val="0"/>
        <w:adjustRightInd w:val="0"/>
      </w:pPr>
      <w:proofErr w:type="gramStart"/>
      <w:r>
        <w:t>None applicable.</w:t>
      </w:r>
      <w:proofErr w:type="gramEnd"/>
    </w:p>
    <w:p w:rsidR="004770D0" w:rsidRPr="003C0A48" w:rsidRDefault="004770D0" w:rsidP="00A55A25">
      <w:pPr>
        <w:pStyle w:val="Heading3"/>
      </w:pPr>
      <w:bookmarkStart w:id="63" w:name="_Ref271126605"/>
      <w:bookmarkStart w:id="64" w:name="_Toc272414657"/>
      <w:bookmarkStart w:id="65" w:name="_Toc290846282"/>
      <w:bookmarkStart w:id="66" w:name="_Toc348083964"/>
      <w:bookmarkStart w:id="67" w:name="_Toc373928633"/>
      <w:r w:rsidRPr="003C0A48">
        <w:t>Evaluator’s conclusions on clinical efficacy for</w:t>
      </w:r>
      <w:r>
        <w:t xml:space="preserve"> </w:t>
      </w:r>
      <w:proofErr w:type="spellStart"/>
      <w:r>
        <w:t>Rebif</w:t>
      </w:r>
      <w:proofErr w:type="spellEnd"/>
      <w:r>
        <w:t xml:space="preserve"> in CIS</w:t>
      </w:r>
      <w:bookmarkEnd w:id="63"/>
      <w:bookmarkEnd w:id="64"/>
      <w:bookmarkEnd w:id="65"/>
      <w:bookmarkEnd w:id="66"/>
      <w:bookmarkEnd w:id="67"/>
    </w:p>
    <w:p w:rsidR="004770D0" w:rsidRDefault="004770D0" w:rsidP="004770D0">
      <w:r>
        <w:t xml:space="preserve">The submission rests on a single pivotal efficacy study. In the cohort studied, which included patients with a clinically isolated </w:t>
      </w:r>
      <w:proofErr w:type="spellStart"/>
      <w:r>
        <w:t>demyelinating</w:t>
      </w:r>
      <w:proofErr w:type="spellEnd"/>
      <w:r>
        <w:t xml:space="preserve"> syndrome and a</w:t>
      </w:r>
      <w:r w:rsidRPr="00EE1FA5">
        <w:t xml:space="preserve"> </w:t>
      </w:r>
      <w:r>
        <w:t>M</w:t>
      </w:r>
      <w:r w:rsidRPr="00EE1FA5">
        <w:t xml:space="preserve">agnetic </w:t>
      </w:r>
      <w:r>
        <w:t>R</w:t>
      </w:r>
      <w:r w:rsidRPr="00EE1FA5">
        <w:t xml:space="preserve">esonance </w:t>
      </w:r>
      <w:r>
        <w:t>I</w:t>
      </w:r>
      <w:r w:rsidRPr="00EE1FA5">
        <w:t xml:space="preserve">maging </w:t>
      </w:r>
      <w:r>
        <w:t xml:space="preserve">(MRI) scan suggestive of MS, </w:t>
      </w:r>
      <w:proofErr w:type="spellStart"/>
      <w:r>
        <w:t>Rebif</w:t>
      </w:r>
      <w:proofErr w:type="spellEnd"/>
      <w:r>
        <w:t xml:space="preserve"> reduced the development of MS, including </w:t>
      </w:r>
      <w:proofErr w:type="spellStart"/>
      <w:r>
        <w:t>radiologically</w:t>
      </w:r>
      <w:proofErr w:type="spellEnd"/>
      <w:r>
        <w:t xml:space="preserve"> defined (McDonald 2001 criteria) MS, which was the primary endpoint, and clinically defined MS (Clinically Definite MS, CDMS), which was the main secondary endpoint. There were also clear benefits on disease activity as measured with MRI. All of these treatment effects were statistically significant.</w:t>
      </w:r>
    </w:p>
    <w:p w:rsidR="004770D0" w:rsidRDefault="004770D0" w:rsidP="004770D0">
      <w:r>
        <w:t xml:space="preserve">Over the course of the study, the total number of subjects diagnosed with McDonald MS was 106/171 (62.0%), 129/175 (73.7%), and 144/171 (84.2%) in the </w:t>
      </w:r>
      <w:proofErr w:type="spellStart"/>
      <w:r>
        <w:t>Rebif</w:t>
      </w:r>
      <w:proofErr w:type="spellEnd"/>
      <w:r>
        <w:t xml:space="preserve"> 44 µg </w:t>
      </w:r>
      <w:proofErr w:type="spellStart"/>
      <w:r>
        <w:t>tiw</w:t>
      </w:r>
      <w:proofErr w:type="spellEnd"/>
      <w:r>
        <w:t xml:space="preserve">, 44 µg </w:t>
      </w:r>
      <w:proofErr w:type="spellStart"/>
      <w:r>
        <w:t>ow</w:t>
      </w:r>
      <w:proofErr w:type="spellEnd"/>
      <w:r>
        <w:t xml:space="preserve">, and placebo groups, respectively. </w:t>
      </w:r>
      <w:r w:rsidRPr="0035395A">
        <w:t>Using the stratified, adjusted model, the two</w:t>
      </w:r>
      <w:r>
        <w:t xml:space="preserve"> </w:t>
      </w:r>
      <w:r w:rsidRPr="0035395A">
        <w:t>year probability of conversion was similar to the raw conversion rates (</w:t>
      </w:r>
      <w:r>
        <w:t xml:space="preserve">62.5% and </w:t>
      </w:r>
      <w:r w:rsidRPr="0035395A">
        <w:t>85.8%</w:t>
      </w:r>
      <w:r>
        <w:t xml:space="preserve"> </w:t>
      </w:r>
      <w:r w:rsidRPr="0035395A">
        <w:t xml:space="preserve">for the proposed dose </w:t>
      </w:r>
      <w:r w:rsidRPr="0035395A">
        <w:lastRenderedPageBreak/>
        <w:t>and placebo, respectively, which gives an absolute risk reduction of 23.3% and a relative risk reduction of 27.1%).</w:t>
      </w:r>
    </w:p>
    <w:p w:rsidR="004770D0" w:rsidRDefault="004770D0" w:rsidP="004770D0">
      <w:r>
        <w:t xml:space="preserve">The model adjusted conversion rates to CDMS over two years were 21%, 22% and 38% in the 44 µg </w:t>
      </w:r>
      <w:proofErr w:type="spellStart"/>
      <w:r>
        <w:t>tiw</w:t>
      </w:r>
      <w:proofErr w:type="spellEnd"/>
      <w:r>
        <w:t xml:space="preserve"> group, 44 µg </w:t>
      </w:r>
      <w:proofErr w:type="spellStart"/>
      <w:r>
        <w:t>ow</w:t>
      </w:r>
      <w:proofErr w:type="spellEnd"/>
      <w:r>
        <w:t xml:space="preserve"> group and placebo group, respectively, giving an absolute risk reduction of 17% for the proposed </w:t>
      </w:r>
      <w:proofErr w:type="spellStart"/>
      <w:r>
        <w:t>tiw</w:t>
      </w:r>
      <w:proofErr w:type="spellEnd"/>
      <w:r>
        <w:t xml:space="preserve"> dose, and a relative risk reduction of 45%.</w:t>
      </w:r>
    </w:p>
    <w:p w:rsidR="004770D0" w:rsidRDefault="004770D0" w:rsidP="004770D0">
      <w:r>
        <w:t xml:space="preserve">The mean number of active lesions per subject per MRI scan was reduced from 2.58 in the placebo group to 0.95 in </w:t>
      </w:r>
      <w:proofErr w:type="gramStart"/>
      <w:r>
        <w:t xml:space="preserve">the </w:t>
      </w:r>
      <w:proofErr w:type="spellStart"/>
      <w:r>
        <w:t>ow</w:t>
      </w:r>
      <w:proofErr w:type="spellEnd"/>
      <w:proofErr w:type="gramEnd"/>
      <w:r>
        <w:t xml:space="preserve"> group and 0.50 in the </w:t>
      </w:r>
      <w:proofErr w:type="spellStart"/>
      <w:r>
        <w:t>tiw</w:t>
      </w:r>
      <w:proofErr w:type="spellEnd"/>
      <w:r>
        <w:t xml:space="preserve"> group.</w:t>
      </w:r>
    </w:p>
    <w:p w:rsidR="004770D0" w:rsidRDefault="004770D0" w:rsidP="00A55A25">
      <w:r>
        <w:t xml:space="preserve">In conclusion, </w:t>
      </w:r>
      <w:proofErr w:type="spellStart"/>
      <w:r>
        <w:t>Rebif</w:t>
      </w:r>
      <w:proofErr w:type="spellEnd"/>
      <w:r>
        <w:t xml:space="preserve"> shows worthwhile efficacy in this cohort of CIS patients. The only caveat is that the cohort studied included many patients who would be diagnosed with MS by more recent criteria, and it did not include any subjects with &lt;2 cerebral MRI lesions. The efficacy of </w:t>
      </w:r>
      <w:proofErr w:type="spellStart"/>
      <w:r>
        <w:t>Rebif</w:t>
      </w:r>
      <w:proofErr w:type="spellEnd"/>
      <w:r>
        <w:t xml:space="preserve"> in the setting of milder CIS cases is therefore unclear.</w:t>
      </w:r>
    </w:p>
    <w:p w:rsidR="00C22678" w:rsidRDefault="00C22678" w:rsidP="00C22678">
      <w:pPr>
        <w:pStyle w:val="Heading2"/>
      </w:pPr>
      <w:bookmarkStart w:id="68" w:name="_Toc373928634"/>
      <w:r>
        <w:t>Clinical safety</w:t>
      </w:r>
      <w:bookmarkEnd w:id="68"/>
    </w:p>
    <w:p w:rsidR="006A3AED" w:rsidRPr="000C5752" w:rsidRDefault="006A3AED" w:rsidP="006A3AED">
      <w:bookmarkStart w:id="69" w:name="_Ref268776745"/>
      <w:r w:rsidRPr="000C5752">
        <w:t>The only new study providing safety data was the pivotal efficacy stud</w:t>
      </w:r>
      <w:bookmarkEnd w:id="69"/>
      <w:r w:rsidRPr="000C5752">
        <w:t>y, ‘REFLEX’, in which the following safety data were collected:</w:t>
      </w:r>
    </w:p>
    <w:p w:rsidR="006A3AED" w:rsidRPr="00A55A25" w:rsidRDefault="006A3AED" w:rsidP="00A55A25">
      <w:pPr>
        <w:pStyle w:val="ListBullet"/>
      </w:pPr>
      <w:r w:rsidRPr="00A55A25">
        <w:t>General adverse events (AEs) were assessed by blinded treating clinicians during regular scheduled visits, unscheduled visits and hospital presentations.</w:t>
      </w:r>
    </w:p>
    <w:p w:rsidR="006A3AED" w:rsidRPr="00A55A25" w:rsidRDefault="006A3AED" w:rsidP="00A55A25">
      <w:pPr>
        <w:pStyle w:val="ListBullet"/>
      </w:pPr>
      <w:r w:rsidRPr="00A55A25">
        <w:t xml:space="preserve">AEs of particular interest, including those expected from the known tolerability profile of </w:t>
      </w:r>
      <w:proofErr w:type="spellStart"/>
      <w:r w:rsidRPr="00A55A25">
        <w:t>Rebif</w:t>
      </w:r>
      <w:proofErr w:type="spellEnd"/>
      <w:r w:rsidRPr="00A55A25">
        <w:t xml:space="preserve">, were drawn from the main AE database. </w:t>
      </w:r>
    </w:p>
    <w:p w:rsidR="006A3AED" w:rsidRPr="00A55A25" w:rsidRDefault="006A3AED" w:rsidP="00A55A25">
      <w:pPr>
        <w:pStyle w:val="ListBullet"/>
      </w:pPr>
      <w:r w:rsidRPr="00A55A25">
        <w:t xml:space="preserve">Laboratory tests, including routine haematological and biochemical monitoring (liver function tests and electrolytes), were performed at each visit. </w:t>
      </w:r>
    </w:p>
    <w:p w:rsidR="006A3AED" w:rsidRPr="00A55A25" w:rsidRDefault="006A3AED" w:rsidP="00A55A25">
      <w:pPr>
        <w:pStyle w:val="ListBullet"/>
      </w:pPr>
      <w:r w:rsidRPr="00A55A25">
        <w:t xml:space="preserve">Serum samples for neutralising antibody surveillance (antibodies directed against beta interferon itself) were collected at baseline and at six monthly intervals; these were processed using standard methodology that distinguished between antibodies (Abs) that merely showed binding to beta interferon (Binding Abs, </w:t>
      </w:r>
      <w:proofErr w:type="spellStart"/>
      <w:r w:rsidRPr="00A55A25">
        <w:t>BAbs</w:t>
      </w:r>
      <w:proofErr w:type="spellEnd"/>
      <w:r w:rsidRPr="00A55A25">
        <w:t xml:space="preserve">) and antibodies capable of neutralising the usual in vitro biological effects of beta interferon (Neutralising Abs, </w:t>
      </w:r>
      <w:proofErr w:type="spellStart"/>
      <w:r w:rsidRPr="00A55A25">
        <w:t>NAbs</w:t>
      </w:r>
      <w:proofErr w:type="spellEnd"/>
      <w:r w:rsidRPr="00A55A25">
        <w:t>).</w:t>
      </w:r>
    </w:p>
    <w:p w:rsidR="00226328" w:rsidRDefault="00226328" w:rsidP="00A55A25">
      <w:pPr>
        <w:pStyle w:val="Heading3"/>
      </w:pPr>
      <w:bookmarkStart w:id="70" w:name="_Ref271195835"/>
      <w:bookmarkStart w:id="71" w:name="_Ref271195841"/>
      <w:bookmarkStart w:id="72" w:name="_Toc272414660"/>
      <w:bookmarkStart w:id="73" w:name="_Toc290846285"/>
      <w:bookmarkStart w:id="74" w:name="_Toc348083967"/>
      <w:bookmarkStart w:id="75" w:name="_Toc373928635"/>
      <w:r>
        <w:t xml:space="preserve">Pivotal studies </w:t>
      </w:r>
      <w:r w:rsidRPr="00027276">
        <w:t xml:space="preserve">that assessed </w:t>
      </w:r>
      <w:r>
        <w:t>safety as a primary outcome</w:t>
      </w:r>
      <w:bookmarkEnd w:id="70"/>
      <w:bookmarkEnd w:id="71"/>
      <w:bookmarkEnd w:id="72"/>
      <w:bookmarkEnd w:id="73"/>
      <w:bookmarkEnd w:id="74"/>
      <w:bookmarkEnd w:id="75"/>
    </w:p>
    <w:p w:rsidR="00226328" w:rsidRDefault="00226328" w:rsidP="00226328">
      <w:r>
        <w:t>No studies were performed in which safety was the primary outcome measure.</w:t>
      </w:r>
    </w:p>
    <w:p w:rsidR="00226328" w:rsidRDefault="00226328" w:rsidP="00A55A25">
      <w:pPr>
        <w:pStyle w:val="Heading3"/>
      </w:pPr>
      <w:bookmarkStart w:id="76" w:name="_Toc241374318"/>
      <w:bookmarkStart w:id="77" w:name="_Ref271196630"/>
      <w:bookmarkStart w:id="78" w:name="_Toc272414662"/>
      <w:bookmarkStart w:id="79" w:name="_Toc290846300"/>
      <w:bookmarkStart w:id="80" w:name="_Toc348083968"/>
      <w:bookmarkStart w:id="81" w:name="_Toc373928636"/>
      <w:r>
        <w:t>Patient exposure</w:t>
      </w:r>
      <w:bookmarkEnd w:id="76"/>
      <w:bookmarkEnd w:id="77"/>
      <w:bookmarkEnd w:id="78"/>
      <w:bookmarkEnd w:id="79"/>
      <w:bookmarkEnd w:id="80"/>
      <w:bookmarkEnd w:id="81"/>
    </w:p>
    <w:p w:rsidR="00226328" w:rsidRDefault="00226328" w:rsidP="00226328">
      <w:r>
        <w:t xml:space="preserve">Exposure in the pivotal study </w:t>
      </w:r>
      <w:r w:rsidR="00B946B0">
        <w:t>as shown</w:t>
      </w:r>
      <w:r>
        <w:t xml:space="preserve"> </w:t>
      </w:r>
      <w:r w:rsidR="00B946B0">
        <w:t>in Table</w:t>
      </w:r>
      <w:r w:rsidR="009D4878">
        <w:t>s</w:t>
      </w:r>
      <w:r w:rsidR="00B946B0">
        <w:t xml:space="preserve"> 17</w:t>
      </w:r>
      <w:r w:rsidR="009D4878">
        <w:t>-19</w:t>
      </w:r>
      <w:r>
        <w:t xml:space="preserve"> was fairly limited - as expected for a submission merely aimed at extending the existing indications for the drug. </w:t>
      </w:r>
    </w:p>
    <w:p w:rsidR="009D1856" w:rsidRDefault="009D1856" w:rsidP="00A55A25">
      <w:pPr>
        <w:pStyle w:val="TableTitle"/>
        <w:rPr>
          <w:lang w:val="en-GB"/>
        </w:rPr>
      </w:pPr>
      <w:proofErr w:type="gramStart"/>
      <w:r>
        <w:t>Table 17:</w:t>
      </w:r>
      <w:r w:rsidRPr="004C5C28">
        <w:t xml:space="preserve"> </w:t>
      </w:r>
      <w:r w:rsidR="00CD366B">
        <w:t>Subject safety populations</w:t>
      </w:r>
      <w:r>
        <w:t>.</w:t>
      </w:r>
      <w:proofErr w:type="gramEnd"/>
    </w:p>
    <w:p w:rsidR="009D1856" w:rsidRDefault="00B90934" w:rsidP="00A55A25">
      <w:r>
        <w:rPr>
          <w:noProof/>
          <w:lang w:eastAsia="en-AU"/>
        </w:rPr>
        <w:drawing>
          <wp:inline distT="0" distB="0" distL="0" distR="0">
            <wp:extent cx="5363845" cy="1706245"/>
            <wp:effectExtent l="19050" t="0" r="8255" b="0"/>
            <wp:docPr id="20" name="Picture 20" descr="Table 17: Subject safety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able 17: Subject safety populations."/>
                    <pic:cNvPicPr>
                      <a:picLocks noChangeAspect="1" noChangeArrowheads="1"/>
                    </pic:cNvPicPr>
                  </pic:nvPicPr>
                  <pic:blipFill>
                    <a:blip r:embed="rId33" cstate="print"/>
                    <a:srcRect/>
                    <a:stretch>
                      <a:fillRect/>
                    </a:stretch>
                  </pic:blipFill>
                  <pic:spPr bwMode="auto">
                    <a:xfrm>
                      <a:off x="0" y="0"/>
                      <a:ext cx="5363845" cy="1706245"/>
                    </a:xfrm>
                    <a:prstGeom prst="rect">
                      <a:avLst/>
                    </a:prstGeom>
                    <a:noFill/>
                    <a:ln w="9525">
                      <a:noFill/>
                      <a:miter lim="800000"/>
                      <a:headEnd/>
                      <a:tailEnd/>
                    </a:ln>
                  </pic:spPr>
                </pic:pic>
              </a:graphicData>
            </a:graphic>
          </wp:inline>
        </w:drawing>
      </w:r>
    </w:p>
    <w:p w:rsidR="00B11B2C" w:rsidRDefault="00CD366B" w:rsidP="00A55A25">
      <w:pPr>
        <w:pStyle w:val="TableTitle"/>
        <w:rPr>
          <w:lang w:val="en-GB"/>
        </w:rPr>
      </w:pPr>
      <w:r>
        <w:br w:type="page"/>
      </w:r>
      <w:r w:rsidR="00B11B2C">
        <w:lastRenderedPageBreak/>
        <w:t>Table 18:</w:t>
      </w:r>
      <w:r w:rsidR="00B11B2C" w:rsidRPr="004C5C28">
        <w:t xml:space="preserve"> </w:t>
      </w:r>
      <w:r w:rsidR="001D61AB">
        <w:t xml:space="preserve">Exposure to DB </w:t>
      </w:r>
      <w:r w:rsidR="00A20523">
        <w:t>treatment (DB Safety Population; n = 515)</w:t>
      </w:r>
      <w:r w:rsidR="00B11B2C">
        <w:t>.</w:t>
      </w:r>
    </w:p>
    <w:p w:rsidR="00B11B2C" w:rsidRDefault="00B90934" w:rsidP="00A55A25">
      <w:r>
        <w:rPr>
          <w:noProof/>
          <w:lang w:eastAsia="en-AU"/>
        </w:rPr>
        <w:drawing>
          <wp:inline distT="0" distB="0" distL="0" distR="0">
            <wp:extent cx="5349875" cy="1678940"/>
            <wp:effectExtent l="19050" t="0" r="3175" b="0"/>
            <wp:docPr id="21" name="Picture 21" descr="Table 18: Exposure to DB treatment (DB Safety Population; n =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able 18: Exposure to DB treatment (DB Safety Population; n = 515)."/>
                    <pic:cNvPicPr>
                      <a:picLocks noChangeAspect="1" noChangeArrowheads="1"/>
                    </pic:cNvPicPr>
                  </pic:nvPicPr>
                  <pic:blipFill>
                    <a:blip r:embed="rId34" cstate="print"/>
                    <a:srcRect/>
                    <a:stretch>
                      <a:fillRect/>
                    </a:stretch>
                  </pic:blipFill>
                  <pic:spPr bwMode="auto">
                    <a:xfrm>
                      <a:off x="0" y="0"/>
                      <a:ext cx="5349875" cy="1678940"/>
                    </a:xfrm>
                    <a:prstGeom prst="rect">
                      <a:avLst/>
                    </a:prstGeom>
                    <a:noFill/>
                    <a:ln w="9525">
                      <a:noFill/>
                      <a:miter lim="800000"/>
                      <a:headEnd/>
                      <a:tailEnd/>
                    </a:ln>
                  </pic:spPr>
                </pic:pic>
              </a:graphicData>
            </a:graphic>
          </wp:inline>
        </w:drawing>
      </w:r>
    </w:p>
    <w:p w:rsidR="00B11B2C" w:rsidRDefault="00B11B2C" w:rsidP="00A55A25">
      <w:pPr>
        <w:pStyle w:val="TableTitle"/>
        <w:rPr>
          <w:lang w:val="en-GB"/>
        </w:rPr>
      </w:pPr>
      <w:r>
        <w:t>Table 19:</w:t>
      </w:r>
      <w:r w:rsidRPr="004C5C28">
        <w:t xml:space="preserve"> </w:t>
      </w:r>
      <w:r w:rsidR="001C785E">
        <w:t>Exposure to OL treatment (OL Safety Population; n = 120)</w:t>
      </w:r>
      <w:r>
        <w:t>.</w:t>
      </w:r>
    </w:p>
    <w:p w:rsidR="00B11B2C" w:rsidRDefault="00B90934" w:rsidP="00A55A25">
      <w:r>
        <w:rPr>
          <w:noProof/>
          <w:lang w:eastAsia="en-AU"/>
        </w:rPr>
        <w:drawing>
          <wp:inline distT="0" distB="0" distL="0" distR="0">
            <wp:extent cx="5260975" cy="1726565"/>
            <wp:effectExtent l="19050" t="0" r="0" b="0"/>
            <wp:docPr id="22" name="Picture 22" descr="Table 19: Exposure to OL treatment (OL Safety Population; n =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able 19: Exposure to OL treatment (OL Safety Population; n = 120)."/>
                    <pic:cNvPicPr>
                      <a:picLocks noChangeAspect="1" noChangeArrowheads="1"/>
                    </pic:cNvPicPr>
                  </pic:nvPicPr>
                  <pic:blipFill>
                    <a:blip r:embed="rId35" cstate="print"/>
                    <a:srcRect/>
                    <a:stretch>
                      <a:fillRect/>
                    </a:stretch>
                  </pic:blipFill>
                  <pic:spPr bwMode="auto">
                    <a:xfrm>
                      <a:off x="0" y="0"/>
                      <a:ext cx="5260975" cy="1726565"/>
                    </a:xfrm>
                    <a:prstGeom prst="rect">
                      <a:avLst/>
                    </a:prstGeom>
                    <a:noFill/>
                    <a:ln w="9525">
                      <a:noFill/>
                      <a:miter lim="800000"/>
                      <a:headEnd/>
                      <a:tailEnd/>
                    </a:ln>
                  </pic:spPr>
                </pic:pic>
              </a:graphicData>
            </a:graphic>
          </wp:inline>
        </w:drawing>
      </w:r>
    </w:p>
    <w:p w:rsidR="007E76F2" w:rsidRDefault="007E76F2" w:rsidP="007E76F2">
      <w:r>
        <w:t xml:space="preserve">The demographic characteristics of the pivotal study population are shown </w:t>
      </w:r>
      <w:r w:rsidR="00800294">
        <w:t>in Table 20</w:t>
      </w:r>
      <w:r>
        <w:t>. The target population for the CIS indication closely resembles the population of early MS patients for whom the drug is already indicated. In effect, it is the same population considered 1-2 years earlier; they would be expected to be slightly younger and have less disability, factors which might be expected to improve tolerability.</w:t>
      </w:r>
    </w:p>
    <w:p w:rsidR="00B11B2C" w:rsidRDefault="00B11B2C" w:rsidP="00A55A25">
      <w:pPr>
        <w:pStyle w:val="TableTitle"/>
        <w:rPr>
          <w:lang w:val="en-GB"/>
        </w:rPr>
      </w:pPr>
      <w:r>
        <w:t>Table 20:</w:t>
      </w:r>
      <w:r w:rsidRPr="004C5C28">
        <w:t xml:space="preserve"> </w:t>
      </w:r>
      <w:r w:rsidR="003A7DE2">
        <w:t>Demographic characteristics: DB Safety Population (n = 515)</w:t>
      </w:r>
      <w:r>
        <w:t>.</w:t>
      </w:r>
    </w:p>
    <w:p w:rsidR="003A7DE2" w:rsidRDefault="00B90934" w:rsidP="00A55A25">
      <w:r>
        <w:rPr>
          <w:noProof/>
          <w:lang w:eastAsia="en-AU"/>
        </w:rPr>
        <w:drawing>
          <wp:inline distT="0" distB="0" distL="0" distR="0">
            <wp:extent cx="5008880" cy="3493770"/>
            <wp:effectExtent l="19050" t="0" r="1270" b="0"/>
            <wp:docPr id="23" name="Picture 23" descr="Table 20: Demographic characteristics: DB Safety Population (n =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able 20: Demographic characteristics: DB Safety Population (n = 515)."/>
                    <pic:cNvPicPr>
                      <a:picLocks noChangeAspect="1" noChangeArrowheads="1"/>
                    </pic:cNvPicPr>
                  </pic:nvPicPr>
                  <pic:blipFill>
                    <a:blip r:embed="rId36" cstate="print"/>
                    <a:srcRect/>
                    <a:stretch>
                      <a:fillRect/>
                    </a:stretch>
                  </pic:blipFill>
                  <pic:spPr bwMode="auto">
                    <a:xfrm>
                      <a:off x="0" y="0"/>
                      <a:ext cx="5008880" cy="3493770"/>
                    </a:xfrm>
                    <a:prstGeom prst="rect">
                      <a:avLst/>
                    </a:prstGeom>
                    <a:noFill/>
                    <a:ln w="9525">
                      <a:noFill/>
                      <a:miter lim="800000"/>
                      <a:headEnd/>
                      <a:tailEnd/>
                    </a:ln>
                  </pic:spPr>
                </pic:pic>
              </a:graphicData>
            </a:graphic>
          </wp:inline>
        </w:drawing>
      </w:r>
    </w:p>
    <w:p w:rsidR="007377E6" w:rsidRDefault="007377E6" w:rsidP="007377E6">
      <w:pPr>
        <w:pStyle w:val="Heading3"/>
      </w:pPr>
      <w:bookmarkStart w:id="82" w:name="_Toc241374319"/>
      <w:bookmarkStart w:id="83" w:name="_Ref271044764"/>
      <w:bookmarkStart w:id="84" w:name="_Toc272414663"/>
      <w:bookmarkStart w:id="85" w:name="_Toc290846301"/>
      <w:bookmarkStart w:id="86" w:name="_Toc348083969"/>
      <w:bookmarkStart w:id="87" w:name="_Toc373928637"/>
      <w:r>
        <w:lastRenderedPageBreak/>
        <w:t>Adverse events</w:t>
      </w:r>
      <w:bookmarkEnd w:id="82"/>
      <w:bookmarkEnd w:id="83"/>
      <w:bookmarkEnd w:id="84"/>
      <w:bookmarkEnd w:id="85"/>
      <w:bookmarkEnd w:id="86"/>
      <w:bookmarkEnd w:id="87"/>
    </w:p>
    <w:p w:rsidR="007377E6" w:rsidRDefault="007377E6" w:rsidP="007377E6">
      <w:pPr>
        <w:pStyle w:val="Heading4"/>
      </w:pPr>
      <w:bookmarkStart w:id="88" w:name="_Ref272317284"/>
      <w:bookmarkStart w:id="89" w:name="_Ref272333565"/>
      <w:bookmarkStart w:id="90" w:name="_Toc272414664"/>
      <w:bookmarkStart w:id="91" w:name="_Toc290846302"/>
      <w:bookmarkStart w:id="92" w:name="_Toc348083970"/>
      <w:r>
        <w:t>All adverse events</w:t>
      </w:r>
      <w:bookmarkEnd w:id="88"/>
      <w:bookmarkEnd w:id="89"/>
      <w:bookmarkEnd w:id="90"/>
      <w:bookmarkEnd w:id="91"/>
      <w:bookmarkEnd w:id="92"/>
    </w:p>
    <w:p w:rsidR="007377E6" w:rsidRDefault="007377E6" w:rsidP="007377E6">
      <w:r>
        <w:t xml:space="preserve">Treatment-emergent adverse events (TEAEs) are summarised </w:t>
      </w:r>
      <w:r w:rsidR="001F4D52">
        <w:t>in Tables 21-22</w:t>
      </w:r>
      <w:r>
        <w:t xml:space="preserve">. AEs were common in all groups (placebo 78.4%, </w:t>
      </w:r>
      <w:proofErr w:type="spellStart"/>
      <w:r>
        <w:t>Rebif</w:t>
      </w:r>
      <w:proofErr w:type="spellEnd"/>
      <w:r>
        <w:t xml:space="preserve"> </w:t>
      </w:r>
      <w:proofErr w:type="spellStart"/>
      <w:r>
        <w:t>ow</w:t>
      </w:r>
      <w:proofErr w:type="spellEnd"/>
      <w:r>
        <w:t xml:space="preserve"> 91.3%, </w:t>
      </w:r>
      <w:proofErr w:type="spellStart"/>
      <w:r>
        <w:t>Rebif</w:t>
      </w:r>
      <w:proofErr w:type="spellEnd"/>
      <w:r>
        <w:t xml:space="preserve"> </w:t>
      </w:r>
      <w:proofErr w:type="spellStart"/>
      <w:r>
        <w:t>tiw</w:t>
      </w:r>
      <w:proofErr w:type="spellEnd"/>
      <w:r>
        <w:t xml:space="preserve"> 87.1%), with a mild excess in both active groups relative to placebo (12.9% attributable incidence in </w:t>
      </w:r>
      <w:proofErr w:type="gramStart"/>
      <w:r>
        <w:t xml:space="preserve">the </w:t>
      </w:r>
      <w:proofErr w:type="spellStart"/>
      <w:r>
        <w:t>ow</w:t>
      </w:r>
      <w:proofErr w:type="spellEnd"/>
      <w:proofErr w:type="gramEnd"/>
      <w:r>
        <w:t xml:space="preserve"> group, and 8.7% in the </w:t>
      </w:r>
      <w:proofErr w:type="spellStart"/>
      <w:r>
        <w:t>tiw</w:t>
      </w:r>
      <w:proofErr w:type="spellEnd"/>
      <w:r>
        <w:t xml:space="preserve"> group). When placebo recipients converted to open-label (OL) </w:t>
      </w:r>
      <w:proofErr w:type="spellStart"/>
      <w:r>
        <w:t>Rebif</w:t>
      </w:r>
      <w:proofErr w:type="spellEnd"/>
      <w:r>
        <w:t xml:space="preserve"> treatment, they experienced an excess of TEAEs compared to subjects already habituated to </w:t>
      </w:r>
      <w:proofErr w:type="spellStart"/>
      <w:r>
        <w:t>Rebif</w:t>
      </w:r>
      <w:proofErr w:type="spellEnd"/>
      <w:r>
        <w:t xml:space="preserve"> (Table </w:t>
      </w:r>
      <w:r w:rsidR="003A7DE2">
        <w:t>22</w:t>
      </w:r>
      <w:r>
        <w:t xml:space="preserve">). </w:t>
      </w:r>
    </w:p>
    <w:p w:rsidR="003A7DE2" w:rsidRDefault="003A7DE2" w:rsidP="00A55A25">
      <w:pPr>
        <w:pStyle w:val="TableTitle"/>
        <w:rPr>
          <w:lang w:val="en-GB"/>
        </w:rPr>
      </w:pPr>
      <w:r>
        <w:t>Table 2</w:t>
      </w:r>
      <w:r w:rsidR="00B8479C">
        <w:t>1</w:t>
      </w:r>
      <w:r>
        <w:t>:</w:t>
      </w:r>
      <w:r w:rsidRPr="004C5C28">
        <w:t xml:space="preserve"> </w:t>
      </w:r>
      <w:r w:rsidR="00B8479C">
        <w:t xml:space="preserve">Overview of incidence of TEAEs during the </w:t>
      </w:r>
      <w:r>
        <w:t xml:space="preserve">DB </w:t>
      </w:r>
      <w:r w:rsidR="00B8479C">
        <w:t xml:space="preserve">Treatment Period (DB </w:t>
      </w:r>
      <w:r>
        <w:t>Safety Populati</w:t>
      </w:r>
      <w:r w:rsidR="00B8479C">
        <w:t xml:space="preserve">on; </w:t>
      </w:r>
      <w:r>
        <w:t>n = 515).</w:t>
      </w:r>
    </w:p>
    <w:p w:rsidR="007377E6" w:rsidRDefault="00B90934" w:rsidP="00A55A25">
      <w:pPr>
        <w:rPr>
          <w:lang w:eastAsia="ja-JP"/>
        </w:rPr>
      </w:pPr>
      <w:r>
        <w:rPr>
          <w:noProof/>
          <w:lang w:eastAsia="en-AU"/>
        </w:rPr>
        <w:drawing>
          <wp:inline distT="0" distB="0" distL="0" distR="0">
            <wp:extent cx="5083810" cy="1869440"/>
            <wp:effectExtent l="19050" t="0" r="2540" b="0"/>
            <wp:docPr id="24" name="Picture 24" descr="Table 21: Overview of incidence of TEAEs during the DB Treatment Period (DB Safety Population; n =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able 21: Overview of incidence of TEAEs during the DB Treatment Period (DB Safety Population; n = 515)."/>
                    <pic:cNvPicPr>
                      <a:picLocks noChangeAspect="1" noChangeArrowheads="1"/>
                    </pic:cNvPicPr>
                  </pic:nvPicPr>
                  <pic:blipFill>
                    <a:blip r:embed="rId37" cstate="print"/>
                    <a:srcRect/>
                    <a:stretch>
                      <a:fillRect/>
                    </a:stretch>
                  </pic:blipFill>
                  <pic:spPr bwMode="auto">
                    <a:xfrm>
                      <a:off x="0" y="0"/>
                      <a:ext cx="5083810" cy="1869440"/>
                    </a:xfrm>
                    <a:prstGeom prst="rect">
                      <a:avLst/>
                    </a:prstGeom>
                    <a:noFill/>
                    <a:ln w="9525">
                      <a:noFill/>
                      <a:miter lim="800000"/>
                      <a:headEnd/>
                      <a:tailEnd/>
                    </a:ln>
                  </pic:spPr>
                </pic:pic>
              </a:graphicData>
            </a:graphic>
          </wp:inline>
        </w:drawing>
      </w:r>
    </w:p>
    <w:p w:rsidR="00B8479C" w:rsidRDefault="00B8479C" w:rsidP="00A55A25">
      <w:pPr>
        <w:pStyle w:val="TableTitle"/>
        <w:rPr>
          <w:lang w:val="en-GB"/>
        </w:rPr>
      </w:pPr>
      <w:r>
        <w:t>Table 22:</w:t>
      </w:r>
      <w:r w:rsidRPr="004C5C28">
        <w:t xml:space="preserve"> </w:t>
      </w:r>
      <w:r w:rsidR="00C34FF6">
        <w:t>Overview of incidence of TEAEs during the OL Treatment Period (OL Safety Population; n = 120).</w:t>
      </w:r>
    </w:p>
    <w:p w:rsidR="00B8479C" w:rsidRDefault="00B90934" w:rsidP="00A55A25">
      <w:pPr>
        <w:rPr>
          <w:lang w:eastAsia="ja-JP"/>
        </w:rPr>
      </w:pPr>
      <w:r>
        <w:rPr>
          <w:noProof/>
          <w:lang w:eastAsia="en-AU"/>
        </w:rPr>
        <w:drawing>
          <wp:inline distT="0" distB="0" distL="0" distR="0">
            <wp:extent cx="5069840" cy="2211070"/>
            <wp:effectExtent l="19050" t="0" r="0" b="0"/>
            <wp:docPr id="25" name="Picture 25" descr="Table 22: Overview of incidence of TEAEs during the OL Treatment Period (OL Safety Population; n =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able 22: Overview of incidence of TEAEs during the OL Treatment Period (OL Safety Population; n = 120)."/>
                    <pic:cNvPicPr>
                      <a:picLocks noChangeAspect="1" noChangeArrowheads="1"/>
                    </pic:cNvPicPr>
                  </pic:nvPicPr>
                  <pic:blipFill>
                    <a:blip r:embed="rId38" cstate="print"/>
                    <a:srcRect/>
                    <a:stretch>
                      <a:fillRect/>
                    </a:stretch>
                  </pic:blipFill>
                  <pic:spPr bwMode="auto">
                    <a:xfrm>
                      <a:off x="0" y="0"/>
                      <a:ext cx="5069840" cy="2211070"/>
                    </a:xfrm>
                    <a:prstGeom prst="rect">
                      <a:avLst/>
                    </a:prstGeom>
                    <a:noFill/>
                    <a:ln w="9525">
                      <a:noFill/>
                      <a:miter lim="800000"/>
                      <a:headEnd/>
                      <a:tailEnd/>
                    </a:ln>
                  </pic:spPr>
                </pic:pic>
              </a:graphicData>
            </a:graphic>
          </wp:inline>
        </w:drawing>
      </w:r>
    </w:p>
    <w:p w:rsidR="00CE73EE" w:rsidRDefault="00CE73EE" w:rsidP="00CE73EE">
      <w:r>
        <w:t xml:space="preserve">The most common TEAEs were those expected from the many years of </w:t>
      </w:r>
      <w:proofErr w:type="spellStart"/>
      <w:r>
        <w:t>Rebif</w:t>
      </w:r>
      <w:proofErr w:type="spellEnd"/>
      <w:r>
        <w:t xml:space="preserve"> usage in the MS population. Influenza-like illness, injection-site erythema and pyrexia showed an excess with active treatment, as s</w:t>
      </w:r>
      <w:r w:rsidR="00E91025">
        <w:t>hown in the table below (Table 23</w:t>
      </w:r>
      <w:r>
        <w:t xml:space="preserve">). Other common AEs were those expected in any population studied for two years, and included headache, </w:t>
      </w:r>
      <w:proofErr w:type="spellStart"/>
      <w:r>
        <w:t>nasopharyngitis</w:t>
      </w:r>
      <w:proofErr w:type="spellEnd"/>
      <w:r>
        <w:t xml:space="preserve"> and upper respiratory tract infection; these did not show an excess with active treatment. (Note that the table below only shows TEAEs with</w:t>
      </w:r>
      <w:r w:rsidR="00A55A25">
        <w:t xml:space="preserve"> an incidence of at least 10%).</w:t>
      </w:r>
    </w:p>
    <w:p w:rsidR="00CE73EE" w:rsidRDefault="00CE73EE" w:rsidP="00A55A25">
      <w:pPr>
        <w:pStyle w:val="TableTitle"/>
        <w:rPr>
          <w:lang w:val="en-GB"/>
        </w:rPr>
      </w:pPr>
      <w:r>
        <w:lastRenderedPageBreak/>
        <w:t>Table 23:</w:t>
      </w:r>
      <w:r w:rsidRPr="004C5C28">
        <w:t xml:space="preserve"> </w:t>
      </w:r>
      <w:r w:rsidR="00F24342">
        <w:t xml:space="preserve">Incidence of most common TEAEs (reported by 10% or more of subjects) during the DB treatment period by </w:t>
      </w:r>
      <w:proofErr w:type="spellStart"/>
      <w:r w:rsidR="00F24342">
        <w:t>MedDRA</w:t>
      </w:r>
      <w:proofErr w:type="spellEnd"/>
      <w:r w:rsidR="00F24342">
        <w:t xml:space="preserve"> preferred term</w:t>
      </w:r>
      <w:r>
        <w:t xml:space="preserve"> (</w:t>
      </w:r>
      <w:r w:rsidR="007F30B4">
        <w:t>DB Safety Population; n = 515</w:t>
      </w:r>
      <w:r>
        <w:t>).</w:t>
      </w:r>
    </w:p>
    <w:p w:rsidR="00CE73EE" w:rsidRDefault="00B90934" w:rsidP="00A55A25">
      <w:pPr>
        <w:rPr>
          <w:noProof/>
          <w:lang w:eastAsia="en-AU"/>
        </w:rPr>
      </w:pPr>
      <w:r>
        <w:rPr>
          <w:noProof/>
          <w:lang w:eastAsia="en-AU"/>
        </w:rPr>
        <w:drawing>
          <wp:inline distT="0" distB="0" distL="0" distR="0">
            <wp:extent cx="4578985" cy="1515110"/>
            <wp:effectExtent l="19050" t="0" r="0" b="0"/>
            <wp:docPr id="26" name="Picture 26" descr="Table 23: Incidence of most common TEAEs (reported by 10% or more of subjects) during the DB treatment period by MedDRA preferred term (DB Safety Population; n =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able 23: Incidence of most common TEAEs (reported by 10% or more of subjects) during the DB treatment period by MedDRA preferred term (DB Safety Population; n = 515)."/>
                    <pic:cNvPicPr>
                      <a:picLocks noChangeAspect="1" noChangeArrowheads="1"/>
                    </pic:cNvPicPr>
                  </pic:nvPicPr>
                  <pic:blipFill>
                    <a:blip r:embed="rId39" cstate="print"/>
                    <a:srcRect/>
                    <a:stretch>
                      <a:fillRect/>
                    </a:stretch>
                  </pic:blipFill>
                  <pic:spPr bwMode="auto">
                    <a:xfrm>
                      <a:off x="0" y="0"/>
                      <a:ext cx="4578985" cy="1515110"/>
                    </a:xfrm>
                    <a:prstGeom prst="rect">
                      <a:avLst/>
                    </a:prstGeom>
                    <a:noFill/>
                    <a:ln w="9525">
                      <a:noFill/>
                      <a:miter lim="800000"/>
                      <a:headEnd/>
                      <a:tailEnd/>
                    </a:ln>
                  </pic:spPr>
                </pic:pic>
              </a:graphicData>
            </a:graphic>
          </wp:inline>
        </w:drawing>
      </w:r>
    </w:p>
    <w:p w:rsidR="00E91025" w:rsidRDefault="00E91025" w:rsidP="00E91025">
      <w:r>
        <w:t xml:space="preserve">Interestingly, some of the immune-mediated symptoms, including </w:t>
      </w:r>
      <w:bookmarkStart w:id="93" w:name="InfluenzaLikeIllness"/>
      <w:r>
        <w:t>influenza-like illness</w:t>
      </w:r>
      <w:bookmarkEnd w:id="93"/>
      <w:r>
        <w:t xml:space="preserve"> (ILI) and pyrexia, were more common in the once-weekly group than the thrice-weekly group, indicating that constant levels of immune modulation and stable cytokine levels may produce better tolerance than intermittent therapy once per week. The absolute excess of ILI in the once-weekly group was 16.1%, r</w:t>
      </w:r>
      <w:r w:rsidR="00A07A0A">
        <w:t xml:space="preserve">elative to the </w:t>
      </w:r>
      <w:proofErr w:type="spellStart"/>
      <w:r w:rsidR="00A07A0A">
        <w:t>tiw</w:t>
      </w:r>
      <w:proofErr w:type="spellEnd"/>
      <w:r w:rsidR="00A07A0A">
        <w:t xml:space="preserve"> group (70.5% </w:t>
      </w:r>
      <w:proofErr w:type="spellStart"/>
      <w:r>
        <w:t>vs</w:t>
      </w:r>
      <w:proofErr w:type="spellEnd"/>
      <w:r>
        <w:t xml:space="preserve"> 54.4%), which seems unlikely to be due to chance alone, though the sponsor did not subject this result to statistical analysis. The incidence of ILI in both active groups was in clear excess of </w:t>
      </w:r>
      <w:smartTag w:uri="urn:schemas-microsoft-com:office:smarttags" w:element="place">
        <w:r>
          <w:t>ILI</w:t>
        </w:r>
      </w:smartTag>
      <w:r>
        <w:t xml:space="preserve"> in the placebo group (19.9%). The incidence of </w:t>
      </w:r>
      <w:smartTag w:uri="urn:schemas-microsoft-com:office:smarttags" w:element="place">
        <w:r>
          <w:t>ILI</w:t>
        </w:r>
      </w:smartTag>
      <w:r>
        <w:t xml:space="preserve"> might have been even higher if subjects had not received the usual advice to take anti-inflammatory agents (ibuprofen 400mg or paracetamol 1000mg) </w:t>
      </w:r>
      <w:proofErr w:type="spellStart"/>
      <w:r>
        <w:t>prophylactically</w:t>
      </w:r>
      <w:proofErr w:type="spellEnd"/>
      <w:r>
        <w:t xml:space="preserve"> in the first 12 weeks of treatment.</w:t>
      </w:r>
    </w:p>
    <w:p w:rsidR="00E91025" w:rsidRDefault="00E91025" w:rsidP="00E91025">
      <w:r>
        <w:t xml:space="preserve">Injection site erythema was much more common with active treatment, as expected. This is likely to have led to some </w:t>
      </w:r>
      <w:proofErr w:type="spellStart"/>
      <w:r>
        <w:t>unblinding</w:t>
      </w:r>
      <w:proofErr w:type="spellEnd"/>
      <w:r>
        <w:t xml:space="preserve"> of the Treating Physician, but the protocol specified that efficacy endpoints were to be assessed by an Evaluating Physician who was not involved in the treatment of the patients and did not discuss side effects with the patients. Injection sites were covered with clothing prior to assessment by the Evaluating Physician. These measures are likely to have limited the extent of </w:t>
      </w:r>
      <w:proofErr w:type="spellStart"/>
      <w:r>
        <w:t>unblinding</w:t>
      </w:r>
      <w:proofErr w:type="spellEnd"/>
      <w:r>
        <w:t xml:space="preserve">, but the sponsor did not perform any checks on the adequacy of </w:t>
      </w:r>
      <w:proofErr w:type="spellStart"/>
      <w:r>
        <w:t>unblinding</w:t>
      </w:r>
      <w:proofErr w:type="spellEnd"/>
      <w:r>
        <w:t xml:space="preserve"> (such as performing subgroup analyses excluding those with injection site reactions, or asking physicians </w:t>
      </w:r>
      <w:r w:rsidR="00A55A25">
        <w:t>to guess treatment assignment).</w:t>
      </w:r>
    </w:p>
    <w:p w:rsidR="00687466" w:rsidRDefault="00687466" w:rsidP="00687466">
      <w:r>
        <w:t xml:space="preserve">When patients switched to open-label </w:t>
      </w:r>
      <w:proofErr w:type="spellStart"/>
      <w:r>
        <w:t>Rebif</w:t>
      </w:r>
      <w:proofErr w:type="spellEnd"/>
      <w:r>
        <w:t>, there was an excess of ILI in subjects who had been treatment naïve (previously receiving placebo)</w:t>
      </w:r>
      <w:r w:rsidR="004C0C4D">
        <w:t xml:space="preserve"> (Table 24)</w:t>
      </w:r>
      <w:r>
        <w:t>. To some extent, this is likely to represent tolerance in the active groups, and is in keeping with the long-standing clinical observation that patients on beta interferon usually develop tolerance with continued use. Also, this AE may have been under-reported in the open-label phase by patients who had already reported it during double-blind therapy, because they and their clinicians may have considered the matter already documented.</w:t>
      </w:r>
    </w:p>
    <w:p w:rsidR="00687466" w:rsidRDefault="00687466" w:rsidP="00A55A25">
      <w:pPr>
        <w:pStyle w:val="TableTitle"/>
        <w:rPr>
          <w:lang w:val="en-GB"/>
        </w:rPr>
      </w:pPr>
      <w:r>
        <w:t>Table 24:</w:t>
      </w:r>
      <w:r w:rsidRPr="004C5C28">
        <w:t xml:space="preserve"> </w:t>
      </w:r>
      <w:r>
        <w:t xml:space="preserve">Incidence of most common TEAEs (reported by 10% or more of subjects) during the OL treatment period by </w:t>
      </w:r>
      <w:proofErr w:type="spellStart"/>
      <w:r>
        <w:t>MedDRA</w:t>
      </w:r>
      <w:proofErr w:type="spellEnd"/>
      <w:r>
        <w:t xml:space="preserve"> preferred term (OL Safety Population; n = 120).</w:t>
      </w:r>
    </w:p>
    <w:p w:rsidR="00687466" w:rsidRDefault="00B90934" w:rsidP="00A55A25">
      <w:pPr>
        <w:rPr>
          <w:noProof/>
          <w:lang w:eastAsia="en-AU"/>
        </w:rPr>
      </w:pPr>
      <w:r>
        <w:rPr>
          <w:noProof/>
          <w:lang w:eastAsia="en-AU"/>
        </w:rPr>
        <w:drawing>
          <wp:inline distT="0" distB="0" distL="0" distR="0">
            <wp:extent cx="4572000" cy="1739900"/>
            <wp:effectExtent l="19050" t="0" r="0" b="0"/>
            <wp:docPr id="27" name="Picture 27" descr="Table 24: Incidence of most common TEAEs (reported by 10% or more of subjects) during the OL treatment period by MedDRA preferred term (OL Safety Population; n =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able 24: Incidence of most common TEAEs (reported by 10% or more of subjects) during the OL treatment period by MedDRA preferred term (OL Safety Population; n = 120)."/>
                    <pic:cNvPicPr>
                      <a:picLocks noChangeAspect="1" noChangeArrowheads="1"/>
                    </pic:cNvPicPr>
                  </pic:nvPicPr>
                  <pic:blipFill>
                    <a:blip r:embed="rId40" cstate="print"/>
                    <a:srcRect/>
                    <a:stretch>
                      <a:fillRect/>
                    </a:stretch>
                  </pic:blipFill>
                  <pic:spPr bwMode="auto">
                    <a:xfrm>
                      <a:off x="0" y="0"/>
                      <a:ext cx="4572000" cy="1739900"/>
                    </a:xfrm>
                    <a:prstGeom prst="rect">
                      <a:avLst/>
                    </a:prstGeom>
                    <a:noFill/>
                    <a:ln w="9525">
                      <a:noFill/>
                      <a:miter lim="800000"/>
                      <a:headEnd/>
                      <a:tailEnd/>
                    </a:ln>
                  </pic:spPr>
                </pic:pic>
              </a:graphicData>
            </a:graphic>
          </wp:inline>
        </w:drawing>
      </w:r>
    </w:p>
    <w:p w:rsidR="005767C6" w:rsidRPr="00D12012" w:rsidRDefault="005767C6" w:rsidP="005767C6">
      <w:pPr>
        <w:pStyle w:val="Heading4"/>
      </w:pPr>
      <w:bookmarkStart w:id="94" w:name="_Ref272333567"/>
      <w:bookmarkStart w:id="95" w:name="_Toc272414665"/>
      <w:bookmarkStart w:id="96" w:name="_Toc290846303"/>
      <w:bookmarkStart w:id="97" w:name="_Toc348083971"/>
      <w:r>
        <w:lastRenderedPageBreak/>
        <w:t>Treatment-related adverse events (adverse drug reactions)</w:t>
      </w:r>
      <w:bookmarkEnd w:id="94"/>
      <w:bookmarkEnd w:id="95"/>
      <w:bookmarkEnd w:id="96"/>
      <w:bookmarkEnd w:id="97"/>
    </w:p>
    <w:p w:rsidR="005767C6" w:rsidRDefault="005767C6" w:rsidP="005767C6">
      <w:r>
        <w:t xml:space="preserve">Investigators in the pivotal study were asked to indicate whether they thought AEs were related to treatment, as is standard practice in placebo-controlled trials. In general, this is an unreliable method of assessing causality, because investigators may be less likely to ascribe causation to study drug for idiosyncratic or unexpected AEs, those that mimic natural disease processes, or those without an obvious temporal relation to treatment. In this study, however, clinicians were already familiar with the AE profile of </w:t>
      </w:r>
      <w:proofErr w:type="spellStart"/>
      <w:r>
        <w:t>Rebif</w:t>
      </w:r>
      <w:proofErr w:type="spellEnd"/>
      <w:r>
        <w:t xml:space="preserve"> and identified a clear excess of apparently drug-related AEs in the active groups: drug-related AEs were mistakenly identified in some placebo recipients (43.3%), but were much more commonly identified in recipients of the </w:t>
      </w:r>
      <w:proofErr w:type="spellStart"/>
      <w:r>
        <w:t>Rebif</w:t>
      </w:r>
      <w:proofErr w:type="spellEnd"/>
      <w:r>
        <w:t xml:space="preserve"> </w:t>
      </w:r>
      <w:proofErr w:type="spellStart"/>
      <w:r>
        <w:t>ow</w:t>
      </w:r>
      <w:proofErr w:type="spellEnd"/>
      <w:r>
        <w:t xml:space="preserve"> (81.5%) or the </w:t>
      </w:r>
      <w:proofErr w:type="spellStart"/>
      <w:r>
        <w:t>Rebif</w:t>
      </w:r>
      <w:proofErr w:type="spellEnd"/>
      <w:r>
        <w:t xml:space="preserve"> </w:t>
      </w:r>
      <w:proofErr w:type="spellStart"/>
      <w:r>
        <w:t>tiw</w:t>
      </w:r>
      <w:proofErr w:type="spellEnd"/>
      <w:r>
        <w:t xml:space="preserve"> dose (77.8%), as shown above. The </w:t>
      </w:r>
      <w:r w:rsidRPr="00213A6F">
        <w:rPr>
          <w:i/>
        </w:rPr>
        <w:t>attributable</w:t>
      </w:r>
      <w:r>
        <w:t xml:space="preserve"> incidence of drug-related AEs was therefore 38.2% and 34.5% in </w:t>
      </w:r>
      <w:proofErr w:type="gramStart"/>
      <w:r>
        <w:t xml:space="preserve">the </w:t>
      </w:r>
      <w:proofErr w:type="spellStart"/>
      <w:r>
        <w:t>o</w:t>
      </w:r>
      <w:r w:rsidR="00A55A25">
        <w:t>w</w:t>
      </w:r>
      <w:proofErr w:type="spellEnd"/>
      <w:proofErr w:type="gramEnd"/>
      <w:r w:rsidR="00A55A25">
        <w:t xml:space="preserve"> and </w:t>
      </w:r>
      <w:proofErr w:type="spellStart"/>
      <w:r w:rsidR="00A55A25">
        <w:t>tiw</w:t>
      </w:r>
      <w:proofErr w:type="spellEnd"/>
      <w:r w:rsidR="00A55A25">
        <w:t xml:space="preserve"> groups, respectively.</w:t>
      </w:r>
    </w:p>
    <w:p w:rsidR="005767C6" w:rsidRDefault="005767C6" w:rsidP="005767C6">
      <w:pPr>
        <w:pStyle w:val="Heading4"/>
      </w:pPr>
      <w:bookmarkStart w:id="98" w:name="_Toc348083972"/>
      <w:r>
        <w:t>Pre-specified AEs of interest</w:t>
      </w:r>
      <w:bookmarkEnd w:id="98"/>
    </w:p>
    <w:p w:rsidR="005767C6" w:rsidRDefault="005767C6" w:rsidP="005767C6">
      <w:r>
        <w:t xml:space="preserve">Based on the extensive post-marketing experience with </w:t>
      </w:r>
      <w:proofErr w:type="spellStart"/>
      <w:r>
        <w:t>Rebif</w:t>
      </w:r>
      <w:proofErr w:type="spellEnd"/>
      <w:r>
        <w:t xml:space="preserve">, the sponsor flagged a number of AE categories of special interest, including: </w:t>
      </w:r>
      <w:proofErr w:type="spellStart"/>
      <w:r>
        <w:t>cytopaenias</w:t>
      </w:r>
      <w:proofErr w:type="spellEnd"/>
      <w:r>
        <w:t xml:space="preserve">, depression and suicidal ideation, flu-like syndrome, hepatic disorders, injection site reactions, skin rashes and thyroid disorders. These are shown in the multipage tables below (Table </w:t>
      </w:r>
      <w:r w:rsidR="005D2DDB">
        <w:t>25</w:t>
      </w:r>
      <w:r>
        <w:t xml:space="preserve"> for the double-blind period and Table </w:t>
      </w:r>
      <w:r w:rsidR="005D2DDB">
        <w:t>26</w:t>
      </w:r>
      <w:r>
        <w:t xml:space="preserve"> for the open-label period).</w:t>
      </w:r>
    </w:p>
    <w:p w:rsidR="005767C6" w:rsidRDefault="005767C6" w:rsidP="005767C6">
      <w:proofErr w:type="spellStart"/>
      <w:r>
        <w:t>Cytopenias</w:t>
      </w:r>
      <w:proofErr w:type="spellEnd"/>
      <w:r>
        <w:t xml:space="preserve"> were more common with active treatment, especially </w:t>
      </w:r>
      <w:proofErr w:type="spellStart"/>
      <w:r>
        <w:t>neutropaenia</w:t>
      </w:r>
      <w:proofErr w:type="spellEnd"/>
      <w:r>
        <w:t xml:space="preserve"> or </w:t>
      </w:r>
      <w:proofErr w:type="spellStart"/>
      <w:r>
        <w:t>leukopaenia</w:t>
      </w:r>
      <w:proofErr w:type="spellEnd"/>
      <w:r>
        <w:t xml:space="preserve">, and showed a dose-response relationship. This reflects the </w:t>
      </w:r>
      <w:proofErr w:type="spellStart"/>
      <w:r>
        <w:t>immunomodulatory</w:t>
      </w:r>
      <w:proofErr w:type="spellEnd"/>
      <w:r>
        <w:t xml:space="preserve"> action of </w:t>
      </w:r>
      <w:proofErr w:type="spellStart"/>
      <w:r>
        <w:t>Rebif</w:t>
      </w:r>
      <w:proofErr w:type="spellEnd"/>
      <w:r>
        <w:t>. Hepatic and thyroid disorders were also more common with active treatment, but in most cases consisted of mild changes in blood tests that are commonly observed with beta interferon and usually settle with continued treatment.</w:t>
      </w:r>
    </w:p>
    <w:p w:rsidR="005767C6" w:rsidRDefault="005767C6" w:rsidP="005767C6">
      <w:r>
        <w:t xml:space="preserve">Interestingly, pooled terms related to depression and suicidal ideation were not more common in the </w:t>
      </w:r>
      <w:proofErr w:type="spellStart"/>
      <w:r>
        <w:t>tiw</w:t>
      </w:r>
      <w:proofErr w:type="spellEnd"/>
      <w:r>
        <w:t xml:space="preserve"> </w:t>
      </w:r>
      <w:proofErr w:type="spellStart"/>
      <w:r>
        <w:t>Rebif</w:t>
      </w:r>
      <w:proofErr w:type="spellEnd"/>
      <w:r>
        <w:t xml:space="preserve"> group than the placebo group (8.2% in each); “depression” was slightly more common in the thrice-weekly group but “depressed mood” was only reported in the placebo group. No suicidal ideation or suicide occurred in any group.</w:t>
      </w:r>
    </w:p>
    <w:p w:rsidR="005767C6" w:rsidRDefault="005767C6" w:rsidP="005767C6">
      <w:r>
        <w:t>Influenza-like sympto</w:t>
      </w:r>
      <w:r w:rsidR="00A55A25">
        <w:t>ms have already been discussed.</w:t>
      </w:r>
    </w:p>
    <w:p w:rsidR="005767C6" w:rsidRDefault="005767C6" w:rsidP="005767C6">
      <w:r>
        <w:t xml:space="preserve">Hypersensitivity terms were more frequently reported with </w:t>
      </w:r>
      <w:proofErr w:type="spellStart"/>
      <w:r>
        <w:t>tiw</w:t>
      </w:r>
      <w:proofErr w:type="spellEnd"/>
      <w:r>
        <w:t xml:space="preserve"> active treatment, as shown in the table below, but some of this excess was due to “erythema” which may reflect injection-site reactions despite the fact that injection-site erythema was listed as a separate term. The same applies to pooled dermatological reactions, which also included the term “erythema”. The once-weekly group had a lower incidence of hypersensitivity reactions and dermatological re</w:t>
      </w:r>
      <w:r w:rsidR="00A55A25">
        <w:t>actions than the placebo group.</w:t>
      </w:r>
    </w:p>
    <w:p w:rsidR="005767C6" w:rsidRPr="00213A6F" w:rsidRDefault="005767C6" w:rsidP="005767C6">
      <w:r>
        <w:t xml:space="preserve">Injection-site reactions were substantially more common in the active groups (35.7%, 24.3% and 7.0% in the </w:t>
      </w:r>
      <w:proofErr w:type="spellStart"/>
      <w:r>
        <w:t>tiw</w:t>
      </w:r>
      <w:proofErr w:type="spellEnd"/>
      <w:r>
        <w:t xml:space="preserve">, </w:t>
      </w:r>
      <w:proofErr w:type="spellStart"/>
      <w:r>
        <w:t>ow</w:t>
      </w:r>
      <w:proofErr w:type="spellEnd"/>
      <w:r>
        <w:t xml:space="preserve"> and placebo groups, respectively), but most of this was due to injection-site erythema (seen in 29.2% of the </w:t>
      </w:r>
      <w:proofErr w:type="spellStart"/>
      <w:r>
        <w:t>tiw</w:t>
      </w:r>
      <w:proofErr w:type="spellEnd"/>
      <w:r>
        <w:t xml:space="preserve"> group and 19.7% of </w:t>
      </w:r>
      <w:proofErr w:type="gramStart"/>
      <w:r>
        <w:t xml:space="preserve">the </w:t>
      </w:r>
      <w:proofErr w:type="spellStart"/>
      <w:r>
        <w:t>ow</w:t>
      </w:r>
      <w:proofErr w:type="spellEnd"/>
      <w:proofErr w:type="gramEnd"/>
      <w:r>
        <w:t xml:space="preserve"> group, but only 1.8% of the placebo group. Other reactions in the </w:t>
      </w:r>
      <w:proofErr w:type="spellStart"/>
      <w:r>
        <w:t>tiw</w:t>
      </w:r>
      <w:proofErr w:type="spellEnd"/>
      <w:r>
        <w:t xml:space="preserve"> group consisted of haematoma (4.7%) and local pain (4.7%).</w:t>
      </w:r>
    </w:p>
    <w:p w:rsidR="00AA2BAA" w:rsidRDefault="00AA2BAA" w:rsidP="00A55A25">
      <w:pPr>
        <w:pStyle w:val="TableTitle"/>
      </w:pPr>
      <w:r>
        <w:lastRenderedPageBreak/>
        <w:t>Table 2</w:t>
      </w:r>
      <w:r w:rsidR="00BC281D">
        <w:t>5</w:t>
      </w:r>
      <w:r>
        <w:t>:</w:t>
      </w:r>
      <w:r w:rsidRPr="004C5C28">
        <w:t xml:space="preserve"> </w:t>
      </w:r>
      <w:r w:rsidR="00301E2C">
        <w:t>Overview of the incidence of pre-specified AEs during the DB Treatment Period (DB Safety Population; n = 515)</w:t>
      </w:r>
      <w:r>
        <w:t>.</w:t>
      </w:r>
    </w:p>
    <w:p w:rsidR="00AA0462" w:rsidRDefault="00B90934" w:rsidP="00A55A25">
      <w:pPr>
        <w:rPr>
          <w:lang w:val="en-GB"/>
        </w:rPr>
      </w:pPr>
      <w:r>
        <w:rPr>
          <w:noProof/>
          <w:lang w:eastAsia="en-AU"/>
        </w:rPr>
        <w:drawing>
          <wp:inline distT="0" distB="0" distL="0" distR="0">
            <wp:extent cx="5739130" cy="7451725"/>
            <wp:effectExtent l="19050" t="0" r="0" b="0"/>
            <wp:docPr id="28" name="Picture 28" descr="Table 25: Overview of the incidence of pre-specified AEs during the DB Treatment Period (DB Safety Population; n =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able 25: Overview of the incidence of pre-specified AEs during the DB Treatment Period (DB Safety Population; n = 515)"/>
                    <pic:cNvPicPr>
                      <a:picLocks noChangeAspect="1" noChangeArrowheads="1"/>
                    </pic:cNvPicPr>
                  </pic:nvPicPr>
                  <pic:blipFill>
                    <a:blip r:embed="rId41" cstate="print"/>
                    <a:srcRect/>
                    <a:stretch>
                      <a:fillRect/>
                    </a:stretch>
                  </pic:blipFill>
                  <pic:spPr bwMode="auto">
                    <a:xfrm>
                      <a:off x="0" y="0"/>
                      <a:ext cx="5739130" cy="7451725"/>
                    </a:xfrm>
                    <a:prstGeom prst="rect">
                      <a:avLst/>
                    </a:prstGeom>
                    <a:noFill/>
                    <a:ln w="9525">
                      <a:noFill/>
                      <a:miter lim="800000"/>
                      <a:headEnd/>
                      <a:tailEnd/>
                    </a:ln>
                  </pic:spPr>
                </pic:pic>
              </a:graphicData>
            </a:graphic>
          </wp:inline>
        </w:drawing>
      </w:r>
    </w:p>
    <w:p w:rsidR="00301E2C" w:rsidRDefault="00301E2C" w:rsidP="00A55A25">
      <w:pPr>
        <w:pStyle w:val="TableTitle"/>
      </w:pPr>
      <w:r>
        <w:lastRenderedPageBreak/>
        <w:t>Table 25</w:t>
      </w:r>
      <w:r w:rsidR="00A44029">
        <w:t xml:space="preserve"> (continued)</w:t>
      </w:r>
      <w:r>
        <w:t>:</w:t>
      </w:r>
      <w:r w:rsidRPr="004C5C28">
        <w:t xml:space="preserve"> </w:t>
      </w:r>
      <w:r>
        <w:t>Overview of the incidence of pre-specified AEs during the DB Treatment Period (DB Safety Population; n = 515).</w:t>
      </w:r>
    </w:p>
    <w:p w:rsidR="00AA0462" w:rsidRDefault="00B90934" w:rsidP="00A55A25">
      <w:pPr>
        <w:rPr>
          <w:lang w:val="en-GB"/>
        </w:rPr>
      </w:pPr>
      <w:r>
        <w:rPr>
          <w:noProof/>
          <w:lang w:eastAsia="en-AU"/>
        </w:rPr>
        <w:drawing>
          <wp:inline distT="0" distB="0" distL="0" distR="0">
            <wp:extent cx="5124450" cy="8345805"/>
            <wp:effectExtent l="19050" t="0" r="0" b="0"/>
            <wp:docPr id="29" name="Picture 29" descr="Table 25 (continued): Overview of the incidence of pre-specified AEs during the DB Treatment Period (DB Safety Population; n =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able 25 (continued): Overview of the incidence of pre-specified AEs during the DB Treatment Period (DB Safety Population; n = 515)."/>
                    <pic:cNvPicPr>
                      <a:picLocks noChangeAspect="1" noChangeArrowheads="1"/>
                    </pic:cNvPicPr>
                  </pic:nvPicPr>
                  <pic:blipFill>
                    <a:blip r:embed="rId42" cstate="print"/>
                    <a:srcRect/>
                    <a:stretch>
                      <a:fillRect/>
                    </a:stretch>
                  </pic:blipFill>
                  <pic:spPr bwMode="auto">
                    <a:xfrm>
                      <a:off x="0" y="0"/>
                      <a:ext cx="5124450" cy="8345805"/>
                    </a:xfrm>
                    <a:prstGeom prst="rect">
                      <a:avLst/>
                    </a:prstGeom>
                    <a:noFill/>
                    <a:ln w="9525">
                      <a:noFill/>
                      <a:miter lim="800000"/>
                      <a:headEnd/>
                      <a:tailEnd/>
                    </a:ln>
                  </pic:spPr>
                </pic:pic>
              </a:graphicData>
            </a:graphic>
          </wp:inline>
        </w:drawing>
      </w:r>
    </w:p>
    <w:p w:rsidR="00C3552B" w:rsidRDefault="00C3552B" w:rsidP="00A55A25">
      <w:pPr>
        <w:pStyle w:val="TableTitle"/>
        <w:rPr>
          <w:lang w:val="en-GB"/>
        </w:rPr>
      </w:pPr>
      <w:r>
        <w:lastRenderedPageBreak/>
        <w:t>Table 26:</w:t>
      </w:r>
      <w:r w:rsidRPr="004C5C28">
        <w:t xml:space="preserve"> </w:t>
      </w:r>
      <w:r>
        <w:t xml:space="preserve">Incidence of pre-specified TEAEs during the OL treatment period by pre-specified group and </w:t>
      </w:r>
      <w:proofErr w:type="spellStart"/>
      <w:r>
        <w:t>MedDRA</w:t>
      </w:r>
      <w:proofErr w:type="spellEnd"/>
      <w:r>
        <w:t xml:space="preserve"> preferred term (OL Safety Population; n = 120).</w:t>
      </w:r>
    </w:p>
    <w:p w:rsidR="00C3552B" w:rsidRDefault="00B90934" w:rsidP="00A55A25">
      <w:pPr>
        <w:rPr>
          <w:lang w:eastAsia="ja-JP"/>
        </w:rPr>
      </w:pPr>
      <w:r>
        <w:rPr>
          <w:noProof/>
          <w:lang w:eastAsia="en-AU"/>
        </w:rPr>
        <w:drawing>
          <wp:inline distT="0" distB="0" distL="0" distR="0">
            <wp:extent cx="5001895" cy="5411470"/>
            <wp:effectExtent l="19050" t="0" r="8255" b="0"/>
            <wp:docPr id="30" name="Picture 30" descr="Table 26: Incidence of pre-specified TEAEs during the OL treatment period by pre-specified group and MedDRA preferred term (OL Safety Population; n =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able 26: Incidence of pre-specified TEAEs during the OL treatment period by pre-specified group and MedDRA preferred term (OL Safety Population; n = 120)."/>
                    <pic:cNvPicPr>
                      <a:picLocks noChangeAspect="1" noChangeArrowheads="1"/>
                    </pic:cNvPicPr>
                  </pic:nvPicPr>
                  <pic:blipFill>
                    <a:blip r:embed="rId43" cstate="print"/>
                    <a:srcRect/>
                    <a:stretch>
                      <a:fillRect/>
                    </a:stretch>
                  </pic:blipFill>
                  <pic:spPr bwMode="auto">
                    <a:xfrm>
                      <a:off x="0" y="0"/>
                      <a:ext cx="5001895" cy="5411470"/>
                    </a:xfrm>
                    <a:prstGeom prst="rect">
                      <a:avLst/>
                    </a:prstGeom>
                    <a:noFill/>
                    <a:ln w="9525">
                      <a:noFill/>
                      <a:miter lim="800000"/>
                      <a:headEnd/>
                      <a:tailEnd/>
                    </a:ln>
                  </pic:spPr>
                </pic:pic>
              </a:graphicData>
            </a:graphic>
          </wp:inline>
        </w:drawing>
      </w:r>
    </w:p>
    <w:p w:rsidR="009B5445" w:rsidRDefault="009B5445" w:rsidP="00A55A25">
      <w:pPr>
        <w:pStyle w:val="TableTitle"/>
        <w:rPr>
          <w:lang w:val="en-GB"/>
        </w:rPr>
      </w:pPr>
      <w:proofErr w:type="gramStart"/>
      <w:r>
        <w:t>Table 2</w:t>
      </w:r>
      <w:r w:rsidR="000724AE">
        <w:t>7</w:t>
      </w:r>
      <w:r>
        <w:t>:</w:t>
      </w:r>
      <w:r w:rsidRPr="004C5C28">
        <w:t xml:space="preserve"> </w:t>
      </w:r>
      <w:r>
        <w:t xml:space="preserve">24 month analysis: incidence rate of TEAEs – during the DB treatment period leading to death by </w:t>
      </w:r>
      <w:proofErr w:type="spellStart"/>
      <w:r>
        <w:t>MedDRA</w:t>
      </w:r>
      <w:proofErr w:type="spellEnd"/>
      <w:r>
        <w:t xml:space="preserve"> primary System Organ Class and Preferred Term (DB Safety Population).</w:t>
      </w:r>
      <w:proofErr w:type="gramEnd"/>
    </w:p>
    <w:p w:rsidR="00C61D1D" w:rsidRDefault="00B90934" w:rsidP="00C22678">
      <w:pPr>
        <w:rPr>
          <w:noProof/>
          <w:lang w:eastAsia="en-AU"/>
        </w:rPr>
      </w:pPr>
      <w:r>
        <w:rPr>
          <w:noProof/>
          <w:lang w:eastAsia="en-AU"/>
        </w:rPr>
        <w:drawing>
          <wp:inline distT="0" distB="0" distL="0" distR="0">
            <wp:extent cx="5725160" cy="1412240"/>
            <wp:effectExtent l="19050" t="0" r="8890" b="0"/>
            <wp:docPr id="31" name="Picture 31" descr="Table 27: 24 month analysis: incidence rate of TEAEs – during the DB treatment period leading to death by MedDRA primary System Organ Class and Preferred Term (DB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able 27: 24 month analysis: incidence rate of TEAEs – during the DB treatment period leading to death by MedDRA primary System Organ Class and Preferred Term (DB Safety Population)."/>
                    <pic:cNvPicPr>
                      <a:picLocks noChangeAspect="1" noChangeArrowheads="1"/>
                    </pic:cNvPicPr>
                  </pic:nvPicPr>
                  <pic:blipFill>
                    <a:blip r:embed="rId44" cstate="print"/>
                    <a:srcRect/>
                    <a:stretch>
                      <a:fillRect/>
                    </a:stretch>
                  </pic:blipFill>
                  <pic:spPr bwMode="auto">
                    <a:xfrm>
                      <a:off x="0" y="0"/>
                      <a:ext cx="5725160" cy="1412240"/>
                    </a:xfrm>
                    <a:prstGeom prst="rect">
                      <a:avLst/>
                    </a:prstGeom>
                    <a:noFill/>
                    <a:ln w="9525">
                      <a:noFill/>
                      <a:miter lim="800000"/>
                      <a:headEnd/>
                      <a:tailEnd/>
                    </a:ln>
                  </pic:spPr>
                </pic:pic>
              </a:graphicData>
            </a:graphic>
          </wp:inline>
        </w:drawing>
      </w:r>
    </w:p>
    <w:p w:rsidR="005D2DDB" w:rsidRPr="00213E77" w:rsidRDefault="005D2DDB" w:rsidP="00A55A25">
      <w:pPr>
        <w:pStyle w:val="Heading4"/>
      </w:pPr>
      <w:bookmarkStart w:id="99" w:name="_Toc348083973"/>
      <w:bookmarkStart w:id="100" w:name="_Toc348083975"/>
      <w:r>
        <w:t>Deaths and other serious adverse events</w:t>
      </w:r>
      <w:bookmarkEnd w:id="99"/>
    </w:p>
    <w:p w:rsidR="005D2DDB" w:rsidRDefault="005D2DDB" w:rsidP="005D2DDB">
      <w:pPr>
        <w:pStyle w:val="Heading5"/>
      </w:pPr>
      <w:bookmarkStart w:id="101" w:name="_Toc348083974"/>
      <w:r>
        <w:t>Deaths</w:t>
      </w:r>
      <w:bookmarkEnd w:id="101"/>
    </w:p>
    <w:p w:rsidR="005D2DDB" w:rsidRDefault="005D2DDB" w:rsidP="005D2DDB">
      <w:r w:rsidRPr="000D2E8E">
        <w:t xml:space="preserve">Two </w:t>
      </w:r>
      <w:r>
        <w:t>deaths occurred in the pivotal study</w:t>
      </w:r>
      <w:r w:rsidRPr="000D2E8E">
        <w:t>. Both occurred in placebo recipients, and appeared causally unrelated to involvement in the study</w:t>
      </w:r>
      <w:r>
        <w:t>. O</w:t>
      </w:r>
      <w:r w:rsidRPr="000D2E8E">
        <w:t>ne subject died of severe panc</w:t>
      </w:r>
      <w:r>
        <w:t>r</w:t>
      </w:r>
      <w:r w:rsidRPr="000D2E8E">
        <w:t xml:space="preserve">eatitis on a background of pre-existing </w:t>
      </w:r>
      <w:proofErr w:type="spellStart"/>
      <w:r w:rsidRPr="000D2E8E">
        <w:t>cholelithiasis</w:t>
      </w:r>
      <w:proofErr w:type="spellEnd"/>
      <w:r>
        <w:t>. T</w:t>
      </w:r>
      <w:r w:rsidRPr="000D2E8E">
        <w:t xml:space="preserve">he other subject had a </w:t>
      </w:r>
      <w:proofErr w:type="spellStart"/>
      <w:r w:rsidRPr="000D2E8E">
        <w:t>glioblastoma</w:t>
      </w:r>
      <w:proofErr w:type="spellEnd"/>
      <w:r w:rsidRPr="000D2E8E">
        <w:t xml:space="preserve"> diagnosed in the </w:t>
      </w:r>
      <w:r w:rsidRPr="000D2E8E">
        <w:lastRenderedPageBreak/>
        <w:t xml:space="preserve">double-blind period but present, in retrospect, </w:t>
      </w:r>
      <w:r>
        <w:t xml:space="preserve">at baseline; the tumour was visible </w:t>
      </w:r>
      <w:r w:rsidRPr="000D2E8E">
        <w:t xml:space="preserve">on the pre-treatment </w:t>
      </w:r>
      <w:r>
        <w:t>scans. This</w:t>
      </w:r>
      <w:r w:rsidRPr="000D2E8E">
        <w:t xml:space="preserve"> subject </w:t>
      </w:r>
      <w:r>
        <w:t xml:space="preserve">suffered </w:t>
      </w:r>
      <w:r w:rsidRPr="000D2E8E">
        <w:t>a fatal hematoma following surgery for subtotal excision</w:t>
      </w:r>
      <w:r>
        <w:t xml:space="preserve"> of the tumour</w:t>
      </w:r>
      <w:r w:rsidRPr="000D2E8E">
        <w:t>.</w:t>
      </w:r>
    </w:p>
    <w:p w:rsidR="000638D0" w:rsidRPr="00213E77" w:rsidRDefault="000638D0" w:rsidP="000638D0">
      <w:pPr>
        <w:pStyle w:val="Heading5"/>
      </w:pPr>
      <w:r>
        <w:t>Severe and serious adverse events</w:t>
      </w:r>
      <w:bookmarkEnd w:id="100"/>
    </w:p>
    <w:p w:rsidR="000638D0" w:rsidRPr="000638D0" w:rsidRDefault="000638D0" w:rsidP="000638D0">
      <w:r w:rsidRPr="000638D0">
        <w:t xml:space="preserve">AEs rated as severe were observed in all three treatment group (9, 8, and 11 subjects in the placebo, </w:t>
      </w:r>
      <w:proofErr w:type="spellStart"/>
      <w:r w:rsidRPr="000638D0">
        <w:t>ow</w:t>
      </w:r>
      <w:proofErr w:type="spellEnd"/>
      <w:r w:rsidRPr="000638D0">
        <w:t xml:space="preserve">, and </w:t>
      </w:r>
      <w:proofErr w:type="spellStart"/>
      <w:r w:rsidRPr="000638D0">
        <w:t>tiw</w:t>
      </w:r>
      <w:proofErr w:type="spellEnd"/>
      <w:r w:rsidRPr="000638D0">
        <w:t xml:space="preserve"> groups, respectively). The sponsor listed these events as follow</w:t>
      </w:r>
      <w:r w:rsidR="00A55A25">
        <w:t>s (Summary of Clinical Safety):</w:t>
      </w:r>
    </w:p>
    <w:p w:rsidR="000638D0" w:rsidRPr="000638D0" w:rsidRDefault="000638D0" w:rsidP="000638D0">
      <w:pPr>
        <w:ind w:left="720"/>
        <w:rPr>
          <w:i/>
        </w:rPr>
      </w:pPr>
      <w:r w:rsidRPr="000638D0">
        <w:rPr>
          <w:i/>
        </w:rPr>
        <w:t xml:space="preserve">“In the Placebo group, the 12 severe AEs reported by 9 subjects were headache (n=3), </w:t>
      </w:r>
      <w:proofErr w:type="spellStart"/>
      <w:r w:rsidRPr="000638D0">
        <w:rPr>
          <w:i/>
        </w:rPr>
        <w:t>paresthesia</w:t>
      </w:r>
      <w:proofErr w:type="spellEnd"/>
      <w:r w:rsidRPr="000638D0">
        <w:rPr>
          <w:i/>
        </w:rPr>
        <w:t xml:space="preserve">, (n=1), tension headache (n=1), pancreatic necrosis (n=1), anxiety (n=1), post-procedural hematoma (n=1) unstable angina (n=1), </w:t>
      </w:r>
      <w:proofErr w:type="spellStart"/>
      <w:r w:rsidRPr="000638D0">
        <w:rPr>
          <w:i/>
        </w:rPr>
        <w:t>cholelithiasis</w:t>
      </w:r>
      <w:proofErr w:type="spellEnd"/>
      <w:r w:rsidRPr="000638D0">
        <w:rPr>
          <w:i/>
        </w:rPr>
        <w:t xml:space="preserve"> (n=1), </w:t>
      </w:r>
      <w:proofErr w:type="spellStart"/>
      <w:r w:rsidRPr="000638D0">
        <w:rPr>
          <w:i/>
        </w:rPr>
        <w:t>hypertriglyceridemia</w:t>
      </w:r>
      <w:proofErr w:type="spellEnd"/>
      <w:r w:rsidRPr="000638D0">
        <w:rPr>
          <w:i/>
        </w:rPr>
        <w:t xml:space="preserve"> (n=1) and spontaneous abortion (n=1). </w:t>
      </w:r>
    </w:p>
    <w:p w:rsidR="000638D0" w:rsidRPr="000638D0" w:rsidRDefault="000638D0" w:rsidP="000638D0">
      <w:pPr>
        <w:ind w:left="720"/>
        <w:rPr>
          <w:i/>
        </w:rPr>
      </w:pPr>
      <w:r w:rsidRPr="000638D0">
        <w:rPr>
          <w:i/>
        </w:rPr>
        <w:t xml:space="preserve">In the </w:t>
      </w:r>
      <w:r w:rsidRPr="00DB22EB">
        <w:rPr>
          <w:i/>
        </w:rPr>
        <w:t xml:space="preserve">RNF 44 </w:t>
      </w:r>
      <w:r w:rsidR="00DB22EB" w:rsidRPr="00DB22EB">
        <w:rPr>
          <w:i/>
        </w:rPr>
        <w:t>µg</w:t>
      </w:r>
      <w:r w:rsidRPr="000638D0">
        <w:rPr>
          <w:i/>
        </w:rPr>
        <w:t xml:space="preserve"> </w:t>
      </w:r>
      <w:proofErr w:type="spellStart"/>
      <w:r w:rsidRPr="000638D0">
        <w:rPr>
          <w:i/>
        </w:rPr>
        <w:t>ow</w:t>
      </w:r>
      <w:proofErr w:type="spellEnd"/>
      <w:r w:rsidRPr="000638D0">
        <w:rPr>
          <w:i/>
        </w:rPr>
        <w:t xml:space="preserve"> group, the 10 severe AEs reported by 8 subjects include: headache (n=2), </w:t>
      </w:r>
      <w:proofErr w:type="spellStart"/>
      <w:r w:rsidRPr="000638D0">
        <w:rPr>
          <w:i/>
        </w:rPr>
        <w:t>alanine</w:t>
      </w:r>
      <w:proofErr w:type="spellEnd"/>
      <w:r w:rsidRPr="000638D0">
        <w:rPr>
          <w:i/>
        </w:rPr>
        <w:t xml:space="preserve"> </w:t>
      </w:r>
      <w:proofErr w:type="spellStart"/>
      <w:r w:rsidRPr="000638D0">
        <w:rPr>
          <w:i/>
        </w:rPr>
        <w:t>aminotransferase</w:t>
      </w:r>
      <w:proofErr w:type="spellEnd"/>
      <w:r w:rsidRPr="000638D0">
        <w:rPr>
          <w:i/>
        </w:rPr>
        <w:t xml:space="preserve"> (ALT) increase (n=2) migraine with aura (n=1) influenza like illness (n=1), injection site </w:t>
      </w:r>
      <w:proofErr w:type="spellStart"/>
      <w:r w:rsidRPr="000638D0">
        <w:rPr>
          <w:i/>
        </w:rPr>
        <w:t>edema</w:t>
      </w:r>
      <w:proofErr w:type="spellEnd"/>
      <w:r w:rsidRPr="000638D0">
        <w:rPr>
          <w:i/>
        </w:rPr>
        <w:t xml:space="preserve"> (n=1), </w:t>
      </w:r>
      <w:proofErr w:type="spellStart"/>
      <w:r w:rsidRPr="000638D0">
        <w:rPr>
          <w:i/>
        </w:rPr>
        <w:t>periostitis</w:t>
      </w:r>
      <w:proofErr w:type="spellEnd"/>
      <w:r w:rsidRPr="000638D0">
        <w:rPr>
          <w:i/>
        </w:rPr>
        <w:t xml:space="preserve"> (n=1) neutropenia (n=1), and hepatic pain (n=1). </w:t>
      </w:r>
    </w:p>
    <w:p w:rsidR="000638D0" w:rsidRPr="000638D0" w:rsidRDefault="000638D0" w:rsidP="000638D0">
      <w:pPr>
        <w:ind w:left="720"/>
      </w:pPr>
      <w:r w:rsidRPr="000638D0">
        <w:rPr>
          <w:i/>
        </w:rPr>
        <w:t xml:space="preserve">In the RNF </w:t>
      </w:r>
      <w:r w:rsidRPr="00DB22EB">
        <w:rPr>
          <w:i/>
        </w:rPr>
        <w:t xml:space="preserve">44 </w:t>
      </w:r>
      <w:r w:rsidR="00DB22EB" w:rsidRPr="00DB22EB">
        <w:rPr>
          <w:i/>
        </w:rPr>
        <w:t>µg</w:t>
      </w:r>
      <w:r w:rsidRPr="00DB22EB">
        <w:rPr>
          <w:i/>
        </w:rPr>
        <w:t xml:space="preserve"> </w:t>
      </w:r>
      <w:proofErr w:type="spellStart"/>
      <w:r w:rsidRPr="00DB22EB">
        <w:rPr>
          <w:i/>
        </w:rPr>
        <w:t>tiw</w:t>
      </w:r>
      <w:proofErr w:type="spellEnd"/>
      <w:r w:rsidRPr="000638D0">
        <w:rPr>
          <w:i/>
        </w:rPr>
        <w:t xml:space="preserve"> group, the 13 severe AEs reported by 11 subjects include influenza like illness (n=2), injection site papule (n=1), appendicitis (n=2), headache (n=5), tonic convulsion (n=1), gastritis (n=1), and acute myocardial infarction (n=1).”</w:t>
      </w:r>
    </w:p>
    <w:p w:rsidR="000638D0" w:rsidRPr="000638D0" w:rsidRDefault="000638D0" w:rsidP="000638D0">
      <w:r w:rsidRPr="000638D0">
        <w:t xml:space="preserve">No new concerns are raised by this listing, although in some cases it seems highly likely that </w:t>
      </w:r>
      <w:proofErr w:type="spellStart"/>
      <w:r w:rsidRPr="000638D0">
        <w:t>Rebif</w:t>
      </w:r>
      <w:proofErr w:type="spellEnd"/>
      <w:r w:rsidRPr="000638D0">
        <w:t xml:space="preserve"> played a causal role, as in the cases of severe influenza-like illness.</w:t>
      </w:r>
    </w:p>
    <w:p w:rsidR="000638D0" w:rsidRPr="000638D0" w:rsidRDefault="000638D0" w:rsidP="000638D0">
      <w:r w:rsidRPr="000638D0">
        <w:t xml:space="preserve">Non-fatal serious adverse events (SAEs) were reported in 12, 8 and 6 subjects in the placebo, </w:t>
      </w:r>
      <w:proofErr w:type="spellStart"/>
      <w:r w:rsidRPr="000638D0">
        <w:t>ow</w:t>
      </w:r>
      <w:proofErr w:type="spellEnd"/>
      <w:r w:rsidRPr="000638D0">
        <w:t xml:space="preserve"> and </w:t>
      </w:r>
      <w:proofErr w:type="spellStart"/>
      <w:r w:rsidRPr="000638D0">
        <w:t>tiw</w:t>
      </w:r>
      <w:proofErr w:type="spellEnd"/>
      <w:r w:rsidRPr="000638D0">
        <w:t xml:space="preserve"> treatment groups, respectively.</w:t>
      </w:r>
      <w:r w:rsidR="00B056CA">
        <w:t xml:space="preserve"> </w:t>
      </w:r>
      <w:r w:rsidR="00473CAC">
        <w:t>The events are in Table 28</w:t>
      </w:r>
      <w:r w:rsidRPr="000638D0">
        <w:t>.</w:t>
      </w:r>
    </w:p>
    <w:p w:rsidR="000638D0" w:rsidRPr="000638D0" w:rsidRDefault="000638D0" w:rsidP="000638D0">
      <w:r w:rsidRPr="000638D0">
        <w:t>In most cases, these SAEs were not considered related to study drug, and a review of the individual study narratives raised no particular concerns. SAEs rated as “possibly” related to treatment were:</w:t>
      </w:r>
    </w:p>
    <w:p w:rsidR="000638D0" w:rsidRPr="000638D0" w:rsidRDefault="000638D0" w:rsidP="000638D0">
      <w:pPr>
        <w:pStyle w:val="ListBullet"/>
      </w:pPr>
      <w:proofErr w:type="spellStart"/>
      <w:r w:rsidRPr="000638D0">
        <w:t>varicella</w:t>
      </w:r>
      <w:proofErr w:type="spellEnd"/>
      <w:r w:rsidRPr="000638D0">
        <w:t xml:space="preserve"> in a subject receiving </w:t>
      </w:r>
      <w:proofErr w:type="spellStart"/>
      <w:r w:rsidRPr="000638D0">
        <w:t>Rebif</w:t>
      </w:r>
      <w:proofErr w:type="spellEnd"/>
      <w:r w:rsidRPr="000638D0">
        <w:t xml:space="preserve"> 44 </w:t>
      </w:r>
      <w:r w:rsidR="00DB22EB">
        <w:t>µg</w:t>
      </w:r>
      <w:r w:rsidRPr="000638D0">
        <w:t xml:space="preserve"> </w:t>
      </w:r>
      <w:proofErr w:type="spellStart"/>
      <w:r w:rsidRPr="000638D0">
        <w:t>ow</w:t>
      </w:r>
      <w:proofErr w:type="spellEnd"/>
    </w:p>
    <w:p w:rsidR="000638D0" w:rsidRPr="000638D0" w:rsidRDefault="000638D0" w:rsidP="000638D0">
      <w:pPr>
        <w:pStyle w:val="ListBullet"/>
      </w:pPr>
      <w:r w:rsidRPr="000638D0">
        <w:t>1 spontaneous abortion in a placebo recipient</w:t>
      </w:r>
    </w:p>
    <w:p w:rsidR="000638D0" w:rsidRPr="000638D0" w:rsidRDefault="000638D0" w:rsidP="000638D0">
      <w:pPr>
        <w:pStyle w:val="ListBullet"/>
      </w:pPr>
      <w:r w:rsidRPr="000638D0">
        <w:t xml:space="preserve">1 spontaneous abortion in a subject receiving </w:t>
      </w:r>
      <w:proofErr w:type="spellStart"/>
      <w:r w:rsidRPr="000638D0">
        <w:t>Rebif</w:t>
      </w:r>
      <w:proofErr w:type="spellEnd"/>
      <w:r w:rsidRPr="000638D0">
        <w:t xml:space="preserve"> 44 </w:t>
      </w:r>
      <w:r w:rsidR="00DB22EB">
        <w:t>µg</w:t>
      </w:r>
      <w:r w:rsidRPr="000638D0">
        <w:t xml:space="preserve"> </w:t>
      </w:r>
      <w:proofErr w:type="spellStart"/>
      <w:r w:rsidRPr="000638D0">
        <w:t>ow</w:t>
      </w:r>
      <w:proofErr w:type="spellEnd"/>
      <w:r w:rsidRPr="000638D0">
        <w:t>.</w:t>
      </w:r>
    </w:p>
    <w:p w:rsidR="000724AE" w:rsidRDefault="000724AE" w:rsidP="00A55A25">
      <w:pPr>
        <w:pStyle w:val="TableTitle"/>
      </w:pPr>
      <w:proofErr w:type="gramStart"/>
      <w:r>
        <w:lastRenderedPageBreak/>
        <w:t>Table 28:</w:t>
      </w:r>
      <w:r w:rsidRPr="004C5C28">
        <w:t xml:space="preserve"> </w:t>
      </w:r>
      <w:r>
        <w:t xml:space="preserve">24 month analysis: incidence rate of </w:t>
      </w:r>
      <w:r w:rsidR="00BF2A37">
        <w:t xml:space="preserve">serious </w:t>
      </w:r>
      <w:r>
        <w:t xml:space="preserve">TEAEs – during the DB treatment period by </w:t>
      </w:r>
      <w:proofErr w:type="spellStart"/>
      <w:r>
        <w:t>MedDRA</w:t>
      </w:r>
      <w:proofErr w:type="spellEnd"/>
      <w:r>
        <w:t xml:space="preserve"> primary System Organ Class and Preferred Term (DB Safety Population).</w:t>
      </w:r>
      <w:proofErr w:type="gramEnd"/>
    </w:p>
    <w:p w:rsidR="00BF2A37" w:rsidRDefault="00B90934" w:rsidP="00A55A25">
      <w:pPr>
        <w:rPr>
          <w:lang w:eastAsia="ja-JP"/>
        </w:rPr>
      </w:pPr>
      <w:r>
        <w:rPr>
          <w:noProof/>
          <w:lang w:eastAsia="en-AU"/>
        </w:rPr>
        <w:drawing>
          <wp:inline distT="0" distB="0" distL="0" distR="0">
            <wp:extent cx="5227320" cy="6059805"/>
            <wp:effectExtent l="19050" t="0" r="0" b="0"/>
            <wp:docPr id="32" name="Picture 32" descr="Table 28: 24 month analysis: incidence rate of serious TEAEs – during the DB treatment period by MedDRA primary System Organ Class and Preferred Term (DB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able 28: 24 month analysis: incidence rate of serious TEAEs – during the DB treatment period by MedDRA primary System Organ Class and Preferred Term (DB Safety Population)."/>
                    <pic:cNvPicPr>
                      <a:picLocks noChangeAspect="1" noChangeArrowheads="1"/>
                    </pic:cNvPicPr>
                  </pic:nvPicPr>
                  <pic:blipFill>
                    <a:blip r:embed="rId45" cstate="print"/>
                    <a:srcRect/>
                    <a:stretch>
                      <a:fillRect/>
                    </a:stretch>
                  </pic:blipFill>
                  <pic:spPr bwMode="auto">
                    <a:xfrm>
                      <a:off x="0" y="0"/>
                      <a:ext cx="5227320" cy="6059805"/>
                    </a:xfrm>
                    <a:prstGeom prst="rect">
                      <a:avLst/>
                    </a:prstGeom>
                    <a:noFill/>
                    <a:ln w="9525">
                      <a:noFill/>
                      <a:miter lim="800000"/>
                      <a:headEnd/>
                      <a:tailEnd/>
                    </a:ln>
                  </pic:spPr>
                </pic:pic>
              </a:graphicData>
            </a:graphic>
          </wp:inline>
        </w:drawing>
      </w:r>
    </w:p>
    <w:p w:rsidR="00AC4589" w:rsidRDefault="00AC4589" w:rsidP="00AC4589">
      <w:pPr>
        <w:pStyle w:val="Heading4"/>
      </w:pPr>
      <w:bookmarkStart w:id="102" w:name="_Toc241374325"/>
      <w:bookmarkStart w:id="103" w:name="_Ref272333477"/>
      <w:bookmarkStart w:id="104" w:name="_Toc272414667"/>
      <w:bookmarkStart w:id="105" w:name="_Toc290846305"/>
      <w:bookmarkStart w:id="106" w:name="_Toc348083976"/>
      <w:r>
        <w:t>Discontinuation due to adverse events</w:t>
      </w:r>
      <w:bookmarkEnd w:id="102"/>
      <w:bookmarkEnd w:id="103"/>
      <w:bookmarkEnd w:id="104"/>
      <w:bookmarkEnd w:id="105"/>
      <w:bookmarkEnd w:id="106"/>
    </w:p>
    <w:p w:rsidR="00AC4589" w:rsidRPr="00A91023" w:rsidRDefault="00AC4589" w:rsidP="00AC4589">
      <w:r w:rsidRPr="00A91023">
        <w:t xml:space="preserve">Discontinuations due to AEs occurred in 6 placebo recipients (3.5%), 4 subjects in the </w:t>
      </w:r>
      <w:proofErr w:type="spellStart"/>
      <w:r w:rsidRPr="00A91023">
        <w:t>Rebif</w:t>
      </w:r>
      <w:proofErr w:type="spellEnd"/>
      <w:r w:rsidRPr="00A91023">
        <w:t xml:space="preserve"> 44 </w:t>
      </w:r>
      <w:r w:rsidR="00DB22EB">
        <w:t>µg</w:t>
      </w:r>
      <w:r w:rsidRPr="00A91023">
        <w:t xml:space="preserve"> </w:t>
      </w:r>
      <w:proofErr w:type="spellStart"/>
      <w:r w:rsidRPr="00A91023">
        <w:t>ow</w:t>
      </w:r>
      <w:proofErr w:type="spellEnd"/>
      <w:r w:rsidRPr="00A91023">
        <w:t xml:space="preserve"> group (2.3%), and 5 in the </w:t>
      </w:r>
      <w:proofErr w:type="spellStart"/>
      <w:r w:rsidRPr="00A91023">
        <w:t>Rebif</w:t>
      </w:r>
      <w:proofErr w:type="spellEnd"/>
      <w:r w:rsidRPr="00A91023">
        <w:t xml:space="preserve"> 44 </w:t>
      </w:r>
      <w:r w:rsidR="00DB22EB">
        <w:t>µg</w:t>
      </w:r>
      <w:r w:rsidRPr="00A91023">
        <w:t xml:space="preserve"> </w:t>
      </w:r>
      <w:proofErr w:type="spellStart"/>
      <w:r w:rsidRPr="00A91023">
        <w:t>tiw</w:t>
      </w:r>
      <w:proofErr w:type="spellEnd"/>
      <w:r w:rsidRPr="00A91023">
        <w:t xml:space="preserve"> treatment group (2.9%). A review of the withdrawals in the </w:t>
      </w:r>
      <w:proofErr w:type="spellStart"/>
      <w:r w:rsidRPr="00A91023">
        <w:t>Rebif</w:t>
      </w:r>
      <w:proofErr w:type="spellEnd"/>
      <w:r w:rsidRPr="00A91023">
        <w:t xml:space="preserve"> groups raised no </w:t>
      </w:r>
      <w:r>
        <w:t>new concerns; the main reasons for withdrawing were flu-like syndrome, abnormal liver function tests and depression.</w:t>
      </w:r>
    </w:p>
    <w:p w:rsidR="0076322C" w:rsidRDefault="0076322C" w:rsidP="0076322C">
      <w:pPr>
        <w:pStyle w:val="Heading3"/>
      </w:pPr>
      <w:bookmarkStart w:id="107" w:name="_Toc241374321"/>
      <w:bookmarkStart w:id="108" w:name="_Ref271044780"/>
      <w:bookmarkStart w:id="109" w:name="_Ref271196640"/>
      <w:bookmarkStart w:id="110" w:name="_Ref272333085"/>
      <w:bookmarkStart w:id="111" w:name="_Toc272414668"/>
      <w:bookmarkStart w:id="112" w:name="_Toc290846306"/>
      <w:bookmarkStart w:id="113" w:name="_Ref332539997"/>
      <w:bookmarkStart w:id="114" w:name="_Ref332540014"/>
      <w:bookmarkStart w:id="115" w:name="_Toc348083977"/>
      <w:bookmarkStart w:id="116" w:name="_Toc373928638"/>
      <w:r>
        <w:t>Laboratory tests</w:t>
      </w:r>
      <w:bookmarkEnd w:id="107"/>
      <w:bookmarkEnd w:id="108"/>
      <w:bookmarkEnd w:id="109"/>
      <w:bookmarkEnd w:id="110"/>
      <w:bookmarkEnd w:id="111"/>
      <w:bookmarkEnd w:id="112"/>
      <w:bookmarkEnd w:id="113"/>
      <w:bookmarkEnd w:id="114"/>
      <w:bookmarkEnd w:id="115"/>
      <w:bookmarkEnd w:id="116"/>
    </w:p>
    <w:p w:rsidR="0076322C" w:rsidRDefault="0076322C" w:rsidP="0076322C">
      <w:pPr>
        <w:pStyle w:val="Heading4"/>
      </w:pPr>
      <w:bookmarkStart w:id="117" w:name="_Toc348083978"/>
      <w:r>
        <w:t>Biochemistry</w:t>
      </w:r>
      <w:bookmarkEnd w:id="117"/>
    </w:p>
    <w:p w:rsidR="0076322C" w:rsidRDefault="0076322C" w:rsidP="0076322C">
      <w:r>
        <w:t xml:space="preserve">The incidence of abnormal </w:t>
      </w:r>
      <w:r w:rsidRPr="002D2E28">
        <w:rPr>
          <w:i/>
        </w:rPr>
        <w:t>post-baseline</w:t>
      </w:r>
      <w:r>
        <w:t xml:space="preserve"> biochemistry results is shown in </w:t>
      </w:r>
      <w:r w:rsidR="00606C7A">
        <w:t>Table 29</w:t>
      </w:r>
      <w:r>
        <w:t xml:space="preserve">. The totals listed after ‘Post Baseline Value Available’ refer to </w:t>
      </w:r>
      <w:r w:rsidRPr="002D2E28">
        <w:rPr>
          <w:i/>
        </w:rPr>
        <w:t>all</w:t>
      </w:r>
      <w:r>
        <w:t xml:space="preserve"> subjects with a post-baseline value available (without regard to baseline values), whereas those listed after ‘Any Status’ refer to the subjects with an </w:t>
      </w:r>
      <w:r w:rsidRPr="002D2E28">
        <w:rPr>
          <w:i/>
        </w:rPr>
        <w:t>abnormal</w:t>
      </w:r>
      <w:r>
        <w:t xml:space="preserve"> post-baseline value (again, without regard to baseline values). The </w:t>
      </w:r>
      <w:r>
        <w:lastRenderedPageBreak/>
        <w:t xml:space="preserve">subsequent rows for each test of interest (&lt;LLN, LLN-&lt;ULN, &gt;ULN) show the results for subjects with at least one abnormal post-baseline value, but subdivided according to the </w:t>
      </w:r>
      <w:r w:rsidRPr="002D2E28">
        <w:rPr>
          <w:i/>
        </w:rPr>
        <w:t>baseline</w:t>
      </w:r>
      <w:r>
        <w:t xml:space="preserve"> results. The line ‘Missing’ refers to missing baseline values, whereas ‘(missing)’ refers to missing post-baseline values.</w:t>
      </w:r>
    </w:p>
    <w:p w:rsidR="00441607" w:rsidRDefault="00441607" w:rsidP="00A55A25">
      <w:pPr>
        <w:pStyle w:val="TableTitle"/>
      </w:pPr>
      <w:proofErr w:type="gramStart"/>
      <w:r>
        <w:t>Table 29:</w:t>
      </w:r>
      <w:r w:rsidRPr="004C5C28">
        <w:t xml:space="preserve"> </w:t>
      </w:r>
      <w:r>
        <w:t>24 month analysis: biochemistry laboratory parameters – at least one post-baseline value outside safety range during the DB treatment period (DB Safety Population).</w:t>
      </w:r>
      <w:proofErr w:type="gramEnd"/>
    </w:p>
    <w:p w:rsidR="00441607" w:rsidRDefault="00B90934" w:rsidP="00A55A25">
      <w:pPr>
        <w:rPr>
          <w:lang w:eastAsia="ja-JP"/>
        </w:rPr>
      </w:pPr>
      <w:r>
        <w:rPr>
          <w:noProof/>
          <w:lang w:eastAsia="en-AU"/>
        </w:rPr>
        <w:drawing>
          <wp:inline distT="0" distB="0" distL="0" distR="0">
            <wp:extent cx="5288280" cy="7042150"/>
            <wp:effectExtent l="19050" t="0" r="7620" b="0"/>
            <wp:docPr id="33" name="Picture 33" descr="Table 29: 24 month analysis: biochemistry laboratory parameters – at least one post-baseline value outside safety range during the DB treatment period (DB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able 29: 24 month analysis: biochemistry laboratory parameters – at least one post-baseline value outside safety range during the DB treatment period (DB Safety Population)."/>
                    <pic:cNvPicPr>
                      <a:picLocks noChangeAspect="1" noChangeArrowheads="1"/>
                    </pic:cNvPicPr>
                  </pic:nvPicPr>
                  <pic:blipFill>
                    <a:blip r:embed="rId46" cstate="print"/>
                    <a:srcRect/>
                    <a:stretch>
                      <a:fillRect/>
                    </a:stretch>
                  </pic:blipFill>
                  <pic:spPr bwMode="auto">
                    <a:xfrm>
                      <a:off x="0" y="0"/>
                      <a:ext cx="5288280" cy="7042150"/>
                    </a:xfrm>
                    <a:prstGeom prst="rect">
                      <a:avLst/>
                    </a:prstGeom>
                    <a:noFill/>
                    <a:ln w="9525">
                      <a:noFill/>
                      <a:miter lim="800000"/>
                      <a:headEnd/>
                      <a:tailEnd/>
                    </a:ln>
                  </pic:spPr>
                </pic:pic>
              </a:graphicData>
            </a:graphic>
          </wp:inline>
        </w:drawing>
      </w:r>
    </w:p>
    <w:p w:rsidR="00787A7E" w:rsidRDefault="00441607" w:rsidP="00A55A25">
      <w:pPr>
        <w:pStyle w:val="TableTitle"/>
        <w:rPr>
          <w:lang w:val="en-GB"/>
        </w:rPr>
      </w:pPr>
      <w:r>
        <w:lastRenderedPageBreak/>
        <w:t>Table 29 (continued):</w:t>
      </w:r>
      <w:r w:rsidRPr="004C5C28">
        <w:t xml:space="preserve"> </w:t>
      </w:r>
      <w:r>
        <w:t>24 month analysis: biochemistry laboratory parameters – at least one post-baseline value outside safety range during the DB treatment period (DB Safety Population).</w:t>
      </w:r>
      <w:r w:rsidR="00B90934">
        <w:rPr>
          <w:noProof/>
          <w:lang w:eastAsia="en-AU"/>
        </w:rPr>
        <w:drawing>
          <wp:inline distT="0" distB="0" distL="0" distR="0">
            <wp:extent cx="5732145" cy="6373495"/>
            <wp:effectExtent l="19050" t="0" r="1905" b="0"/>
            <wp:docPr id="34" name="Picture 34" descr="Table 29 (continued): 24 month analysis: biochemistry laboratory parameters – at least one post-baseline value outside safety range during the DB treatment period (DB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able 29 (continued): 24 month analysis: biochemistry laboratory parameters – at least one post-baseline value outside safety range during the DB treatment period (DB Safety Population)."/>
                    <pic:cNvPicPr>
                      <a:picLocks noChangeAspect="1" noChangeArrowheads="1"/>
                    </pic:cNvPicPr>
                  </pic:nvPicPr>
                  <pic:blipFill>
                    <a:blip r:embed="rId47" cstate="print"/>
                    <a:srcRect/>
                    <a:stretch>
                      <a:fillRect/>
                    </a:stretch>
                  </pic:blipFill>
                  <pic:spPr bwMode="auto">
                    <a:xfrm>
                      <a:off x="0" y="0"/>
                      <a:ext cx="5732145" cy="6373495"/>
                    </a:xfrm>
                    <a:prstGeom prst="rect">
                      <a:avLst/>
                    </a:prstGeom>
                    <a:noFill/>
                    <a:ln w="9525">
                      <a:noFill/>
                      <a:miter lim="800000"/>
                      <a:headEnd/>
                      <a:tailEnd/>
                    </a:ln>
                  </pic:spPr>
                </pic:pic>
              </a:graphicData>
            </a:graphic>
          </wp:inline>
        </w:drawing>
      </w:r>
    </w:p>
    <w:p w:rsidR="006559E6" w:rsidRDefault="006559E6" w:rsidP="006559E6">
      <w:r>
        <w:t xml:space="preserve">Overall, biochemical abnormalities were infrequent, and were similar in the placebo and </w:t>
      </w:r>
      <w:proofErr w:type="spellStart"/>
      <w:r>
        <w:t>Rebif</w:t>
      </w:r>
      <w:proofErr w:type="spellEnd"/>
      <w:r>
        <w:t xml:space="preserve"> groups for most parameters, with the exception of abnormal liver enzymes, discussed below.</w:t>
      </w:r>
    </w:p>
    <w:p w:rsidR="006559E6" w:rsidRDefault="006559E6" w:rsidP="006559E6">
      <w:pPr>
        <w:pStyle w:val="Heading4"/>
      </w:pPr>
      <w:bookmarkStart w:id="118" w:name="_Toc272414669"/>
      <w:bookmarkStart w:id="119" w:name="_Toc290846307"/>
      <w:bookmarkStart w:id="120" w:name="_Toc348083979"/>
      <w:r>
        <w:t>Liver function</w:t>
      </w:r>
      <w:bookmarkEnd w:id="118"/>
      <w:bookmarkEnd w:id="119"/>
      <w:bookmarkEnd w:id="120"/>
    </w:p>
    <w:p w:rsidR="006559E6" w:rsidRDefault="006559E6" w:rsidP="006559E6">
      <w:proofErr w:type="spellStart"/>
      <w:r>
        <w:t>Rebif</w:t>
      </w:r>
      <w:proofErr w:type="spellEnd"/>
      <w:r>
        <w:t xml:space="preserve">, like other beta </w:t>
      </w:r>
      <w:proofErr w:type="spellStart"/>
      <w:r>
        <w:t>interferons</w:t>
      </w:r>
      <w:proofErr w:type="spellEnd"/>
      <w:r>
        <w:t xml:space="preserve">, is known (from the original pivotal trials and post-marketing experience) to produce mild and reversible abnormalities in liver function tests. The new pivotal study in CIS confirms this. In the </w:t>
      </w:r>
      <w:proofErr w:type="spellStart"/>
      <w:r>
        <w:t>tiw</w:t>
      </w:r>
      <w:proofErr w:type="spellEnd"/>
      <w:r>
        <w:t xml:space="preserve"> group, abnormal ALT values were seen in 61% of those with normal baseline AST, compared to 33% of the once-weekly gro</w:t>
      </w:r>
      <w:r w:rsidR="00FC6B15">
        <w:t>up and 21</w:t>
      </w:r>
      <w:r w:rsidR="00234E65">
        <w:t>% of the placebo group (Table 29</w:t>
      </w:r>
      <w:r w:rsidR="00FC6B15">
        <w:t>)</w:t>
      </w:r>
      <w:r w:rsidR="00A611D0">
        <w:t>.</w:t>
      </w:r>
    </w:p>
    <w:p w:rsidR="006559E6" w:rsidRDefault="006559E6" w:rsidP="00A611D0">
      <w:pPr>
        <w:pStyle w:val="TableTitle"/>
        <w:rPr>
          <w:lang w:val="en-GB"/>
        </w:rPr>
      </w:pPr>
      <w:r>
        <w:lastRenderedPageBreak/>
        <w:t>Table 30:</w:t>
      </w:r>
      <w:r w:rsidRPr="004C5C28">
        <w:t xml:space="preserve"> </w:t>
      </w:r>
      <w:r>
        <w:t xml:space="preserve">24 month analysis: </w:t>
      </w:r>
      <w:r w:rsidR="00D903D9">
        <w:t>selected biochemistry laboratory parameters – worst post-baseline CTCAE grade during the DB period</w:t>
      </w:r>
      <w:r>
        <w:t xml:space="preserve"> (DB Safety Population).</w:t>
      </w:r>
    </w:p>
    <w:p w:rsidR="006559E6" w:rsidRDefault="00B90934" w:rsidP="00A611D0">
      <w:pPr>
        <w:rPr>
          <w:noProof/>
          <w:lang w:eastAsia="en-AU"/>
        </w:rPr>
      </w:pPr>
      <w:r>
        <w:rPr>
          <w:noProof/>
          <w:lang w:eastAsia="en-AU"/>
        </w:rPr>
        <w:drawing>
          <wp:inline distT="0" distB="0" distL="0" distR="0">
            <wp:extent cx="4728845" cy="3480435"/>
            <wp:effectExtent l="19050" t="0" r="0" b="0"/>
            <wp:docPr id="35" name="Picture 35" descr="Table 30: 24 month analysis: selected biochemistry laboratory parameters – worst post-baseline CTCAE grade during the DB period (DB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able 30: 24 month analysis: selected biochemistry laboratory parameters – worst post-baseline CTCAE grade during the DB period (DB Safety Population)."/>
                    <pic:cNvPicPr>
                      <a:picLocks noChangeAspect="1" noChangeArrowheads="1"/>
                    </pic:cNvPicPr>
                  </pic:nvPicPr>
                  <pic:blipFill>
                    <a:blip r:embed="rId48" cstate="print"/>
                    <a:srcRect/>
                    <a:stretch>
                      <a:fillRect/>
                    </a:stretch>
                  </pic:blipFill>
                  <pic:spPr bwMode="auto">
                    <a:xfrm>
                      <a:off x="0" y="0"/>
                      <a:ext cx="4728845" cy="3480435"/>
                    </a:xfrm>
                    <a:prstGeom prst="rect">
                      <a:avLst/>
                    </a:prstGeom>
                    <a:noFill/>
                    <a:ln w="9525">
                      <a:noFill/>
                      <a:miter lim="800000"/>
                      <a:headEnd/>
                      <a:tailEnd/>
                    </a:ln>
                  </pic:spPr>
                </pic:pic>
              </a:graphicData>
            </a:graphic>
          </wp:inline>
        </w:drawing>
      </w:r>
    </w:p>
    <w:p w:rsidR="006E4AE8" w:rsidRDefault="006E4AE8" w:rsidP="006E4AE8">
      <w:bookmarkStart w:id="121" w:name="_Toc272414671"/>
      <w:bookmarkStart w:id="122" w:name="_Toc290846309"/>
      <w:bookmarkStart w:id="123" w:name="_Toc348083980"/>
      <w:r>
        <w:t xml:space="preserve">There was an excess of Grade 1, Grade 2 and Grade 3 abnormalities of AST and ALT in the active groups, and an excess of Grade 1 and Grade 2 bilirubin abnormalities. The AST and ALT abnormalities showed a dose trend, being more prominent with </w:t>
      </w:r>
      <w:proofErr w:type="spellStart"/>
      <w:r>
        <w:t>tiw</w:t>
      </w:r>
      <w:proofErr w:type="spellEnd"/>
      <w:r>
        <w:t xml:space="preserve"> dosing (see the table </w:t>
      </w:r>
      <w:r w:rsidR="00234E65">
        <w:t>above</w:t>
      </w:r>
      <w:r w:rsidR="00D8541B">
        <w:t>, Table 30</w:t>
      </w:r>
      <w:r>
        <w:t>).</w:t>
      </w:r>
    </w:p>
    <w:p w:rsidR="006E4AE8" w:rsidRDefault="006E4AE8" w:rsidP="006E4AE8">
      <w:r>
        <w:t xml:space="preserve">Clinically significant hepatic disease is rare with </w:t>
      </w:r>
      <w:proofErr w:type="spellStart"/>
      <w:r>
        <w:t>Rebif</w:t>
      </w:r>
      <w:proofErr w:type="spellEnd"/>
      <w:r>
        <w:t xml:space="preserve"> treatment, however, and the only Grade 4 abnormality observed in the CIS study was a single case of elevated ALT in a recipient of 44</w:t>
      </w:r>
      <w:r w:rsidRPr="00DB22EB">
        <w:t xml:space="preserve"> </w:t>
      </w:r>
      <w:r>
        <w:t xml:space="preserve">µg </w:t>
      </w:r>
      <w:proofErr w:type="spellStart"/>
      <w:r>
        <w:t>tiw</w:t>
      </w:r>
      <w:proofErr w:type="spellEnd"/>
      <w:r>
        <w:t>.</w:t>
      </w:r>
    </w:p>
    <w:p w:rsidR="006E4AE8" w:rsidRDefault="006E4AE8" w:rsidP="006E4AE8">
      <w:r>
        <w:t xml:space="preserve">The PI recommends regular biochemistry checks on </w:t>
      </w:r>
      <w:proofErr w:type="spellStart"/>
      <w:r>
        <w:t>Rebif</w:t>
      </w:r>
      <w:proofErr w:type="spellEnd"/>
      <w:r>
        <w:t xml:space="preserve"> recipients, including liver function tests, and this advice remains appropriate.</w:t>
      </w:r>
    </w:p>
    <w:p w:rsidR="00F77573" w:rsidRDefault="00F77573" w:rsidP="00F77573">
      <w:pPr>
        <w:pStyle w:val="Heading4"/>
      </w:pPr>
      <w:r>
        <w:t xml:space="preserve">Endocrine </w:t>
      </w:r>
      <w:r w:rsidR="00A611D0">
        <w:t>f</w:t>
      </w:r>
      <w:r>
        <w:t>unction</w:t>
      </w:r>
      <w:bookmarkEnd w:id="121"/>
      <w:bookmarkEnd w:id="122"/>
      <w:bookmarkEnd w:id="123"/>
    </w:p>
    <w:p w:rsidR="00F77573" w:rsidRDefault="00F77573" w:rsidP="00F77573">
      <w:r>
        <w:t xml:space="preserve">The post-marketing experience of </w:t>
      </w:r>
      <w:proofErr w:type="spellStart"/>
      <w:r>
        <w:t>Rebif</w:t>
      </w:r>
      <w:proofErr w:type="spellEnd"/>
      <w:r>
        <w:t xml:space="preserve"> has demonstrated that its use may be associated with thyroid abnormalities. The PI recommends testing at baseline, and then </w:t>
      </w:r>
      <w:proofErr w:type="gramStart"/>
      <w:r>
        <w:t>repeat</w:t>
      </w:r>
      <w:proofErr w:type="gramEnd"/>
      <w:r>
        <w:t xml:space="preserve"> testing every 6-12 months if the baseline tests are abnormal or there is clinical suspicion of thyroid dysfunction. This advice remans appropriate. Abnorm</w:t>
      </w:r>
      <w:r w:rsidR="003B14E3">
        <w:t xml:space="preserve">al thyroid function results </w:t>
      </w:r>
      <w:r>
        <w:t>were more common with active treatment</w:t>
      </w:r>
      <w:r w:rsidR="003B14E3">
        <w:t xml:space="preserve"> (Table 31)</w:t>
      </w:r>
      <w:r>
        <w:t>.</w:t>
      </w:r>
    </w:p>
    <w:p w:rsidR="00F77573" w:rsidRDefault="00F77573" w:rsidP="00A611D0">
      <w:pPr>
        <w:pStyle w:val="TableTitle"/>
        <w:rPr>
          <w:lang w:val="en-GB"/>
        </w:rPr>
      </w:pPr>
      <w:proofErr w:type="gramStart"/>
      <w:r>
        <w:lastRenderedPageBreak/>
        <w:t>Table 31:</w:t>
      </w:r>
      <w:r w:rsidRPr="004C5C28">
        <w:t xml:space="preserve"> </w:t>
      </w:r>
      <w:r>
        <w:t xml:space="preserve">24 month analysis: </w:t>
      </w:r>
      <w:r w:rsidR="00BD0385">
        <w:t xml:space="preserve">endocrinology laboratory parameters – at least one post-baseline value outside safety range during the DB treatment period </w:t>
      </w:r>
      <w:r>
        <w:t>(DB Safety Population).</w:t>
      </w:r>
      <w:proofErr w:type="gramEnd"/>
    </w:p>
    <w:p w:rsidR="00F77573" w:rsidRDefault="00B90934" w:rsidP="00A611D0">
      <w:pPr>
        <w:rPr>
          <w:noProof/>
          <w:lang w:eastAsia="en-AU"/>
        </w:rPr>
      </w:pPr>
      <w:r>
        <w:rPr>
          <w:noProof/>
          <w:lang w:eastAsia="en-AU"/>
        </w:rPr>
        <w:drawing>
          <wp:inline distT="0" distB="0" distL="0" distR="0">
            <wp:extent cx="5547995" cy="4346575"/>
            <wp:effectExtent l="19050" t="0" r="0" b="0"/>
            <wp:docPr id="36" name="Picture 36" descr="Table 31: 24 month analysis: endocrinology laboratory parameters – at least one post-baseline value outside safety range during the DB treatment period (DB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able 31: 24 month analysis: endocrinology laboratory parameters – at least one post-baseline value outside safety range during the DB treatment period (DB Safety Population)."/>
                    <pic:cNvPicPr>
                      <a:picLocks noChangeAspect="1" noChangeArrowheads="1"/>
                    </pic:cNvPicPr>
                  </pic:nvPicPr>
                  <pic:blipFill>
                    <a:blip r:embed="rId49" cstate="print"/>
                    <a:srcRect/>
                    <a:stretch>
                      <a:fillRect/>
                    </a:stretch>
                  </pic:blipFill>
                  <pic:spPr bwMode="auto">
                    <a:xfrm>
                      <a:off x="0" y="0"/>
                      <a:ext cx="5547995" cy="4346575"/>
                    </a:xfrm>
                    <a:prstGeom prst="rect">
                      <a:avLst/>
                    </a:prstGeom>
                    <a:noFill/>
                    <a:ln w="9525">
                      <a:noFill/>
                      <a:miter lim="800000"/>
                      <a:headEnd/>
                      <a:tailEnd/>
                    </a:ln>
                  </pic:spPr>
                </pic:pic>
              </a:graphicData>
            </a:graphic>
          </wp:inline>
        </w:drawing>
      </w:r>
    </w:p>
    <w:p w:rsidR="000B69F1" w:rsidRDefault="000B69F1" w:rsidP="000B69F1">
      <w:pPr>
        <w:pStyle w:val="Heading4"/>
      </w:pPr>
      <w:bookmarkStart w:id="124" w:name="_Toc272414672"/>
      <w:bookmarkStart w:id="125" w:name="_Toc290846310"/>
      <w:bookmarkStart w:id="126" w:name="_Ref332539941"/>
      <w:bookmarkStart w:id="127" w:name="_Ref332539946"/>
      <w:bookmarkStart w:id="128" w:name="_Toc348083981"/>
      <w:r>
        <w:t>Haematology</w:t>
      </w:r>
      <w:bookmarkEnd w:id="124"/>
      <w:bookmarkEnd w:id="125"/>
      <w:bookmarkEnd w:id="126"/>
      <w:bookmarkEnd w:id="127"/>
      <w:bookmarkEnd w:id="128"/>
    </w:p>
    <w:p w:rsidR="000B69F1" w:rsidRPr="000D4884" w:rsidRDefault="000B69F1" w:rsidP="000B69F1">
      <w:proofErr w:type="spellStart"/>
      <w:r>
        <w:t>Rebif</w:t>
      </w:r>
      <w:proofErr w:type="spellEnd"/>
      <w:r>
        <w:t xml:space="preserve"> therapy may produce </w:t>
      </w:r>
      <w:proofErr w:type="spellStart"/>
      <w:r>
        <w:t>cytopaenias</w:t>
      </w:r>
      <w:proofErr w:type="spellEnd"/>
      <w:r>
        <w:t>, though these are rarel</w:t>
      </w:r>
      <w:r w:rsidR="001E6EB0">
        <w:t xml:space="preserve">y of clinical significance. Table 32 </w:t>
      </w:r>
      <w:r>
        <w:t xml:space="preserve">shows the incidence of abnormalities of blood counts in the new CIS study, which is consistent with the original pivotal studies and the previous post-marketing experience of </w:t>
      </w:r>
      <w:proofErr w:type="spellStart"/>
      <w:r>
        <w:t>Rebif</w:t>
      </w:r>
      <w:proofErr w:type="spellEnd"/>
      <w:r>
        <w:t xml:space="preserve">. </w:t>
      </w:r>
      <w:proofErr w:type="spellStart"/>
      <w:r>
        <w:t>Neutropaenia</w:t>
      </w:r>
      <w:proofErr w:type="spellEnd"/>
      <w:r>
        <w:t xml:space="preserve"> and </w:t>
      </w:r>
      <w:proofErr w:type="spellStart"/>
      <w:r>
        <w:t>lymphopaenia</w:t>
      </w:r>
      <w:proofErr w:type="spellEnd"/>
      <w:r>
        <w:t xml:space="preserve"> were more common with active treatment, especially with the </w:t>
      </w:r>
      <w:proofErr w:type="spellStart"/>
      <w:r>
        <w:t>tiw</w:t>
      </w:r>
      <w:proofErr w:type="spellEnd"/>
      <w:r>
        <w:t xml:space="preserve"> regimen. The PI already contains appropriate recommendations to perform regular full blood counts.</w:t>
      </w:r>
    </w:p>
    <w:p w:rsidR="000B69F1" w:rsidRDefault="000B69F1" w:rsidP="00A611D0">
      <w:pPr>
        <w:pStyle w:val="TableTitle"/>
      </w:pPr>
      <w:r>
        <w:lastRenderedPageBreak/>
        <w:t>Table 32:</w:t>
      </w:r>
      <w:r w:rsidRPr="004C5C28">
        <w:t xml:space="preserve"> </w:t>
      </w:r>
      <w:r>
        <w:t>24 month analysis: selected haematology laboratory parameters – worst post-baseline CTCAE grade during DB period (DB Safety Population).</w:t>
      </w:r>
    </w:p>
    <w:p w:rsidR="00E06D8E" w:rsidRDefault="00B90934" w:rsidP="00A611D0">
      <w:pPr>
        <w:rPr>
          <w:lang w:val="en-GB"/>
        </w:rPr>
      </w:pPr>
      <w:r>
        <w:rPr>
          <w:noProof/>
          <w:lang w:eastAsia="en-AU"/>
        </w:rPr>
        <w:drawing>
          <wp:inline distT="0" distB="0" distL="0" distR="0">
            <wp:extent cx="5718175" cy="6202680"/>
            <wp:effectExtent l="19050" t="0" r="0" b="0"/>
            <wp:docPr id="37" name="Picture 37" descr="Table 32: 24 month analysis: selected haematology laboratory parameters – worst post-baseline CTCAE grade during DB period (DB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able 32: 24 month analysis: selected haematology laboratory parameters – worst post-baseline CTCAE grade during DB period (DB Safety Population)."/>
                    <pic:cNvPicPr>
                      <a:picLocks noChangeAspect="1" noChangeArrowheads="1"/>
                    </pic:cNvPicPr>
                  </pic:nvPicPr>
                  <pic:blipFill>
                    <a:blip r:embed="rId50" cstate="print"/>
                    <a:srcRect/>
                    <a:stretch>
                      <a:fillRect/>
                    </a:stretch>
                  </pic:blipFill>
                  <pic:spPr bwMode="auto">
                    <a:xfrm>
                      <a:off x="0" y="0"/>
                      <a:ext cx="5718175" cy="6202680"/>
                    </a:xfrm>
                    <a:prstGeom prst="rect">
                      <a:avLst/>
                    </a:prstGeom>
                    <a:noFill/>
                    <a:ln w="9525">
                      <a:noFill/>
                      <a:miter lim="800000"/>
                      <a:headEnd/>
                      <a:tailEnd/>
                    </a:ln>
                  </pic:spPr>
                </pic:pic>
              </a:graphicData>
            </a:graphic>
          </wp:inline>
        </w:drawing>
      </w:r>
    </w:p>
    <w:p w:rsidR="000B69F1" w:rsidRPr="00EB0377" w:rsidRDefault="00A611D0" w:rsidP="000B69F1">
      <w:pPr>
        <w:pStyle w:val="Heading4"/>
      </w:pPr>
      <w:bookmarkStart w:id="129" w:name="_Toc348083982"/>
      <w:r>
        <w:t>Neutralising a</w:t>
      </w:r>
      <w:r w:rsidR="000B69F1" w:rsidRPr="00EB0377">
        <w:t>ntibodies</w:t>
      </w:r>
      <w:bookmarkEnd w:id="129"/>
    </w:p>
    <w:p w:rsidR="000B69F1" w:rsidRDefault="000B69F1" w:rsidP="000B69F1">
      <w:r>
        <w:t xml:space="preserve">Because </w:t>
      </w:r>
      <w:proofErr w:type="spellStart"/>
      <w:r>
        <w:t>Rebif</w:t>
      </w:r>
      <w:proofErr w:type="spellEnd"/>
      <w:r>
        <w:t xml:space="preserve"> is a protein product, it is potentially antigenic; the fact that </w:t>
      </w:r>
      <w:proofErr w:type="spellStart"/>
      <w:r>
        <w:t>Rebif</w:t>
      </w:r>
      <w:proofErr w:type="spellEnd"/>
      <w:r>
        <w:t xml:space="preserve"> closely resembles an endogenous immune compound limits this reaction in most subjects, and </w:t>
      </w:r>
      <w:proofErr w:type="spellStart"/>
      <w:r>
        <w:t>Rebif</w:t>
      </w:r>
      <w:proofErr w:type="spellEnd"/>
      <w:r>
        <w:t xml:space="preserve"> is generally accepted as being less antigenic than </w:t>
      </w:r>
      <w:proofErr w:type="spellStart"/>
      <w:r w:rsidR="00A611D0">
        <w:t>Betaferon</w:t>
      </w:r>
      <w:proofErr w:type="spellEnd"/>
      <w:r w:rsidR="00A611D0">
        <w:t xml:space="preserve"> (interferon beta 1b).</w:t>
      </w:r>
    </w:p>
    <w:p w:rsidR="000B69F1" w:rsidRPr="00A8661F" w:rsidRDefault="000B69F1" w:rsidP="000B69F1">
      <w:r>
        <w:t xml:space="preserve">Generally, </w:t>
      </w:r>
      <w:r w:rsidRPr="00A8661F">
        <w:t xml:space="preserve">the development of neutralising antibodies in a beta interferon recipient raises concerns about efficacy rather than safety. The antibodies bind to the administered treatment, potentially rendering it less effective. Not all antibodies persist, however, and it is not widely accepted that </w:t>
      </w:r>
      <w:proofErr w:type="spellStart"/>
      <w:r w:rsidRPr="00A8661F">
        <w:t>NAbs</w:t>
      </w:r>
      <w:proofErr w:type="spellEnd"/>
      <w:r w:rsidRPr="00A8661F">
        <w:t xml:space="preserve"> </w:t>
      </w:r>
      <w:r>
        <w:t xml:space="preserve">have a major effect on the efficacy of </w:t>
      </w:r>
      <w:proofErr w:type="spellStart"/>
      <w:r w:rsidRPr="00A8661F">
        <w:t>interferons</w:t>
      </w:r>
      <w:proofErr w:type="spellEnd"/>
      <w:r w:rsidRPr="00A8661F">
        <w:t xml:space="preserve">. For instance, in the BENEFIT study, </w:t>
      </w:r>
      <w:proofErr w:type="spellStart"/>
      <w:r w:rsidRPr="00A8661F">
        <w:t>NAb</w:t>
      </w:r>
      <w:proofErr w:type="spellEnd"/>
      <w:r w:rsidRPr="00A8661F">
        <w:t xml:space="preserve"> positive patients did not show reduced efficacy</w:t>
      </w:r>
      <w:r w:rsidRPr="00A8661F">
        <w:rPr>
          <w:rFonts w:eastAsia="MS Mincho"/>
        </w:rPr>
        <w:t xml:space="preserve"> </w:t>
      </w:r>
      <w:r w:rsidRPr="00A8661F">
        <w:t>(</w:t>
      </w:r>
      <w:proofErr w:type="spellStart"/>
      <w:r w:rsidRPr="00A8661F">
        <w:t>Kappos</w:t>
      </w:r>
      <w:proofErr w:type="spellEnd"/>
      <w:r w:rsidRPr="00A8661F">
        <w:t xml:space="preserve"> et al, 2006)</w:t>
      </w:r>
      <w:r w:rsidRPr="00A8661F">
        <w:rPr>
          <w:rFonts w:eastAsia="MS Mincho"/>
        </w:rPr>
        <w:t>.</w:t>
      </w:r>
    </w:p>
    <w:p w:rsidR="000B69F1" w:rsidRDefault="000B69F1" w:rsidP="000B69F1">
      <w:r w:rsidRPr="004C3A27">
        <w:t xml:space="preserve">Results for </w:t>
      </w:r>
      <w:proofErr w:type="spellStart"/>
      <w:r w:rsidRPr="004C3A27">
        <w:t>NAb</w:t>
      </w:r>
      <w:proofErr w:type="spellEnd"/>
      <w:r w:rsidRPr="004C3A27">
        <w:t xml:space="preserve"> assays </w:t>
      </w:r>
      <w:r>
        <w:t xml:space="preserve">in the pivotal study </w:t>
      </w:r>
      <w:r w:rsidRPr="004C3A27">
        <w:t xml:space="preserve">are shown in </w:t>
      </w:r>
      <w:r w:rsidR="00E07124">
        <w:t>Tables 33-35</w:t>
      </w:r>
      <w:r w:rsidRPr="004C3A27">
        <w:t xml:space="preserve">. Persistent antibody positivity was uncommon, affecting 11-13% of the subjects receiving active treatment. For </w:t>
      </w:r>
      <w:r w:rsidRPr="004C3A27">
        <w:lastRenderedPageBreak/>
        <w:t xml:space="preserve">subjects receiving the proposed </w:t>
      </w:r>
      <w:proofErr w:type="spellStart"/>
      <w:r>
        <w:t>tiw</w:t>
      </w:r>
      <w:proofErr w:type="spellEnd"/>
      <w:r>
        <w:t xml:space="preserve"> </w:t>
      </w:r>
      <w:r w:rsidRPr="004C3A27">
        <w:t xml:space="preserve">dose, 25 (14.8%) </w:t>
      </w:r>
      <w:proofErr w:type="gramStart"/>
      <w:r w:rsidRPr="004C3A27">
        <w:t>were</w:t>
      </w:r>
      <w:proofErr w:type="gramEnd"/>
      <w:r w:rsidRPr="004C3A27">
        <w:t xml:space="preserve"> </w:t>
      </w:r>
      <w:proofErr w:type="spellStart"/>
      <w:r w:rsidRPr="004C3A27">
        <w:t>NAb</w:t>
      </w:r>
      <w:proofErr w:type="spellEnd"/>
      <w:r w:rsidRPr="004C3A27">
        <w:t xml:space="preserve">-positive at the last observed value of the study period. </w:t>
      </w:r>
      <w:proofErr w:type="gramStart"/>
      <w:r w:rsidRPr="004C3A27">
        <w:t>A slightly higher proportion (15.4%) were</w:t>
      </w:r>
      <w:proofErr w:type="gramEnd"/>
      <w:r w:rsidRPr="004C3A27">
        <w:t xml:space="preserve"> positive at any time during th</w:t>
      </w:r>
      <w:r>
        <w:t>e 24 months. Results in the low-</w:t>
      </w:r>
      <w:r w:rsidRPr="004C3A27">
        <w:t>do</w:t>
      </w:r>
      <w:r w:rsidR="004752F5">
        <w:t>se group were similar</w:t>
      </w:r>
      <w:r w:rsidRPr="004C3A27">
        <w:t>.</w:t>
      </w:r>
    </w:p>
    <w:p w:rsidR="004752F5" w:rsidRDefault="004752F5" w:rsidP="004752F5">
      <w:r w:rsidRPr="00391BAE">
        <w:t xml:space="preserve">This result is broadly consistent with a previous Phase </w:t>
      </w:r>
      <w:proofErr w:type="spellStart"/>
      <w:r w:rsidRPr="00391BAE">
        <w:t>IIIb</w:t>
      </w:r>
      <w:proofErr w:type="spellEnd"/>
      <w:r w:rsidRPr="00391BAE">
        <w:t xml:space="preserve"> study in patients with relapsing multiple sclerosis treated with </w:t>
      </w:r>
      <w:proofErr w:type="spellStart"/>
      <w:r w:rsidRPr="00391BAE">
        <w:t>Rebif</w:t>
      </w:r>
      <w:proofErr w:type="spellEnd"/>
      <w:r>
        <w:t xml:space="preserve"> (</w:t>
      </w:r>
      <w:r w:rsidRPr="00391BAE">
        <w:t xml:space="preserve">RNF 44 </w:t>
      </w:r>
      <w:r>
        <w:t>µg</w:t>
      </w:r>
      <w:r w:rsidRPr="00391BAE">
        <w:t xml:space="preserve"> </w:t>
      </w:r>
      <w:proofErr w:type="spellStart"/>
      <w:r w:rsidRPr="00391BAE">
        <w:t>tiw</w:t>
      </w:r>
      <w:proofErr w:type="spellEnd"/>
      <w:r>
        <w:t>)</w:t>
      </w:r>
      <w:r w:rsidRPr="00391BAE">
        <w:t xml:space="preserve">: 17.4% of the subjects were </w:t>
      </w:r>
      <w:proofErr w:type="spellStart"/>
      <w:r w:rsidRPr="00391BAE">
        <w:t>NAb</w:t>
      </w:r>
      <w:proofErr w:type="spellEnd"/>
      <w:r w:rsidRPr="00391BAE">
        <w:t xml:space="preserve">-positive at week 96 or </w:t>
      </w:r>
      <w:r>
        <w:t xml:space="preserve">at the </w:t>
      </w:r>
      <w:r w:rsidRPr="00391BAE">
        <w:t>last assessment</w:t>
      </w:r>
      <w:r>
        <w:t xml:space="preserve"> (</w:t>
      </w:r>
      <w:proofErr w:type="spellStart"/>
      <w:r>
        <w:t>Giovannoni</w:t>
      </w:r>
      <w:proofErr w:type="spellEnd"/>
      <w:r>
        <w:t>, 2009)</w:t>
      </w:r>
      <w:r w:rsidRPr="00391BAE">
        <w:t>. I</w:t>
      </w:r>
      <w:r>
        <w:t>t also compares favourably</w:t>
      </w:r>
      <w:r w:rsidRPr="00391BAE">
        <w:t xml:space="preserve"> to results observed in the </w:t>
      </w:r>
      <w:r>
        <w:t xml:space="preserve">similarly designed </w:t>
      </w:r>
      <w:r w:rsidRPr="00391BAE">
        <w:t>BENEFIT study (</w:t>
      </w:r>
      <w:proofErr w:type="spellStart"/>
      <w:r w:rsidRPr="00391BAE">
        <w:t>Kappos</w:t>
      </w:r>
      <w:proofErr w:type="spellEnd"/>
      <w:r w:rsidRPr="00391BAE">
        <w:t xml:space="preserve"> et al, 2006), </w:t>
      </w:r>
      <w:r w:rsidRPr="00391BAE">
        <w:rPr>
          <w:rFonts w:eastAsia="MS Mincho"/>
        </w:rPr>
        <w:t>where neutralizing activity was detected at least once in 75 of 251 subjects (29.9%)</w:t>
      </w:r>
      <w:r>
        <w:rPr>
          <w:rFonts w:eastAsia="MS Mincho"/>
        </w:rPr>
        <w:t xml:space="preserve"> receiving the competing product</w:t>
      </w:r>
      <w:r w:rsidRPr="00391BAE">
        <w:rPr>
          <w:rFonts w:eastAsia="MS Mincho"/>
        </w:rPr>
        <w:t xml:space="preserve"> </w:t>
      </w:r>
      <w:proofErr w:type="spellStart"/>
      <w:r w:rsidRPr="00391BAE">
        <w:rPr>
          <w:rFonts w:eastAsia="MS Mincho"/>
        </w:rPr>
        <w:t>Betaferon</w:t>
      </w:r>
      <w:proofErr w:type="spellEnd"/>
      <w:r w:rsidRPr="00391BAE">
        <w:rPr>
          <w:rFonts w:eastAsia="MS Mincho"/>
        </w:rPr>
        <w:t xml:space="preserve"> (interferon beta-1b)</w:t>
      </w:r>
      <w:r>
        <w:rPr>
          <w:rFonts w:eastAsia="MS Mincho"/>
        </w:rPr>
        <w:t xml:space="preserve"> for two years</w:t>
      </w:r>
      <w:r w:rsidRPr="00391BAE">
        <w:rPr>
          <w:rFonts w:eastAsia="MS Mincho"/>
        </w:rPr>
        <w:t>.</w:t>
      </w:r>
    </w:p>
    <w:p w:rsidR="004752F5" w:rsidRPr="00A8661F" w:rsidRDefault="004752F5" w:rsidP="004752F5">
      <w:r w:rsidRPr="00A8661F">
        <w:t xml:space="preserve">It would have been of some interest to see a subgroup analysis involving </w:t>
      </w:r>
      <w:proofErr w:type="spellStart"/>
      <w:r w:rsidRPr="00A8661F">
        <w:t>NAb</w:t>
      </w:r>
      <w:proofErr w:type="spellEnd"/>
      <w:r w:rsidRPr="00A8661F">
        <w:t xml:space="preserve">+ </w:t>
      </w:r>
      <w:proofErr w:type="spellStart"/>
      <w:r w:rsidRPr="00A8661F">
        <w:t>vs</w:t>
      </w:r>
      <w:proofErr w:type="spellEnd"/>
      <w:r w:rsidRPr="00A8661F">
        <w:t xml:space="preserve"> </w:t>
      </w:r>
      <w:proofErr w:type="spellStart"/>
      <w:r w:rsidRPr="00A8661F">
        <w:t>NAb</w:t>
      </w:r>
      <w:proofErr w:type="spellEnd"/>
      <w:r w:rsidRPr="00A8661F">
        <w:t>- patients</w:t>
      </w:r>
      <w:r>
        <w:t xml:space="preserve"> in the submitted study (as was performed in the BENEFIT study) but this analysis would have been underpowered. Overall, this study does not help to resolve controversies about the role of antibody monitoring in interferon recipients, but it does suggest that </w:t>
      </w:r>
      <w:proofErr w:type="spellStart"/>
      <w:r>
        <w:t>NAbs</w:t>
      </w:r>
      <w:proofErr w:type="spellEnd"/>
      <w:r>
        <w:t xml:space="preserve"> are no more likely to be a problem with CIS patients than is already the case with MS patients. If </w:t>
      </w:r>
      <w:proofErr w:type="spellStart"/>
      <w:r>
        <w:t>NAbs</w:t>
      </w:r>
      <w:proofErr w:type="spellEnd"/>
      <w:r>
        <w:t xml:space="preserve"> compromised efficacy in this </w:t>
      </w:r>
      <w:proofErr w:type="gramStart"/>
      <w:r>
        <w:t>study, that</w:t>
      </w:r>
      <w:proofErr w:type="gramEnd"/>
      <w:r>
        <w:t xml:space="preserve"> is already factored in to the observed efficacy results. Significant safety issues</w:t>
      </w:r>
      <w:r w:rsidR="00A611D0">
        <w:t xml:space="preserve"> related to </w:t>
      </w:r>
      <w:proofErr w:type="spellStart"/>
      <w:r w:rsidR="00A611D0">
        <w:t>NAbs</w:t>
      </w:r>
      <w:proofErr w:type="spellEnd"/>
      <w:r w:rsidR="00A611D0">
        <w:t xml:space="preserve"> did not arise.</w:t>
      </w:r>
    </w:p>
    <w:p w:rsidR="000B69F1" w:rsidRDefault="000B69F1" w:rsidP="00A611D0">
      <w:pPr>
        <w:pStyle w:val="TableTitle"/>
        <w:rPr>
          <w:lang w:val="en-GB"/>
        </w:rPr>
      </w:pPr>
      <w:r>
        <w:t>Table 33:</w:t>
      </w:r>
      <w:r w:rsidRPr="004C5C28">
        <w:t xml:space="preserve"> </w:t>
      </w:r>
      <w:r>
        <w:t>Neutralising antibody and binding antibody status during the whole study period (DB Safety Population; n = 515).</w:t>
      </w:r>
    </w:p>
    <w:p w:rsidR="000B69F1" w:rsidRDefault="00B90934" w:rsidP="00A611D0">
      <w:pPr>
        <w:rPr>
          <w:noProof/>
          <w:lang w:eastAsia="en-AU"/>
        </w:rPr>
      </w:pPr>
      <w:r>
        <w:rPr>
          <w:noProof/>
          <w:lang w:eastAsia="en-AU"/>
        </w:rPr>
        <w:drawing>
          <wp:inline distT="0" distB="0" distL="0" distR="0">
            <wp:extent cx="4510405" cy="5486400"/>
            <wp:effectExtent l="19050" t="0" r="4445" b="0"/>
            <wp:docPr id="38" name="Picture 38" descr="Table 33: Neutralising antibody and binding antibody status during the whole study period (DB Safety Population; n =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able 33: Neutralising antibody and binding antibody status during the whole study period (DB Safety Population; n = 515)."/>
                    <pic:cNvPicPr>
                      <a:picLocks noChangeAspect="1" noChangeArrowheads="1"/>
                    </pic:cNvPicPr>
                  </pic:nvPicPr>
                  <pic:blipFill>
                    <a:blip r:embed="rId51" cstate="print"/>
                    <a:srcRect/>
                    <a:stretch>
                      <a:fillRect/>
                    </a:stretch>
                  </pic:blipFill>
                  <pic:spPr bwMode="auto">
                    <a:xfrm>
                      <a:off x="0" y="0"/>
                      <a:ext cx="4510405" cy="5486400"/>
                    </a:xfrm>
                    <a:prstGeom prst="rect">
                      <a:avLst/>
                    </a:prstGeom>
                    <a:noFill/>
                    <a:ln w="9525">
                      <a:noFill/>
                      <a:miter lim="800000"/>
                      <a:headEnd/>
                      <a:tailEnd/>
                    </a:ln>
                  </pic:spPr>
                </pic:pic>
              </a:graphicData>
            </a:graphic>
          </wp:inline>
        </w:drawing>
      </w:r>
    </w:p>
    <w:p w:rsidR="009B0AB9" w:rsidRDefault="009B0AB9" w:rsidP="00A611D0">
      <w:pPr>
        <w:pStyle w:val="TableTitle"/>
      </w:pPr>
      <w:r>
        <w:lastRenderedPageBreak/>
        <w:t>Table 34:</w:t>
      </w:r>
      <w:r w:rsidRPr="004C5C28">
        <w:t xml:space="preserve"> </w:t>
      </w:r>
      <w:r>
        <w:t xml:space="preserve">Neutralising antibody and binding antibody status </w:t>
      </w:r>
      <w:r w:rsidR="004369CA">
        <w:t>at end of the DB period</w:t>
      </w:r>
      <w:r>
        <w:t xml:space="preserve"> (DB Safety Population; n = 515).</w:t>
      </w:r>
    </w:p>
    <w:p w:rsidR="00DA4467" w:rsidRDefault="00B90934" w:rsidP="00A611D0">
      <w:pPr>
        <w:rPr>
          <w:lang w:val="en-GB"/>
        </w:rPr>
      </w:pPr>
      <w:r>
        <w:rPr>
          <w:noProof/>
          <w:lang w:eastAsia="en-AU"/>
        </w:rPr>
        <w:drawing>
          <wp:inline distT="0" distB="0" distL="0" distR="0">
            <wp:extent cx="4770120" cy="8236585"/>
            <wp:effectExtent l="19050" t="0" r="0" b="0"/>
            <wp:docPr id="39" name="Picture 39" descr="Table 34: Neutralising antibody and binding antibody status at end of the DB period (DB Safety Population; n =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able 34: Neutralising antibody and binding antibody status at end of the DB period (DB Safety Population; n = 515)."/>
                    <pic:cNvPicPr>
                      <a:picLocks noChangeAspect="1" noChangeArrowheads="1"/>
                    </pic:cNvPicPr>
                  </pic:nvPicPr>
                  <pic:blipFill>
                    <a:blip r:embed="rId52" cstate="print"/>
                    <a:srcRect/>
                    <a:stretch>
                      <a:fillRect/>
                    </a:stretch>
                  </pic:blipFill>
                  <pic:spPr bwMode="auto">
                    <a:xfrm>
                      <a:off x="0" y="0"/>
                      <a:ext cx="4770120" cy="8236585"/>
                    </a:xfrm>
                    <a:prstGeom prst="rect">
                      <a:avLst/>
                    </a:prstGeom>
                    <a:noFill/>
                    <a:ln w="9525">
                      <a:noFill/>
                      <a:miter lim="800000"/>
                      <a:headEnd/>
                      <a:tailEnd/>
                    </a:ln>
                  </pic:spPr>
                </pic:pic>
              </a:graphicData>
            </a:graphic>
          </wp:inline>
        </w:drawing>
      </w:r>
    </w:p>
    <w:p w:rsidR="009B0AB9" w:rsidRDefault="00C33DCF" w:rsidP="00A611D0">
      <w:pPr>
        <w:pStyle w:val="TableTitle"/>
      </w:pPr>
      <w:r>
        <w:br w:type="page"/>
      </w:r>
      <w:r w:rsidR="009B0AB9">
        <w:lastRenderedPageBreak/>
        <w:t>Table 35:</w:t>
      </w:r>
      <w:r w:rsidR="009B0AB9" w:rsidRPr="004C5C28">
        <w:t xml:space="preserve"> </w:t>
      </w:r>
      <w:proofErr w:type="spellStart"/>
      <w:r w:rsidR="00CF0BD2">
        <w:t>NAb</w:t>
      </w:r>
      <w:proofErr w:type="spellEnd"/>
      <w:r w:rsidR="00CF0BD2">
        <w:t xml:space="preserve"> and </w:t>
      </w:r>
      <w:proofErr w:type="spellStart"/>
      <w:r w:rsidR="00CF0BD2">
        <w:t>BAb</w:t>
      </w:r>
      <w:proofErr w:type="spellEnd"/>
      <w:r w:rsidR="00CF0BD2">
        <w:t xml:space="preserve"> development over time during the whole study period</w:t>
      </w:r>
      <w:r w:rsidR="009B0AB9">
        <w:t xml:space="preserve"> (DB Safety Population; n = 515).</w:t>
      </w:r>
    </w:p>
    <w:p w:rsidR="00DA4467" w:rsidRDefault="00B90934" w:rsidP="00A611D0">
      <w:pPr>
        <w:rPr>
          <w:lang w:val="en-GB"/>
        </w:rPr>
      </w:pPr>
      <w:r>
        <w:rPr>
          <w:noProof/>
          <w:lang w:eastAsia="en-AU"/>
        </w:rPr>
        <w:drawing>
          <wp:inline distT="0" distB="0" distL="0" distR="0">
            <wp:extent cx="4667250" cy="5684520"/>
            <wp:effectExtent l="19050" t="0" r="0" b="0"/>
            <wp:docPr id="40" name="Picture 40" descr="Table 35: NAb and BAb development over time during the whole study period (DB Safety Population; n =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able 35: NAb and BAb development over time during the whole study period (DB Safety Population; n = 515)"/>
                    <pic:cNvPicPr>
                      <a:picLocks noChangeAspect="1" noChangeArrowheads="1"/>
                    </pic:cNvPicPr>
                  </pic:nvPicPr>
                  <pic:blipFill>
                    <a:blip r:embed="rId53" cstate="print"/>
                    <a:srcRect/>
                    <a:stretch>
                      <a:fillRect/>
                    </a:stretch>
                  </pic:blipFill>
                  <pic:spPr bwMode="auto">
                    <a:xfrm>
                      <a:off x="0" y="0"/>
                      <a:ext cx="4667250" cy="5684520"/>
                    </a:xfrm>
                    <a:prstGeom prst="rect">
                      <a:avLst/>
                    </a:prstGeom>
                    <a:noFill/>
                    <a:ln w="9525">
                      <a:noFill/>
                      <a:miter lim="800000"/>
                      <a:headEnd/>
                      <a:tailEnd/>
                    </a:ln>
                  </pic:spPr>
                </pic:pic>
              </a:graphicData>
            </a:graphic>
          </wp:inline>
        </w:drawing>
      </w:r>
    </w:p>
    <w:p w:rsidR="0096580A" w:rsidRPr="00D1041C" w:rsidRDefault="0096580A" w:rsidP="0096580A">
      <w:pPr>
        <w:pStyle w:val="Heading4"/>
      </w:pPr>
      <w:bookmarkStart w:id="130" w:name="_Toc272414675"/>
      <w:bookmarkStart w:id="131" w:name="_Toc290846313"/>
      <w:bookmarkStart w:id="132" w:name="_Toc348083983"/>
      <w:r w:rsidRPr="00D1041C">
        <w:t>Electrocardiograph</w:t>
      </w:r>
      <w:bookmarkEnd w:id="130"/>
      <w:bookmarkEnd w:id="131"/>
      <w:bookmarkEnd w:id="132"/>
    </w:p>
    <w:p w:rsidR="0096580A" w:rsidRDefault="0096580A" w:rsidP="0096580A">
      <w:proofErr w:type="spellStart"/>
      <w:r>
        <w:t>Rebif</w:t>
      </w:r>
      <w:proofErr w:type="spellEnd"/>
      <w:r>
        <w:t xml:space="preserve"> treatment is not known to be associated with abnormalities of cardiac conduction, and n</w:t>
      </w:r>
      <w:r w:rsidR="00A611D0">
        <w:t>o new information was provided.</w:t>
      </w:r>
    </w:p>
    <w:p w:rsidR="0096580A" w:rsidRPr="007C0124" w:rsidRDefault="0096580A" w:rsidP="0096580A">
      <w:pPr>
        <w:pStyle w:val="Heading4"/>
      </w:pPr>
      <w:bookmarkStart w:id="133" w:name="_Toc272414676"/>
      <w:bookmarkStart w:id="134" w:name="_Toc290846314"/>
      <w:bookmarkStart w:id="135" w:name="_Toc348083984"/>
      <w:r w:rsidRPr="007C0124">
        <w:t>Vital signs</w:t>
      </w:r>
      <w:bookmarkEnd w:id="133"/>
      <w:bookmarkEnd w:id="134"/>
      <w:bookmarkEnd w:id="135"/>
    </w:p>
    <w:p w:rsidR="0096580A" w:rsidRDefault="0096580A" w:rsidP="0096580A">
      <w:r>
        <w:t xml:space="preserve">AEs related to abnormalities of vital signs were similar in the placebo and active groups. Fever may occur as part of the influenza-like reaction to beta </w:t>
      </w:r>
      <w:proofErr w:type="spellStart"/>
      <w:r>
        <w:t>interferons</w:t>
      </w:r>
      <w:proofErr w:type="spellEnd"/>
      <w:r>
        <w:t>, but this is usually short-lived and would have occurred at home if the patients dosed in the evening.</w:t>
      </w:r>
    </w:p>
    <w:p w:rsidR="0096580A" w:rsidRDefault="0096580A" w:rsidP="0096580A">
      <w:pPr>
        <w:pStyle w:val="Heading3"/>
      </w:pPr>
      <w:bookmarkStart w:id="136" w:name="_Toc241374326"/>
      <w:bookmarkStart w:id="137" w:name="_Ref272333048"/>
      <w:bookmarkStart w:id="138" w:name="_Toc272414679"/>
      <w:bookmarkStart w:id="139" w:name="_Toc290846317"/>
      <w:bookmarkStart w:id="140" w:name="_Toc348083985"/>
      <w:bookmarkStart w:id="141" w:name="_Toc373928639"/>
      <w:r>
        <w:t>Post-marketing experience</w:t>
      </w:r>
      <w:bookmarkEnd w:id="136"/>
      <w:bookmarkEnd w:id="137"/>
      <w:bookmarkEnd w:id="138"/>
      <w:bookmarkEnd w:id="139"/>
      <w:bookmarkEnd w:id="140"/>
      <w:bookmarkEnd w:id="141"/>
    </w:p>
    <w:p w:rsidR="0096580A" w:rsidRDefault="0096580A" w:rsidP="0096580A">
      <w:proofErr w:type="spellStart"/>
      <w:r>
        <w:t>Rebif</w:t>
      </w:r>
      <w:proofErr w:type="spellEnd"/>
      <w:r>
        <w:t xml:space="preserve"> has been used as a disease-modifying agent in MS for several years throughout the world, since it was first launched in 1998, and its safety profile is therefore well established. Its use is associated with several tolerability issues, but no major safety concerns.</w:t>
      </w:r>
    </w:p>
    <w:p w:rsidR="0096580A" w:rsidRDefault="0096580A" w:rsidP="0096580A">
      <w:r>
        <w:t>With regard to the post-marketing data, the sponsor writes:</w:t>
      </w:r>
    </w:p>
    <w:p w:rsidR="0096580A" w:rsidRPr="0096580A" w:rsidRDefault="0096580A" w:rsidP="0096580A">
      <w:pPr>
        <w:ind w:left="720"/>
        <w:rPr>
          <w:i/>
        </w:rPr>
      </w:pPr>
      <w:r w:rsidRPr="0096580A">
        <w:rPr>
          <w:i/>
        </w:rPr>
        <w:lastRenderedPageBreak/>
        <w:t xml:space="preserve">“Extensive post-marketing safety data is available for </w:t>
      </w:r>
      <w:proofErr w:type="spellStart"/>
      <w:r w:rsidRPr="0096580A">
        <w:rPr>
          <w:i/>
        </w:rPr>
        <w:t>Rebif</w:t>
      </w:r>
      <w:proofErr w:type="spellEnd"/>
      <w:r w:rsidRPr="0096580A">
        <w:rPr>
          <w:i/>
        </w:rPr>
        <w:t xml:space="preserve">/RNF, regardless of its formulation, with a cumulative patient exposure in the post-marketing setting, since its first launch in 1998 up to end of October 2010, estimated to 839,084 patient-years. RNF was first launched in September 2007, and has now replaced the old formulation of </w:t>
      </w:r>
      <w:proofErr w:type="spellStart"/>
      <w:r w:rsidRPr="0096580A">
        <w:rPr>
          <w:i/>
        </w:rPr>
        <w:t>Rebif</w:t>
      </w:r>
      <w:proofErr w:type="spellEnd"/>
      <w:r w:rsidRPr="0096580A">
        <w:rPr>
          <w:i/>
        </w:rPr>
        <w:t xml:space="preserve"> in more than 70 countries. The cumulative exposure to RNF, estimated from its sales figures, approximates 155,000 patient-years, as of end of October 2010.</w:t>
      </w:r>
    </w:p>
    <w:p w:rsidR="0096580A" w:rsidRPr="00D1041C" w:rsidRDefault="0096580A" w:rsidP="0096580A">
      <w:pPr>
        <w:ind w:left="720"/>
        <w:rPr>
          <w:i/>
        </w:rPr>
      </w:pPr>
      <w:r w:rsidRPr="0096580A">
        <w:rPr>
          <w:i/>
        </w:rPr>
        <w:t xml:space="preserve">The cumulative safety data of </w:t>
      </w:r>
      <w:proofErr w:type="spellStart"/>
      <w:r w:rsidRPr="0096580A">
        <w:rPr>
          <w:i/>
        </w:rPr>
        <w:t>Rebif</w:t>
      </w:r>
      <w:proofErr w:type="spellEnd"/>
      <w:r w:rsidRPr="0096580A">
        <w:rPr>
          <w:i/>
        </w:rPr>
        <w:t xml:space="preserve"> are regularly reviewed and presented in 6-monthly Periodic Safety Reports (PSURs). The safety data presented in the latest PSUR (covering the review period from 04-May-2010 and 03-Nov-2010 (PSUR23)) indicated that the benefit-risk balance of </w:t>
      </w:r>
      <w:proofErr w:type="spellStart"/>
      <w:r w:rsidRPr="0096580A">
        <w:rPr>
          <w:i/>
        </w:rPr>
        <w:t>Rebif</w:t>
      </w:r>
      <w:proofErr w:type="spellEnd"/>
      <w:r w:rsidRPr="0096580A">
        <w:rPr>
          <w:i/>
        </w:rPr>
        <w:t xml:space="preserve"> remains positive.”</w:t>
      </w:r>
    </w:p>
    <w:p w:rsidR="0096580A" w:rsidRPr="00D1041C" w:rsidRDefault="0096580A" w:rsidP="0096580A">
      <w:pPr>
        <w:pStyle w:val="Heading3"/>
      </w:pPr>
      <w:bookmarkStart w:id="142" w:name="_Ref272333005"/>
      <w:bookmarkStart w:id="143" w:name="_Toc272414680"/>
      <w:bookmarkStart w:id="144" w:name="_Toc290846318"/>
      <w:bookmarkStart w:id="145" w:name="_Toc348083986"/>
      <w:bookmarkStart w:id="146" w:name="_Toc373928640"/>
      <w:r w:rsidRPr="00D1041C">
        <w:t>Safety issues with the potential for major regulatory imp</w:t>
      </w:r>
      <w:bookmarkEnd w:id="142"/>
      <w:bookmarkEnd w:id="143"/>
      <w:r w:rsidRPr="00D1041C">
        <w:t>act</w:t>
      </w:r>
      <w:bookmarkEnd w:id="144"/>
      <w:bookmarkEnd w:id="145"/>
      <w:bookmarkEnd w:id="146"/>
    </w:p>
    <w:p w:rsidR="0096580A" w:rsidRDefault="0096580A" w:rsidP="0096580A">
      <w:pPr>
        <w:autoSpaceDE w:val="0"/>
        <w:autoSpaceDN w:val="0"/>
        <w:adjustRightInd w:val="0"/>
      </w:pPr>
      <w:r>
        <w:t xml:space="preserve">The safety and tolerability profile in the submitted study is in keeping with the known profile of this drug, which is already in widespread use for the treatment of MS. No major safety concerns with the potential for regulatory impact have been identified during post-marketing surveillance for </w:t>
      </w:r>
      <w:proofErr w:type="spellStart"/>
      <w:r>
        <w:t>Rebif</w:t>
      </w:r>
      <w:proofErr w:type="spellEnd"/>
      <w:r>
        <w:t>, and the new indication does not involve a group more susceptible to serious side effects. If approved, the proposed indication would merely expose eligible patients to the drug 1-2 years earlier than they would have qualified for the drug anyway.</w:t>
      </w:r>
    </w:p>
    <w:p w:rsidR="00213BCE" w:rsidRPr="00D1041C" w:rsidRDefault="00213BCE" w:rsidP="00213BCE">
      <w:pPr>
        <w:pStyle w:val="Heading3"/>
      </w:pPr>
      <w:bookmarkStart w:id="147" w:name="_Toc272414686"/>
      <w:bookmarkStart w:id="148" w:name="_Ref273005527"/>
      <w:bookmarkStart w:id="149" w:name="_Toc290846324"/>
      <w:bookmarkStart w:id="150" w:name="_Toc348083987"/>
      <w:bookmarkStart w:id="151" w:name="_Toc373928641"/>
      <w:r w:rsidRPr="00D1041C">
        <w:t>Other safety issues</w:t>
      </w:r>
      <w:bookmarkEnd w:id="147"/>
      <w:bookmarkEnd w:id="148"/>
      <w:bookmarkEnd w:id="149"/>
      <w:bookmarkEnd w:id="150"/>
      <w:bookmarkEnd w:id="151"/>
    </w:p>
    <w:p w:rsidR="00213BCE" w:rsidRPr="00D1041C" w:rsidRDefault="00213BCE" w:rsidP="00213BCE">
      <w:pPr>
        <w:pStyle w:val="Heading4"/>
      </w:pPr>
      <w:bookmarkStart w:id="152" w:name="_Toc241374322"/>
      <w:bookmarkStart w:id="153" w:name="_Ref272331212"/>
      <w:bookmarkStart w:id="154" w:name="_Toc272414687"/>
      <w:bookmarkStart w:id="155" w:name="_Toc290846325"/>
      <w:bookmarkStart w:id="156" w:name="_Toc348083988"/>
      <w:r w:rsidRPr="00D1041C">
        <w:t>Safety in special populations</w:t>
      </w:r>
      <w:bookmarkEnd w:id="152"/>
      <w:bookmarkEnd w:id="153"/>
      <w:bookmarkEnd w:id="154"/>
      <w:bookmarkEnd w:id="155"/>
      <w:bookmarkEnd w:id="156"/>
    </w:p>
    <w:p w:rsidR="00213BCE" w:rsidRDefault="00213BCE" w:rsidP="00213BCE">
      <w:pPr>
        <w:autoSpaceDE w:val="0"/>
        <w:autoSpaceDN w:val="0"/>
        <w:adjustRightInd w:val="0"/>
      </w:pPr>
      <w:r>
        <w:t xml:space="preserve">The safety of beta </w:t>
      </w:r>
      <w:proofErr w:type="spellStart"/>
      <w:r>
        <w:t>interferons</w:t>
      </w:r>
      <w:proofErr w:type="spellEnd"/>
      <w:r>
        <w:t xml:space="preserve"> in children is generally undefined. MS is rare in children and this population has been excluded from efficacy and safety studies; adequately powered studies are unlikely to be performed in children at any stage. The proposed CIS indication is no different in this regard than the current MS indication.</w:t>
      </w:r>
    </w:p>
    <w:p w:rsidR="00213BCE" w:rsidRDefault="00213BCE" w:rsidP="00213BCE">
      <w:pPr>
        <w:autoSpaceDE w:val="0"/>
        <w:autoSpaceDN w:val="0"/>
        <w:adjustRightInd w:val="0"/>
      </w:pPr>
      <w:r>
        <w:t xml:space="preserve">There is somewhat better data in older MS patients, because of post-marketing surveillance, but this point was not specifically addressed in the sponsor’s safety analysis. MS and CIS are relatively unlikely to develop for the first time in a geriatric population, as MS is primarily a disease of young and middle-aged adults. MS patients often survive into the geriatric age group, but there has been no indication in post-marketing surveillance that this group is particularly prone to toxicity from </w:t>
      </w:r>
      <w:proofErr w:type="spellStart"/>
      <w:r>
        <w:t>Rebif</w:t>
      </w:r>
      <w:proofErr w:type="spellEnd"/>
      <w:r>
        <w:t xml:space="preserve"> or other beta </w:t>
      </w:r>
      <w:proofErr w:type="spellStart"/>
      <w:r>
        <w:t>interferons</w:t>
      </w:r>
      <w:proofErr w:type="spellEnd"/>
      <w:r>
        <w:t xml:space="preserve">. Given that the proposed indication relates to </w:t>
      </w:r>
      <w:r w:rsidRPr="008E63B5">
        <w:rPr>
          <w:i/>
        </w:rPr>
        <w:t>earlier</w:t>
      </w:r>
      <w:r>
        <w:t xml:space="preserve"> use of </w:t>
      </w:r>
      <w:proofErr w:type="spellStart"/>
      <w:r>
        <w:t>Rebif</w:t>
      </w:r>
      <w:proofErr w:type="spellEnd"/>
      <w:r>
        <w:t>, it does not raise any new safety concerns in the geriatric population.</w:t>
      </w:r>
    </w:p>
    <w:p w:rsidR="00213BCE" w:rsidRPr="00213BCE" w:rsidRDefault="00213BCE" w:rsidP="00213BCE">
      <w:pPr>
        <w:pStyle w:val="Heading4"/>
      </w:pPr>
      <w:bookmarkStart w:id="157" w:name="_Toc241374324"/>
      <w:bookmarkStart w:id="158" w:name="_Ref272331214"/>
      <w:bookmarkStart w:id="159" w:name="_Toc272414688"/>
      <w:bookmarkStart w:id="160" w:name="_Toc290846326"/>
      <w:bookmarkStart w:id="161" w:name="_Toc348083989"/>
      <w:r w:rsidRPr="00213BCE">
        <w:t>Safety related to drug-drug interactions and other interactions</w:t>
      </w:r>
      <w:bookmarkEnd w:id="157"/>
      <w:bookmarkEnd w:id="158"/>
      <w:bookmarkEnd w:id="159"/>
      <w:bookmarkEnd w:id="160"/>
      <w:bookmarkEnd w:id="161"/>
    </w:p>
    <w:p w:rsidR="00213BCE" w:rsidRDefault="00213BCE" w:rsidP="00213BCE">
      <w:pPr>
        <w:autoSpaceDE w:val="0"/>
        <w:autoSpaceDN w:val="0"/>
        <w:adjustRightInd w:val="0"/>
      </w:pPr>
      <w:r>
        <w:t xml:space="preserve">Corticosteroids are often given to </w:t>
      </w:r>
      <w:proofErr w:type="spellStart"/>
      <w:r>
        <w:t>Rebif</w:t>
      </w:r>
      <w:proofErr w:type="spellEnd"/>
      <w:r>
        <w:t xml:space="preserve"> recipients, and no specific safety concerns have arisen from this widespread practice. Steroids were used in the CIS study at the discretion of the treating physician, so the safety data considered above already factors in the occasional use of steroids. Patients also used antidepressants and oral contraceptives as needed, with no apparent problems (though the incidence of AEs with various combinations was not formally analysed).</w:t>
      </w:r>
    </w:p>
    <w:p w:rsidR="00213BCE" w:rsidRDefault="00213BCE" w:rsidP="00213BCE">
      <w:pPr>
        <w:autoSpaceDE w:val="0"/>
        <w:autoSpaceDN w:val="0"/>
        <w:adjustRightInd w:val="0"/>
      </w:pPr>
      <w:r>
        <w:t xml:space="preserve">The safety of combining beta </w:t>
      </w:r>
      <w:proofErr w:type="spellStart"/>
      <w:r>
        <w:t>interferons</w:t>
      </w:r>
      <w:proofErr w:type="spellEnd"/>
      <w:r>
        <w:t xml:space="preserve"> with other </w:t>
      </w:r>
      <w:proofErr w:type="spellStart"/>
      <w:r>
        <w:t>immunomodulators</w:t>
      </w:r>
      <w:proofErr w:type="spellEnd"/>
      <w:r>
        <w:t xml:space="preserve"> or disease-modifying agents is unclear. It remains possible that synergistic efficacy or synergistic toxicity could occur. Such combinations should generally not be employed without adequate ev</w:t>
      </w:r>
      <w:r w:rsidR="00BB2A74">
        <w:t>idence from combination trials.</w:t>
      </w:r>
    </w:p>
    <w:p w:rsidR="00213BCE" w:rsidRDefault="00213BCE" w:rsidP="00213BCE">
      <w:pPr>
        <w:autoSpaceDE w:val="0"/>
        <w:autoSpaceDN w:val="0"/>
        <w:adjustRightInd w:val="0"/>
      </w:pPr>
      <w:r>
        <w:t xml:space="preserve"> The PI also points out that </w:t>
      </w:r>
      <w:proofErr w:type="spellStart"/>
      <w:r>
        <w:t>interferons</w:t>
      </w:r>
      <w:proofErr w:type="spellEnd"/>
      <w:r>
        <w:t xml:space="preserve"> can interact with hepatic enzyme systems, as follows:</w:t>
      </w:r>
    </w:p>
    <w:p w:rsidR="00213BCE" w:rsidRPr="00213BCE" w:rsidRDefault="00213BCE" w:rsidP="00213BCE">
      <w:pPr>
        <w:ind w:left="720"/>
        <w:rPr>
          <w:i/>
        </w:rPr>
      </w:pPr>
      <w:r w:rsidRPr="00213BCE">
        <w:rPr>
          <w:i/>
        </w:rPr>
        <w:t xml:space="preserve">“However, </w:t>
      </w:r>
      <w:proofErr w:type="spellStart"/>
      <w:r w:rsidRPr="00213BCE">
        <w:rPr>
          <w:i/>
        </w:rPr>
        <w:t>interferons</w:t>
      </w:r>
      <w:proofErr w:type="spellEnd"/>
      <w:r w:rsidRPr="00213BCE">
        <w:rPr>
          <w:i/>
        </w:rPr>
        <w:t xml:space="preserve"> have been reported in the literature to reduce the activity of hepatic cytochrome P450-dependent enzymes in humans and animals. Exploratory results from a study in 8 normal volunteers on the effect of REBIF on the CYP450 system showed an effect on CYP1A2 only, however this study was of limited power. The effect of interferon beta on </w:t>
      </w:r>
      <w:r w:rsidRPr="00213BCE">
        <w:rPr>
          <w:i/>
        </w:rPr>
        <w:lastRenderedPageBreak/>
        <w:t>the CYP450 system suggests a down-regulation of CYP1A1 and CYP1A2 in rats and of CYP1A1, CYP2B1 and CYP3A and total hepatic cytochrome P450 in mice. Caution should be exercised when administering REBIF in combination with medicinal products that have a narrow therapeutic index and/or are dependent on the hepatic cytochrome P450 system for clearance, for example:</w:t>
      </w:r>
    </w:p>
    <w:p w:rsidR="00213BCE" w:rsidRPr="00213BCE" w:rsidRDefault="00213BCE" w:rsidP="00213BCE">
      <w:pPr>
        <w:pStyle w:val="ListBullet3"/>
        <w:rPr>
          <w:i/>
        </w:rPr>
      </w:pPr>
      <w:proofErr w:type="spellStart"/>
      <w:r w:rsidRPr="00213BCE">
        <w:rPr>
          <w:i/>
        </w:rPr>
        <w:t>antiepileptics</w:t>
      </w:r>
      <w:proofErr w:type="spellEnd"/>
      <w:r w:rsidRPr="00213BCE">
        <w:rPr>
          <w:i/>
        </w:rPr>
        <w:t xml:space="preserve">, which may include </w:t>
      </w:r>
      <w:proofErr w:type="spellStart"/>
      <w:r w:rsidRPr="00213BCE">
        <w:rPr>
          <w:i/>
        </w:rPr>
        <w:t>phenytoin</w:t>
      </w:r>
      <w:proofErr w:type="spellEnd"/>
      <w:r w:rsidRPr="00213BCE">
        <w:rPr>
          <w:i/>
        </w:rPr>
        <w:t xml:space="preserve">, </w:t>
      </w:r>
      <w:proofErr w:type="spellStart"/>
      <w:r w:rsidRPr="00213BCE">
        <w:rPr>
          <w:i/>
        </w:rPr>
        <w:t>carbamazepine</w:t>
      </w:r>
      <w:proofErr w:type="spellEnd"/>
      <w:r w:rsidRPr="00213BCE">
        <w:rPr>
          <w:i/>
        </w:rPr>
        <w:t xml:space="preserve">, sodium </w:t>
      </w:r>
      <w:proofErr w:type="spellStart"/>
      <w:r w:rsidRPr="00213BCE">
        <w:rPr>
          <w:i/>
        </w:rPr>
        <w:t>valproate</w:t>
      </w:r>
      <w:proofErr w:type="spellEnd"/>
      <w:r w:rsidRPr="00213BCE">
        <w:rPr>
          <w:i/>
        </w:rPr>
        <w:t xml:space="preserve">, benzodiazepines (such as </w:t>
      </w:r>
      <w:proofErr w:type="spellStart"/>
      <w:r w:rsidRPr="00213BCE">
        <w:rPr>
          <w:i/>
        </w:rPr>
        <w:t>clonazepam</w:t>
      </w:r>
      <w:proofErr w:type="spellEnd"/>
      <w:r w:rsidRPr="00213BCE">
        <w:rPr>
          <w:i/>
        </w:rPr>
        <w:t>); and</w:t>
      </w:r>
    </w:p>
    <w:p w:rsidR="00213BCE" w:rsidRPr="00213BCE" w:rsidRDefault="00213BCE" w:rsidP="00213BCE">
      <w:pPr>
        <w:pStyle w:val="ListBullet3"/>
        <w:rPr>
          <w:i/>
        </w:rPr>
      </w:pPr>
      <w:proofErr w:type="gramStart"/>
      <w:r w:rsidRPr="00213BCE">
        <w:rPr>
          <w:i/>
        </w:rPr>
        <w:t>some</w:t>
      </w:r>
      <w:proofErr w:type="gramEnd"/>
      <w:r w:rsidRPr="00213BCE">
        <w:rPr>
          <w:i/>
        </w:rPr>
        <w:t xml:space="preserve"> classes of antidepressants, which may include MAOI, SSRIs, </w:t>
      </w:r>
      <w:proofErr w:type="spellStart"/>
      <w:r w:rsidRPr="00213BCE">
        <w:rPr>
          <w:i/>
        </w:rPr>
        <w:t>tricyclic</w:t>
      </w:r>
      <w:proofErr w:type="spellEnd"/>
      <w:r w:rsidRPr="00213BCE">
        <w:rPr>
          <w:i/>
        </w:rPr>
        <w:t xml:space="preserve"> antidepressants, etc.”</w:t>
      </w:r>
    </w:p>
    <w:p w:rsidR="00213BCE" w:rsidRDefault="00213BCE" w:rsidP="00213BCE">
      <w:pPr>
        <w:autoSpaceDE w:val="0"/>
        <w:autoSpaceDN w:val="0"/>
        <w:adjustRightInd w:val="0"/>
      </w:pPr>
      <w:r>
        <w:t>This advice remains appropriate. The new CIS submission did not provide any further relevant information on the potential for these interactions.</w:t>
      </w:r>
    </w:p>
    <w:p w:rsidR="00213BCE" w:rsidRDefault="00213BCE" w:rsidP="00213BCE">
      <w:pPr>
        <w:autoSpaceDE w:val="0"/>
        <w:autoSpaceDN w:val="0"/>
        <w:adjustRightInd w:val="0"/>
      </w:pPr>
      <w:proofErr w:type="spellStart"/>
      <w:r>
        <w:t>Pharmacodynamic</w:t>
      </w:r>
      <w:proofErr w:type="spellEnd"/>
      <w:r>
        <w:t xml:space="preserve"> interactions with non-</w:t>
      </w:r>
      <w:proofErr w:type="spellStart"/>
      <w:r>
        <w:t>immunomodulating</w:t>
      </w:r>
      <w:proofErr w:type="spellEnd"/>
      <w:r>
        <w:t xml:space="preserve"> drugs have not caused specific concerns, though it would be expected that drugs causing fatigue, such as CNS depressants used to treat spasm, might produce additive effects on fatigue with beta </w:t>
      </w:r>
      <w:proofErr w:type="spellStart"/>
      <w:r>
        <w:t>interferons</w:t>
      </w:r>
      <w:proofErr w:type="spellEnd"/>
      <w:r>
        <w:t>. Clinicians treating MS patients are in the best position to monitor the tolerability of such combinations and make changes as needed.</w:t>
      </w:r>
    </w:p>
    <w:p w:rsidR="00213BCE" w:rsidRDefault="00213BCE" w:rsidP="00213BCE">
      <w:pPr>
        <w:autoSpaceDE w:val="0"/>
        <w:autoSpaceDN w:val="0"/>
        <w:adjustRightInd w:val="0"/>
      </w:pPr>
      <w:r>
        <w:t>No new data was submitted that would clarify these issues. The proposed CIS indication does not pose any new risks that are not already inherent in the existing indications.</w:t>
      </w:r>
    </w:p>
    <w:p w:rsidR="00213BCE" w:rsidRDefault="00213BCE" w:rsidP="00213BCE">
      <w:pPr>
        <w:pStyle w:val="Heading3"/>
      </w:pPr>
      <w:bookmarkStart w:id="162" w:name="_Toc241374328"/>
      <w:bookmarkStart w:id="163" w:name="_Toc272414691"/>
      <w:bookmarkStart w:id="164" w:name="_Toc290846329"/>
      <w:bookmarkStart w:id="165" w:name="_Toc348083990"/>
      <w:bookmarkStart w:id="166" w:name="_Toc373928642"/>
      <w:r>
        <w:t>Evaluator’s overall conclusions on clinical safety</w:t>
      </w:r>
      <w:bookmarkEnd w:id="162"/>
      <w:bookmarkEnd w:id="163"/>
      <w:bookmarkEnd w:id="164"/>
      <w:bookmarkEnd w:id="165"/>
      <w:bookmarkEnd w:id="166"/>
    </w:p>
    <w:p w:rsidR="00213BCE" w:rsidRPr="005E344A" w:rsidRDefault="00213BCE" w:rsidP="00213BCE">
      <w:proofErr w:type="spellStart"/>
      <w:r w:rsidRPr="005E344A">
        <w:t>Rebif</w:t>
      </w:r>
      <w:proofErr w:type="spellEnd"/>
      <w:r w:rsidRPr="005E344A">
        <w:t xml:space="preserve"> is already familiar to neurologists treating MS, and its proposed use in CIS does not pose any new safety issues. The drug has some tolerability</w:t>
      </w:r>
      <w:r>
        <w:t xml:space="preserve"> issues, including </w:t>
      </w:r>
      <w:proofErr w:type="gramStart"/>
      <w:r>
        <w:t>an influenza</w:t>
      </w:r>
      <w:proofErr w:type="gramEnd"/>
      <w:r>
        <w:t xml:space="preserve"> </w:t>
      </w:r>
      <w:r w:rsidRPr="005E344A">
        <w:t>like syndrome, mood disturbances</w:t>
      </w:r>
      <w:r>
        <w:t xml:space="preserve">, fatigue, spasm, and injection </w:t>
      </w:r>
      <w:r w:rsidRPr="005E344A">
        <w:t>site reactions, but it is generally safe. Its use is associated with an increased incidence of abnormal liver function tests and thyroid abnormalities. Some patients may develop antibodies to the product, but hypersensitivity reactions are relatively rare; it remains unclear whether these antibodies have a significant effect on efficacy.</w:t>
      </w:r>
    </w:p>
    <w:p w:rsidR="00C22678" w:rsidRDefault="00C22678" w:rsidP="00C22678">
      <w:pPr>
        <w:pStyle w:val="Heading2"/>
      </w:pPr>
      <w:bookmarkStart w:id="167" w:name="_Toc373928643"/>
      <w:r>
        <w:t>First round benefit-risk assessment</w:t>
      </w:r>
      <w:bookmarkEnd w:id="167"/>
    </w:p>
    <w:p w:rsidR="00577B76" w:rsidRDefault="00577B76" w:rsidP="00577B76">
      <w:pPr>
        <w:pStyle w:val="Heading3"/>
      </w:pPr>
      <w:bookmarkStart w:id="168" w:name="_Toc373928644"/>
      <w:r>
        <w:t>First round assessment of benefits</w:t>
      </w:r>
      <w:bookmarkEnd w:id="168"/>
    </w:p>
    <w:p w:rsidR="00577B76" w:rsidRPr="009D2452" w:rsidRDefault="00577B76" w:rsidP="00577B76">
      <w:r w:rsidRPr="009D2452">
        <w:t xml:space="preserve">The benefits of </w:t>
      </w:r>
      <w:proofErr w:type="spellStart"/>
      <w:r w:rsidRPr="009D2452">
        <w:t>Rebif</w:t>
      </w:r>
      <w:proofErr w:type="spellEnd"/>
      <w:r w:rsidRPr="009D2452">
        <w:t xml:space="preserve"> in the proposed CIS usage are:</w:t>
      </w:r>
    </w:p>
    <w:p w:rsidR="00577B76" w:rsidRPr="009D2452" w:rsidRDefault="00577B76" w:rsidP="006B74A7">
      <w:pPr>
        <w:pStyle w:val="ListBullet"/>
        <w:numPr>
          <w:ilvl w:val="0"/>
          <w:numId w:val="1"/>
        </w:numPr>
      </w:pPr>
      <w:r w:rsidRPr="009D2452">
        <w:rPr>
          <w:b/>
        </w:rPr>
        <w:t xml:space="preserve">A reduced incidence of progression to </w:t>
      </w:r>
      <w:proofErr w:type="spellStart"/>
      <w:r w:rsidRPr="009D2452">
        <w:rPr>
          <w:b/>
        </w:rPr>
        <w:t>radiologically</w:t>
      </w:r>
      <w:proofErr w:type="spellEnd"/>
      <w:r>
        <w:rPr>
          <w:b/>
        </w:rPr>
        <w:t xml:space="preserve"> </w:t>
      </w:r>
      <w:r w:rsidRPr="009D2452">
        <w:rPr>
          <w:b/>
        </w:rPr>
        <w:t xml:space="preserve">defined </w:t>
      </w:r>
      <w:r>
        <w:rPr>
          <w:b/>
        </w:rPr>
        <w:t>MS</w:t>
      </w:r>
      <w:r w:rsidRPr="009D2452">
        <w:rPr>
          <w:b/>
        </w:rPr>
        <w:t xml:space="preserve"> (MS by McDonald 2005 criteria).</w:t>
      </w:r>
      <w:r w:rsidRPr="009D2452">
        <w:t xml:space="preserve"> The cumulative risk of conversion over the study was 62.0%, 73.7% and 84.2% in the </w:t>
      </w:r>
      <w:proofErr w:type="spellStart"/>
      <w:r w:rsidRPr="009D2452">
        <w:t>Rebif</w:t>
      </w:r>
      <w:proofErr w:type="spellEnd"/>
      <w:r w:rsidRPr="009D2452">
        <w:t xml:space="preserve"> 44 </w:t>
      </w:r>
      <w:r>
        <w:t>µ</w:t>
      </w:r>
      <w:r w:rsidRPr="009D2452">
        <w:t xml:space="preserve">g </w:t>
      </w:r>
      <w:proofErr w:type="spellStart"/>
      <w:r w:rsidRPr="009D2452">
        <w:t>tiw</w:t>
      </w:r>
      <w:proofErr w:type="spellEnd"/>
      <w:r w:rsidRPr="009D2452">
        <w:t xml:space="preserve">, 44 </w:t>
      </w:r>
      <w:r>
        <w:t>µ</w:t>
      </w:r>
      <w:r w:rsidRPr="009D2452">
        <w:t xml:space="preserve">g </w:t>
      </w:r>
      <w:proofErr w:type="spellStart"/>
      <w:r w:rsidRPr="009D2452">
        <w:t>ow</w:t>
      </w:r>
      <w:proofErr w:type="spellEnd"/>
      <w:r w:rsidRPr="009D2452">
        <w:t>, and placebo groups, respectively.</w:t>
      </w:r>
      <w:r>
        <w:t xml:space="preserve"> </w:t>
      </w:r>
      <w:r w:rsidRPr="009D2452">
        <w:t xml:space="preserve">(In the adjusted model, the risk of conversion was 62.5% with the proposed </w:t>
      </w:r>
      <w:proofErr w:type="spellStart"/>
      <w:r w:rsidRPr="009D2452">
        <w:t>tiw</w:t>
      </w:r>
      <w:proofErr w:type="spellEnd"/>
      <w:r w:rsidRPr="009D2452">
        <w:t xml:space="preserve"> dose and 85.8% with placebo. In the adjusted proportional hazards model, the instantaneous risk of progression was reduced by 51% for </w:t>
      </w:r>
      <w:proofErr w:type="spellStart"/>
      <w:r w:rsidRPr="009D2452">
        <w:t>Rebif</w:t>
      </w:r>
      <w:proofErr w:type="spellEnd"/>
      <w:r w:rsidRPr="009D2452">
        <w:t xml:space="preserve"> 44</w:t>
      </w:r>
      <w:r>
        <w:t xml:space="preserve"> µ</w:t>
      </w:r>
      <w:r w:rsidRPr="009D2452">
        <w:t xml:space="preserve">g </w:t>
      </w:r>
      <w:proofErr w:type="spellStart"/>
      <w:r w:rsidRPr="009D2452">
        <w:t>tiw</w:t>
      </w:r>
      <w:proofErr w:type="spellEnd"/>
      <w:r w:rsidRPr="009D2452">
        <w:t xml:space="preserve"> compared to placebo (HR </w:t>
      </w:r>
      <w:r>
        <w:t xml:space="preserve">[Hazard Ratio] </w:t>
      </w:r>
      <w:r w:rsidRPr="009D2452">
        <w:t xml:space="preserve">= 0.49, 95% CI [0.38, 0.64]), and 31% for </w:t>
      </w:r>
      <w:proofErr w:type="spellStart"/>
      <w:r w:rsidRPr="009D2452">
        <w:t>Rebif</w:t>
      </w:r>
      <w:proofErr w:type="spellEnd"/>
      <w:r w:rsidRPr="009D2452">
        <w:t xml:space="preserve"> 44</w:t>
      </w:r>
      <w:r>
        <w:t xml:space="preserve"> µ</w:t>
      </w:r>
      <w:r w:rsidRPr="009D2452">
        <w:t xml:space="preserve">g </w:t>
      </w:r>
      <w:proofErr w:type="spellStart"/>
      <w:r w:rsidRPr="009D2452">
        <w:t>ow</w:t>
      </w:r>
      <w:proofErr w:type="spellEnd"/>
      <w:r w:rsidRPr="009D2452">
        <w:t xml:space="preserve"> compared to placebo (HR = 0.69, 95% CI [0.54, 0.87]). The absolute risk reduction over two years was 22.2% (84.2%-62.0%) based on raw numbers or 23.3% (85.8%-62.5%) in the adjusted model.</w:t>
      </w:r>
    </w:p>
    <w:p w:rsidR="00577B76" w:rsidRPr="009D2452" w:rsidRDefault="00577B76" w:rsidP="006B74A7">
      <w:pPr>
        <w:pStyle w:val="ListBullet"/>
        <w:numPr>
          <w:ilvl w:val="0"/>
          <w:numId w:val="1"/>
        </w:numPr>
      </w:pPr>
      <w:r w:rsidRPr="009D2452">
        <w:rPr>
          <w:b/>
        </w:rPr>
        <w:t>A delay in progression to McDonald MS.</w:t>
      </w:r>
      <w:r w:rsidRPr="009D2452">
        <w:t xml:space="preserve"> The median time for conversion to McDonald MS was 97, 182, and 310 days in the placebo, </w:t>
      </w:r>
      <w:proofErr w:type="spellStart"/>
      <w:r w:rsidRPr="009D2452">
        <w:t>Rebif</w:t>
      </w:r>
      <w:proofErr w:type="spellEnd"/>
      <w:r w:rsidRPr="009D2452">
        <w:t xml:space="preserve"> 44 </w:t>
      </w:r>
      <w:r>
        <w:t>µ</w:t>
      </w:r>
      <w:r w:rsidRPr="009D2452">
        <w:t xml:space="preserve">g </w:t>
      </w:r>
      <w:proofErr w:type="spellStart"/>
      <w:r w:rsidRPr="009D2452">
        <w:t>ow</w:t>
      </w:r>
      <w:proofErr w:type="spellEnd"/>
      <w:r w:rsidRPr="009D2452">
        <w:t xml:space="preserve">, and 44 </w:t>
      </w:r>
      <w:r>
        <w:t>µ</w:t>
      </w:r>
      <w:r w:rsidRPr="009D2452">
        <w:t xml:space="preserve">g </w:t>
      </w:r>
      <w:proofErr w:type="spellStart"/>
      <w:r w:rsidRPr="009D2452">
        <w:t>tiw</w:t>
      </w:r>
      <w:proofErr w:type="spellEnd"/>
      <w:r w:rsidRPr="009D2452">
        <w:t xml:space="preserve"> groups, respectively.</w:t>
      </w:r>
    </w:p>
    <w:p w:rsidR="00577B76" w:rsidRPr="009D2452" w:rsidRDefault="00577B76" w:rsidP="006B74A7">
      <w:pPr>
        <w:pStyle w:val="ListBullet"/>
        <w:numPr>
          <w:ilvl w:val="0"/>
          <w:numId w:val="1"/>
        </w:numPr>
      </w:pPr>
      <w:r w:rsidRPr="009D2452">
        <w:rPr>
          <w:b/>
        </w:rPr>
        <w:t>A reduced incidence of conversion to Clinically Definite MS.</w:t>
      </w:r>
      <w:r w:rsidRPr="009D2452">
        <w:t xml:space="preserve"> The model</w:t>
      </w:r>
      <w:r>
        <w:t xml:space="preserve"> </w:t>
      </w:r>
      <w:r w:rsidRPr="009D2452">
        <w:t>adjusted conversion rates to CDMS over two years were 21%, 22% and 38% in the 44</w:t>
      </w:r>
      <w:r>
        <w:t xml:space="preserve"> µ</w:t>
      </w:r>
      <w:r w:rsidRPr="009D2452">
        <w:t xml:space="preserve">g </w:t>
      </w:r>
      <w:proofErr w:type="spellStart"/>
      <w:r w:rsidRPr="009D2452">
        <w:t>tiw</w:t>
      </w:r>
      <w:proofErr w:type="spellEnd"/>
      <w:r w:rsidRPr="009D2452">
        <w:t xml:space="preserve"> group, </w:t>
      </w:r>
      <w:r w:rsidRPr="009D2452">
        <w:lastRenderedPageBreak/>
        <w:t>44</w:t>
      </w:r>
      <w:r>
        <w:t xml:space="preserve"> µ</w:t>
      </w:r>
      <w:r w:rsidRPr="009D2452">
        <w:t xml:space="preserve">g </w:t>
      </w:r>
      <w:proofErr w:type="spellStart"/>
      <w:r w:rsidRPr="009D2452">
        <w:t>ow</w:t>
      </w:r>
      <w:proofErr w:type="spellEnd"/>
      <w:r w:rsidRPr="009D2452">
        <w:t xml:space="preserve"> group and placebo group, respectively, giving an absolute risk reduction of 17% for the proposed </w:t>
      </w:r>
      <w:proofErr w:type="spellStart"/>
      <w:r w:rsidRPr="009D2452">
        <w:t>tiw</w:t>
      </w:r>
      <w:proofErr w:type="spellEnd"/>
      <w:r w:rsidRPr="009D2452">
        <w:t xml:space="preserve"> dose, compared to placebo, and a relative risk reduction of 45%.</w:t>
      </w:r>
    </w:p>
    <w:p w:rsidR="00577B76" w:rsidRPr="009D2452" w:rsidRDefault="00577B76" w:rsidP="006B74A7">
      <w:pPr>
        <w:pStyle w:val="ListBullet"/>
        <w:numPr>
          <w:ilvl w:val="0"/>
          <w:numId w:val="1"/>
        </w:numPr>
      </w:pPr>
      <w:r w:rsidRPr="009D2452">
        <w:rPr>
          <w:b/>
        </w:rPr>
        <w:t>A reduced relapse rate.</w:t>
      </w:r>
      <w:r w:rsidRPr="009D2452">
        <w:t xml:space="preserve"> The annualised relapse rate (for qualifying relapses) was approximately halved by active treatment from 0.22 relapses/year in the placebo group to 0.12 relapses/year in both active groups, without any apparent difference between </w:t>
      </w:r>
      <w:proofErr w:type="spellStart"/>
      <w:r>
        <w:t>ow</w:t>
      </w:r>
      <w:proofErr w:type="spellEnd"/>
      <w:r w:rsidRPr="009D2452">
        <w:t xml:space="preserve"> and </w:t>
      </w:r>
      <w:proofErr w:type="spellStart"/>
      <w:r>
        <w:t>tiw</w:t>
      </w:r>
      <w:proofErr w:type="spellEnd"/>
      <w:r w:rsidRPr="009D2452">
        <w:t xml:space="preserve"> dosing (p</w:t>
      </w:r>
      <w:r>
        <w:t>≤ 0.001 for either dose group versus</w:t>
      </w:r>
      <w:r w:rsidRPr="009D2452">
        <w:t xml:space="preserve"> placebo).</w:t>
      </w:r>
    </w:p>
    <w:p w:rsidR="00577B76" w:rsidRPr="009D2452" w:rsidRDefault="00577B76" w:rsidP="006B74A7">
      <w:pPr>
        <w:pStyle w:val="ListBullet"/>
        <w:numPr>
          <w:ilvl w:val="0"/>
          <w:numId w:val="1"/>
        </w:numPr>
      </w:pPr>
      <w:r w:rsidRPr="009D2452">
        <w:rPr>
          <w:b/>
        </w:rPr>
        <w:t>Reduced activity on MRI, with a lower number of unique active lesions.</w:t>
      </w:r>
      <w:r w:rsidRPr="009D2452">
        <w:t xml:space="preserve"> The mean number of active lesions per subject per scan was 2.58 in the placebo group, 0.95 in </w:t>
      </w:r>
      <w:proofErr w:type="gramStart"/>
      <w:r w:rsidRPr="009D2452">
        <w:t xml:space="preserve">the </w:t>
      </w:r>
      <w:proofErr w:type="spellStart"/>
      <w:r w:rsidRPr="009D2452">
        <w:t>ow</w:t>
      </w:r>
      <w:proofErr w:type="spellEnd"/>
      <w:proofErr w:type="gramEnd"/>
      <w:r w:rsidRPr="009D2452">
        <w:t xml:space="preserve"> group and 0.50 in the </w:t>
      </w:r>
      <w:proofErr w:type="spellStart"/>
      <w:r w:rsidRPr="009D2452">
        <w:t>tiw</w:t>
      </w:r>
      <w:proofErr w:type="spellEnd"/>
      <w:r w:rsidRPr="009D2452">
        <w:t xml:space="preserve"> group (p&lt;0.001).</w:t>
      </w:r>
    </w:p>
    <w:p w:rsidR="00577B76" w:rsidRPr="009D2452" w:rsidRDefault="00577B76" w:rsidP="006B74A7">
      <w:pPr>
        <w:pStyle w:val="ListBullet"/>
        <w:numPr>
          <w:ilvl w:val="0"/>
          <w:numId w:val="1"/>
        </w:numPr>
      </w:pPr>
      <w:r w:rsidRPr="009D2452">
        <w:rPr>
          <w:b/>
        </w:rPr>
        <w:t>Possible long</w:t>
      </w:r>
      <w:r>
        <w:rPr>
          <w:b/>
        </w:rPr>
        <w:t xml:space="preserve"> </w:t>
      </w:r>
      <w:r w:rsidRPr="009D2452">
        <w:rPr>
          <w:b/>
        </w:rPr>
        <w:t>term benefit.</w:t>
      </w:r>
      <w:r w:rsidRPr="009D2452">
        <w:t xml:space="preserve"> A small benefit was demonstrated in the Extended Disability Status Score </w:t>
      </w:r>
      <w:r>
        <w:t>(EDSS, p=0.011) over two years:</w:t>
      </w:r>
      <w:r w:rsidRPr="009D2452">
        <w:t xml:space="preserve"> this score attempts to capture cumulative disability but it is insensitive for small lesions and early disease. The brain and spinal cord have poor regenerative capacity and individual relapses may produce lasting deficits, because axonal damage in the CNS is usually permanent. Eventually, therefore, the cumulative effect of apparently silent lesions is likely to contribute to overall disability. Avoiding radiological and clinical activity from the earliest stage of the disease is therefore likely to preserve cerebral function that would otherwise be compromised, and is a sensible treatment goal, even if short</w:t>
      </w:r>
      <w:r>
        <w:t xml:space="preserve"> </w:t>
      </w:r>
      <w:r w:rsidRPr="009D2452">
        <w:t>term clinical studies do not easily confirm this effect.</w:t>
      </w:r>
    </w:p>
    <w:p w:rsidR="00577B76" w:rsidRDefault="00577B76" w:rsidP="00577B76">
      <w:pPr>
        <w:pStyle w:val="Heading3"/>
      </w:pPr>
      <w:bookmarkStart w:id="169" w:name="_Toc373928645"/>
      <w:r>
        <w:t>First round assessment of risks</w:t>
      </w:r>
      <w:bookmarkEnd w:id="169"/>
    </w:p>
    <w:p w:rsidR="00577B76" w:rsidRPr="009D2452" w:rsidRDefault="00577B76" w:rsidP="00577B76">
      <w:r w:rsidRPr="009D2452">
        <w:t xml:space="preserve">The risks of </w:t>
      </w:r>
      <w:proofErr w:type="spellStart"/>
      <w:r w:rsidRPr="009D2452">
        <w:t>Rebif</w:t>
      </w:r>
      <w:proofErr w:type="spellEnd"/>
      <w:r w:rsidRPr="009D2452">
        <w:t xml:space="preserve"> in the proposed usage are:</w:t>
      </w:r>
    </w:p>
    <w:p w:rsidR="00577B76" w:rsidRPr="009D2452" w:rsidRDefault="00577B76" w:rsidP="006B74A7">
      <w:pPr>
        <w:pStyle w:val="ListBullet"/>
        <w:numPr>
          <w:ilvl w:val="0"/>
          <w:numId w:val="1"/>
        </w:numPr>
      </w:pPr>
      <w:r w:rsidRPr="009D2452">
        <w:t>Some subjects will experience influenza</w:t>
      </w:r>
      <w:r>
        <w:t xml:space="preserve"> </w:t>
      </w:r>
      <w:r w:rsidRPr="009D2452">
        <w:t>like illness, fatigue, spasm, mood changes and injection</w:t>
      </w:r>
      <w:r>
        <w:t xml:space="preserve"> </w:t>
      </w:r>
      <w:r w:rsidRPr="009D2452">
        <w:t>site reactions. Drug</w:t>
      </w:r>
      <w:r>
        <w:t xml:space="preserve"> </w:t>
      </w:r>
      <w:r w:rsidRPr="009D2452">
        <w:t xml:space="preserve">related </w:t>
      </w:r>
      <w:r>
        <w:t>Treatment Emergent Adverse Events (</w:t>
      </w:r>
      <w:r w:rsidRPr="009D2452">
        <w:t>TEAEs</w:t>
      </w:r>
      <w:r>
        <w:t>)</w:t>
      </w:r>
      <w:r w:rsidRPr="009D2452">
        <w:t xml:space="preserve"> were observed in 77.8% of </w:t>
      </w:r>
      <w:proofErr w:type="spellStart"/>
      <w:r w:rsidRPr="009D2452">
        <w:t>Rebif</w:t>
      </w:r>
      <w:proofErr w:type="spellEnd"/>
      <w:r w:rsidRPr="009D2452">
        <w:t xml:space="preserve"> </w:t>
      </w:r>
      <w:proofErr w:type="spellStart"/>
      <w:r w:rsidRPr="009D2452">
        <w:t>tiw</w:t>
      </w:r>
      <w:proofErr w:type="spellEnd"/>
      <w:r w:rsidRPr="009D2452">
        <w:t xml:space="preserve"> recipients, compared to 43.3% of placebo recipients, an excess of 34.5%.</w:t>
      </w:r>
    </w:p>
    <w:p w:rsidR="00577B76" w:rsidRPr="009D2452" w:rsidRDefault="00577B76" w:rsidP="006B74A7">
      <w:pPr>
        <w:pStyle w:val="ListBullet"/>
        <w:numPr>
          <w:ilvl w:val="0"/>
          <w:numId w:val="1"/>
        </w:numPr>
      </w:pPr>
      <w:r w:rsidRPr="009D2452">
        <w:t xml:space="preserve">Subjects with CIS who are not destined to progress to MS in the near future will be exposed to </w:t>
      </w:r>
      <w:proofErr w:type="spellStart"/>
      <w:r w:rsidRPr="009D2452">
        <w:t>Rebif</w:t>
      </w:r>
      <w:proofErr w:type="spellEnd"/>
      <w:r w:rsidRPr="009D2452">
        <w:t xml:space="preserve"> side effects without apparent gain. Whether this is considered a substantial problem partly depends on one’s definition of MS. Over two years of treatment, this non</w:t>
      </w:r>
      <w:r>
        <w:t xml:space="preserve"> </w:t>
      </w:r>
      <w:r w:rsidRPr="009D2452">
        <w:t>progressing group would be expected to be only 16% of the initial cohort, using McDonald 2005 criteria (because 84% of placebo recipients converted). The non</w:t>
      </w:r>
      <w:r>
        <w:t xml:space="preserve"> </w:t>
      </w:r>
      <w:r w:rsidRPr="009D2452">
        <w:t>progressing group would be much larger, however, and would constitute the majority of the cohort, if older clinical criteria were used (62% of subjects in the placebo group did not progress to CDMS).</w:t>
      </w:r>
    </w:p>
    <w:p w:rsidR="00577B76" w:rsidRPr="009D2452" w:rsidRDefault="00577B76" w:rsidP="006B74A7">
      <w:pPr>
        <w:pStyle w:val="ListBullet"/>
        <w:numPr>
          <w:ilvl w:val="0"/>
          <w:numId w:val="1"/>
        </w:numPr>
      </w:pPr>
      <w:r w:rsidRPr="009D2452">
        <w:t>Some subjects will progress to MS despite active treatment. Only 23% of subjects (85%-62%) treated over two years can expect to have McDonald MS prevented by active treatment, and only 17% of subjects (38%-21%) treated over two years can expect to have CDMS prevented.</w:t>
      </w:r>
    </w:p>
    <w:p w:rsidR="00577B76" w:rsidRPr="009D2452" w:rsidRDefault="00577B76" w:rsidP="006B74A7">
      <w:pPr>
        <w:pStyle w:val="ListBullet"/>
        <w:numPr>
          <w:ilvl w:val="0"/>
          <w:numId w:val="1"/>
        </w:numPr>
      </w:pPr>
      <w:r w:rsidRPr="009D2452">
        <w:t xml:space="preserve">The shifting definitions of MS – in particular, the changes from McDonald 2005 to McDonald 2010 criteria – mean that </w:t>
      </w:r>
      <w:r w:rsidRPr="009D2452">
        <w:rPr>
          <w:b/>
        </w:rPr>
        <w:t>subjects fulfilling modern CIS criteria have milder disease than those treated in the pivotal CIS study, ~38% of whom already had McDonald 2010 MS at baseline</w:t>
      </w:r>
      <w:r w:rsidRPr="009D2452">
        <w:t xml:space="preserve">. The chance that these milder CIS subjects would receive </w:t>
      </w:r>
      <w:proofErr w:type="spellStart"/>
      <w:r w:rsidRPr="009D2452">
        <w:t>Rebif</w:t>
      </w:r>
      <w:proofErr w:type="spellEnd"/>
      <w:r w:rsidRPr="009D2452">
        <w:t xml:space="preserve"> “unnecessarily” (in the sense that they would not have progressed to MS anyway) is therefore increased under the new diagnostic criteria - but this increase has not been quantified by the sponsor.</w:t>
      </w:r>
    </w:p>
    <w:p w:rsidR="00577B76" w:rsidRPr="009D2452" w:rsidRDefault="00577B76" w:rsidP="006B74A7">
      <w:pPr>
        <w:pStyle w:val="ListBullet"/>
        <w:numPr>
          <w:ilvl w:val="0"/>
          <w:numId w:val="1"/>
        </w:numPr>
      </w:pPr>
      <w:r w:rsidRPr="009D2452">
        <w:t>Discontinuation rates with injected treatments for MS are re</w:t>
      </w:r>
      <w:r>
        <w:t>latively high (</w:t>
      </w:r>
      <w:proofErr w:type="spellStart"/>
      <w:r w:rsidRPr="00681AEB">
        <w:t>Giovannoni</w:t>
      </w:r>
      <w:proofErr w:type="spellEnd"/>
      <w:r>
        <w:t xml:space="preserve"> 2012)</w:t>
      </w:r>
      <w:r w:rsidRPr="009D2452">
        <w:t xml:space="preserve">, and subjects with a single episode of demyelination may have even less motivation to continue treatment. The clinical benefit observed in the REFLEX study may not be achieved in the real world, where compliance is poorer. Encouraging patients to start treatment very early might even mean that some abandon treatment before they get diagnosed with MS, so </w:t>
      </w:r>
      <w:r w:rsidRPr="009D2452">
        <w:lastRenderedPageBreak/>
        <w:t>they are off treatment when their disease activity is greater. (This is less of an issue now that the number of available MS treatments is increasing and oral agents are available.)</w:t>
      </w:r>
    </w:p>
    <w:p w:rsidR="00577B76" w:rsidRDefault="00577B76" w:rsidP="00577B76">
      <w:pPr>
        <w:pStyle w:val="Heading3"/>
      </w:pPr>
      <w:bookmarkStart w:id="170" w:name="_Toc373928646"/>
      <w:r>
        <w:t>First round assessment of benefit-risk balance</w:t>
      </w:r>
      <w:bookmarkEnd w:id="170"/>
    </w:p>
    <w:p w:rsidR="00577B76" w:rsidRDefault="00577B76" w:rsidP="00577B76">
      <w:r>
        <w:t xml:space="preserve">The benefit-risk balance of </w:t>
      </w:r>
      <w:proofErr w:type="spellStart"/>
      <w:r>
        <w:t>Rebif</w:t>
      </w:r>
      <w:proofErr w:type="spellEnd"/>
      <w:r>
        <w:t>, given the proposed usage, appears favourable but there are substantial uncertainties surrounding the group of CI</w:t>
      </w:r>
      <w:r w:rsidR="00BB2A74">
        <w:t>S patients with milder disease.</w:t>
      </w:r>
    </w:p>
    <w:p w:rsidR="00577B76" w:rsidRDefault="00577B76" w:rsidP="00577B76">
      <w:r>
        <w:t xml:space="preserve">The benefit of treatment in CIS subjects with &lt;2 MRI lesions has not been tested. This group was excluded from the pivotal study, is expected to have a relatively low chance of conversion to MS, and the risks and side effects of </w:t>
      </w:r>
      <w:proofErr w:type="spellStart"/>
      <w:r>
        <w:t>Rebif</w:t>
      </w:r>
      <w:proofErr w:type="spellEnd"/>
      <w:r>
        <w:t xml:space="preserve"> treatment do not appear justified given that most of these subjects will do well anyway. The PI should explicitly exclude such low risk subjects.</w:t>
      </w:r>
    </w:p>
    <w:p w:rsidR="00577B76" w:rsidRDefault="00577B76" w:rsidP="00577B76">
      <w:r>
        <w:t xml:space="preserve">More subtly, the benefit of treatment is still unclear in subjects with a single clinical </w:t>
      </w:r>
      <w:proofErr w:type="spellStart"/>
      <w:r>
        <w:t>demyelinating</w:t>
      </w:r>
      <w:proofErr w:type="spellEnd"/>
      <w:r>
        <w:t xml:space="preserve"> event who do not have McDonald 2010 MS. The CIS cohort in the pivotal study, defined using McDonald 2005 criteria</w:t>
      </w:r>
      <w:r w:rsidR="00C97E6A">
        <w:t xml:space="preserve"> included </w:t>
      </w:r>
      <w:r>
        <w:t xml:space="preserve">~38% of subjects who actually had McDonald 2010 MS, and who would therefore </w:t>
      </w:r>
      <w:r w:rsidRPr="00404C22">
        <w:rPr>
          <w:i/>
        </w:rPr>
        <w:t>not</w:t>
      </w:r>
      <w:r>
        <w:t xml:space="preserve"> be diagnosed with CIS by modern criteria. This </w:t>
      </w:r>
      <w:r w:rsidR="00C97E6A">
        <w:t xml:space="preserve">inclusion of patients with MS </w:t>
      </w:r>
      <w:r>
        <w:t xml:space="preserve">is likely to have inflated the apparent benefit of active treatment. This was not a design fault, but merely reflects shifting definitions of MS that took place as the study was underway. It is not a problem unique to </w:t>
      </w:r>
      <w:proofErr w:type="spellStart"/>
      <w:r>
        <w:t>Rebif</w:t>
      </w:r>
      <w:proofErr w:type="spellEnd"/>
      <w:r>
        <w:t xml:space="preserve">, either, because the pivotal CIS studies for </w:t>
      </w:r>
      <w:proofErr w:type="spellStart"/>
      <w:r>
        <w:t>Avonex</w:t>
      </w:r>
      <w:proofErr w:type="spellEnd"/>
      <w:r>
        <w:t xml:space="preserve">, </w:t>
      </w:r>
      <w:proofErr w:type="spellStart"/>
      <w:r>
        <w:t>Betaferon</w:t>
      </w:r>
      <w:proofErr w:type="spellEnd"/>
      <w:r>
        <w:t xml:space="preserve"> and </w:t>
      </w:r>
      <w:proofErr w:type="spellStart"/>
      <w:r>
        <w:t>Copaxone</w:t>
      </w:r>
      <w:proofErr w:type="spellEnd"/>
      <w:r>
        <w:t xml:space="preserve"> are all likely to have had the same </w:t>
      </w:r>
      <w:r w:rsidR="00C97E6A">
        <w:t xml:space="preserve">issues </w:t>
      </w:r>
      <w:r>
        <w:t xml:space="preserve">(in retrospect) as they were designed using older definitions of MS. Nonetheless, the issue has arisen during the conduct and submission of the </w:t>
      </w:r>
      <w:proofErr w:type="spellStart"/>
      <w:r>
        <w:t>Rebif</w:t>
      </w:r>
      <w:proofErr w:type="spellEnd"/>
      <w:r>
        <w:t xml:space="preserve"> CIS study, and clinicians deserve to have this issue clarified to help them discuss the benefit-ri</w:t>
      </w:r>
      <w:r w:rsidR="00BB2A74">
        <w:t>sk balance with their patients.</w:t>
      </w:r>
    </w:p>
    <w:p w:rsidR="00577B76" w:rsidRDefault="00577B76" w:rsidP="00577B76">
      <w:r>
        <w:t xml:space="preserve">In the pivotal study, the </w:t>
      </w:r>
      <w:r w:rsidR="004D337A">
        <w:t xml:space="preserve">proportion of </w:t>
      </w:r>
      <w:r>
        <w:t>McDonald 2010 MS patients (~38%) is approximately double the proportion of patients who had progression to MS prevented by active treatment (22% by 2005 radiological criteria, 17% by clinical criteria). If it was these McDonald 2010 patients who benefited from treatment in the pivotal study, then the new CIS indication is not needed, because such subjects could be treated under the indication of “MS”.</w:t>
      </w:r>
    </w:p>
    <w:p w:rsidR="00577B76" w:rsidRDefault="00577B76" w:rsidP="00577B76">
      <w:r>
        <w:t xml:space="preserve">A </w:t>
      </w:r>
      <w:bookmarkStart w:id="171" w:name="ProposedAnalysis"/>
      <w:r>
        <w:t>subgroup analysis</w:t>
      </w:r>
      <w:bookmarkEnd w:id="171"/>
      <w:r>
        <w:t xml:space="preserve"> of “true CIS” subjects without McDonald 2010 MS should be performed by the sponsor prior to finalising the PI and prior to final approval of the CIS indication. The primary and secondary endpoints of this proposed analysis should remain the same as in the original pivotal study. This analysis might prove to be underpowered, but it should at least show a quantitative benefit of treatment in “true CIS” subjects (defined using McDonald 2010 criteria) before the CIS indication is approved. Accurate assignment of subjects to the categories of “true CIS” or “McDonald 2010 MS” might be difficult in retrospect, but should be reasonably accurate in most cases. The assignment depends entirely on MRI analysis, so it could be done by blinded, independent radiologists without collecting or considering new clinical data. Statistical analysis should be performed with the same methods as in the original cohort.</w:t>
      </w:r>
    </w:p>
    <w:p w:rsidR="00577B76" w:rsidRDefault="00577B76" w:rsidP="00577B76">
      <w:r>
        <w:t xml:space="preserve">If this subgroup analysis does not show substantial benefit of </w:t>
      </w:r>
      <w:proofErr w:type="spellStart"/>
      <w:r>
        <w:t>Rebif</w:t>
      </w:r>
      <w:proofErr w:type="spellEnd"/>
      <w:r>
        <w:t xml:space="preserve"> in “true CIS” subjects, but instead suggests that the benefit was largely confined to those who already had McDonald 2010 MS at baseline, then it would be reasonable to conclude that competing products are likely to face the same problem. In fact, there are grounds for suspecting that </w:t>
      </w:r>
      <w:proofErr w:type="spellStart"/>
      <w:r>
        <w:t>Avonex</w:t>
      </w:r>
      <w:proofErr w:type="spellEnd"/>
      <w:r>
        <w:t xml:space="preserve">, a once weekly, lower dose preparation of interferon beta 1a, is likely to have </w:t>
      </w:r>
      <w:proofErr w:type="gramStart"/>
      <w:r>
        <w:t>less efficacy</w:t>
      </w:r>
      <w:proofErr w:type="gramEnd"/>
      <w:r>
        <w:t xml:space="preserve"> in this setting than </w:t>
      </w:r>
      <w:proofErr w:type="spellStart"/>
      <w:r>
        <w:t>Rebif</w:t>
      </w:r>
      <w:proofErr w:type="spellEnd"/>
      <w:r>
        <w:t>.</w:t>
      </w:r>
    </w:p>
    <w:p w:rsidR="00C22678" w:rsidRDefault="00C22678" w:rsidP="00C22678">
      <w:pPr>
        <w:pStyle w:val="Heading2"/>
      </w:pPr>
      <w:bookmarkStart w:id="172" w:name="_Toc373928647"/>
      <w:r>
        <w:t>First round recommendation regarding authorisation</w:t>
      </w:r>
      <w:bookmarkEnd w:id="172"/>
    </w:p>
    <w:p w:rsidR="00BA59E6" w:rsidRDefault="00BA59E6" w:rsidP="00BA59E6">
      <w:r>
        <w:t xml:space="preserve">Approval of the CIS indication for </w:t>
      </w:r>
      <w:proofErr w:type="spellStart"/>
      <w:r>
        <w:t>Rebif</w:t>
      </w:r>
      <w:proofErr w:type="spellEnd"/>
      <w:r>
        <w:t xml:space="preserve"> should be declined for now, pending clarification of efficacy in the CIS population as defined by modern criteria.</w:t>
      </w:r>
    </w:p>
    <w:p w:rsidR="00BA59E6" w:rsidRDefault="00BA59E6" w:rsidP="00BA59E6">
      <w:r>
        <w:t>The sponsor should perform the subgroup analysis proposed above, based on modern definitions of MS (McDonald 2010 criteria) and resubmit.</w:t>
      </w:r>
    </w:p>
    <w:p w:rsidR="00C22678" w:rsidRDefault="00C22678" w:rsidP="00C22678">
      <w:pPr>
        <w:pStyle w:val="Heading2"/>
      </w:pPr>
      <w:bookmarkStart w:id="173" w:name="_Toc373928648"/>
      <w:r>
        <w:lastRenderedPageBreak/>
        <w:t>Clinical questions</w:t>
      </w:r>
      <w:bookmarkEnd w:id="173"/>
    </w:p>
    <w:p w:rsidR="00C22678" w:rsidRDefault="00C618F7" w:rsidP="00C618F7">
      <w:pPr>
        <w:pStyle w:val="Heading3"/>
      </w:pPr>
      <w:bookmarkStart w:id="174" w:name="_Toc373928649"/>
      <w:r>
        <w:t>Pharmacokinetics</w:t>
      </w:r>
      <w:bookmarkEnd w:id="174"/>
    </w:p>
    <w:p w:rsidR="0067198B" w:rsidRPr="000614F2" w:rsidRDefault="0067198B" w:rsidP="0067198B">
      <w:proofErr w:type="gramStart"/>
      <w:r w:rsidRPr="000614F2">
        <w:t>None applicable.</w:t>
      </w:r>
      <w:proofErr w:type="gramEnd"/>
    </w:p>
    <w:p w:rsidR="00C618F7" w:rsidRDefault="00C618F7" w:rsidP="00C618F7">
      <w:pPr>
        <w:pStyle w:val="Heading3"/>
      </w:pPr>
      <w:bookmarkStart w:id="175" w:name="_Toc373928650"/>
      <w:r>
        <w:t>Pharmacodynamics</w:t>
      </w:r>
      <w:bookmarkEnd w:id="175"/>
    </w:p>
    <w:p w:rsidR="0067198B" w:rsidRPr="000614F2" w:rsidRDefault="0067198B" w:rsidP="0067198B">
      <w:proofErr w:type="gramStart"/>
      <w:r w:rsidRPr="000614F2">
        <w:t>None applicable.</w:t>
      </w:r>
      <w:proofErr w:type="gramEnd"/>
    </w:p>
    <w:p w:rsidR="00C618F7" w:rsidRDefault="00C618F7" w:rsidP="00C618F7">
      <w:pPr>
        <w:pStyle w:val="Heading3"/>
      </w:pPr>
      <w:bookmarkStart w:id="176" w:name="_Toc373928651"/>
      <w:r>
        <w:t>Efficacy</w:t>
      </w:r>
      <w:bookmarkEnd w:id="176"/>
    </w:p>
    <w:p w:rsidR="0067198B" w:rsidRDefault="0067198B" w:rsidP="0067198B">
      <w:r>
        <w:t>Please perform a subgrou</w:t>
      </w:r>
      <w:r w:rsidR="00BB2A74">
        <w:t>p analysis, as described above:</w:t>
      </w:r>
    </w:p>
    <w:p w:rsidR="0067198B" w:rsidRDefault="0067198B" w:rsidP="0067198B">
      <w:pPr>
        <w:ind w:left="720"/>
      </w:pPr>
      <w:r w:rsidRPr="00436CEF">
        <w:rPr>
          <w:i/>
        </w:rPr>
        <w:t>“A subgroup analysis of “true CIS” subjects without McDonald 2010 MS should be performed by the sponsor prior to finalising the PI and prior to final approval of the CIS indication. The primary and secondary endpoints of this proposed analysis should remain the same as in the original pivotal study. This analysis might prove to be underpowered, but it should at least show a quantitative benefit of treatment in “true CIS” subjects (defined using McDonald 2010 criteria) before the CIS indication is approved. Accurate assignment of subjects to the categories of “true CIS” or “McDonald 2010 MS” might be difficult in retrospect, but should be reasonably accurate in most cases. The assignment depends entirely on MRI analysis, so it could be done by blinded, independent radiologists without collecting or considering new clinical data. Statistical analysis should be performed with the same methods as in the original cohort.”</w:t>
      </w:r>
    </w:p>
    <w:p w:rsidR="0067198B" w:rsidRDefault="0067198B" w:rsidP="0067198B">
      <w:r>
        <w:t>Please clarify when patients received a spinal cord MRI and how this contributed to eligibility at baseline and the occurrence of the McDonald MS endpoint.</w:t>
      </w:r>
    </w:p>
    <w:p w:rsidR="00C618F7" w:rsidRDefault="00C618F7" w:rsidP="00C618F7">
      <w:pPr>
        <w:pStyle w:val="Heading3"/>
      </w:pPr>
      <w:bookmarkStart w:id="177" w:name="_Toc373928652"/>
      <w:r>
        <w:t>Safety</w:t>
      </w:r>
      <w:bookmarkEnd w:id="177"/>
    </w:p>
    <w:p w:rsidR="0067198B" w:rsidRPr="002A42FD" w:rsidRDefault="0067198B" w:rsidP="0067198B">
      <w:proofErr w:type="gramStart"/>
      <w:r w:rsidRPr="002A42FD">
        <w:t>None applicable.</w:t>
      </w:r>
      <w:proofErr w:type="gramEnd"/>
    </w:p>
    <w:p w:rsidR="00C618F7" w:rsidRDefault="00C618F7" w:rsidP="00C618F7">
      <w:pPr>
        <w:pStyle w:val="Heading2"/>
      </w:pPr>
      <w:bookmarkStart w:id="178" w:name="_Toc373928653"/>
      <w:r>
        <w:t>Second round evaluation of clinical data submitted in response to questions</w:t>
      </w:r>
      <w:bookmarkEnd w:id="178"/>
    </w:p>
    <w:p w:rsidR="00096A4A" w:rsidRDefault="00096A4A" w:rsidP="00096A4A">
      <w:r>
        <w:t>The sponsor submitted data in response to the following two questions arising from the first round clinical evaluation:</w:t>
      </w:r>
    </w:p>
    <w:p w:rsidR="00096A4A" w:rsidRPr="00323F8D" w:rsidRDefault="00096A4A" w:rsidP="00096A4A">
      <w:pPr>
        <w:pStyle w:val="Heading3"/>
      </w:pPr>
      <w:bookmarkStart w:id="179" w:name="_Toc373928654"/>
      <w:r w:rsidRPr="00323F8D">
        <w:t>Question 1</w:t>
      </w:r>
      <w:bookmarkEnd w:id="179"/>
    </w:p>
    <w:p w:rsidR="00096A4A" w:rsidRPr="00996E95" w:rsidRDefault="00096A4A" w:rsidP="00096A4A">
      <w:pPr>
        <w:ind w:left="720"/>
        <w:rPr>
          <w:i/>
        </w:rPr>
      </w:pPr>
      <w:r w:rsidRPr="00996E95">
        <w:rPr>
          <w:i/>
        </w:rPr>
        <w:t xml:space="preserve">The CIS cohort in the pivotal study, defined using McDonald 2005 criteria, appeared to </w:t>
      </w:r>
      <w:r w:rsidR="00C97E6A">
        <w:rPr>
          <w:i/>
        </w:rPr>
        <w:t xml:space="preserve">include </w:t>
      </w:r>
      <w:r w:rsidRPr="00996E95">
        <w:rPr>
          <w:i/>
        </w:rPr>
        <w:t xml:space="preserve">~38% of subjects who actually had McDonald 2010 MS, and who would therefore not be diagnosed with CIS by modern criteria. This </w:t>
      </w:r>
      <w:r w:rsidR="004D337A">
        <w:rPr>
          <w:i/>
        </w:rPr>
        <w:t xml:space="preserve">proportion of </w:t>
      </w:r>
      <w:r w:rsidRPr="00996E95">
        <w:rPr>
          <w:i/>
        </w:rPr>
        <w:t>McDonald 2010 MS patients (~38%) is approximately double the proportion of patients who had progression to MS prevented by active treatment (22% by 2005 radiological criteria, 17% by clinical criteria). It is not clear whether the McDonald 2010 patients are the patients who benefited from treatment in the pivotal study.</w:t>
      </w:r>
    </w:p>
    <w:p w:rsidR="00096A4A" w:rsidRPr="00C40684" w:rsidRDefault="00096A4A" w:rsidP="00096A4A">
      <w:pPr>
        <w:ind w:left="720"/>
      </w:pPr>
      <w:r w:rsidRPr="00996E95">
        <w:rPr>
          <w:i/>
        </w:rPr>
        <w:t xml:space="preserve">In view of the above, please perform a subgroup analysis of “true CIS” subjects without McDonald 2010 MS or provide justification for why this should not be required. The primary and secondary endpoints of the subgroup analysis should remain the same as in the original pivotal study. As the assignment of subjects to the categories of “true CIS” or </w:t>
      </w:r>
      <w:r w:rsidRPr="00996E95">
        <w:rPr>
          <w:i/>
        </w:rPr>
        <w:lastRenderedPageBreak/>
        <w:t>“McDonald 2010 MS” depended entirely on MRI analysis, this could be done by blinded, independent radiologists without collecting or considering new clinical data. Statistical analysis should be performed with the same methods as in the original cohort.</w:t>
      </w:r>
    </w:p>
    <w:p w:rsidR="00096A4A" w:rsidRPr="00323F8D" w:rsidRDefault="00096A4A" w:rsidP="00BB2A74">
      <w:pPr>
        <w:pStyle w:val="Heading3"/>
      </w:pPr>
      <w:bookmarkStart w:id="180" w:name="_Toc373928655"/>
      <w:r w:rsidRPr="00323F8D">
        <w:t>Question 2</w:t>
      </w:r>
      <w:bookmarkEnd w:id="180"/>
    </w:p>
    <w:p w:rsidR="00096A4A" w:rsidRPr="00C40684" w:rsidRDefault="00096A4A" w:rsidP="00096A4A">
      <w:pPr>
        <w:ind w:left="720"/>
        <w:rPr>
          <w:i/>
        </w:rPr>
      </w:pPr>
      <w:r w:rsidRPr="00C40684">
        <w:rPr>
          <w:i/>
        </w:rPr>
        <w:t>Please clarify when patients received a spinal cord MRI and how this contributed to eligibility at baseline and the occurrence of the McDonald MS endpoint.</w:t>
      </w:r>
    </w:p>
    <w:p w:rsidR="00096A4A" w:rsidRDefault="00096A4A" w:rsidP="00096A4A">
      <w:r>
        <w:t>The sponsor’s response to both questions was comprehensive and reassuring. The new data is evaluated below: Question 1 and Question 2.</w:t>
      </w:r>
    </w:p>
    <w:p w:rsidR="00096A4A" w:rsidRDefault="00096A4A" w:rsidP="00096A4A">
      <w:pPr>
        <w:pStyle w:val="Heading3"/>
      </w:pPr>
      <w:bookmarkStart w:id="181" w:name="_Ref347406516"/>
      <w:bookmarkStart w:id="182" w:name="_Toc348084009"/>
      <w:bookmarkStart w:id="183" w:name="_Toc373928656"/>
      <w:r>
        <w:t>Sp</w:t>
      </w:r>
      <w:r w:rsidR="00BB2A74">
        <w:t>onsor’s r</w:t>
      </w:r>
      <w:r>
        <w:t xml:space="preserve">esponse to </w:t>
      </w:r>
      <w:r w:rsidR="00BB2A74">
        <w:t>q</w:t>
      </w:r>
      <w:r>
        <w:t>uestion 1</w:t>
      </w:r>
      <w:bookmarkEnd w:id="181"/>
      <w:bookmarkEnd w:id="182"/>
      <w:bookmarkEnd w:id="183"/>
    </w:p>
    <w:p w:rsidR="00096A4A" w:rsidRDefault="00096A4A" w:rsidP="00096A4A">
      <w:r>
        <w:t xml:space="preserve">The pivotal CIS study (REFLEX) was intended to exclude patients who had MS, because it was already clear from prior studies that </w:t>
      </w:r>
      <w:proofErr w:type="spellStart"/>
      <w:r>
        <w:t>Rebif</w:t>
      </w:r>
      <w:proofErr w:type="spellEnd"/>
      <w:r>
        <w:t xml:space="preserve"> is useful in subjects with MS, and </w:t>
      </w:r>
      <w:proofErr w:type="spellStart"/>
      <w:r>
        <w:t>Rebif</w:t>
      </w:r>
      <w:proofErr w:type="spellEnd"/>
      <w:r>
        <w:t xml:space="preserve"> is already registered for this indication. At the time of recruitment, MS was diagnosed using McDonald 2005 (M2005) criteria.</w:t>
      </w:r>
      <w:r w:rsidR="00E65DE3">
        <w:t xml:space="preserve"> </w:t>
      </w:r>
      <w:r>
        <w:t>Because definitions of MS have changed in recent years, becoming more inclusive, ~38% of the original cohort recruited to the pivotal CIS study would now be considered to have had MS</w:t>
      </w:r>
      <w:r w:rsidRPr="002553D4">
        <w:rPr>
          <w:i/>
        </w:rPr>
        <w:t xml:space="preserve"> at the time of recruitment</w:t>
      </w:r>
      <w:r>
        <w:rPr>
          <w:i/>
        </w:rPr>
        <w:t xml:space="preserve">, </w:t>
      </w:r>
      <w:r>
        <w:t xml:space="preserve">using McDonald 2010 (M2010) diagnostic criteria. That is, they would not have been considered to have CIS if the study had been designed at the time of the submission and evaluation, and would not be eligible; instead they would be considered to have MS already and would potentially receive </w:t>
      </w:r>
      <w:proofErr w:type="spellStart"/>
      <w:r>
        <w:t>Rebif</w:t>
      </w:r>
      <w:proofErr w:type="spellEnd"/>
      <w:r>
        <w:t xml:space="preserve"> according to existing indications.</w:t>
      </w:r>
    </w:p>
    <w:p w:rsidR="00096A4A" w:rsidRPr="002553D4" w:rsidRDefault="00096A4A" w:rsidP="00096A4A">
      <w:r>
        <w:t xml:space="preserve">The inclusion of these borderline MS subjects raises problems in interpreting the REFLEX study. If the benefit demonstrated in REFLEX was largely due to accidental inclusion of these borderline MS subjects (positive for M2010 MS, but negative for M2005 MS), then this would leave open the possibility that </w:t>
      </w:r>
      <w:proofErr w:type="spellStart"/>
      <w:r>
        <w:t>Rebif</w:t>
      </w:r>
      <w:proofErr w:type="spellEnd"/>
      <w:r>
        <w:t xml:space="preserve"> has a substantially weaker benefit in “true CIS” subjects (negative for both M2010 MS and M2005 MS). In that case, the new CIS indication would not be appropriate.</w:t>
      </w:r>
    </w:p>
    <w:p w:rsidR="00096A4A" w:rsidRDefault="00096A4A" w:rsidP="00096A4A">
      <w:r>
        <w:t>In response to this concern, the sponsor has submitted a post-hoc subgroup analysis in which the original cohort of M2005-negative CIS subjects was divided into M2010-positive subjects who could, in retrospect, be diagnosed with MS, and M2010-negative subjects who would still be considered to have CIS by modern diagnostic criteria (“true CIS”). Although retrospective, this post-hoc subgroup assignment could be achieved by reassessing MRI data that was obtained prospectively, and it is likely to have been substantially accurate. (One imperfection in the data, impossible to correct in retrospect, was that spinal cord MRIs were only performed in case of spinal symptoms, for purposes of differential diagnosis at baseline. Lesions in the spinal cord can contribute to a diagnosis of M2010 MS, so a few cases of M2010-positive subjects could have been missed. This is very unlikely to have had a substantial impact on the analysis – see the discussion of Question 2).</w:t>
      </w:r>
    </w:p>
    <w:p w:rsidR="00096A4A" w:rsidRDefault="00096A4A" w:rsidP="00096A4A">
      <w:r>
        <w:t>The sponsor reassessed the primary endpoint (conversion to M2005 MS) and the main secondary endpoint (conversion to CDMS) in this subgroup analysis, using the same statistical methods as in the intent-to-treat (ITT) cohort. Because the analysis was post hoc, it was considered to be exploratory.</w:t>
      </w:r>
    </w:p>
    <w:p w:rsidR="00096A4A" w:rsidRDefault="00096A4A" w:rsidP="00096A4A">
      <w:r>
        <w:t>The results are shown in the tables below.</w:t>
      </w:r>
    </w:p>
    <w:p w:rsidR="00096A4A" w:rsidRDefault="00096A4A" w:rsidP="00096A4A">
      <w:r>
        <w:t xml:space="preserve">In the overall study population, 37.7% of subjects could be retrospectively diagnosed with M2010 MS at baseline. Dissemination of disease in space (as demonstrated by MRI or multifocal presentation) was present at baseline in 83.4% of subjects, and dissemination in time was suggested </w:t>
      </w:r>
      <w:proofErr w:type="gramStart"/>
      <w:r>
        <w:t>by a contrasting-enhancing lesions</w:t>
      </w:r>
      <w:proofErr w:type="gramEnd"/>
      <w:r>
        <w:t xml:space="preserve"> in 41% of subjects, with the M2010-positive subgroup showing both types of dissemination. The incidence of M2010 positivity was broadly </w:t>
      </w:r>
      <w:r>
        <w:lastRenderedPageBreak/>
        <w:t xml:space="preserve">similar in the group receiving the standard, proposed dose of </w:t>
      </w:r>
      <w:proofErr w:type="spellStart"/>
      <w:r>
        <w:t>Rebif</w:t>
      </w:r>
      <w:proofErr w:type="spellEnd"/>
      <w:r>
        <w:t xml:space="preserve"> 44 µg TIW (36.3%) as in th</w:t>
      </w:r>
      <w:r w:rsidR="00E65DE3">
        <w:t xml:space="preserve">e placebo group (39.2%) </w:t>
      </w:r>
      <w:proofErr w:type="gramStart"/>
      <w:r w:rsidR="00E65DE3">
        <w:t>(Table 36</w:t>
      </w:r>
      <w:r>
        <w:t>).</w:t>
      </w:r>
      <w:proofErr w:type="gramEnd"/>
    </w:p>
    <w:p w:rsidR="00096A4A" w:rsidRDefault="00E65DE3" w:rsidP="00BB2A74">
      <w:pPr>
        <w:pStyle w:val="TableTitle"/>
        <w:rPr>
          <w:lang w:val="en-GB"/>
        </w:rPr>
      </w:pPr>
      <w:proofErr w:type="gramStart"/>
      <w:r>
        <w:t>Table 36</w:t>
      </w:r>
      <w:r w:rsidR="00096A4A">
        <w:t>:</w:t>
      </w:r>
      <w:r w:rsidR="00096A4A" w:rsidRPr="004C5C28">
        <w:t xml:space="preserve"> </w:t>
      </w:r>
      <w:r w:rsidR="00096A4A">
        <w:t>Baseline characteristics leading to retrospective McDonald 2010 MS diagnosis.</w:t>
      </w:r>
      <w:proofErr w:type="gramEnd"/>
    </w:p>
    <w:p w:rsidR="00096A4A" w:rsidRDefault="00B90934" w:rsidP="00BB2A74">
      <w:pPr>
        <w:rPr>
          <w:noProof/>
          <w:lang w:eastAsia="en-AU"/>
        </w:rPr>
      </w:pPr>
      <w:r>
        <w:rPr>
          <w:noProof/>
          <w:lang w:eastAsia="en-AU"/>
        </w:rPr>
        <w:drawing>
          <wp:inline distT="0" distB="0" distL="0" distR="0">
            <wp:extent cx="4776470" cy="2101850"/>
            <wp:effectExtent l="19050" t="0" r="5080" b="0"/>
            <wp:docPr id="41" name="Picture 41" descr="Table 36: Baseline characteristics leading to retrospective McDonald 2010 MS diagn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able 36: Baseline characteristics leading to retrospective McDonald 2010 MS diagnosis."/>
                    <pic:cNvPicPr>
                      <a:picLocks noChangeAspect="1" noChangeArrowheads="1"/>
                    </pic:cNvPicPr>
                  </pic:nvPicPr>
                  <pic:blipFill>
                    <a:blip r:embed="rId54" cstate="print"/>
                    <a:srcRect/>
                    <a:stretch>
                      <a:fillRect/>
                    </a:stretch>
                  </pic:blipFill>
                  <pic:spPr bwMode="auto">
                    <a:xfrm>
                      <a:off x="0" y="0"/>
                      <a:ext cx="4776470" cy="2101850"/>
                    </a:xfrm>
                    <a:prstGeom prst="rect">
                      <a:avLst/>
                    </a:prstGeom>
                    <a:noFill/>
                    <a:ln w="9525">
                      <a:noFill/>
                      <a:miter lim="800000"/>
                      <a:headEnd/>
                      <a:tailEnd/>
                    </a:ln>
                  </pic:spPr>
                </pic:pic>
              </a:graphicData>
            </a:graphic>
          </wp:inline>
        </w:drawing>
      </w:r>
    </w:p>
    <w:p w:rsidR="00096A4A" w:rsidRDefault="00096A4A" w:rsidP="00096A4A">
      <w:r>
        <w:t>Baseline disease characteristics in the M2010-positive and M2010-negative subgroups are shown in Table 3</w:t>
      </w:r>
      <w:r w:rsidR="00E65DE3">
        <w:t>7</w:t>
      </w:r>
      <w:r>
        <w:t>. Not surprisingly, the two subgroups show substantial differences for those features leading to the M2010 diagnosis, such as multifocal disease and contrast enhancing lesions.</w:t>
      </w:r>
    </w:p>
    <w:p w:rsidR="00096A4A" w:rsidRDefault="00096A4A" w:rsidP="00BB2A74">
      <w:pPr>
        <w:pStyle w:val="TableTitle"/>
        <w:rPr>
          <w:lang w:val="en-GB"/>
        </w:rPr>
      </w:pPr>
      <w:proofErr w:type="gramStart"/>
      <w:r>
        <w:t>Table 3</w:t>
      </w:r>
      <w:r w:rsidR="00E65DE3">
        <w:t>7</w:t>
      </w:r>
      <w:r>
        <w:t>:</w:t>
      </w:r>
      <w:r w:rsidRPr="004C5C28">
        <w:t xml:space="preserve"> </w:t>
      </w:r>
      <w:r>
        <w:t>Baseline demographic, disease and magnetic resonance imaging characteristics.</w:t>
      </w:r>
      <w:proofErr w:type="gramEnd"/>
    </w:p>
    <w:p w:rsidR="00096A4A" w:rsidRDefault="00B90934" w:rsidP="00BB2A74">
      <w:pPr>
        <w:rPr>
          <w:noProof/>
          <w:lang w:eastAsia="en-AU"/>
        </w:rPr>
      </w:pPr>
      <w:r>
        <w:rPr>
          <w:noProof/>
          <w:lang w:eastAsia="en-AU"/>
        </w:rPr>
        <w:drawing>
          <wp:inline distT="0" distB="0" distL="0" distR="0">
            <wp:extent cx="4728845" cy="2872740"/>
            <wp:effectExtent l="19050" t="0" r="0" b="0"/>
            <wp:docPr id="42" name="Picture 42" descr="Table 37: Baseline demographic, disease and magnetic resonance imaging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able 37: Baseline demographic, disease and magnetic resonance imaging characteristics."/>
                    <pic:cNvPicPr>
                      <a:picLocks noChangeAspect="1" noChangeArrowheads="1"/>
                    </pic:cNvPicPr>
                  </pic:nvPicPr>
                  <pic:blipFill>
                    <a:blip r:embed="rId55" cstate="print"/>
                    <a:srcRect/>
                    <a:stretch>
                      <a:fillRect/>
                    </a:stretch>
                  </pic:blipFill>
                  <pic:spPr bwMode="auto">
                    <a:xfrm>
                      <a:off x="0" y="0"/>
                      <a:ext cx="4728845" cy="2872740"/>
                    </a:xfrm>
                    <a:prstGeom prst="rect">
                      <a:avLst/>
                    </a:prstGeom>
                    <a:noFill/>
                    <a:ln w="9525">
                      <a:noFill/>
                      <a:miter lim="800000"/>
                      <a:headEnd/>
                      <a:tailEnd/>
                    </a:ln>
                  </pic:spPr>
                </pic:pic>
              </a:graphicData>
            </a:graphic>
          </wp:inline>
        </w:drawing>
      </w:r>
    </w:p>
    <w:p w:rsidR="00096A4A" w:rsidRDefault="00096A4A" w:rsidP="00096A4A">
      <w:r>
        <w:t xml:space="preserve">Results for the primary endpoint are </w:t>
      </w:r>
      <w:r w:rsidR="00E65DE3">
        <w:t>in Table 38</w:t>
      </w:r>
      <w:r>
        <w:t>. Even in M2010-negative (“true CIS”) subjects, there was a substantial risk of converting to M2005 MS after two years, amounting to a 79% cumulative risk in the placebo treated subjects. Active treatment with the proposed 44 µg TIW dose reduced this risk significantly, to 53% over two years, consistent with a HR of 0.49 (95%CI 0.35; 0.69, p&lt;0.001). This HR is the same as estimated in the original cohort of M2010-positive and M2010-negative patients, but with a slightly broade</w:t>
      </w:r>
      <w:r w:rsidR="00BB2A74">
        <w:t>r 95% Confidence Interval (CI).</w:t>
      </w:r>
    </w:p>
    <w:p w:rsidR="00096A4A" w:rsidRDefault="00E65DE3" w:rsidP="00BB2A74">
      <w:pPr>
        <w:pStyle w:val="TableTitle"/>
        <w:rPr>
          <w:lang w:val="en-GB"/>
        </w:rPr>
      </w:pPr>
      <w:r>
        <w:lastRenderedPageBreak/>
        <w:t>Table 38</w:t>
      </w:r>
      <w:r w:rsidR="00096A4A">
        <w:t>:</w:t>
      </w:r>
      <w:r w:rsidR="00096A4A" w:rsidRPr="004C5C28">
        <w:t xml:space="preserve"> </w:t>
      </w:r>
      <w:r w:rsidR="00096A4A">
        <w:t xml:space="preserve">Analysis of the time to conversion to McDonald 2005 MS by McDonald 2010 MS status at </w:t>
      </w:r>
      <w:proofErr w:type="spellStart"/>
      <w:r w:rsidR="00096A4A">
        <w:t>baseline.</w:t>
      </w:r>
      <w:r w:rsidR="00096A4A" w:rsidRPr="00667AC4">
        <w:rPr>
          <w:vertAlign w:val="superscript"/>
        </w:rPr>
        <w:t>a</w:t>
      </w:r>
      <w:proofErr w:type="spellEnd"/>
    </w:p>
    <w:p w:rsidR="00096A4A" w:rsidRDefault="00B90934" w:rsidP="00BB2A74">
      <w:r>
        <w:rPr>
          <w:noProof/>
          <w:lang w:eastAsia="en-AU"/>
        </w:rPr>
        <w:drawing>
          <wp:inline distT="0" distB="0" distL="0" distR="0">
            <wp:extent cx="4838065" cy="2204085"/>
            <wp:effectExtent l="19050" t="0" r="635" b="0"/>
            <wp:docPr id="43" name="Picture 43" descr="Table 38: Analysis of the time to conversion to McDonald 2005 MS by McDonald 2010 MS status at baseli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able 38: Analysis of the time to conversion to McDonald 2005 MS by McDonald 2010 MS status at baseline.a"/>
                    <pic:cNvPicPr>
                      <a:picLocks noChangeAspect="1" noChangeArrowheads="1"/>
                    </pic:cNvPicPr>
                  </pic:nvPicPr>
                  <pic:blipFill>
                    <a:blip r:embed="rId56" cstate="print"/>
                    <a:srcRect/>
                    <a:stretch>
                      <a:fillRect/>
                    </a:stretch>
                  </pic:blipFill>
                  <pic:spPr bwMode="auto">
                    <a:xfrm>
                      <a:off x="0" y="0"/>
                      <a:ext cx="4838065" cy="2204085"/>
                    </a:xfrm>
                    <a:prstGeom prst="rect">
                      <a:avLst/>
                    </a:prstGeom>
                    <a:noFill/>
                    <a:ln w="9525">
                      <a:noFill/>
                      <a:miter lim="800000"/>
                      <a:headEnd/>
                      <a:tailEnd/>
                    </a:ln>
                  </pic:spPr>
                </pic:pic>
              </a:graphicData>
            </a:graphic>
          </wp:inline>
        </w:drawing>
      </w:r>
    </w:p>
    <w:p w:rsidR="00096A4A" w:rsidRDefault="00096A4A" w:rsidP="00096A4A">
      <w:r>
        <w:t>In subjects who already had M2010 MS at baseline, the risk of converting to M2005 MS over two years was very high – 97% in the placebo group – confirming the notion that the new M2010 criteria have high specificity for MS and merely enable earlier diagnosis. Active treatment of M2010-positive patients reduced conversion to M2005 MS over two years, but a clear majority of these patients (79%) converted anyway. From one perspective, it appears disappointing that only 18% of these subjects (97%-79%) managed to avoid M2005 MS through active treatment, but from another perspective they were “converting” to a disease that they already had, and were merely crossing a subtle diagnostic threshold from one set of diagnostic criteria to another. The HR in this subgroup was favourable, at 0.54, with clear statistical significance (95%CI 0.37; 0.78. p=0.001).</w:t>
      </w:r>
    </w:p>
    <w:p w:rsidR="00096A4A" w:rsidRDefault="00096A4A" w:rsidP="00096A4A">
      <w:r>
        <w:t>For the main secondary endpoint of CDMS, broadly similar results were obtained, though this endpoint was reached less commonly and the analysis had less statistical power</w:t>
      </w:r>
      <w:r w:rsidR="00E65DE3">
        <w:t xml:space="preserve"> (Table 39</w:t>
      </w:r>
      <w:r>
        <w:t xml:space="preserve">). The two year risk of CDMS in placebo recipients was 38% overall, with a somewhat lower risk (32%) in M2010-negative subjects and a higher risk (46%) in M2010-positive subjects. Active treatment with </w:t>
      </w:r>
      <w:proofErr w:type="spellStart"/>
      <w:r>
        <w:t>Rebif</w:t>
      </w:r>
      <w:proofErr w:type="spellEnd"/>
      <w:r>
        <w:t xml:space="preserve"> 44 µg TIW significantly reduced the risk of CDMS in both M2010-negative and M2010-positive subjects, even though the study was not originally powered for such an analysis. In the M2010-negative subgroup, conversion to CDMS was reduced to 19% with active treatment, consistent with an attributable reduction of 13% and a HR of 0.53 (95%CI 0.30; 0.93, p&lt;0.028). In the higher risk M2010-positive subgroup, conversion was reduced to 24%, consistent with an attributable reduction of 22% and a HR of 0.44 (95%CI 0.23; 0.83, p=0.011).</w:t>
      </w:r>
    </w:p>
    <w:p w:rsidR="00096A4A" w:rsidRPr="009975DF" w:rsidRDefault="00E65DE3" w:rsidP="00BB2A74">
      <w:pPr>
        <w:pStyle w:val="TableTitle"/>
        <w:rPr>
          <w:vertAlign w:val="superscript"/>
          <w:lang w:val="en-GB"/>
        </w:rPr>
      </w:pPr>
      <w:r>
        <w:t>Table 39</w:t>
      </w:r>
      <w:r w:rsidR="00096A4A">
        <w:t>:</w:t>
      </w:r>
      <w:r w:rsidR="00096A4A" w:rsidRPr="004C5C28">
        <w:t xml:space="preserve"> </w:t>
      </w:r>
      <w:r w:rsidR="00096A4A">
        <w:t xml:space="preserve">Analysis of the time to conversion to CDMS by McDonald 2010 MS status at </w:t>
      </w:r>
      <w:proofErr w:type="spellStart"/>
      <w:r w:rsidR="00096A4A">
        <w:t>baseline.</w:t>
      </w:r>
      <w:r w:rsidR="00096A4A">
        <w:rPr>
          <w:vertAlign w:val="superscript"/>
        </w:rPr>
        <w:t>a</w:t>
      </w:r>
      <w:proofErr w:type="spellEnd"/>
    </w:p>
    <w:p w:rsidR="00096A4A" w:rsidRDefault="00B90934" w:rsidP="00BB2A74">
      <w:r>
        <w:rPr>
          <w:noProof/>
          <w:lang w:eastAsia="en-AU"/>
        </w:rPr>
        <w:drawing>
          <wp:inline distT="0" distB="0" distL="0" distR="0">
            <wp:extent cx="4387850" cy="2238375"/>
            <wp:effectExtent l="19050" t="0" r="0" b="0"/>
            <wp:docPr id="44" name="Picture 44" descr="Table 39: Analysis of the time to conversion to CDMS by McDonald 2010 MS status at baseli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able 39: Analysis of the time to conversion to CDMS by McDonald 2010 MS status at baseline.a"/>
                    <pic:cNvPicPr>
                      <a:picLocks noChangeAspect="1" noChangeArrowheads="1"/>
                    </pic:cNvPicPr>
                  </pic:nvPicPr>
                  <pic:blipFill>
                    <a:blip r:embed="rId57" cstate="print"/>
                    <a:srcRect/>
                    <a:stretch>
                      <a:fillRect/>
                    </a:stretch>
                  </pic:blipFill>
                  <pic:spPr bwMode="auto">
                    <a:xfrm>
                      <a:off x="0" y="0"/>
                      <a:ext cx="4387850" cy="2238375"/>
                    </a:xfrm>
                    <a:prstGeom prst="rect">
                      <a:avLst/>
                    </a:prstGeom>
                    <a:noFill/>
                    <a:ln w="9525">
                      <a:noFill/>
                      <a:miter lim="800000"/>
                      <a:headEnd/>
                      <a:tailEnd/>
                    </a:ln>
                  </pic:spPr>
                </pic:pic>
              </a:graphicData>
            </a:graphic>
          </wp:inline>
        </w:drawing>
      </w:r>
    </w:p>
    <w:p w:rsidR="00096A4A" w:rsidRDefault="00096A4A" w:rsidP="00096A4A">
      <w:r w:rsidRPr="009560A1">
        <w:lastRenderedPageBreak/>
        <w:t>As part of their response to this question, the sponsor included a poster presented at the 5th Joint Triennial Congress of the European and Americas Committees for Treatment and Research in Multiple Sclerosis (ECTRIMS/ACTRIMS)</w:t>
      </w:r>
      <w:r>
        <w:t xml:space="preserve"> in 2011</w:t>
      </w:r>
      <w:r w:rsidRPr="009560A1">
        <w:t xml:space="preserve">; this poster </w:t>
      </w:r>
      <w:r w:rsidR="00E65DE3">
        <w:t>was entitled “</w:t>
      </w:r>
      <w:r w:rsidR="00E65DE3" w:rsidRPr="00C04AB7">
        <w:t xml:space="preserve">Efficacy of subcutaneous interferon-beta-1a in patients with a first clinical </w:t>
      </w:r>
      <w:proofErr w:type="spellStart"/>
      <w:r w:rsidR="00E65DE3" w:rsidRPr="00C04AB7">
        <w:t>demyelinating</w:t>
      </w:r>
      <w:proofErr w:type="spellEnd"/>
      <w:r w:rsidR="00E65DE3" w:rsidRPr="00C04AB7">
        <w:t xml:space="preserve"> event: the </w:t>
      </w:r>
      <w:proofErr w:type="spellStart"/>
      <w:r w:rsidR="00E65DE3" w:rsidRPr="00C04AB7">
        <w:t>REbif</w:t>
      </w:r>
      <w:proofErr w:type="spellEnd"/>
      <w:r w:rsidR="00E65DE3" w:rsidRPr="00C04AB7">
        <w:t xml:space="preserve"> </w:t>
      </w:r>
      <w:proofErr w:type="spellStart"/>
      <w:r w:rsidR="00E65DE3" w:rsidRPr="00C04AB7">
        <w:t>FLEXible</w:t>
      </w:r>
      <w:proofErr w:type="spellEnd"/>
      <w:r w:rsidR="00E65DE3" w:rsidRPr="00C04AB7">
        <w:t xml:space="preserve"> dosing in early multiple sclerosis (REFLEX) study – outcomes in patients stratified by the 2010 McDonald criteria</w:t>
      </w:r>
      <w:r w:rsidR="00E65DE3">
        <w:t xml:space="preserve">” </w:t>
      </w:r>
      <w:r w:rsidRPr="009560A1">
        <w:t>essentially presented the same analysis requested in the first round evaluation, though the analysis was performed independently of the evaluation process.</w:t>
      </w:r>
      <w:r w:rsidR="005D2CEA">
        <w:t xml:space="preserve"> Figures </w:t>
      </w:r>
      <w:r>
        <w:t>from that poster are reproduced below</w:t>
      </w:r>
      <w:r w:rsidRPr="009560A1">
        <w:t xml:space="preserve"> and illustrate that both M2010-negative and M2010-negative patients in the REFLEX study showed a significant benefit with active treatment, though the absolute risk of progression was higher, as expected, in M2010-positive patients.</w:t>
      </w:r>
    </w:p>
    <w:p w:rsidR="00096A4A" w:rsidRDefault="00096A4A" w:rsidP="00096A4A">
      <w:pPr>
        <w:pStyle w:val="FigureTitle"/>
        <w:rPr>
          <w:lang w:val="en-GB"/>
        </w:rPr>
      </w:pPr>
      <w:r>
        <w:t xml:space="preserve">Figure </w:t>
      </w:r>
      <w:r w:rsidR="00E65DE3">
        <w:t>4</w:t>
      </w:r>
      <w:r>
        <w:t>:</w:t>
      </w:r>
      <w:r w:rsidRPr="004C5C28">
        <w:t xml:space="preserve"> </w:t>
      </w:r>
      <w:r>
        <w:t>Conversion to McDonald 2005 MS by McDonald 2010 MS criteria status at baseline.</w:t>
      </w:r>
    </w:p>
    <w:p w:rsidR="00096A4A" w:rsidRPr="009560A1" w:rsidRDefault="00B90934" w:rsidP="00BB2A74">
      <w:r>
        <w:rPr>
          <w:noProof/>
          <w:lang w:eastAsia="en-AU"/>
        </w:rPr>
        <w:drawing>
          <wp:inline distT="0" distB="0" distL="0" distR="0">
            <wp:extent cx="4149090" cy="3261995"/>
            <wp:effectExtent l="19050" t="0" r="3810" b="0"/>
            <wp:docPr id="45" name="Picture 45" descr="Figure 4: Conversion to McDonald 2005 MS by McDonald 2010 MS criteria status at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igure 4: Conversion to McDonald 2005 MS by McDonald 2010 MS criteria status at baseline."/>
                    <pic:cNvPicPr>
                      <a:picLocks noChangeAspect="1" noChangeArrowheads="1"/>
                    </pic:cNvPicPr>
                  </pic:nvPicPr>
                  <pic:blipFill>
                    <a:blip r:embed="rId58" cstate="print"/>
                    <a:srcRect/>
                    <a:stretch>
                      <a:fillRect/>
                    </a:stretch>
                  </pic:blipFill>
                  <pic:spPr bwMode="auto">
                    <a:xfrm>
                      <a:off x="0" y="0"/>
                      <a:ext cx="4149090" cy="3261995"/>
                    </a:xfrm>
                    <a:prstGeom prst="rect">
                      <a:avLst/>
                    </a:prstGeom>
                    <a:noFill/>
                    <a:ln w="9525">
                      <a:noFill/>
                      <a:miter lim="800000"/>
                      <a:headEnd/>
                      <a:tailEnd/>
                    </a:ln>
                  </pic:spPr>
                </pic:pic>
              </a:graphicData>
            </a:graphic>
          </wp:inline>
        </w:drawing>
      </w:r>
    </w:p>
    <w:p w:rsidR="00096A4A" w:rsidRDefault="00096A4A" w:rsidP="00096A4A">
      <w:pPr>
        <w:pStyle w:val="FigureTitle"/>
        <w:rPr>
          <w:lang w:val="en-GB"/>
        </w:rPr>
      </w:pPr>
      <w:r>
        <w:t xml:space="preserve">Figure </w:t>
      </w:r>
      <w:r w:rsidR="00E65DE3">
        <w:t>5</w:t>
      </w:r>
      <w:r>
        <w:t>:</w:t>
      </w:r>
      <w:r w:rsidRPr="004C5C28">
        <w:t xml:space="preserve"> </w:t>
      </w:r>
      <w:r>
        <w:t xml:space="preserve">Time to McDonald 2005 MS by McDonald 2010 MS status at baseline: Kaplan-Meier cumulative incidence </w:t>
      </w:r>
      <w:proofErr w:type="spellStart"/>
      <w:r>
        <w:t>curves.</w:t>
      </w:r>
      <w:r w:rsidRPr="004462E2">
        <w:rPr>
          <w:vertAlign w:val="superscript"/>
        </w:rPr>
        <w:t>a</w:t>
      </w:r>
      <w:proofErr w:type="spellEnd"/>
    </w:p>
    <w:p w:rsidR="00096A4A" w:rsidRPr="009560A1" w:rsidRDefault="00B90934" w:rsidP="00BB2A74">
      <w:r>
        <w:rPr>
          <w:noProof/>
          <w:lang w:eastAsia="en-AU"/>
        </w:rPr>
        <w:drawing>
          <wp:inline distT="0" distB="0" distL="0" distR="0">
            <wp:extent cx="3992245" cy="2593340"/>
            <wp:effectExtent l="19050" t="0" r="8255" b="0"/>
            <wp:docPr id="46" name="Picture 46" descr="Figure 5: Time to McDonald 2005 MS by McDonald 2010 MS status at baseline: Kaplan-Meier cumulative incidence curv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igure 5: Time to McDonald 2005 MS by McDonald 2010 MS status at baseline: Kaplan-Meier cumulative incidence curves.a"/>
                    <pic:cNvPicPr>
                      <a:picLocks noChangeAspect="1" noChangeArrowheads="1"/>
                    </pic:cNvPicPr>
                  </pic:nvPicPr>
                  <pic:blipFill>
                    <a:blip r:embed="rId59" cstate="print"/>
                    <a:srcRect/>
                    <a:stretch>
                      <a:fillRect/>
                    </a:stretch>
                  </pic:blipFill>
                  <pic:spPr bwMode="auto">
                    <a:xfrm>
                      <a:off x="0" y="0"/>
                      <a:ext cx="3992245" cy="2593340"/>
                    </a:xfrm>
                    <a:prstGeom prst="rect">
                      <a:avLst/>
                    </a:prstGeom>
                    <a:noFill/>
                    <a:ln w="9525">
                      <a:noFill/>
                      <a:miter lim="800000"/>
                      <a:headEnd/>
                      <a:tailEnd/>
                    </a:ln>
                  </pic:spPr>
                </pic:pic>
              </a:graphicData>
            </a:graphic>
          </wp:inline>
        </w:drawing>
      </w:r>
    </w:p>
    <w:p w:rsidR="00096A4A" w:rsidRDefault="00096A4A" w:rsidP="00096A4A">
      <w:pPr>
        <w:pStyle w:val="FigureTitle"/>
      </w:pPr>
      <w:r>
        <w:lastRenderedPageBreak/>
        <w:t xml:space="preserve">Figure </w:t>
      </w:r>
      <w:r w:rsidR="00E65DE3">
        <w:t>6</w:t>
      </w:r>
      <w:r>
        <w:t>:</w:t>
      </w:r>
      <w:r w:rsidRPr="004C5C28">
        <w:t xml:space="preserve"> </w:t>
      </w:r>
      <w:r>
        <w:t>Conversion to CDMS by McDonald 2010 MS criteria status at baseline.</w:t>
      </w:r>
    </w:p>
    <w:p w:rsidR="00880857" w:rsidRDefault="00B90934" w:rsidP="00BB2A74">
      <w:pPr>
        <w:rPr>
          <w:lang w:val="en-GB"/>
        </w:rPr>
      </w:pPr>
      <w:r>
        <w:rPr>
          <w:noProof/>
          <w:lang w:eastAsia="en-AU"/>
        </w:rPr>
        <w:drawing>
          <wp:inline distT="0" distB="0" distL="0" distR="0">
            <wp:extent cx="4353560" cy="5466080"/>
            <wp:effectExtent l="19050" t="0" r="8890" b="0"/>
            <wp:docPr id="47" name="Picture 47" descr="Figure 6: Conversion to CDMS by McDonald 2010 MS criteria status at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igure 6: Conversion to CDMS by McDonald 2010 MS criteria status at baseline"/>
                    <pic:cNvPicPr>
                      <a:picLocks noChangeAspect="1" noChangeArrowheads="1"/>
                    </pic:cNvPicPr>
                  </pic:nvPicPr>
                  <pic:blipFill>
                    <a:blip r:embed="rId60" cstate="print"/>
                    <a:srcRect/>
                    <a:stretch>
                      <a:fillRect/>
                    </a:stretch>
                  </pic:blipFill>
                  <pic:spPr bwMode="auto">
                    <a:xfrm>
                      <a:off x="0" y="0"/>
                      <a:ext cx="4353560" cy="5466080"/>
                    </a:xfrm>
                    <a:prstGeom prst="rect">
                      <a:avLst/>
                    </a:prstGeom>
                    <a:noFill/>
                    <a:ln w="9525">
                      <a:noFill/>
                      <a:miter lim="800000"/>
                      <a:headEnd/>
                      <a:tailEnd/>
                    </a:ln>
                  </pic:spPr>
                </pic:pic>
              </a:graphicData>
            </a:graphic>
          </wp:inline>
        </w:drawing>
      </w:r>
    </w:p>
    <w:p w:rsidR="00096A4A" w:rsidRPr="00767A70" w:rsidRDefault="00096A4A" w:rsidP="00096A4A">
      <w:pPr>
        <w:pStyle w:val="FigureTitle"/>
        <w:rPr>
          <w:vertAlign w:val="superscript"/>
          <w:lang w:val="en-GB"/>
        </w:rPr>
      </w:pPr>
      <w:r>
        <w:t xml:space="preserve">Figure </w:t>
      </w:r>
      <w:r w:rsidR="00E65DE3">
        <w:t>7</w:t>
      </w:r>
      <w:r>
        <w:t>:</w:t>
      </w:r>
      <w:r w:rsidRPr="004C5C28">
        <w:t xml:space="preserve"> </w:t>
      </w:r>
      <w:r>
        <w:t xml:space="preserve">Time to CDMS by McDonald 2010 MS status at baseline: Kaplan-Meier cumulative incidence </w:t>
      </w:r>
      <w:proofErr w:type="spellStart"/>
      <w:r>
        <w:t>curves.</w:t>
      </w:r>
      <w:r>
        <w:rPr>
          <w:vertAlign w:val="superscript"/>
        </w:rPr>
        <w:t>a</w:t>
      </w:r>
      <w:proofErr w:type="spellEnd"/>
    </w:p>
    <w:p w:rsidR="00096A4A" w:rsidRPr="009560A1" w:rsidRDefault="00B90934" w:rsidP="00BB2A74">
      <w:r>
        <w:rPr>
          <w:noProof/>
          <w:lang w:eastAsia="en-AU"/>
        </w:rPr>
        <w:drawing>
          <wp:inline distT="0" distB="0" distL="0" distR="0">
            <wp:extent cx="3650615" cy="2538730"/>
            <wp:effectExtent l="19050" t="0" r="6985" b="0"/>
            <wp:docPr id="48" name="Picture 48" descr="Figure 7: Time to CDMS by McDonald 2010 MS status at baseline: Kaplan-Meier cumulative incidence curv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igure 7: Time to CDMS by McDonald 2010 MS status at baseline: Kaplan-Meier cumulative incidence curves.a"/>
                    <pic:cNvPicPr>
                      <a:picLocks noChangeAspect="1" noChangeArrowheads="1"/>
                    </pic:cNvPicPr>
                  </pic:nvPicPr>
                  <pic:blipFill>
                    <a:blip r:embed="rId61" cstate="print"/>
                    <a:srcRect/>
                    <a:stretch>
                      <a:fillRect/>
                    </a:stretch>
                  </pic:blipFill>
                  <pic:spPr bwMode="auto">
                    <a:xfrm>
                      <a:off x="0" y="0"/>
                      <a:ext cx="3650615" cy="2538730"/>
                    </a:xfrm>
                    <a:prstGeom prst="rect">
                      <a:avLst/>
                    </a:prstGeom>
                    <a:noFill/>
                    <a:ln w="9525">
                      <a:noFill/>
                      <a:miter lim="800000"/>
                      <a:headEnd/>
                      <a:tailEnd/>
                    </a:ln>
                  </pic:spPr>
                </pic:pic>
              </a:graphicData>
            </a:graphic>
          </wp:inline>
        </w:drawing>
      </w:r>
    </w:p>
    <w:p w:rsidR="00096A4A" w:rsidRDefault="00096A4A" w:rsidP="00096A4A">
      <w:r>
        <w:lastRenderedPageBreak/>
        <w:t xml:space="preserve">Overall, the sponsor’s post hoc analysis is reassuring. It confirms that the purported benefits in CIS patients can be achieved in subjects who are M2010-negative or M2010-positive, and that the proposed CIS indication identifies a group of subjects who can benefit from </w:t>
      </w:r>
      <w:proofErr w:type="spellStart"/>
      <w:r>
        <w:t>Rebif</w:t>
      </w:r>
      <w:proofErr w:type="spellEnd"/>
      <w:r>
        <w:t>, regardless of which MS criteria are applied in defining CIS.</w:t>
      </w:r>
    </w:p>
    <w:p w:rsidR="00096A4A" w:rsidRDefault="00096A4A" w:rsidP="00096A4A">
      <w:r>
        <w:t xml:space="preserve">The results must be interpreted with one important caveat: subjects in the REFLEX study were required to have </w:t>
      </w:r>
      <w:r w:rsidRPr="00CB141A">
        <w:rPr>
          <w:i/>
        </w:rPr>
        <w:t>at least two</w:t>
      </w:r>
      <w:r>
        <w:t xml:space="preserve"> cerebral MRI lesions at baseline, and were therefore at higher risk than CIS subjects with a lighter MRI lesion load. The M2010-negative patients in the study were not, therefore, representative of the broader M2010-negative CIS population encountered in clinical practice, some of whom would be expected to have only one or no cerebral MRI lesions. There is still no evidence that these single lesion or zero lesion CIS subjects can obtain benefit from </w:t>
      </w:r>
      <w:proofErr w:type="spellStart"/>
      <w:r>
        <w:t>Rebif</w:t>
      </w:r>
      <w:proofErr w:type="spellEnd"/>
      <w:r>
        <w:t xml:space="preserve">. Thus, </w:t>
      </w:r>
      <w:proofErr w:type="spellStart"/>
      <w:r>
        <w:t>Rebif</w:t>
      </w:r>
      <w:proofErr w:type="spellEnd"/>
      <w:r>
        <w:t xml:space="preserve"> is indicated for CIS subjects at high risk of conversion to MS, but not in subjects at low risk.</w:t>
      </w:r>
    </w:p>
    <w:p w:rsidR="00096A4A" w:rsidRDefault="00096A4A" w:rsidP="00096A4A">
      <w:r>
        <w:t>The first round evaluation pointed out that the definition of high risk MS, in particular the requirement for at least two cerebral lesions, needs to be included in the PI. This new data does not change the need for such a definition.</w:t>
      </w:r>
    </w:p>
    <w:p w:rsidR="00096A4A" w:rsidRDefault="00096A4A" w:rsidP="00096A4A">
      <w:pPr>
        <w:pStyle w:val="Heading3"/>
      </w:pPr>
      <w:bookmarkStart w:id="184" w:name="_Ref347406315"/>
      <w:bookmarkStart w:id="185" w:name="_Toc348084010"/>
      <w:bookmarkStart w:id="186" w:name="_Toc373928657"/>
      <w:r>
        <w:t xml:space="preserve">Sponsor’s </w:t>
      </w:r>
      <w:r w:rsidR="00BB2A74">
        <w:t>r</w:t>
      </w:r>
      <w:r>
        <w:t xml:space="preserve">esponse to </w:t>
      </w:r>
      <w:r w:rsidR="00BB2A74">
        <w:t>q</w:t>
      </w:r>
      <w:r>
        <w:t>uestion 2</w:t>
      </w:r>
      <w:bookmarkEnd w:id="184"/>
      <w:bookmarkEnd w:id="185"/>
      <w:bookmarkEnd w:id="186"/>
    </w:p>
    <w:p w:rsidR="00096A4A" w:rsidRDefault="00096A4A" w:rsidP="00096A4A">
      <w:r>
        <w:t xml:space="preserve">In the initial submission, it was somewhat unclear when spinal MRIs were performed. The sponsor has now indicated that spinal MRI scans were </w:t>
      </w:r>
      <w:r w:rsidRPr="00E34E28">
        <w:rPr>
          <w:i/>
        </w:rPr>
        <w:t>not</w:t>
      </w:r>
      <w:r>
        <w:t xml:space="preserve"> performed routinely in all subjects at baseline, and </w:t>
      </w:r>
      <w:r w:rsidRPr="00E34E28">
        <w:rPr>
          <w:i/>
        </w:rPr>
        <w:t>not</w:t>
      </w:r>
      <w:r>
        <w:t xml:space="preserve"> performed routinely in monitoring for conversion to M2005 MS. Instead, subjects with symptoms suggestive of spinal cord disease (that is, </w:t>
      </w:r>
      <w:proofErr w:type="spellStart"/>
      <w:r>
        <w:t>paraparesis</w:t>
      </w:r>
      <w:proofErr w:type="spellEnd"/>
      <w:r>
        <w:t xml:space="preserve">, a transverse sensory level, or bladder dysfunction) received an MRI at baseline to exclude alternative diagnoses and subjects developing such symptoms during the study were scanned as needed. </w:t>
      </w:r>
    </w:p>
    <w:p w:rsidR="00096A4A" w:rsidRDefault="00096A4A" w:rsidP="00096A4A">
      <w:r>
        <w:t>This suggests that a small number of study patients may have had asymptomatic spinal cord lesions that were missed, but this is very unlikely to have significantly modified the study’s results. Firstly, the spinal cord is a region in which plaques are highly likely to become symptomatic. Secondly, the same MRI approach was used in the active and placebo groups, with no likely source of bias. Thirdly, it is common clinical practice amongst neurologists to perform cerebral MRIs to monitor disease activity, and spinal MRIs only when prompted by symptoms, so the use of MRIs in the REFLEX study is fairly typical of the expected use of MRI in the target population of CIS subjects. This indicates that the results of the REFLEX study are likely to translate well into clinical practice.</w:t>
      </w:r>
    </w:p>
    <w:p w:rsidR="00C618F7" w:rsidRDefault="00C618F7" w:rsidP="00C618F7">
      <w:pPr>
        <w:pStyle w:val="Heading2"/>
      </w:pPr>
      <w:bookmarkStart w:id="187" w:name="_Toc373928658"/>
      <w:r>
        <w:t>Second round benefit-risk assessment</w:t>
      </w:r>
      <w:bookmarkEnd w:id="187"/>
    </w:p>
    <w:p w:rsidR="00FC1DB7" w:rsidRPr="005D0EE0" w:rsidRDefault="00FC1DB7" w:rsidP="00FC1DB7">
      <w:r w:rsidRPr="005D0EE0">
        <w:t xml:space="preserve">The second round benefit risk assessment is essentially unchanged compared to the first round assessment. The new data provides extra reassurance in that benefit has been demonstrated even in those subjects with “true CIS”, in whom a diagnosis of MS cannot be made with McDonald 2010 criteria. </w:t>
      </w:r>
      <w:r>
        <w:t>HRs</w:t>
      </w:r>
      <w:r w:rsidRPr="005D0EE0">
        <w:t xml:space="preserve"> in the M2010-positive and M2010-negative subgroups </w:t>
      </w:r>
      <w:proofErr w:type="gramStart"/>
      <w:r w:rsidRPr="005D0EE0">
        <w:t>were</w:t>
      </w:r>
      <w:proofErr w:type="gramEnd"/>
      <w:r w:rsidRPr="005D0EE0">
        <w:t xml:space="preserve"> broadly similar.</w:t>
      </w:r>
    </w:p>
    <w:p w:rsidR="00C618F7" w:rsidRDefault="00C618F7" w:rsidP="00C618F7">
      <w:pPr>
        <w:pStyle w:val="Heading2"/>
      </w:pPr>
      <w:bookmarkStart w:id="188" w:name="_Toc373928659"/>
      <w:r>
        <w:t>Second round recommendation regarding authorisation</w:t>
      </w:r>
      <w:bookmarkEnd w:id="188"/>
    </w:p>
    <w:p w:rsidR="00FC1DB7" w:rsidRDefault="00FC1DB7" w:rsidP="00FC1DB7">
      <w:r>
        <w:t xml:space="preserve">Following the recommended revisions to the proposed PI, the sponsor’s application to register </w:t>
      </w:r>
      <w:proofErr w:type="spellStart"/>
      <w:r>
        <w:t>Rebif</w:t>
      </w:r>
      <w:proofErr w:type="spellEnd"/>
      <w:r>
        <w:t xml:space="preserve"> 44 µg </w:t>
      </w:r>
      <w:proofErr w:type="spellStart"/>
      <w:r>
        <w:t>tiw</w:t>
      </w:r>
      <w:proofErr w:type="spellEnd"/>
      <w:r>
        <w:t xml:space="preserve"> for treatment of subjects with CIS and at least two cerebral MRI lesions should be approved.</w:t>
      </w:r>
    </w:p>
    <w:p w:rsidR="00C618F7" w:rsidRDefault="00C618F7" w:rsidP="00C618F7">
      <w:pPr>
        <w:pStyle w:val="Heading2"/>
      </w:pPr>
      <w:bookmarkStart w:id="189" w:name="_Toc373928660"/>
      <w:r>
        <w:lastRenderedPageBreak/>
        <w:t>References</w:t>
      </w:r>
      <w:bookmarkEnd w:id="189"/>
    </w:p>
    <w:p w:rsidR="00EB19B9" w:rsidRDefault="00EB19B9" w:rsidP="00EB19B9">
      <w:pPr>
        <w:pStyle w:val="Heading3"/>
      </w:pPr>
      <w:bookmarkStart w:id="190" w:name="_Toc348084015"/>
      <w:bookmarkStart w:id="191" w:name="_Toc373928661"/>
      <w:r>
        <w:t>References supplied by the sponsor</w:t>
      </w:r>
      <w:bookmarkEnd w:id="190"/>
      <w:bookmarkEnd w:id="191"/>
    </w:p>
    <w:p w:rsidR="00EB19B9" w:rsidRPr="00684AC9" w:rsidRDefault="00EB19B9" w:rsidP="00EB19B9">
      <w:pPr>
        <w:pStyle w:val="Numberbullet0"/>
      </w:pPr>
      <w:proofErr w:type="spellStart"/>
      <w:r w:rsidRPr="00684AC9">
        <w:t>Panitch</w:t>
      </w:r>
      <w:proofErr w:type="spellEnd"/>
      <w:r w:rsidRPr="00684AC9">
        <w:t xml:space="preserve"> H, </w:t>
      </w:r>
      <w:proofErr w:type="spellStart"/>
      <w:r w:rsidRPr="00684AC9">
        <w:t>Goodin</w:t>
      </w:r>
      <w:proofErr w:type="spellEnd"/>
      <w:r w:rsidRPr="00684AC9">
        <w:t xml:space="preserve"> DS, Francis G, Chang P, Coyle PK, O'Connor P. Randomized, comparative study of interferon β-1a treatment regimens in MS. The EVIDENCE trial. Ne</w:t>
      </w:r>
      <w:r w:rsidR="00BB2A74">
        <w:t>urology 2002; 59(10):1496-1506.</w:t>
      </w:r>
    </w:p>
    <w:p w:rsidR="00EB19B9" w:rsidRPr="00684AC9" w:rsidRDefault="00EB19B9" w:rsidP="00EB19B9">
      <w:pPr>
        <w:pStyle w:val="Numberbullet0"/>
      </w:pPr>
      <w:r w:rsidRPr="00684AC9">
        <w:t xml:space="preserve">Freedman MS, PRISMS Study Group. PRISMS 4-year results: Evidence of clinical dose effect of interferon beta-1a in relapsing MS. Neurology 54[(2 of 2)], 2351. 2000. Ref Type: Abstract </w:t>
      </w:r>
    </w:p>
    <w:p w:rsidR="00EB19B9" w:rsidRPr="00684AC9" w:rsidRDefault="00EB19B9" w:rsidP="00EB19B9">
      <w:pPr>
        <w:pStyle w:val="Numberbullet0"/>
      </w:pPr>
      <w:r w:rsidRPr="00684AC9">
        <w:t xml:space="preserve">Li DKB, Zhao GJ, </w:t>
      </w:r>
      <w:proofErr w:type="spellStart"/>
      <w:r w:rsidRPr="00684AC9">
        <w:t>Paty</w:t>
      </w:r>
      <w:proofErr w:type="spellEnd"/>
      <w:r w:rsidRPr="00684AC9">
        <w:t xml:space="preserve"> DW, University of British Columbia MS/MRI Analysis Research Group, SPECTRIMS Study Group. Randomized controlled trial of interferon-beta-1a in secondary progressive MS: MRI results. Neurolog</w:t>
      </w:r>
      <w:r w:rsidR="00BB2A74">
        <w:t>y 2001; 56(11):1505-1513.</w:t>
      </w:r>
    </w:p>
    <w:p w:rsidR="00EB19B9" w:rsidRPr="00684AC9" w:rsidRDefault="00EB19B9" w:rsidP="00EB19B9">
      <w:pPr>
        <w:pStyle w:val="Numberbullet0"/>
      </w:pPr>
      <w:r w:rsidRPr="00684AC9">
        <w:t xml:space="preserve">SPECTRIMS Study Group, Hughes RAC. Randomized controlled trial of interferon-beta-1a in secondary progressive MS: Clinical results. Neurology 2001; 56(11):1496-1504. </w:t>
      </w:r>
    </w:p>
    <w:p w:rsidR="00EB19B9" w:rsidRPr="00684AC9" w:rsidRDefault="00EB19B9" w:rsidP="00EB19B9">
      <w:pPr>
        <w:pStyle w:val="Numberbullet0"/>
      </w:pPr>
      <w:r w:rsidRPr="00684AC9">
        <w:t>PRISMS Study Group, University of British Columbia MS/MRI Analysis Group. PRISMS-4: Long-term efficacy of interferon-β-1a in relapsing MS. Ne</w:t>
      </w:r>
      <w:r w:rsidR="00BB2A74">
        <w:t>urology 2001; 56(12):1628-1636.</w:t>
      </w:r>
    </w:p>
    <w:p w:rsidR="00EB19B9" w:rsidRPr="00684AC9" w:rsidRDefault="00EB19B9" w:rsidP="00EB19B9">
      <w:pPr>
        <w:pStyle w:val="Numberbullet0"/>
      </w:pPr>
      <w:proofErr w:type="spellStart"/>
      <w:r w:rsidRPr="00684AC9">
        <w:t>Goodin</w:t>
      </w:r>
      <w:proofErr w:type="spellEnd"/>
      <w:r w:rsidRPr="00684AC9">
        <w:t xml:space="preserve"> DS, Frohman EM, </w:t>
      </w:r>
      <w:proofErr w:type="spellStart"/>
      <w:r w:rsidRPr="00684AC9">
        <w:t>Garmany</w:t>
      </w:r>
      <w:proofErr w:type="spellEnd"/>
      <w:r w:rsidRPr="00684AC9">
        <w:t xml:space="preserve"> GP, </w:t>
      </w:r>
      <w:proofErr w:type="spellStart"/>
      <w:r w:rsidRPr="00684AC9">
        <w:t>Halper</w:t>
      </w:r>
      <w:proofErr w:type="spellEnd"/>
      <w:r w:rsidRPr="00684AC9">
        <w:t xml:space="preserve"> J, </w:t>
      </w:r>
      <w:proofErr w:type="spellStart"/>
      <w:r w:rsidRPr="00684AC9">
        <w:t>Likosky</w:t>
      </w:r>
      <w:proofErr w:type="spellEnd"/>
      <w:r w:rsidRPr="00684AC9">
        <w:t xml:space="preserve"> WH, Lublin FD. Disease modifying therapies in multiple sclerosis. Report of the Therapeutics and Technology Assessment Subcommittee of the American Academy of Neurology and the MS Council for Clinical Practice Guidelines.</w:t>
      </w:r>
      <w:r w:rsidR="00BB2A74">
        <w:t xml:space="preserve"> Neurology 2002; 58(2):169-178.</w:t>
      </w:r>
    </w:p>
    <w:p w:rsidR="00EB19B9" w:rsidRPr="00684AC9" w:rsidRDefault="00EB19B9" w:rsidP="00EB19B9">
      <w:pPr>
        <w:pStyle w:val="Numberbullet0"/>
      </w:pPr>
      <w:proofErr w:type="spellStart"/>
      <w:r w:rsidRPr="00684AC9">
        <w:t>Kappos</w:t>
      </w:r>
      <w:proofErr w:type="spellEnd"/>
      <w:r w:rsidRPr="00684AC9">
        <w:t xml:space="preserve"> L, </w:t>
      </w:r>
      <w:proofErr w:type="spellStart"/>
      <w:r w:rsidRPr="00684AC9">
        <w:t>Polman</w:t>
      </w:r>
      <w:proofErr w:type="spellEnd"/>
      <w:r w:rsidRPr="00684AC9">
        <w:t xml:space="preserve"> CH, Freedman MS, </w:t>
      </w:r>
      <w:proofErr w:type="spellStart"/>
      <w:r w:rsidRPr="00684AC9">
        <w:t>Edan</w:t>
      </w:r>
      <w:proofErr w:type="spellEnd"/>
      <w:r w:rsidRPr="00684AC9">
        <w:t xml:space="preserve"> G, </w:t>
      </w:r>
      <w:proofErr w:type="spellStart"/>
      <w:r w:rsidRPr="00684AC9">
        <w:t>Hartung</w:t>
      </w:r>
      <w:proofErr w:type="spellEnd"/>
      <w:r w:rsidRPr="00684AC9">
        <w:t xml:space="preserve"> HP, Miller DH et al. Treatment with interferon beta-1b delays conversion to clinically definite and McDonald MS in patients with clinically isolated syndromes. N</w:t>
      </w:r>
      <w:r w:rsidR="00BB2A74">
        <w:t>eurology 2006; 67(7):1242-1249.</w:t>
      </w:r>
    </w:p>
    <w:p w:rsidR="00EB19B9" w:rsidRPr="00684AC9" w:rsidRDefault="00EB19B9" w:rsidP="00EB19B9">
      <w:pPr>
        <w:pStyle w:val="Numberbullet0"/>
      </w:pPr>
      <w:proofErr w:type="spellStart"/>
      <w:r w:rsidRPr="00684AC9">
        <w:t>Comi</w:t>
      </w:r>
      <w:proofErr w:type="spellEnd"/>
      <w:r w:rsidRPr="00684AC9">
        <w:t xml:space="preserve"> G, </w:t>
      </w:r>
      <w:proofErr w:type="spellStart"/>
      <w:r w:rsidRPr="00684AC9">
        <w:t>Filippi</w:t>
      </w:r>
      <w:proofErr w:type="spellEnd"/>
      <w:r w:rsidRPr="00684AC9">
        <w:t xml:space="preserve"> M, </w:t>
      </w:r>
      <w:proofErr w:type="spellStart"/>
      <w:r w:rsidRPr="00684AC9">
        <w:t>Barkhof</w:t>
      </w:r>
      <w:proofErr w:type="spellEnd"/>
      <w:r w:rsidRPr="00684AC9">
        <w:t xml:space="preserve"> F, </w:t>
      </w:r>
      <w:proofErr w:type="spellStart"/>
      <w:r w:rsidRPr="00684AC9">
        <w:t>Durelli</w:t>
      </w:r>
      <w:proofErr w:type="spellEnd"/>
      <w:r w:rsidRPr="00684AC9">
        <w:t xml:space="preserve"> L, </w:t>
      </w:r>
      <w:proofErr w:type="spellStart"/>
      <w:r w:rsidRPr="00684AC9">
        <w:t>Edan</w:t>
      </w:r>
      <w:proofErr w:type="spellEnd"/>
      <w:r w:rsidRPr="00684AC9">
        <w:t xml:space="preserve"> G, </w:t>
      </w:r>
      <w:proofErr w:type="spellStart"/>
      <w:r w:rsidRPr="00684AC9">
        <w:t>Fernández</w:t>
      </w:r>
      <w:proofErr w:type="spellEnd"/>
      <w:r w:rsidRPr="00684AC9">
        <w:t xml:space="preserve"> O. Effect of early interferon treatment on conversion to definite multiple sclerosis: a randomised stu</w:t>
      </w:r>
      <w:r w:rsidR="00BB2A74">
        <w:t>dy. Lancet 2001; 357:1576-1582.</w:t>
      </w:r>
    </w:p>
    <w:p w:rsidR="00EB19B9" w:rsidRPr="00684AC9" w:rsidRDefault="00EB19B9" w:rsidP="00EB19B9">
      <w:pPr>
        <w:pStyle w:val="Numberbullet0"/>
      </w:pPr>
      <w:r w:rsidRPr="00684AC9">
        <w:t xml:space="preserve">Jacobs LD, Beck R, Simon JH, </w:t>
      </w:r>
      <w:proofErr w:type="spellStart"/>
      <w:r w:rsidRPr="00684AC9">
        <w:t>Kinkel</w:t>
      </w:r>
      <w:proofErr w:type="spellEnd"/>
      <w:r w:rsidRPr="00684AC9">
        <w:t xml:space="preserve"> RP, </w:t>
      </w:r>
      <w:proofErr w:type="spellStart"/>
      <w:r w:rsidRPr="00684AC9">
        <w:t>Brownscheidle</w:t>
      </w:r>
      <w:proofErr w:type="spellEnd"/>
      <w:r w:rsidRPr="00684AC9">
        <w:t xml:space="preserve"> CM, Miller A et al. Results of a phase III trial of interferon beta-1a treatment in patients at high risk of developing multiple sclerosis. Neurology 54[June (2 of 2)],</w:t>
      </w:r>
      <w:r w:rsidR="00BB2A74">
        <w:t xml:space="preserve"> 2351. 2000. Ref Type: Abstract</w:t>
      </w:r>
    </w:p>
    <w:p w:rsidR="00EB19B9" w:rsidRPr="00684AC9" w:rsidRDefault="00EB19B9" w:rsidP="00EB19B9">
      <w:pPr>
        <w:pStyle w:val="Numberbullet0"/>
      </w:pPr>
      <w:proofErr w:type="spellStart"/>
      <w:r>
        <w:t>Biogen</w:t>
      </w:r>
      <w:proofErr w:type="spellEnd"/>
      <w:r>
        <w:t xml:space="preserve"> Idec I. </w:t>
      </w:r>
      <w:proofErr w:type="spellStart"/>
      <w:r>
        <w:t>Avonex</w:t>
      </w:r>
      <w:proofErr w:type="spellEnd"/>
      <w:r w:rsidRPr="00684AC9">
        <w:t xml:space="preserve">. </w:t>
      </w:r>
      <w:proofErr w:type="spellStart"/>
      <w:r w:rsidRPr="00684AC9">
        <w:t>Biogen</w:t>
      </w:r>
      <w:proofErr w:type="spellEnd"/>
      <w:r w:rsidRPr="00684AC9">
        <w:t xml:space="preserve"> </w:t>
      </w:r>
      <w:proofErr w:type="gramStart"/>
      <w:r w:rsidR="00BB2A74">
        <w:t>Idec .</w:t>
      </w:r>
      <w:proofErr w:type="gramEnd"/>
      <w:r w:rsidR="00BB2A74">
        <w:t xml:space="preserve"> 2006. Ref Type: Pamphlet</w:t>
      </w:r>
    </w:p>
    <w:p w:rsidR="00EB19B9" w:rsidRPr="00684AC9" w:rsidRDefault="00EB19B9" w:rsidP="00EB19B9">
      <w:pPr>
        <w:pStyle w:val="Numberbullet0"/>
      </w:pPr>
      <w:proofErr w:type="spellStart"/>
      <w:r>
        <w:t>Betaseron</w:t>
      </w:r>
      <w:proofErr w:type="spellEnd"/>
      <w:r w:rsidRPr="00684AC9">
        <w:t xml:space="preserve"> (interferon beta-1b) for sc injection. 2010. Bayer HealthCare Pharmaceuticals. Ref Type: Pamphl</w:t>
      </w:r>
      <w:r w:rsidR="00BB2A74">
        <w:t>et</w:t>
      </w:r>
    </w:p>
    <w:p w:rsidR="00EB19B9" w:rsidRPr="00684AC9" w:rsidRDefault="00EB19B9" w:rsidP="00EB19B9">
      <w:pPr>
        <w:pStyle w:val="Numberbullet0"/>
      </w:pPr>
      <w:proofErr w:type="spellStart"/>
      <w:r w:rsidRPr="00684AC9">
        <w:t>Comi</w:t>
      </w:r>
      <w:proofErr w:type="spellEnd"/>
      <w:r w:rsidRPr="00684AC9">
        <w:t xml:space="preserve"> G, </w:t>
      </w:r>
      <w:proofErr w:type="spellStart"/>
      <w:r w:rsidRPr="00684AC9">
        <w:t>Martinelli</w:t>
      </w:r>
      <w:proofErr w:type="spellEnd"/>
      <w:r w:rsidRPr="00684AC9">
        <w:t xml:space="preserve"> V, </w:t>
      </w:r>
      <w:proofErr w:type="spellStart"/>
      <w:r w:rsidRPr="00684AC9">
        <w:t>Rodegher</w:t>
      </w:r>
      <w:proofErr w:type="spellEnd"/>
      <w:r w:rsidRPr="00684AC9">
        <w:t xml:space="preserve"> M, </w:t>
      </w:r>
      <w:proofErr w:type="spellStart"/>
      <w:r w:rsidRPr="00684AC9">
        <w:t>Moiola</w:t>
      </w:r>
      <w:proofErr w:type="spellEnd"/>
      <w:r w:rsidRPr="00684AC9">
        <w:t xml:space="preserve"> L, </w:t>
      </w:r>
      <w:proofErr w:type="spellStart"/>
      <w:r w:rsidRPr="00684AC9">
        <w:t>Bajenaru</w:t>
      </w:r>
      <w:proofErr w:type="spellEnd"/>
      <w:r w:rsidRPr="00684AC9">
        <w:t xml:space="preserve"> O, </w:t>
      </w:r>
      <w:proofErr w:type="spellStart"/>
      <w:r w:rsidRPr="00684AC9">
        <w:t>Carra</w:t>
      </w:r>
      <w:proofErr w:type="spellEnd"/>
      <w:r w:rsidRPr="00684AC9">
        <w:t xml:space="preserve"> A et al. Effect of </w:t>
      </w:r>
      <w:proofErr w:type="spellStart"/>
      <w:r w:rsidRPr="00684AC9">
        <w:t>glatiramer</w:t>
      </w:r>
      <w:proofErr w:type="spellEnd"/>
      <w:r w:rsidRPr="00684AC9">
        <w:t xml:space="preserve"> acetate on conversion to clinically definite multiple sclerosis in patients with clinically isolated syndrome (</w:t>
      </w:r>
      <w:proofErr w:type="spellStart"/>
      <w:r w:rsidRPr="00684AC9">
        <w:t>PreCISe</w:t>
      </w:r>
      <w:proofErr w:type="spellEnd"/>
      <w:r w:rsidRPr="00684AC9">
        <w:t xml:space="preserve"> study): a randomised, double-blind, placebo-controlled trial. La</w:t>
      </w:r>
      <w:r w:rsidR="00BB2A74">
        <w:t>ncet 2009; 374(9700):1503-1511.</w:t>
      </w:r>
    </w:p>
    <w:p w:rsidR="00EB19B9" w:rsidRDefault="00EB19B9" w:rsidP="00EB19B9">
      <w:pPr>
        <w:pStyle w:val="Numberbullet0"/>
      </w:pPr>
      <w:r w:rsidRPr="00684AC9">
        <w:t>TEVA MP. Package insert: COPAXONE (</w:t>
      </w:r>
      <w:proofErr w:type="spellStart"/>
      <w:r w:rsidRPr="00684AC9">
        <w:t>glairamer</w:t>
      </w:r>
      <w:proofErr w:type="spellEnd"/>
      <w:r w:rsidRPr="00684AC9">
        <w:t xml:space="preserve"> acetate for injecti</w:t>
      </w:r>
      <w:r w:rsidR="00BB2A74">
        <w:t>on). Package Insert 1997</w:t>
      </w:r>
      <w:proofErr w:type="gramStart"/>
      <w:r w:rsidR="00BB2A74">
        <w:t>;15</w:t>
      </w:r>
      <w:proofErr w:type="gramEnd"/>
      <w:r w:rsidR="00BB2A74">
        <w:t>-18.</w:t>
      </w:r>
    </w:p>
    <w:p w:rsidR="00EB19B9" w:rsidRPr="00684AC9" w:rsidRDefault="00EB19B9" w:rsidP="00EB19B9">
      <w:pPr>
        <w:pStyle w:val="Numberbullet0"/>
      </w:pPr>
      <w:proofErr w:type="spellStart"/>
      <w:r w:rsidRPr="00684AC9">
        <w:t>Polman</w:t>
      </w:r>
      <w:proofErr w:type="spellEnd"/>
      <w:r w:rsidRPr="00684AC9">
        <w:t xml:space="preserve"> CH, </w:t>
      </w:r>
      <w:proofErr w:type="spellStart"/>
      <w:r w:rsidRPr="00684AC9">
        <w:t>Reingold</w:t>
      </w:r>
      <w:proofErr w:type="spellEnd"/>
      <w:r w:rsidRPr="00684AC9">
        <w:t xml:space="preserve"> SC, </w:t>
      </w:r>
      <w:proofErr w:type="spellStart"/>
      <w:r w:rsidRPr="00684AC9">
        <w:t>Edan</w:t>
      </w:r>
      <w:proofErr w:type="spellEnd"/>
      <w:r w:rsidRPr="00684AC9">
        <w:t xml:space="preserve"> G, </w:t>
      </w:r>
      <w:proofErr w:type="spellStart"/>
      <w:r w:rsidRPr="00684AC9">
        <w:t>Filippi</w:t>
      </w:r>
      <w:proofErr w:type="spellEnd"/>
      <w:r w:rsidRPr="00684AC9">
        <w:t xml:space="preserve"> M, </w:t>
      </w:r>
      <w:proofErr w:type="spellStart"/>
      <w:r w:rsidRPr="00684AC9">
        <w:t>Hartung</w:t>
      </w:r>
      <w:proofErr w:type="spellEnd"/>
      <w:r w:rsidRPr="00684AC9">
        <w:t xml:space="preserve"> H-P, </w:t>
      </w:r>
      <w:proofErr w:type="spellStart"/>
      <w:r w:rsidRPr="00684AC9">
        <w:t>Kappos</w:t>
      </w:r>
      <w:proofErr w:type="spellEnd"/>
      <w:r w:rsidRPr="00684AC9">
        <w:t xml:space="preserve"> L et al. Diagnostic criteria for multiple sclerosis. 2005 revisions to the "McDonald Criteria</w:t>
      </w:r>
      <w:r w:rsidR="00BB2A74">
        <w:t xml:space="preserve">". Ann </w:t>
      </w:r>
      <w:proofErr w:type="spellStart"/>
      <w:r w:rsidR="00BB2A74">
        <w:t>Neurol</w:t>
      </w:r>
      <w:proofErr w:type="spellEnd"/>
      <w:r w:rsidR="00BB2A74">
        <w:t xml:space="preserve"> 2005; 58:840-846.</w:t>
      </w:r>
    </w:p>
    <w:p w:rsidR="00EB19B9" w:rsidRPr="00684AC9" w:rsidRDefault="00EB19B9" w:rsidP="00EB19B9">
      <w:pPr>
        <w:pStyle w:val="Numberbullet0"/>
      </w:pPr>
      <w:proofErr w:type="spellStart"/>
      <w:r w:rsidRPr="00684AC9">
        <w:t>Uitdehaag</w:t>
      </w:r>
      <w:proofErr w:type="spellEnd"/>
      <w:r w:rsidRPr="00684AC9">
        <w:t xml:space="preserve"> BMJ, </w:t>
      </w:r>
      <w:proofErr w:type="spellStart"/>
      <w:r w:rsidRPr="00684AC9">
        <w:t>Barkhof</w:t>
      </w:r>
      <w:proofErr w:type="spellEnd"/>
      <w:r w:rsidRPr="00684AC9">
        <w:t xml:space="preserve"> F, Chang P, Coyle PK, Jeffery DR, </w:t>
      </w:r>
      <w:proofErr w:type="spellStart"/>
      <w:r w:rsidRPr="00684AC9">
        <w:t>Mikol</w:t>
      </w:r>
      <w:proofErr w:type="spellEnd"/>
      <w:r w:rsidRPr="00684AC9">
        <w:t xml:space="preserve"> DD et al. The changing face of multiple sclerosis clinical trial populations: implications for ongoing and future clinical studies. 60th Annual Meeting of the AAN P0</w:t>
      </w:r>
      <w:r w:rsidR="00BB2A74">
        <w:t>2.155. 2008. Ref Type: Abstract</w:t>
      </w:r>
    </w:p>
    <w:p w:rsidR="00EB19B9" w:rsidRPr="00684AC9" w:rsidRDefault="00EB19B9" w:rsidP="00EB19B9">
      <w:pPr>
        <w:pStyle w:val="Numberbullet0"/>
      </w:pPr>
      <w:proofErr w:type="spellStart"/>
      <w:r w:rsidRPr="00684AC9">
        <w:t>Traboulsee</w:t>
      </w:r>
      <w:proofErr w:type="spellEnd"/>
      <w:r w:rsidRPr="00684AC9">
        <w:t xml:space="preserve"> A. MRI: role in optimising treatment. J </w:t>
      </w:r>
      <w:proofErr w:type="spellStart"/>
      <w:r w:rsidRPr="00684AC9">
        <w:t>Neu</w:t>
      </w:r>
      <w:r w:rsidR="00BB2A74">
        <w:t>rol</w:t>
      </w:r>
      <w:proofErr w:type="spellEnd"/>
      <w:r w:rsidR="00BB2A74">
        <w:t xml:space="preserve"> 2004; 251(</w:t>
      </w:r>
      <w:proofErr w:type="spellStart"/>
      <w:r w:rsidR="00BB2A74">
        <w:t>Suppl</w:t>
      </w:r>
      <w:proofErr w:type="spellEnd"/>
      <w:r w:rsidR="00BB2A74">
        <w:t xml:space="preserve"> 5):v36-v41.</w:t>
      </w:r>
    </w:p>
    <w:p w:rsidR="00EB19B9" w:rsidRPr="00684AC9" w:rsidRDefault="00EB19B9" w:rsidP="00EB19B9">
      <w:pPr>
        <w:pStyle w:val="Numberbullet0"/>
      </w:pPr>
      <w:r w:rsidRPr="00684AC9">
        <w:lastRenderedPageBreak/>
        <w:t xml:space="preserve">The </w:t>
      </w:r>
      <w:proofErr w:type="spellStart"/>
      <w:r w:rsidRPr="00684AC9">
        <w:t>IFNβ</w:t>
      </w:r>
      <w:proofErr w:type="spellEnd"/>
      <w:r w:rsidRPr="00684AC9">
        <w:t xml:space="preserve"> Multiple Sclerosis Study Group. Interferon beta-1b is effective in relapsing-remitting multiple sclerosis. I. Clinical results of a multicenter, randomized, double-blind, placebo-controlled tri</w:t>
      </w:r>
      <w:r w:rsidR="00BB2A74">
        <w:t>al. Neurology 1993; 43:655-661.</w:t>
      </w:r>
    </w:p>
    <w:p w:rsidR="00EB19B9" w:rsidRPr="00684AC9" w:rsidRDefault="00EB19B9" w:rsidP="00EB19B9">
      <w:pPr>
        <w:pStyle w:val="Numberbullet0"/>
      </w:pPr>
      <w:r w:rsidRPr="00684AC9">
        <w:t>PRISMS Study Group. Randomised double-blind placebo-controlled study of interferon β-1a in relapsing/remitting multiple sclerosis. La</w:t>
      </w:r>
      <w:r w:rsidR="00BB2A74">
        <w:t>ncet 1998; 352(9139):1498-1504.</w:t>
      </w:r>
    </w:p>
    <w:p w:rsidR="00EB19B9" w:rsidRPr="00684AC9" w:rsidRDefault="00EB19B9" w:rsidP="00EB19B9">
      <w:pPr>
        <w:pStyle w:val="Numberbullet0"/>
      </w:pPr>
      <w:r w:rsidRPr="00684AC9">
        <w:t>Hughes RAC. "Relapsing" versus "</w:t>
      </w:r>
      <w:proofErr w:type="spellStart"/>
      <w:r w:rsidRPr="00684AC9">
        <w:t>nonrelapsing</w:t>
      </w:r>
      <w:proofErr w:type="spellEnd"/>
      <w:r w:rsidRPr="00684AC9">
        <w:t>" SPMS: Different prognosis and response to interferon therapy in the SPECTRIMS study. Neurology 54[</w:t>
      </w:r>
      <w:proofErr w:type="spellStart"/>
      <w:r w:rsidRPr="00684AC9">
        <w:t>Suppl</w:t>
      </w:r>
      <w:proofErr w:type="spellEnd"/>
      <w:r w:rsidRPr="00684AC9">
        <w:t xml:space="preserve"> 3],</w:t>
      </w:r>
      <w:r w:rsidR="00BB2A74">
        <w:t xml:space="preserve"> A233. 2000. Ref Type: Abstract</w:t>
      </w:r>
    </w:p>
    <w:p w:rsidR="00EB19B9" w:rsidRPr="00684AC9" w:rsidRDefault="00EB19B9" w:rsidP="00EB19B9">
      <w:pPr>
        <w:pStyle w:val="Numberbullet0"/>
      </w:pPr>
      <w:r w:rsidRPr="00684AC9">
        <w:t xml:space="preserve">Frohman EM, </w:t>
      </w:r>
      <w:proofErr w:type="spellStart"/>
      <w:r w:rsidRPr="00684AC9">
        <w:t>Goodin</w:t>
      </w:r>
      <w:proofErr w:type="spellEnd"/>
      <w:r w:rsidRPr="00684AC9">
        <w:t xml:space="preserve"> DS, </w:t>
      </w:r>
      <w:proofErr w:type="spellStart"/>
      <w:r w:rsidRPr="00684AC9">
        <w:t>Calabresi</w:t>
      </w:r>
      <w:proofErr w:type="spellEnd"/>
      <w:r w:rsidRPr="00684AC9">
        <w:t xml:space="preserve"> PA, </w:t>
      </w:r>
      <w:proofErr w:type="spellStart"/>
      <w:r w:rsidRPr="00684AC9">
        <w:t>Corboy</w:t>
      </w:r>
      <w:proofErr w:type="spellEnd"/>
      <w:r w:rsidRPr="00684AC9">
        <w:t xml:space="preserve"> JR, Coyle PK, </w:t>
      </w:r>
      <w:proofErr w:type="spellStart"/>
      <w:r w:rsidRPr="00684AC9">
        <w:t>Filippi</w:t>
      </w:r>
      <w:proofErr w:type="spellEnd"/>
      <w:r w:rsidRPr="00684AC9">
        <w:t xml:space="preserve"> M et al. The utility of MRI in suspected MS: Report of the Therapeutics and Technology Assessment </w:t>
      </w:r>
      <w:proofErr w:type="spellStart"/>
      <w:r w:rsidRPr="00684AC9">
        <w:t>Subcommitee</w:t>
      </w:r>
      <w:proofErr w:type="spellEnd"/>
      <w:r w:rsidRPr="00684AC9">
        <w:t xml:space="preserve"> of the American Academy of Neurolo</w:t>
      </w:r>
      <w:r w:rsidR="00BB2A74">
        <w:t>gy. Neurology 2003; 61:602-611.</w:t>
      </w:r>
    </w:p>
    <w:p w:rsidR="00EB19B9" w:rsidRPr="00684AC9" w:rsidRDefault="00EB19B9" w:rsidP="00EB19B9">
      <w:pPr>
        <w:pStyle w:val="Numberbullet0"/>
      </w:pPr>
      <w:proofErr w:type="spellStart"/>
      <w:r w:rsidRPr="00684AC9">
        <w:t>Korteweg</w:t>
      </w:r>
      <w:proofErr w:type="spellEnd"/>
      <w:r w:rsidRPr="00684AC9">
        <w:t xml:space="preserve"> T, </w:t>
      </w:r>
      <w:proofErr w:type="spellStart"/>
      <w:r w:rsidRPr="00684AC9">
        <w:t>Tintore</w:t>
      </w:r>
      <w:proofErr w:type="spellEnd"/>
      <w:r w:rsidRPr="00684AC9">
        <w:t xml:space="preserve"> M, </w:t>
      </w:r>
      <w:proofErr w:type="spellStart"/>
      <w:r w:rsidRPr="00684AC9">
        <w:t>Uitdehaag</w:t>
      </w:r>
      <w:proofErr w:type="spellEnd"/>
      <w:r w:rsidRPr="00684AC9">
        <w:t xml:space="preserve"> B, </w:t>
      </w:r>
      <w:proofErr w:type="spellStart"/>
      <w:r w:rsidRPr="00684AC9">
        <w:t>Rovira</w:t>
      </w:r>
      <w:proofErr w:type="spellEnd"/>
      <w:r w:rsidRPr="00684AC9">
        <w:t xml:space="preserve"> A, </w:t>
      </w:r>
      <w:proofErr w:type="spellStart"/>
      <w:r w:rsidRPr="00684AC9">
        <w:t>Frederiksen</w:t>
      </w:r>
      <w:proofErr w:type="spellEnd"/>
      <w:r w:rsidRPr="00684AC9">
        <w:t xml:space="preserve"> J, Miller D et al. MRI criteria for dissemination in space in patients with clinically isolated syndromes: a multicentre follow-up study. La</w:t>
      </w:r>
      <w:r w:rsidR="00BB2A74">
        <w:t xml:space="preserve">ncet </w:t>
      </w:r>
      <w:proofErr w:type="spellStart"/>
      <w:r w:rsidR="00BB2A74">
        <w:t>Neurol</w:t>
      </w:r>
      <w:proofErr w:type="spellEnd"/>
      <w:r w:rsidR="00BB2A74">
        <w:t xml:space="preserve"> 2006; 5(3):221-227.</w:t>
      </w:r>
    </w:p>
    <w:p w:rsidR="00EB19B9" w:rsidRPr="00684AC9" w:rsidRDefault="00EB19B9" w:rsidP="00EB19B9">
      <w:pPr>
        <w:pStyle w:val="Numberbullet0"/>
      </w:pPr>
      <w:proofErr w:type="spellStart"/>
      <w:r w:rsidRPr="00684AC9">
        <w:t>Confavreux</w:t>
      </w:r>
      <w:proofErr w:type="spellEnd"/>
      <w:r w:rsidRPr="00684AC9">
        <w:t xml:space="preserve"> C, </w:t>
      </w:r>
      <w:proofErr w:type="spellStart"/>
      <w:r w:rsidRPr="00684AC9">
        <w:t>Vukusic</w:t>
      </w:r>
      <w:proofErr w:type="spellEnd"/>
      <w:r w:rsidRPr="00684AC9">
        <w:t xml:space="preserve"> S, </w:t>
      </w:r>
      <w:proofErr w:type="spellStart"/>
      <w:r w:rsidRPr="00684AC9">
        <w:t>Adeleine</w:t>
      </w:r>
      <w:proofErr w:type="spellEnd"/>
      <w:r w:rsidRPr="00684AC9">
        <w:t xml:space="preserve"> P. Early clinical predictors and progression of irreversible disability in multiple sclerosis: an amnesic pr</w:t>
      </w:r>
      <w:r w:rsidR="00BB2A74">
        <w:t>ocess. Brain 2003; 126:770-782.</w:t>
      </w:r>
    </w:p>
    <w:p w:rsidR="00EB19B9" w:rsidRPr="00684AC9" w:rsidRDefault="00EB19B9" w:rsidP="00EB19B9">
      <w:pPr>
        <w:pStyle w:val="Numberbullet0"/>
      </w:pPr>
      <w:proofErr w:type="spellStart"/>
      <w:r w:rsidRPr="00684AC9">
        <w:t>Barkhof</w:t>
      </w:r>
      <w:proofErr w:type="spellEnd"/>
      <w:r w:rsidRPr="00684AC9">
        <w:t xml:space="preserve"> F, </w:t>
      </w:r>
      <w:proofErr w:type="spellStart"/>
      <w:r w:rsidRPr="00684AC9">
        <w:t>Filippi</w:t>
      </w:r>
      <w:proofErr w:type="spellEnd"/>
      <w:r w:rsidRPr="00684AC9">
        <w:t xml:space="preserve"> M, Miller DH, </w:t>
      </w:r>
      <w:proofErr w:type="spellStart"/>
      <w:r w:rsidRPr="00684AC9">
        <w:t>Scheltens</w:t>
      </w:r>
      <w:proofErr w:type="spellEnd"/>
      <w:r w:rsidRPr="00684AC9">
        <w:t xml:space="preserve"> P, </w:t>
      </w:r>
      <w:proofErr w:type="spellStart"/>
      <w:r w:rsidRPr="00684AC9">
        <w:t>Campi</w:t>
      </w:r>
      <w:proofErr w:type="spellEnd"/>
      <w:r w:rsidRPr="00684AC9">
        <w:t xml:space="preserve"> A, </w:t>
      </w:r>
      <w:proofErr w:type="spellStart"/>
      <w:r w:rsidRPr="00684AC9">
        <w:t>Polman</w:t>
      </w:r>
      <w:proofErr w:type="spellEnd"/>
      <w:r w:rsidRPr="00684AC9">
        <w:t xml:space="preserve"> CH et al. Comparison of MRI criteria at first presentation to predict conversion to clinically definite multiple sclero</w:t>
      </w:r>
      <w:r w:rsidR="00BB2A74">
        <w:t>sis. Brain 1997; 120:2059-2069.</w:t>
      </w:r>
    </w:p>
    <w:p w:rsidR="00EB19B9" w:rsidRPr="00684AC9" w:rsidRDefault="00EB19B9" w:rsidP="00EB19B9">
      <w:pPr>
        <w:pStyle w:val="Numberbullet0"/>
      </w:pPr>
      <w:r w:rsidRPr="00684AC9">
        <w:t xml:space="preserve">European Public Assessment Report (EPAR). </w:t>
      </w:r>
      <w:proofErr w:type="spellStart"/>
      <w:r w:rsidRPr="00684AC9">
        <w:t>Betaferon</w:t>
      </w:r>
      <w:proofErr w:type="spellEnd"/>
      <w:r w:rsidRPr="00684AC9">
        <w:t xml:space="preserve">. 2006. European Medicines Agency. </w:t>
      </w:r>
      <w:r w:rsidR="00BB2A74">
        <w:t>Ref Type: Report</w:t>
      </w:r>
    </w:p>
    <w:p w:rsidR="00EB19B9" w:rsidRPr="00684AC9" w:rsidRDefault="00EB19B9" w:rsidP="00EB19B9">
      <w:pPr>
        <w:pStyle w:val="Numberbullet0"/>
      </w:pPr>
      <w:r w:rsidRPr="00684AC9">
        <w:t>Morrissey SP, Miller DH, Kendall BE, Kingsley DPE, Kelly MA, Francis DA et al. The significance of brain magnetic resonance imaging abnormalities at presentation with clinically isolated syndromes suggestive of multiple sclerosis. Brain 1</w:t>
      </w:r>
      <w:r w:rsidR="00BB2A74">
        <w:t>993; 116:135-146.</w:t>
      </w:r>
    </w:p>
    <w:p w:rsidR="00EB19B9" w:rsidRPr="00684AC9" w:rsidRDefault="00EB19B9" w:rsidP="00EB19B9">
      <w:pPr>
        <w:pStyle w:val="Numberbullet0"/>
      </w:pPr>
      <w:proofErr w:type="spellStart"/>
      <w:r w:rsidRPr="00684AC9">
        <w:t>O'Riordan</w:t>
      </w:r>
      <w:proofErr w:type="spellEnd"/>
      <w:r w:rsidRPr="00684AC9">
        <w:t xml:space="preserve"> JI, Thompson AJ, Kingsley DPE, MacManus DG, Kendall BE, </w:t>
      </w:r>
      <w:proofErr w:type="spellStart"/>
      <w:r w:rsidRPr="00684AC9">
        <w:t>Rudge</w:t>
      </w:r>
      <w:proofErr w:type="spellEnd"/>
      <w:r w:rsidRPr="00684AC9">
        <w:t xml:space="preserve"> P et al. The prognostic value of brain MRI in clinically isolated syndromes of the CNS. A 10-year foll</w:t>
      </w:r>
      <w:r w:rsidR="00BB2A74">
        <w:t>ow-up. Brain 1998; 121:495-503.</w:t>
      </w:r>
    </w:p>
    <w:p w:rsidR="00EB19B9" w:rsidRDefault="00EB19B9" w:rsidP="00EB19B9">
      <w:pPr>
        <w:pStyle w:val="Numberbullet0"/>
      </w:pPr>
      <w:proofErr w:type="spellStart"/>
      <w:r w:rsidRPr="00684AC9">
        <w:t>Brex</w:t>
      </w:r>
      <w:proofErr w:type="spellEnd"/>
      <w:r w:rsidRPr="00684AC9">
        <w:t xml:space="preserve"> PA, </w:t>
      </w:r>
      <w:proofErr w:type="spellStart"/>
      <w:r w:rsidRPr="00684AC9">
        <w:t>Ciccarelli</w:t>
      </w:r>
      <w:proofErr w:type="spellEnd"/>
      <w:r w:rsidRPr="00684AC9">
        <w:t xml:space="preserve"> O, </w:t>
      </w:r>
      <w:proofErr w:type="spellStart"/>
      <w:r w:rsidRPr="00684AC9">
        <w:t>O'Riordan</w:t>
      </w:r>
      <w:proofErr w:type="spellEnd"/>
      <w:r w:rsidRPr="00684AC9">
        <w:t xml:space="preserve"> JI, </w:t>
      </w:r>
      <w:proofErr w:type="spellStart"/>
      <w:r w:rsidRPr="00684AC9">
        <w:t>Sailer</w:t>
      </w:r>
      <w:proofErr w:type="spellEnd"/>
      <w:r w:rsidRPr="00684AC9">
        <w:t xml:space="preserve"> M, Thompson AJ, Miller DH. A longitudinal study of abnormalities on MRI and disability from multiple sclerosis. N </w:t>
      </w:r>
      <w:proofErr w:type="spellStart"/>
      <w:r w:rsidRPr="00684AC9">
        <w:t>E</w:t>
      </w:r>
      <w:r>
        <w:t>ngl</w:t>
      </w:r>
      <w:proofErr w:type="spellEnd"/>
      <w:r>
        <w:t xml:space="preserve"> J Med 2002; 346(3):158-164.</w:t>
      </w:r>
    </w:p>
    <w:p w:rsidR="00EB19B9" w:rsidRPr="00684AC9" w:rsidRDefault="00EB19B9" w:rsidP="00EB19B9">
      <w:pPr>
        <w:pStyle w:val="Numberbullet0"/>
      </w:pPr>
      <w:proofErr w:type="spellStart"/>
      <w:r w:rsidRPr="00684AC9">
        <w:t>Fisniku</w:t>
      </w:r>
      <w:proofErr w:type="spellEnd"/>
      <w:r w:rsidRPr="00684AC9">
        <w:t xml:space="preserve"> LK, Brea PA, </w:t>
      </w:r>
      <w:proofErr w:type="spellStart"/>
      <w:r w:rsidRPr="00684AC9">
        <w:t>Altmann</w:t>
      </w:r>
      <w:proofErr w:type="spellEnd"/>
      <w:r w:rsidRPr="00684AC9">
        <w:t xml:space="preserve"> DR, </w:t>
      </w:r>
      <w:proofErr w:type="spellStart"/>
      <w:r w:rsidRPr="00684AC9">
        <w:t>Miszkiel</w:t>
      </w:r>
      <w:proofErr w:type="spellEnd"/>
      <w:r w:rsidRPr="00684AC9">
        <w:t xml:space="preserve"> KA, Benton CE, Lanyon R et al. Disability and T2 MRI lesions: a 20-year follow-up of patients with relapse onset of multiple scle</w:t>
      </w:r>
      <w:r w:rsidR="00BB2A74">
        <w:t>rosis. Brain 2008; 131:808-817.</w:t>
      </w:r>
    </w:p>
    <w:p w:rsidR="00EB19B9" w:rsidRPr="00684AC9" w:rsidRDefault="00EB19B9" w:rsidP="00EB19B9">
      <w:pPr>
        <w:pStyle w:val="Numberbullet0"/>
      </w:pPr>
      <w:proofErr w:type="spellStart"/>
      <w:r w:rsidRPr="00684AC9">
        <w:t>Polman</w:t>
      </w:r>
      <w:proofErr w:type="spellEnd"/>
      <w:r w:rsidRPr="00684AC9">
        <w:t xml:space="preserve"> CH, </w:t>
      </w:r>
      <w:proofErr w:type="spellStart"/>
      <w:r w:rsidRPr="00684AC9">
        <w:t>Reingold</w:t>
      </w:r>
      <w:proofErr w:type="spellEnd"/>
      <w:r w:rsidRPr="00684AC9">
        <w:t xml:space="preserve"> SC, </w:t>
      </w:r>
      <w:proofErr w:type="spellStart"/>
      <w:r w:rsidRPr="00684AC9">
        <w:t>Banwell</w:t>
      </w:r>
      <w:proofErr w:type="spellEnd"/>
      <w:r w:rsidRPr="00684AC9">
        <w:t xml:space="preserve"> B, </w:t>
      </w:r>
      <w:proofErr w:type="spellStart"/>
      <w:r w:rsidRPr="00684AC9">
        <w:t>Clanet</w:t>
      </w:r>
      <w:proofErr w:type="spellEnd"/>
      <w:r w:rsidRPr="00684AC9">
        <w:t xml:space="preserve"> M, Cohen JA, </w:t>
      </w:r>
      <w:proofErr w:type="spellStart"/>
      <w:r w:rsidRPr="00684AC9">
        <w:t>Filippi</w:t>
      </w:r>
      <w:proofErr w:type="spellEnd"/>
      <w:r w:rsidRPr="00684AC9">
        <w:t xml:space="preserve"> M et al. Diagnostic criteria for multiple sclerosis: 2010 revisions to the "McDonald</w:t>
      </w:r>
      <w:r w:rsidR="00BB2A74">
        <w:t xml:space="preserve"> criteria". Ann </w:t>
      </w:r>
      <w:proofErr w:type="spellStart"/>
      <w:r w:rsidR="00BB2A74">
        <w:t>Neurol</w:t>
      </w:r>
      <w:proofErr w:type="spellEnd"/>
      <w:r w:rsidR="00BB2A74">
        <w:t xml:space="preserve"> 2011.</w:t>
      </w:r>
    </w:p>
    <w:p w:rsidR="00EB19B9" w:rsidRPr="00684AC9" w:rsidRDefault="00EB19B9" w:rsidP="00EB19B9">
      <w:pPr>
        <w:pStyle w:val="Numberbullet0"/>
      </w:pPr>
      <w:r w:rsidRPr="00684AC9">
        <w:t xml:space="preserve">Swanton JK, Fernando K, Dalton CM, </w:t>
      </w:r>
      <w:proofErr w:type="spellStart"/>
      <w:r w:rsidRPr="00684AC9">
        <w:t>Miszkiel</w:t>
      </w:r>
      <w:proofErr w:type="spellEnd"/>
      <w:r w:rsidRPr="00684AC9">
        <w:t xml:space="preserve"> KA, et al. Modification of MRI criteria for multiple sclerosis in patients with clinically isolated syndromes. J </w:t>
      </w:r>
      <w:proofErr w:type="spellStart"/>
      <w:r w:rsidRPr="00684AC9">
        <w:t>Neurol</w:t>
      </w:r>
      <w:proofErr w:type="spellEnd"/>
      <w:r w:rsidRPr="00684AC9">
        <w:t xml:space="preserve"> </w:t>
      </w:r>
      <w:proofErr w:type="spellStart"/>
      <w:r w:rsidRPr="00684AC9">
        <w:t>Neurosurg</w:t>
      </w:r>
      <w:proofErr w:type="spellEnd"/>
      <w:r w:rsidRPr="00684AC9">
        <w:t xml:space="preserve"> </w:t>
      </w:r>
      <w:r w:rsidR="00BB2A74">
        <w:t>Psychiatry 2006; 77(7):830-833.</w:t>
      </w:r>
    </w:p>
    <w:p w:rsidR="00EB19B9" w:rsidRPr="00684AC9" w:rsidRDefault="00EB19B9" w:rsidP="00EB19B9">
      <w:pPr>
        <w:pStyle w:val="Numberbullet0"/>
      </w:pPr>
      <w:r w:rsidRPr="00684AC9">
        <w:t xml:space="preserve">Swanton JK, </w:t>
      </w:r>
      <w:proofErr w:type="spellStart"/>
      <w:r w:rsidRPr="00684AC9">
        <w:t>Rovira</w:t>
      </w:r>
      <w:proofErr w:type="spellEnd"/>
      <w:r w:rsidRPr="00684AC9">
        <w:t xml:space="preserve"> A, </w:t>
      </w:r>
      <w:proofErr w:type="spellStart"/>
      <w:r w:rsidRPr="00684AC9">
        <w:t>Tintore</w:t>
      </w:r>
      <w:proofErr w:type="spellEnd"/>
      <w:r w:rsidRPr="00684AC9">
        <w:t xml:space="preserve"> M, </w:t>
      </w:r>
      <w:proofErr w:type="spellStart"/>
      <w:r w:rsidRPr="00684AC9">
        <w:t>Altmann</w:t>
      </w:r>
      <w:proofErr w:type="spellEnd"/>
      <w:r w:rsidRPr="00684AC9">
        <w:t xml:space="preserve"> DR, </w:t>
      </w:r>
      <w:proofErr w:type="spellStart"/>
      <w:r w:rsidRPr="00684AC9">
        <w:t>Barkhof</w:t>
      </w:r>
      <w:proofErr w:type="spellEnd"/>
      <w:r w:rsidRPr="00684AC9">
        <w:t xml:space="preserve"> F, et al. MRI criteria for multiple sclerosis in patients presenting with clinically isolated syndromes: a multicentre retrospective study. La</w:t>
      </w:r>
      <w:r w:rsidR="00BB2A74">
        <w:t xml:space="preserve">ncet </w:t>
      </w:r>
      <w:proofErr w:type="spellStart"/>
      <w:r w:rsidR="00BB2A74">
        <w:t>Neurol</w:t>
      </w:r>
      <w:proofErr w:type="spellEnd"/>
      <w:r w:rsidR="00BB2A74">
        <w:t xml:space="preserve"> 2007; 6(8):677-686.</w:t>
      </w:r>
    </w:p>
    <w:p w:rsidR="00EB19B9" w:rsidRPr="00684AC9" w:rsidRDefault="00EB19B9" w:rsidP="00EB19B9">
      <w:pPr>
        <w:pStyle w:val="Numberbullet0"/>
      </w:pPr>
      <w:proofErr w:type="spellStart"/>
      <w:r w:rsidRPr="00684AC9">
        <w:t>Minneboo</w:t>
      </w:r>
      <w:proofErr w:type="spellEnd"/>
      <w:r w:rsidRPr="00684AC9">
        <w:t xml:space="preserve"> A, </w:t>
      </w:r>
      <w:proofErr w:type="spellStart"/>
      <w:r w:rsidRPr="00684AC9">
        <w:t>Barkhof</w:t>
      </w:r>
      <w:proofErr w:type="spellEnd"/>
      <w:r w:rsidRPr="00684AC9">
        <w:t xml:space="preserve"> F, </w:t>
      </w:r>
      <w:proofErr w:type="spellStart"/>
      <w:r w:rsidRPr="00684AC9">
        <w:t>Polman</w:t>
      </w:r>
      <w:proofErr w:type="spellEnd"/>
      <w:r w:rsidRPr="00684AC9">
        <w:t xml:space="preserve"> CH, </w:t>
      </w:r>
      <w:proofErr w:type="spellStart"/>
      <w:r w:rsidRPr="00684AC9">
        <w:t>Uitdehaag</w:t>
      </w:r>
      <w:proofErr w:type="spellEnd"/>
      <w:r w:rsidRPr="00684AC9">
        <w:t xml:space="preserve"> BMJ, </w:t>
      </w:r>
      <w:proofErr w:type="spellStart"/>
      <w:r w:rsidRPr="00684AC9">
        <w:t>Knol</w:t>
      </w:r>
      <w:proofErr w:type="spellEnd"/>
      <w:r w:rsidRPr="00684AC9">
        <w:t xml:space="preserve"> DL, </w:t>
      </w:r>
      <w:proofErr w:type="spellStart"/>
      <w:r w:rsidRPr="00684AC9">
        <w:t>Castellijins</w:t>
      </w:r>
      <w:proofErr w:type="spellEnd"/>
      <w:r w:rsidRPr="00684AC9">
        <w:t xml:space="preserve"> JA. </w:t>
      </w:r>
      <w:proofErr w:type="spellStart"/>
      <w:r w:rsidRPr="00684AC9">
        <w:t>Infratentorial</w:t>
      </w:r>
      <w:proofErr w:type="spellEnd"/>
      <w:r w:rsidRPr="00684AC9">
        <w:t xml:space="preserve"> lesions predict long-term disability in patients with initial findings suggestive of multiple sclerosis</w:t>
      </w:r>
      <w:r w:rsidR="00BB2A74">
        <w:t xml:space="preserve">. Arch </w:t>
      </w:r>
      <w:proofErr w:type="spellStart"/>
      <w:r w:rsidR="00BB2A74">
        <w:t>Neurol</w:t>
      </w:r>
      <w:proofErr w:type="spellEnd"/>
      <w:r w:rsidR="00BB2A74">
        <w:t xml:space="preserve"> 2004; 61:217-221.</w:t>
      </w:r>
    </w:p>
    <w:p w:rsidR="00EB19B9" w:rsidRPr="00684AC9" w:rsidRDefault="00EB19B9" w:rsidP="00EB19B9">
      <w:pPr>
        <w:pStyle w:val="Numberbullet0"/>
      </w:pPr>
      <w:r w:rsidRPr="00684AC9">
        <w:t>Francis GS, Rice GPA, Alsop JC. Interferon β-1a in MS: results following development of neutralizing antibodies in PRISM</w:t>
      </w:r>
      <w:r w:rsidR="00BB2A74">
        <w:t>S. Neurology 2005; 65(1):48-55.</w:t>
      </w:r>
    </w:p>
    <w:p w:rsidR="00EB19B9" w:rsidRDefault="00EB19B9" w:rsidP="00EB19B9">
      <w:pPr>
        <w:pStyle w:val="Numberbullet0"/>
      </w:pPr>
      <w:proofErr w:type="spellStart"/>
      <w:r w:rsidRPr="00684AC9">
        <w:lastRenderedPageBreak/>
        <w:t>Mikol</w:t>
      </w:r>
      <w:proofErr w:type="spellEnd"/>
      <w:r w:rsidRPr="00684AC9">
        <w:t xml:space="preserve"> DD, </w:t>
      </w:r>
      <w:proofErr w:type="spellStart"/>
      <w:r w:rsidRPr="00684AC9">
        <w:t>Barkhof</w:t>
      </w:r>
      <w:proofErr w:type="spellEnd"/>
      <w:r w:rsidRPr="00684AC9">
        <w:t xml:space="preserve"> F, Chang P, Coyle PK, Jeffrey DR, </w:t>
      </w:r>
      <w:proofErr w:type="spellStart"/>
      <w:r w:rsidRPr="00684AC9">
        <w:t>Schwid</w:t>
      </w:r>
      <w:proofErr w:type="spellEnd"/>
      <w:r w:rsidRPr="00684AC9">
        <w:t xml:space="preserve"> SR et al. Comparison of subcutaneous interferon beta-1a with </w:t>
      </w:r>
      <w:proofErr w:type="spellStart"/>
      <w:r w:rsidRPr="00684AC9">
        <w:t>glatiramer</w:t>
      </w:r>
      <w:proofErr w:type="spellEnd"/>
      <w:r w:rsidRPr="00684AC9">
        <w:t xml:space="preserve"> acetate in</w:t>
      </w:r>
      <w:r w:rsidR="00DC2B9B">
        <w:t xml:space="preserve"> </w:t>
      </w:r>
      <w:r w:rsidRPr="00684AC9">
        <w:t xml:space="preserve">patients with relapsing multiple sclerosis (the </w:t>
      </w:r>
      <w:proofErr w:type="spellStart"/>
      <w:r w:rsidRPr="00684AC9">
        <w:t>REbif</w:t>
      </w:r>
      <w:proofErr w:type="spellEnd"/>
      <w:r w:rsidRPr="00684AC9">
        <w:t xml:space="preserve"> </w:t>
      </w:r>
      <w:proofErr w:type="spellStart"/>
      <w:r w:rsidRPr="00684AC9">
        <w:t>vs</w:t>
      </w:r>
      <w:proofErr w:type="spellEnd"/>
      <w:r w:rsidRPr="00684AC9">
        <w:t xml:space="preserve"> </w:t>
      </w:r>
      <w:proofErr w:type="spellStart"/>
      <w:r w:rsidRPr="00684AC9">
        <w:t>Glatiramer</w:t>
      </w:r>
      <w:proofErr w:type="spellEnd"/>
      <w:r w:rsidRPr="00684AC9">
        <w:t xml:space="preserve"> Acetate in </w:t>
      </w:r>
      <w:proofErr w:type="spellStart"/>
      <w:r w:rsidRPr="00684AC9">
        <w:t>RElapsing</w:t>
      </w:r>
      <w:proofErr w:type="spellEnd"/>
      <w:r w:rsidRPr="00684AC9">
        <w:t xml:space="preserve"> MS Disease [REGARD] study): a multicentre, randomized, parallel, open-label trial. Lancet </w:t>
      </w:r>
      <w:proofErr w:type="spellStart"/>
      <w:r w:rsidRPr="00684AC9">
        <w:t>Neurol</w:t>
      </w:r>
      <w:proofErr w:type="spellEnd"/>
      <w:r w:rsidRPr="00684AC9">
        <w:t xml:space="preserve"> 2008.</w:t>
      </w:r>
    </w:p>
    <w:p w:rsidR="00EB19B9" w:rsidRPr="00EB19B9" w:rsidRDefault="00EB19B9" w:rsidP="00EB19B9">
      <w:pPr>
        <w:pStyle w:val="Numberbullet0"/>
      </w:pPr>
      <w:proofErr w:type="spellStart"/>
      <w:r w:rsidRPr="00684AC9">
        <w:t>Giovannoni</w:t>
      </w:r>
      <w:proofErr w:type="spellEnd"/>
      <w:r w:rsidRPr="00684AC9">
        <w:t xml:space="preserve"> G, </w:t>
      </w:r>
      <w:proofErr w:type="spellStart"/>
      <w:r w:rsidRPr="00684AC9">
        <w:t>Barbarash</w:t>
      </w:r>
      <w:proofErr w:type="spellEnd"/>
      <w:r w:rsidRPr="00684AC9">
        <w:t xml:space="preserve"> O, </w:t>
      </w:r>
      <w:proofErr w:type="spellStart"/>
      <w:r w:rsidRPr="00684AC9">
        <w:t>Casset-Semanaz</w:t>
      </w:r>
      <w:proofErr w:type="spellEnd"/>
      <w:r w:rsidRPr="00684AC9">
        <w:t xml:space="preserve"> F, King J, Metz L, </w:t>
      </w:r>
      <w:proofErr w:type="spellStart"/>
      <w:r w:rsidRPr="00684AC9">
        <w:t>Pardo</w:t>
      </w:r>
      <w:proofErr w:type="spellEnd"/>
      <w:r w:rsidRPr="00684AC9">
        <w:t xml:space="preserve"> G et al. Safety and immunogenicity of a new formulati</w:t>
      </w:r>
      <w:r w:rsidR="007C67EC">
        <w:t>on of interferon beta-1a (</w:t>
      </w:r>
      <w:proofErr w:type="spellStart"/>
      <w:r w:rsidR="007C67EC">
        <w:t>Rebif</w:t>
      </w:r>
      <w:proofErr w:type="spellEnd"/>
      <w:r w:rsidRPr="00684AC9">
        <w:t xml:space="preserve"> New Formulation) in a Phase </w:t>
      </w:r>
      <w:proofErr w:type="spellStart"/>
      <w:r w:rsidRPr="00684AC9">
        <w:t>IIIb</w:t>
      </w:r>
      <w:proofErr w:type="spellEnd"/>
      <w:r w:rsidRPr="00684AC9">
        <w:t xml:space="preserve"> study in patients with relapsing multiple sclerosis: 96-week results. </w:t>
      </w:r>
      <w:proofErr w:type="spellStart"/>
      <w:r w:rsidRPr="00684AC9">
        <w:t>Mult</w:t>
      </w:r>
      <w:proofErr w:type="spellEnd"/>
      <w:r w:rsidRPr="00684AC9">
        <w:t xml:space="preserve"> </w:t>
      </w:r>
      <w:proofErr w:type="spellStart"/>
      <w:r w:rsidRPr="00684AC9">
        <w:t>Scler</w:t>
      </w:r>
      <w:proofErr w:type="spellEnd"/>
      <w:r w:rsidRPr="00684AC9">
        <w:t xml:space="preserve"> 2009; 15:219-228.</w:t>
      </w:r>
    </w:p>
    <w:p w:rsidR="00EB19B9" w:rsidRPr="00B6539E" w:rsidRDefault="00EB19B9" w:rsidP="00EB19B9">
      <w:pPr>
        <w:pStyle w:val="Heading3"/>
      </w:pPr>
      <w:bookmarkStart w:id="192" w:name="_Toc348084016"/>
      <w:bookmarkStart w:id="193" w:name="_Toc373928662"/>
      <w:r>
        <w:t>Additional references</w:t>
      </w:r>
      <w:bookmarkEnd w:id="192"/>
      <w:bookmarkEnd w:id="193"/>
    </w:p>
    <w:p w:rsidR="00EB19B9" w:rsidRPr="00684AC9" w:rsidRDefault="00EB19B9" w:rsidP="00EB19B9">
      <w:r w:rsidRPr="00684AC9">
        <w:t>In addition to the references supplied by the sponsor, the following references were consulted:</w:t>
      </w:r>
    </w:p>
    <w:p w:rsidR="00EB19B9" w:rsidRPr="00684AC9" w:rsidRDefault="00EB19B9" w:rsidP="00EB19B9">
      <w:pPr>
        <w:pStyle w:val="Numberbullet0"/>
      </w:pPr>
      <w:proofErr w:type="spellStart"/>
      <w:r w:rsidRPr="00684AC9">
        <w:t>Durelli</w:t>
      </w:r>
      <w:proofErr w:type="spellEnd"/>
      <w:r w:rsidRPr="00684AC9">
        <w:t xml:space="preserve"> L. Is multiple sclerosis a disease that requires frequent beta interferon dosing? Neurology, 2004; 251 [</w:t>
      </w:r>
      <w:proofErr w:type="spellStart"/>
      <w:r w:rsidRPr="00684AC9">
        <w:t>Suppl</w:t>
      </w:r>
      <w:proofErr w:type="spellEnd"/>
      <w:r w:rsidRPr="00684AC9">
        <w:t xml:space="preserve"> 4] : IV/13–IV/24</w:t>
      </w:r>
    </w:p>
    <w:p w:rsidR="00EB19B9" w:rsidRPr="00684AC9" w:rsidRDefault="00EB19B9" w:rsidP="00EB19B9">
      <w:pPr>
        <w:pStyle w:val="Numberbullet0"/>
      </w:pPr>
      <w:proofErr w:type="spellStart"/>
      <w:r w:rsidRPr="00684AC9">
        <w:t>Giovannoni</w:t>
      </w:r>
      <w:proofErr w:type="spellEnd"/>
      <w:r w:rsidRPr="00684AC9">
        <w:t xml:space="preserve"> G, </w:t>
      </w:r>
      <w:proofErr w:type="spellStart"/>
      <w:r w:rsidRPr="00684AC9">
        <w:t>Barbarash</w:t>
      </w:r>
      <w:proofErr w:type="spellEnd"/>
      <w:r w:rsidRPr="00684AC9">
        <w:t xml:space="preserve"> O, </w:t>
      </w:r>
      <w:proofErr w:type="spellStart"/>
      <w:r w:rsidRPr="00684AC9">
        <w:t>Casset-Semanaz</w:t>
      </w:r>
      <w:proofErr w:type="spellEnd"/>
      <w:r w:rsidRPr="00684AC9">
        <w:t xml:space="preserve"> F, King J, Metz L, </w:t>
      </w:r>
      <w:proofErr w:type="spellStart"/>
      <w:r w:rsidRPr="00684AC9">
        <w:t>Pardo</w:t>
      </w:r>
      <w:proofErr w:type="spellEnd"/>
      <w:r w:rsidRPr="00684AC9">
        <w:t xml:space="preserve"> G et al. Safety and immunogenicity of a new formulati</w:t>
      </w:r>
      <w:r w:rsidR="007C67EC">
        <w:t>on of interferon beta-1a (</w:t>
      </w:r>
      <w:proofErr w:type="spellStart"/>
      <w:r w:rsidR="007C67EC">
        <w:t>Rebif</w:t>
      </w:r>
      <w:proofErr w:type="spellEnd"/>
      <w:r w:rsidRPr="00684AC9">
        <w:t xml:space="preserve"> New Formulation) in a Phase </w:t>
      </w:r>
      <w:proofErr w:type="spellStart"/>
      <w:r w:rsidRPr="00684AC9">
        <w:t>IIIb</w:t>
      </w:r>
      <w:proofErr w:type="spellEnd"/>
      <w:r w:rsidRPr="00684AC9">
        <w:t xml:space="preserve"> study in patients with relapsing multiple sclerosis: 96-week results. </w:t>
      </w:r>
      <w:proofErr w:type="spellStart"/>
      <w:r w:rsidRPr="00684AC9">
        <w:t>Mult</w:t>
      </w:r>
      <w:proofErr w:type="spellEnd"/>
      <w:r w:rsidRPr="00684AC9">
        <w:t xml:space="preserve"> </w:t>
      </w:r>
      <w:proofErr w:type="spellStart"/>
      <w:r w:rsidRPr="00684AC9">
        <w:t>Scler</w:t>
      </w:r>
      <w:proofErr w:type="spellEnd"/>
      <w:r w:rsidRPr="00684AC9">
        <w:t xml:space="preserve"> 2009; 15:219-228.</w:t>
      </w:r>
    </w:p>
    <w:p w:rsidR="00EB19B9" w:rsidRPr="00684AC9" w:rsidRDefault="00EB19B9" w:rsidP="00EB19B9">
      <w:pPr>
        <w:pStyle w:val="Numberbullet0"/>
      </w:pPr>
      <w:proofErr w:type="spellStart"/>
      <w:r w:rsidRPr="00684AC9">
        <w:t>Giovannoni</w:t>
      </w:r>
      <w:proofErr w:type="spellEnd"/>
      <w:r w:rsidRPr="00684AC9">
        <w:t xml:space="preserve"> G. The REFLEX study: a missed opportunity? Lancet </w:t>
      </w:r>
      <w:proofErr w:type="spellStart"/>
      <w:r w:rsidRPr="00684AC9">
        <w:t>Neurol</w:t>
      </w:r>
      <w:proofErr w:type="spellEnd"/>
      <w:r w:rsidRPr="00684AC9">
        <w:t xml:space="preserve"> 2012; 11: 22</w:t>
      </w:r>
    </w:p>
    <w:p w:rsidR="00EB19B9" w:rsidRPr="00684AC9" w:rsidRDefault="00EB19B9" w:rsidP="00EB19B9">
      <w:pPr>
        <w:pStyle w:val="Numberbullet0"/>
      </w:pPr>
      <w:proofErr w:type="spellStart"/>
      <w:r w:rsidRPr="00684AC9">
        <w:t>Korteweg</w:t>
      </w:r>
      <w:proofErr w:type="spellEnd"/>
      <w:r w:rsidRPr="00684AC9">
        <w:t xml:space="preserve"> T, </w:t>
      </w:r>
      <w:proofErr w:type="spellStart"/>
      <w:r w:rsidRPr="00684AC9">
        <w:t>Tintore</w:t>
      </w:r>
      <w:proofErr w:type="spellEnd"/>
      <w:r w:rsidRPr="00684AC9">
        <w:t xml:space="preserve"> M, </w:t>
      </w:r>
      <w:proofErr w:type="spellStart"/>
      <w:r w:rsidRPr="00684AC9">
        <w:t>Uitdehaag</w:t>
      </w:r>
      <w:proofErr w:type="spellEnd"/>
      <w:r w:rsidRPr="00684AC9">
        <w:t xml:space="preserve"> B, </w:t>
      </w:r>
      <w:proofErr w:type="spellStart"/>
      <w:r w:rsidRPr="00684AC9">
        <w:t>Rovira</w:t>
      </w:r>
      <w:proofErr w:type="spellEnd"/>
      <w:r w:rsidRPr="00684AC9">
        <w:t xml:space="preserve"> A, </w:t>
      </w:r>
      <w:proofErr w:type="spellStart"/>
      <w:r w:rsidRPr="00684AC9">
        <w:t>Frederiksen</w:t>
      </w:r>
      <w:proofErr w:type="spellEnd"/>
      <w:r w:rsidRPr="00684AC9">
        <w:t xml:space="preserve"> J, Miller D et al. MRI criteria for dissemination in space in patients with clinically isolated syndromes: a multicentre follow-up study. Lancet </w:t>
      </w:r>
      <w:proofErr w:type="spellStart"/>
      <w:r w:rsidRPr="00684AC9">
        <w:t>Neurol</w:t>
      </w:r>
      <w:proofErr w:type="spellEnd"/>
      <w:r w:rsidRPr="00684AC9">
        <w:t xml:space="preserve"> 2006; 5(3):221-227.</w:t>
      </w:r>
    </w:p>
    <w:p w:rsidR="00EB19B9" w:rsidRPr="00586F98" w:rsidRDefault="00EB19B9" w:rsidP="00EB19B9">
      <w:pPr>
        <w:pStyle w:val="Numberbullet0"/>
        <w:rPr>
          <w:lang w:eastAsia="ja-JP"/>
        </w:rPr>
      </w:pPr>
      <w:r w:rsidRPr="00684AC9">
        <w:t xml:space="preserve">Ralf Gold, Jerry S. </w:t>
      </w:r>
      <w:proofErr w:type="spellStart"/>
      <w:r w:rsidRPr="00684AC9">
        <w:t>Wolinsky</w:t>
      </w:r>
      <w:proofErr w:type="spellEnd"/>
      <w:r w:rsidRPr="00684AC9">
        <w:t xml:space="preserve">, Maria </w:t>
      </w:r>
      <w:proofErr w:type="spellStart"/>
      <w:r w:rsidRPr="00684AC9">
        <w:t>Pia</w:t>
      </w:r>
      <w:proofErr w:type="spellEnd"/>
      <w:r w:rsidRPr="00684AC9">
        <w:t xml:space="preserve"> Amato and Giancarlo </w:t>
      </w:r>
      <w:proofErr w:type="spellStart"/>
      <w:r w:rsidRPr="00684AC9">
        <w:t>Comi</w:t>
      </w:r>
      <w:proofErr w:type="spellEnd"/>
      <w:r w:rsidRPr="00684AC9">
        <w:t>, Evolving expectations around early management of multiple sclerosis. Therapeutic Advances in Neurological Disorders, 2010; 3(6): 35136</w:t>
      </w:r>
      <w:r>
        <w:t>7</w:t>
      </w:r>
    </w:p>
    <w:bookmarkEnd w:id="0"/>
    <w:bookmarkEnd w:id="1"/>
    <w:bookmarkEnd w:id="2"/>
    <w:p w:rsidR="003D1E62" w:rsidRPr="001D043B" w:rsidRDefault="003D1E62" w:rsidP="002666AC">
      <w:pPr>
        <w:sectPr w:rsidR="003D1E62" w:rsidRPr="001D043B" w:rsidSect="008D770F">
          <w:headerReference w:type="even" r:id="rId62"/>
          <w:headerReference w:type="default" r:id="rId63"/>
          <w:footerReference w:type="default" r:id="rId64"/>
          <w:headerReference w:type="first" r:id="rId65"/>
          <w:footerReference w:type="first" r:id="rId66"/>
          <w:pgSz w:w="11906" w:h="16838" w:code="9"/>
          <w:pgMar w:top="1440" w:right="1440" w:bottom="1440" w:left="1440" w:header="907" w:footer="216" w:gutter="0"/>
          <w:cols w:space="708"/>
          <w:docGrid w:linePitch="360"/>
        </w:sectPr>
      </w:pPr>
    </w:p>
    <w:p w:rsidR="00774E1D" w:rsidRPr="008A5E0B" w:rsidRDefault="00774E1D" w:rsidP="008A5E0B"/>
    <w:sectPr w:rsidR="00774E1D" w:rsidRPr="008A5E0B" w:rsidSect="008D770F">
      <w:headerReference w:type="even" r:id="rId67"/>
      <w:headerReference w:type="default" r:id="rId68"/>
      <w:footerReference w:type="default" r:id="rId69"/>
      <w:headerReference w:type="first" r:id="rId70"/>
      <w:footerReference w:type="first" r:id="rId71"/>
      <w:pgSz w:w="11906" w:h="16838" w:code="9"/>
      <w:pgMar w:top="1818"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5C72" w:rsidRDefault="00145C72" w:rsidP="00C40A36">
      <w:pPr>
        <w:spacing w:after="0"/>
      </w:pPr>
      <w:r>
        <w:separator/>
      </w:r>
    </w:p>
  </w:endnote>
  <w:endnote w:type="continuationSeparator" w:id="0">
    <w:p w:rsidR="00145C72" w:rsidRDefault="00145C72"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4D337A" w:rsidRPr="00487162" w:rsidTr="0053625B">
      <w:trPr>
        <w:trHeight w:val="269"/>
      </w:trPr>
      <w:tc>
        <w:tcPr>
          <w:tcW w:w="7938" w:type="dxa"/>
          <w:tcMar>
            <w:top w:w="142" w:type="dxa"/>
            <w:bottom w:w="0" w:type="dxa"/>
          </w:tcMar>
        </w:tcPr>
        <w:p w:rsidR="004D337A" w:rsidRPr="00487162" w:rsidRDefault="004D337A" w:rsidP="00586F98">
          <w:pPr>
            <w:pStyle w:val="Footer"/>
          </w:pPr>
          <w:r>
            <w:t>Submission</w:t>
          </w:r>
          <w:r w:rsidRPr="00487162">
            <w:t xml:space="preserve"> </w:t>
          </w:r>
          <w:r>
            <w:t xml:space="preserve">PM-2012-00320-3-1 Extract from the Clinical Evaluation Report for </w:t>
          </w:r>
          <w:proofErr w:type="spellStart"/>
          <w:r>
            <w:t>Rebif</w:t>
          </w:r>
          <w:proofErr w:type="spellEnd"/>
          <w:r>
            <w:t xml:space="preserve"> interferon beta-1a</w:t>
          </w:r>
        </w:p>
      </w:tc>
      <w:tc>
        <w:tcPr>
          <w:tcW w:w="923" w:type="dxa"/>
          <w:tcMar>
            <w:top w:w="142" w:type="dxa"/>
            <w:bottom w:w="0" w:type="dxa"/>
          </w:tcMar>
        </w:tcPr>
        <w:p w:rsidR="004D337A" w:rsidRPr="00487162" w:rsidRDefault="004D337A" w:rsidP="00D855D4">
          <w:pPr>
            <w:pStyle w:val="Footer"/>
            <w:jc w:val="right"/>
          </w:pPr>
          <w:r w:rsidRPr="00487162">
            <w:t xml:space="preserve">Page </w:t>
          </w:r>
          <w:r>
            <w:t>2</w:t>
          </w:r>
          <w:r w:rsidRPr="00487162">
            <w:t xml:space="preserve"> of </w:t>
          </w:r>
          <w:fldSimple w:instr=" NUMPAGES  \* Arabic ">
            <w:r w:rsidR="00311C69">
              <w:rPr>
                <w:noProof/>
              </w:rPr>
              <w:t>5</w:t>
            </w:r>
          </w:fldSimple>
        </w:p>
      </w:tc>
    </w:tr>
  </w:tbl>
  <w:p w:rsidR="004D337A" w:rsidRDefault="004D337A" w:rsidP="0043797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7655"/>
      <w:gridCol w:w="1206"/>
    </w:tblGrid>
    <w:tr w:rsidR="004D337A" w:rsidRPr="00487162" w:rsidTr="00586F98">
      <w:trPr>
        <w:trHeight w:val="269"/>
      </w:trPr>
      <w:tc>
        <w:tcPr>
          <w:tcW w:w="7655" w:type="dxa"/>
          <w:tcMar>
            <w:top w:w="142" w:type="dxa"/>
            <w:bottom w:w="0" w:type="dxa"/>
          </w:tcMar>
        </w:tcPr>
        <w:p w:rsidR="004D337A" w:rsidRPr="00487162" w:rsidRDefault="004D337A" w:rsidP="002C0088">
          <w:pPr>
            <w:pStyle w:val="Footer"/>
          </w:pPr>
          <w:r>
            <w:t>Submission</w:t>
          </w:r>
          <w:r w:rsidRPr="00487162">
            <w:t xml:space="preserve"> </w:t>
          </w:r>
          <w:r>
            <w:t xml:space="preserve">PM-2012-00320-3-1 Extract from the Clinical Evaluation Report for </w:t>
          </w:r>
          <w:proofErr w:type="spellStart"/>
          <w:r>
            <w:t>Rebif</w:t>
          </w:r>
          <w:proofErr w:type="spellEnd"/>
          <w:r>
            <w:t xml:space="preserve"> interferon beta-1a</w:t>
          </w:r>
        </w:p>
      </w:tc>
      <w:tc>
        <w:tcPr>
          <w:tcW w:w="1206" w:type="dxa"/>
          <w:tcMar>
            <w:top w:w="142" w:type="dxa"/>
            <w:bottom w:w="0" w:type="dxa"/>
          </w:tcMar>
        </w:tcPr>
        <w:p w:rsidR="004D337A" w:rsidRPr="00487162" w:rsidRDefault="004D337A" w:rsidP="00E45619">
          <w:pPr>
            <w:pStyle w:val="Footer"/>
            <w:jc w:val="right"/>
          </w:pPr>
          <w:r w:rsidRPr="00487162">
            <w:t xml:space="preserve">Page </w:t>
          </w:r>
          <w:fldSimple w:instr="PAGE">
            <w:r w:rsidR="00311C69">
              <w:rPr>
                <w:noProof/>
              </w:rPr>
              <w:t>63</w:t>
            </w:r>
          </w:fldSimple>
          <w:r w:rsidRPr="00487162">
            <w:t xml:space="preserve"> of </w:t>
          </w:r>
          <w:fldSimple w:instr=" NUMPAGES  \* Arabic ">
            <w:r w:rsidR="00311C69">
              <w:rPr>
                <w:noProof/>
              </w:rPr>
              <w:t>63</w:t>
            </w:r>
          </w:fldSimple>
        </w:p>
      </w:tc>
    </w:tr>
  </w:tbl>
  <w:p w:rsidR="004D337A" w:rsidRDefault="004D337A" w:rsidP="00E2613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4D337A" w:rsidRPr="00487162" w:rsidTr="00E45619">
      <w:trPr>
        <w:trHeight w:val="269"/>
      </w:trPr>
      <w:tc>
        <w:tcPr>
          <w:tcW w:w="4519" w:type="dxa"/>
          <w:tcBorders>
            <w:top w:val="single" w:sz="4" w:space="0" w:color="auto"/>
          </w:tcBorders>
          <w:tcMar>
            <w:top w:w="142" w:type="dxa"/>
            <w:bottom w:w="0" w:type="dxa"/>
          </w:tcMar>
        </w:tcPr>
        <w:p w:rsidR="004D337A" w:rsidRPr="00487162" w:rsidRDefault="004D337A" w:rsidP="00FE1DEE">
          <w:pPr>
            <w:pStyle w:val="Footer"/>
          </w:pPr>
          <w:r w:rsidRPr="00487162">
            <w:t>Document title, Part #, Section # - Section title</w:t>
          </w:r>
        </w:p>
        <w:p w:rsidR="004D337A" w:rsidRPr="00487162" w:rsidRDefault="004D337A" w:rsidP="00FE1DEE">
          <w:pPr>
            <w:pStyle w:val="Footer"/>
          </w:pPr>
          <w:r w:rsidRPr="00487162">
            <w:t>V1.0 October 2010</w:t>
          </w:r>
        </w:p>
      </w:tc>
      <w:tc>
        <w:tcPr>
          <w:tcW w:w="4342" w:type="dxa"/>
          <w:tcBorders>
            <w:top w:val="single" w:sz="4" w:space="0" w:color="auto"/>
          </w:tcBorders>
          <w:tcMar>
            <w:top w:w="142" w:type="dxa"/>
            <w:bottom w:w="0" w:type="dxa"/>
          </w:tcMar>
        </w:tcPr>
        <w:p w:rsidR="004D337A" w:rsidRPr="00487162" w:rsidRDefault="004D337A"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4</w:t>
            </w:r>
          </w:fldSimple>
        </w:p>
      </w:tc>
    </w:tr>
  </w:tbl>
  <w:p w:rsidR="004D337A" w:rsidRDefault="004D337A">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75" w:type="dxa"/>
      <w:tblInd w:w="-284" w:type="dxa"/>
      <w:tblLayout w:type="fixed"/>
      <w:tblCellMar>
        <w:left w:w="0" w:type="dxa"/>
        <w:right w:w="0" w:type="dxa"/>
      </w:tblCellMar>
      <w:tblLook w:val="04A0"/>
    </w:tblPr>
    <w:tblGrid>
      <w:gridCol w:w="9175"/>
    </w:tblGrid>
    <w:tr w:rsidR="004D337A" w:rsidRPr="00487162" w:rsidTr="008D770F">
      <w:trPr>
        <w:trHeight w:hRule="exact" w:val="564"/>
      </w:trPr>
      <w:tc>
        <w:tcPr>
          <w:tcW w:w="9175" w:type="dxa"/>
        </w:tcPr>
        <w:p w:rsidR="004D337A" w:rsidRPr="00487162" w:rsidRDefault="004D337A" w:rsidP="008E7846">
          <w:pPr>
            <w:pStyle w:val="TGASignoff"/>
          </w:pPr>
          <w:r w:rsidRPr="00487162">
            <w:t>Therapeutic Goods Administration</w:t>
          </w:r>
        </w:p>
      </w:tc>
    </w:tr>
    <w:tr w:rsidR="004D337A" w:rsidRPr="00487162" w:rsidTr="00E45619">
      <w:trPr>
        <w:trHeight w:val="1221"/>
      </w:trPr>
      <w:tc>
        <w:tcPr>
          <w:tcW w:w="9175" w:type="dxa"/>
          <w:tcMar>
            <w:top w:w="28" w:type="dxa"/>
          </w:tcMar>
        </w:tcPr>
        <w:p w:rsidR="004D337A" w:rsidRPr="00487162" w:rsidRDefault="004D337A" w:rsidP="00E45619">
          <w:pPr>
            <w:pStyle w:val="Address"/>
          </w:pPr>
          <w:r w:rsidRPr="00487162">
            <w:t>PO Box 100 Woden ACT 2606 Australia</w:t>
          </w:r>
        </w:p>
        <w:p w:rsidR="004D337A" w:rsidRPr="00487162" w:rsidRDefault="004D337A" w:rsidP="00E45619">
          <w:pPr>
            <w:pStyle w:val="Address"/>
          </w:pPr>
          <w:r w:rsidRPr="00487162">
            <w:t xml:space="preserve">Email: </w:t>
          </w:r>
          <w:hyperlink r:id="rId1" w:history="1">
            <w:r w:rsidRPr="008D770F">
              <w:rPr>
                <w:rStyle w:val="Hyperlink"/>
              </w:rPr>
              <w:t>info@tga.gov.au</w:t>
            </w:r>
          </w:hyperlink>
          <w:r>
            <w:t xml:space="preserve"> </w:t>
          </w:r>
          <w:r w:rsidRPr="00487162">
            <w:t>Phone: 1800 020 653</w:t>
          </w:r>
          <w:r>
            <w:t xml:space="preserve"> </w:t>
          </w:r>
          <w:r w:rsidRPr="00487162">
            <w:t>Fax: 02 6232 8605</w:t>
          </w:r>
        </w:p>
        <w:p w:rsidR="004D337A" w:rsidRPr="008D770F" w:rsidRDefault="00852230" w:rsidP="008D770F">
          <w:pPr>
            <w:pStyle w:val="Address"/>
            <w:spacing w:line="260" w:lineRule="atLeast"/>
            <w:rPr>
              <w:b/>
              <w:color w:val="0000FF"/>
              <w:u w:val="single"/>
            </w:rPr>
          </w:pPr>
          <w:hyperlink r:id="rId2" w:history="1">
            <w:r w:rsidR="004D337A" w:rsidRPr="007C06C7">
              <w:rPr>
                <w:rStyle w:val="Hyperlink"/>
                <w:b/>
              </w:rPr>
              <w:t>http://www.tga.gov.au</w:t>
            </w:r>
          </w:hyperlink>
        </w:p>
      </w:tc>
    </w:tr>
  </w:tbl>
  <w:p w:rsidR="004D337A" w:rsidRDefault="004D337A" w:rsidP="008E7846">
    <w:pPr>
      <w:pStyle w:val="Notes"/>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4D337A" w:rsidTr="0010601F">
      <w:trPr>
        <w:trHeight w:val="108"/>
      </w:trPr>
      <w:tc>
        <w:tcPr>
          <w:tcW w:w="8875" w:type="dxa"/>
          <w:gridSpan w:val="2"/>
          <w:tcBorders>
            <w:bottom w:val="single" w:sz="4" w:space="0" w:color="auto"/>
          </w:tcBorders>
          <w:tcMar>
            <w:right w:w="284" w:type="dxa"/>
          </w:tcMar>
        </w:tcPr>
        <w:p w:rsidR="004D337A" w:rsidRDefault="004D337A" w:rsidP="006E08B3">
          <w:pPr>
            <w:pStyle w:val="Heading3"/>
          </w:pPr>
          <w:r>
            <w:t>Copyright</w:t>
          </w:r>
        </w:p>
        <w:p w:rsidR="004D337A" w:rsidRDefault="004D337A" w:rsidP="006E08B3">
          <w:r>
            <w:rPr>
              <w:rFonts w:cs="Arial"/>
            </w:rPr>
            <w:t>©</w:t>
          </w:r>
          <w:r>
            <w:t xml:space="preserve"> Commonwealth of Australia [add year]</w:t>
          </w:r>
        </w:p>
        <w:p w:rsidR="004D337A" w:rsidRDefault="004D337A" w:rsidP="006E08B3"/>
        <w:p w:rsidR="004D337A" w:rsidRDefault="004D337A"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4D337A" w:rsidRDefault="004D337A" w:rsidP="006E08B3"/>
        <w:p w:rsidR="004D337A" w:rsidRDefault="004D337A" w:rsidP="006E08B3">
          <w:pPr>
            <w:pStyle w:val="Heading3"/>
          </w:pPr>
          <w:r>
            <w:t>Confidentiality</w:t>
          </w:r>
        </w:p>
        <w:p w:rsidR="004D337A" w:rsidRDefault="004D337A"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4D337A" w:rsidRDefault="004D337A" w:rsidP="006E08B3"/>
        <w:p w:rsidR="004D337A" w:rsidRDefault="004D337A" w:rsidP="006E08B3">
          <w:r>
            <w:t>For submission made by individuals, all personal details, other than your name, will be removed from your submission before it is published on the TGA’s Internet site.</w:t>
          </w:r>
        </w:p>
        <w:p w:rsidR="004D337A" w:rsidRDefault="004D337A" w:rsidP="006E08B3"/>
        <w:p w:rsidR="004D337A" w:rsidRDefault="004D337A"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4D337A" w:rsidTr="0010601F">
      <w:trPr>
        <w:trHeight w:val="417"/>
      </w:trPr>
      <w:tc>
        <w:tcPr>
          <w:tcW w:w="4519" w:type="dxa"/>
          <w:tcBorders>
            <w:top w:val="single" w:sz="4" w:space="0" w:color="auto"/>
          </w:tcBorders>
          <w:tcMar>
            <w:top w:w="142" w:type="dxa"/>
            <w:bottom w:w="0" w:type="dxa"/>
          </w:tcMar>
        </w:tcPr>
        <w:p w:rsidR="004D337A" w:rsidRDefault="004D337A" w:rsidP="006E08B3">
          <w:r>
            <w:t>Document title, Part #, Section # - Section title</w:t>
          </w:r>
        </w:p>
        <w:p w:rsidR="004D337A" w:rsidRDefault="004D337A" w:rsidP="006E08B3">
          <w:r>
            <w:t>V1.0 October 2010</w:t>
          </w:r>
        </w:p>
      </w:tc>
      <w:tc>
        <w:tcPr>
          <w:tcW w:w="4356" w:type="dxa"/>
          <w:tcBorders>
            <w:top w:val="single" w:sz="4" w:space="0" w:color="auto"/>
          </w:tcBorders>
          <w:tcMar>
            <w:top w:w="142" w:type="dxa"/>
            <w:bottom w:w="0" w:type="dxa"/>
          </w:tcMar>
        </w:tcPr>
        <w:p w:rsidR="004D337A" w:rsidRDefault="004D337A" w:rsidP="006E08B3">
          <w:pPr>
            <w:jc w:val="right"/>
          </w:pPr>
          <w:r>
            <w:t xml:space="preserve">Page </w:t>
          </w:r>
          <w:fldSimple w:instr=" PAGE   \* MERGEFORMAT ">
            <w:r>
              <w:rPr>
                <w:noProof/>
              </w:rPr>
              <w:t>1</w:t>
            </w:r>
          </w:fldSimple>
          <w:r>
            <w:t xml:space="preserve"> of </w:t>
          </w:r>
          <w:fldSimple w:instr=" NUMPAGES  \* Arabic ">
            <w:r>
              <w:rPr>
                <w:noProof/>
              </w:rPr>
              <w:t>4</w:t>
            </w:r>
          </w:fldSimple>
          <w:r>
            <w:t xml:space="preserve"> </w:t>
          </w:r>
        </w:p>
      </w:tc>
    </w:tr>
  </w:tbl>
  <w:p w:rsidR="004D337A" w:rsidRDefault="004D337A"/>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5C72" w:rsidRDefault="00145C72" w:rsidP="00C40A36">
      <w:pPr>
        <w:spacing w:after="0"/>
      </w:pPr>
      <w:r>
        <w:separator/>
      </w:r>
    </w:p>
  </w:footnote>
  <w:footnote w:type="continuationSeparator" w:id="0">
    <w:p w:rsidR="00145C72" w:rsidRDefault="00145C72" w:rsidP="00C40A36">
      <w:pPr>
        <w:spacing w:after="0"/>
      </w:pPr>
      <w:r>
        <w:continuationSeparator/>
      </w:r>
    </w:p>
  </w:footnote>
  <w:footnote w:id="1">
    <w:p w:rsidR="004D337A" w:rsidRDefault="004D337A">
      <w:pPr>
        <w:pStyle w:val="FootnoteText"/>
      </w:pPr>
      <w:r>
        <w:rPr>
          <w:rStyle w:val="FootnoteReference"/>
        </w:rPr>
        <w:footnoteRef/>
      </w:r>
      <w:r>
        <w:t xml:space="preserve"> The sponsor has since submitted an appropriate subgroup analysis showing that benefit was obtained in CIS patients even when those with MS by the McDonald 2010 criteria were excluded.</w:t>
      </w:r>
    </w:p>
  </w:footnote>
  <w:footnote w:id="2">
    <w:p w:rsidR="004D337A" w:rsidRDefault="004D337A">
      <w:pPr>
        <w:pStyle w:val="FootnoteText"/>
      </w:pPr>
      <w:r>
        <w:rPr>
          <w:rStyle w:val="FootnoteReference"/>
        </w:rPr>
        <w:footnoteRef/>
      </w:r>
      <w:r>
        <w:t xml:space="preserve"> The sponsor has subsequently indicated that spinal MRI was only performed if clinically indicated, so MRI monitoring was primarily restricted to cerebral MRI. The approach taken is consistent with routine neurological practice, and does not change the overall interpretation of the results.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337A" w:rsidRDefault="004D337A"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337A" w:rsidRDefault="00B90934">
    <w:pPr>
      <w:rPr>
        <w:noProof/>
        <w:lang w:eastAsia="en-AU"/>
      </w:rPr>
    </w:pPr>
    <w:r>
      <w:rPr>
        <w:noProof/>
        <w:lang w:eastAsia="en-AU"/>
      </w:rPr>
      <w:drawing>
        <wp:anchor distT="0" distB="0" distL="114300" distR="114300" simplePos="0" relativeHeight="251657728" behindDoc="1" locked="0" layoutInCell="1" allowOverlap="1">
          <wp:simplePos x="0" y="0"/>
          <wp:positionH relativeFrom="column">
            <wp:posOffset>-1089660</wp:posOffset>
          </wp:positionH>
          <wp:positionV relativeFrom="paragraph">
            <wp:posOffset>-585470</wp:posOffset>
          </wp:positionV>
          <wp:extent cx="7570470" cy="10706100"/>
          <wp:effectExtent l="19050" t="0" r="0" b="0"/>
          <wp:wrapNone/>
          <wp:docPr id="3"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herapeutic Goods Administration"/>
                  <pic:cNvPicPr>
                    <a:picLocks noChangeAspect="1" noChangeArrowheads="1"/>
                  </pic:cNvPicPr>
                </pic:nvPicPr>
                <pic:blipFill>
                  <a:blip r:embed="rId1"/>
                  <a:srcRect/>
                  <a:stretch>
                    <a:fillRect/>
                  </a:stretch>
                </pic:blipFill>
                <pic:spPr bwMode="auto">
                  <a:xfrm>
                    <a:off x="0" y="0"/>
                    <a:ext cx="7570470" cy="10706100"/>
                  </a:xfrm>
                  <a:prstGeom prst="rect">
                    <a:avLst/>
                  </a:prstGeom>
                  <a:noFill/>
                  <a:ln w="9525">
                    <a:noFill/>
                    <a:miter lim="800000"/>
                    <a:headEnd/>
                    <a:tailEnd/>
                  </a:ln>
                </pic:spPr>
              </pic:pic>
            </a:graphicData>
          </a:graphic>
        </wp:anchor>
      </w:drawing>
    </w:r>
  </w:p>
  <w:p w:rsidR="004D337A" w:rsidRDefault="00B90934" w:rsidP="00593AD1">
    <w:pPr>
      <w:pStyle w:val="HeaderNoLine"/>
    </w:pPr>
    <w:r>
      <w:rPr>
        <w:noProof/>
        <w:lang w:eastAsia="en-AU"/>
      </w:rPr>
      <w:drawing>
        <wp:inline distT="0" distB="0" distL="0" distR="0">
          <wp:extent cx="5397500" cy="7635875"/>
          <wp:effectExtent l="19050" t="0" r="0" b="0"/>
          <wp:docPr id="49" name="Picture 49"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ightblue.jpg"/>
                  <pic:cNvPicPr>
                    <a:picLocks noChangeAspect="1" noChangeArrowheads="1"/>
                  </pic:cNvPicPr>
                </pic:nvPicPr>
                <pic:blipFill>
                  <a:blip r:embed="rId2"/>
                  <a:srcRect/>
                  <a:stretch>
                    <a:fillRect/>
                  </a:stretch>
                </pic:blipFill>
                <pic:spPr bwMode="auto">
                  <a:xfrm>
                    <a:off x="0" y="0"/>
                    <a:ext cx="5397500" cy="7635875"/>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337A" w:rsidRDefault="004D337A">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337A" w:rsidRDefault="004D337A">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337A" w:rsidRDefault="004D337A">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337A" w:rsidRDefault="004D337A">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337A" w:rsidRDefault="004D337A" w:rsidP="008D770F">
    <w:pPr>
      <w:pStyle w:val="HeaderNoLin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337A" w:rsidRDefault="004D337A" w:rsidP="006E08B3">
    <w:r>
      <w:t>Therapeutic Goods Administration</w:t>
    </w:r>
  </w:p>
  <w:p w:rsidR="004D337A" w:rsidRDefault="004D337A"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7FAC6602"/>
    <w:lvl w:ilvl="0">
      <w:start w:val="1"/>
      <w:numFmt w:val="decimal"/>
      <w:lvlText w:val="%1."/>
      <w:lvlJc w:val="left"/>
      <w:pPr>
        <w:tabs>
          <w:tab w:val="num" w:pos="1492"/>
        </w:tabs>
        <w:ind w:left="1492" w:hanging="360"/>
      </w:pPr>
    </w:lvl>
  </w:abstractNum>
  <w:abstractNum w:abstractNumId="1">
    <w:nsid w:val="FFFFFF7D"/>
    <w:multiLevelType w:val="singleLevel"/>
    <w:tmpl w:val="40381C9A"/>
    <w:lvl w:ilvl="0">
      <w:start w:val="1"/>
      <w:numFmt w:val="decimal"/>
      <w:lvlText w:val="%1."/>
      <w:lvlJc w:val="left"/>
      <w:pPr>
        <w:tabs>
          <w:tab w:val="num" w:pos="1209"/>
        </w:tabs>
        <w:ind w:left="1209" w:hanging="360"/>
      </w:pPr>
    </w:lvl>
  </w:abstractNum>
  <w:abstractNum w:abstractNumId="2">
    <w:nsid w:val="FFFFFF7E"/>
    <w:multiLevelType w:val="singleLevel"/>
    <w:tmpl w:val="030E7B6A"/>
    <w:lvl w:ilvl="0">
      <w:start w:val="1"/>
      <w:numFmt w:val="decimal"/>
      <w:lvlText w:val="%1."/>
      <w:lvlJc w:val="left"/>
      <w:pPr>
        <w:tabs>
          <w:tab w:val="num" w:pos="926"/>
        </w:tabs>
        <w:ind w:left="926" w:hanging="360"/>
      </w:pPr>
    </w:lvl>
  </w:abstractNum>
  <w:abstractNum w:abstractNumId="3">
    <w:nsid w:val="FFFFFF7F"/>
    <w:multiLevelType w:val="singleLevel"/>
    <w:tmpl w:val="ABE4D4DA"/>
    <w:lvl w:ilvl="0">
      <w:start w:val="1"/>
      <w:numFmt w:val="decimal"/>
      <w:lvlText w:val="%1."/>
      <w:lvlJc w:val="left"/>
      <w:pPr>
        <w:tabs>
          <w:tab w:val="num" w:pos="643"/>
        </w:tabs>
        <w:ind w:left="643" w:hanging="360"/>
      </w:pPr>
    </w:lvl>
  </w:abstractNum>
  <w:abstractNum w:abstractNumId="4">
    <w:nsid w:val="FFFFFF80"/>
    <w:multiLevelType w:val="singleLevel"/>
    <w:tmpl w:val="1B76D1C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2846946"/>
    <w:lvl w:ilvl="0">
      <w:start w:val="1"/>
      <w:numFmt w:val="bullet"/>
      <w:lvlText w:val=""/>
      <w:lvlJc w:val="left"/>
      <w:pPr>
        <w:tabs>
          <w:tab w:val="num" w:pos="1209"/>
        </w:tabs>
        <w:ind w:left="1209" w:hanging="360"/>
      </w:pPr>
      <w:rPr>
        <w:rFonts w:ascii="Symbol" w:hAnsi="Symbol" w:hint="default"/>
      </w:rPr>
    </w:lvl>
  </w:abstractNum>
  <w:abstractNum w:abstractNumId="6">
    <w:nsid w:val="FFFFFF88"/>
    <w:multiLevelType w:val="singleLevel"/>
    <w:tmpl w:val="CAE6958C"/>
    <w:lvl w:ilvl="0">
      <w:start w:val="1"/>
      <w:numFmt w:val="decimal"/>
      <w:lvlText w:val="%1."/>
      <w:lvlJc w:val="left"/>
      <w:pPr>
        <w:tabs>
          <w:tab w:val="num" w:pos="360"/>
        </w:tabs>
        <w:ind w:left="360" w:hanging="360"/>
      </w:pPr>
    </w:lvl>
  </w:abstractNum>
  <w:abstractNum w:abstractNumId="7">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nsid w:val="3066740A"/>
    <w:multiLevelType w:val="hybridMultilevel"/>
    <w:tmpl w:val="47307618"/>
    <w:lvl w:ilvl="0" w:tplc="AAAE3F22">
      <w:start w:val="1"/>
      <w:numFmt w:val="bullet"/>
      <w:pStyle w:val="Bullet1"/>
      <w:lvlText w:val="•"/>
      <w:lvlJc w:val="left"/>
      <w:pPr>
        <w:tabs>
          <w:tab w:val="num" w:pos="284"/>
        </w:tabs>
        <w:ind w:left="284" w:hanging="284"/>
      </w:pPr>
      <w:rPr>
        <w:rFonts w:ascii="Times New Roman" w:hAnsi="Times New Roman" w:hint="default"/>
      </w:rPr>
    </w:lvl>
    <w:lvl w:ilvl="1" w:tplc="0C090001">
      <w:start w:val="1"/>
      <w:numFmt w:val="bullet"/>
      <w:lvlText w:val=""/>
      <w:lvlJc w:val="left"/>
      <w:pPr>
        <w:tabs>
          <w:tab w:val="num" w:pos="1724"/>
        </w:tabs>
        <w:ind w:left="1724" w:hanging="360"/>
      </w:pPr>
      <w:rPr>
        <w:rFonts w:ascii="Symbol" w:hAnsi="Symbol"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0">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843"/>
        </w:tabs>
        <w:ind w:left="1843"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num w:numId="1">
    <w:abstractNumId w:val="8"/>
  </w:num>
  <w:num w:numId="2">
    <w:abstractNumId w:val="7"/>
  </w:num>
  <w:num w:numId="3">
    <w:abstractNumId w:val="8"/>
  </w:num>
  <w:num w:numId="4">
    <w:abstractNumId w:val="7"/>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10"/>
  </w:num>
  <w:num w:numId="6">
    <w:abstractNumId w:val="9"/>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4"/>
  </w:num>
  <w:num w:numId="10">
    <w:abstractNumId w:val="6"/>
  </w:num>
  <w:num w:numId="11">
    <w:abstractNumId w:val="3"/>
  </w:num>
  <w:num w:numId="12">
    <w:abstractNumId w:val="2"/>
  </w:num>
  <w:num w:numId="13">
    <w:abstractNumId w:val="1"/>
  </w:num>
  <w:num w:numId="14">
    <w:abstractNumId w:val="0"/>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5"/>
  <w:displayBackgroundShape/>
  <w:proofState w:spelling="clean" w:grammar="clean"/>
  <w:stylePaneFormatFilter w:val="1004"/>
  <w:stylePaneSortMethod w:val="0000"/>
  <w:defaultTabStop w:val="720"/>
  <w:defaultTableStyle w:val="TableTGAblue"/>
  <w:drawingGridHorizontalSpacing w:val="110"/>
  <w:displayHorizontalDrawingGridEvery w:val="2"/>
  <w:characterSpacingControl w:val="doNotCompress"/>
  <w:hdrShapeDefaults>
    <o:shapedefaults v:ext="edit" spidmax="54274">
      <o:colormenu v:ext="edit" fillcolor="none [3206]"/>
    </o:shapedefaults>
  </w:hdrShapeDefaults>
  <w:footnotePr>
    <w:footnote w:id="-1"/>
    <w:footnote w:id="0"/>
  </w:footnotePr>
  <w:endnotePr>
    <w:endnote w:id="-1"/>
    <w:endnote w:id="0"/>
  </w:endnotePr>
  <w:compat/>
  <w:rsids>
    <w:rsidRoot w:val="0017078F"/>
    <w:rsid w:val="00002031"/>
    <w:rsid w:val="00004734"/>
    <w:rsid w:val="00006B22"/>
    <w:rsid w:val="0001276A"/>
    <w:rsid w:val="000246AE"/>
    <w:rsid w:val="00025C67"/>
    <w:rsid w:val="000378A2"/>
    <w:rsid w:val="00040ACB"/>
    <w:rsid w:val="00040B35"/>
    <w:rsid w:val="0005559E"/>
    <w:rsid w:val="000638D0"/>
    <w:rsid w:val="00066D87"/>
    <w:rsid w:val="00070378"/>
    <w:rsid w:val="000722E9"/>
    <w:rsid w:val="000724AE"/>
    <w:rsid w:val="000725C7"/>
    <w:rsid w:val="00077775"/>
    <w:rsid w:val="00083368"/>
    <w:rsid w:val="00090471"/>
    <w:rsid w:val="00096A4A"/>
    <w:rsid w:val="000A3AED"/>
    <w:rsid w:val="000A63AF"/>
    <w:rsid w:val="000B0ABB"/>
    <w:rsid w:val="000B3532"/>
    <w:rsid w:val="000B3A75"/>
    <w:rsid w:val="000B69F1"/>
    <w:rsid w:val="000C690F"/>
    <w:rsid w:val="000D1295"/>
    <w:rsid w:val="000D391B"/>
    <w:rsid w:val="000D3D6D"/>
    <w:rsid w:val="000D4FC7"/>
    <w:rsid w:val="000E34A6"/>
    <w:rsid w:val="000F02F9"/>
    <w:rsid w:val="000F4869"/>
    <w:rsid w:val="000F5B42"/>
    <w:rsid w:val="000F6E6F"/>
    <w:rsid w:val="0010234E"/>
    <w:rsid w:val="00104613"/>
    <w:rsid w:val="0010601F"/>
    <w:rsid w:val="0010788A"/>
    <w:rsid w:val="00107A31"/>
    <w:rsid w:val="00110EA5"/>
    <w:rsid w:val="00112F56"/>
    <w:rsid w:val="00125318"/>
    <w:rsid w:val="001305A2"/>
    <w:rsid w:val="001328C1"/>
    <w:rsid w:val="00133238"/>
    <w:rsid w:val="00136805"/>
    <w:rsid w:val="00140BBE"/>
    <w:rsid w:val="0014197B"/>
    <w:rsid w:val="001447CD"/>
    <w:rsid w:val="00145C72"/>
    <w:rsid w:val="00146BB6"/>
    <w:rsid w:val="001516B1"/>
    <w:rsid w:val="00154EBB"/>
    <w:rsid w:val="00156316"/>
    <w:rsid w:val="00165389"/>
    <w:rsid w:val="00167407"/>
    <w:rsid w:val="0017078F"/>
    <w:rsid w:val="0017693F"/>
    <w:rsid w:val="00177BD2"/>
    <w:rsid w:val="0018110E"/>
    <w:rsid w:val="00181684"/>
    <w:rsid w:val="001843C6"/>
    <w:rsid w:val="001850E0"/>
    <w:rsid w:val="001A0BAC"/>
    <w:rsid w:val="001A2158"/>
    <w:rsid w:val="001A525F"/>
    <w:rsid w:val="001B09F9"/>
    <w:rsid w:val="001B2668"/>
    <w:rsid w:val="001B6448"/>
    <w:rsid w:val="001C785E"/>
    <w:rsid w:val="001D0DC7"/>
    <w:rsid w:val="001D61AB"/>
    <w:rsid w:val="001E07CF"/>
    <w:rsid w:val="001E59F1"/>
    <w:rsid w:val="001E6EB0"/>
    <w:rsid w:val="001F3277"/>
    <w:rsid w:val="001F49EB"/>
    <w:rsid w:val="001F4D52"/>
    <w:rsid w:val="001F6CBA"/>
    <w:rsid w:val="00201D4E"/>
    <w:rsid w:val="002047D9"/>
    <w:rsid w:val="002076C9"/>
    <w:rsid w:val="00213BCE"/>
    <w:rsid w:val="00220B8A"/>
    <w:rsid w:val="002257F3"/>
    <w:rsid w:val="00226328"/>
    <w:rsid w:val="00233456"/>
    <w:rsid w:val="002339A5"/>
    <w:rsid w:val="00234E65"/>
    <w:rsid w:val="00245EEF"/>
    <w:rsid w:val="00246BC1"/>
    <w:rsid w:val="00257848"/>
    <w:rsid w:val="002654C3"/>
    <w:rsid w:val="002666AC"/>
    <w:rsid w:val="00270663"/>
    <w:rsid w:val="0027084A"/>
    <w:rsid w:val="0027647B"/>
    <w:rsid w:val="002829A3"/>
    <w:rsid w:val="00286434"/>
    <w:rsid w:val="00286C59"/>
    <w:rsid w:val="002903B5"/>
    <w:rsid w:val="00292067"/>
    <w:rsid w:val="00294084"/>
    <w:rsid w:val="002942D1"/>
    <w:rsid w:val="0029501A"/>
    <w:rsid w:val="002B1638"/>
    <w:rsid w:val="002C0088"/>
    <w:rsid w:val="002C63ED"/>
    <w:rsid w:val="002C6D74"/>
    <w:rsid w:val="002D6161"/>
    <w:rsid w:val="002E4C9A"/>
    <w:rsid w:val="002F11F8"/>
    <w:rsid w:val="002F3F56"/>
    <w:rsid w:val="002F44B5"/>
    <w:rsid w:val="00301E2C"/>
    <w:rsid w:val="00301E3D"/>
    <w:rsid w:val="00311AC0"/>
    <w:rsid w:val="00311C69"/>
    <w:rsid w:val="003171A1"/>
    <w:rsid w:val="0032583B"/>
    <w:rsid w:val="00327883"/>
    <w:rsid w:val="00335504"/>
    <w:rsid w:val="003521E8"/>
    <w:rsid w:val="003728F3"/>
    <w:rsid w:val="0037496E"/>
    <w:rsid w:val="0037623D"/>
    <w:rsid w:val="00386150"/>
    <w:rsid w:val="003874CE"/>
    <w:rsid w:val="00390900"/>
    <w:rsid w:val="003928DC"/>
    <w:rsid w:val="003A7DE2"/>
    <w:rsid w:val="003A7F6C"/>
    <w:rsid w:val="003B1113"/>
    <w:rsid w:val="003B14E3"/>
    <w:rsid w:val="003B4D60"/>
    <w:rsid w:val="003B7E39"/>
    <w:rsid w:val="003C17AA"/>
    <w:rsid w:val="003C58DC"/>
    <w:rsid w:val="003D0A3B"/>
    <w:rsid w:val="003D18EB"/>
    <w:rsid w:val="003D1E62"/>
    <w:rsid w:val="003D604D"/>
    <w:rsid w:val="003E2486"/>
    <w:rsid w:val="003E3208"/>
    <w:rsid w:val="003F0B04"/>
    <w:rsid w:val="0040134E"/>
    <w:rsid w:val="00407451"/>
    <w:rsid w:val="00415D59"/>
    <w:rsid w:val="00422ACA"/>
    <w:rsid w:val="004369CA"/>
    <w:rsid w:val="0043797D"/>
    <w:rsid w:val="00440A2D"/>
    <w:rsid w:val="0044103E"/>
    <w:rsid w:val="00441607"/>
    <w:rsid w:val="004564A7"/>
    <w:rsid w:val="00456F6C"/>
    <w:rsid w:val="004617BF"/>
    <w:rsid w:val="004631F8"/>
    <w:rsid w:val="00463658"/>
    <w:rsid w:val="004722CC"/>
    <w:rsid w:val="00473CAC"/>
    <w:rsid w:val="004751B5"/>
    <w:rsid w:val="004752F5"/>
    <w:rsid w:val="004770D0"/>
    <w:rsid w:val="00484387"/>
    <w:rsid w:val="00484BFC"/>
    <w:rsid w:val="004936E4"/>
    <w:rsid w:val="00494E60"/>
    <w:rsid w:val="00497487"/>
    <w:rsid w:val="004A43CC"/>
    <w:rsid w:val="004A7E13"/>
    <w:rsid w:val="004B08EC"/>
    <w:rsid w:val="004B7B76"/>
    <w:rsid w:val="004C0C4D"/>
    <w:rsid w:val="004C2DCA"/>
    <w:rsid w:val="004D337A"/>
    <w:rsid w:val="004E2588"/>
    <w:rsid w:val="004F0F38"/>
    <w:rsid w:val="005017E5"/>
    <w:rsid w:val="00501921"/>
    <w:rsid w:val="00505FAE"/>
    <w:rsid w:val="0052472C"/>
    <w:rsid w:val="0052785D"/>
    <w:rsid w:val="00530354"/>
    <w:rsid w:val="0053625B"/>
    <w:rsid w:val="005434C6"/>
    <w:rsid w:val="00543B39"/>
    <w:rsid w:val="00550096"/>
    <w:rsid w:val="00552326"/>
    <w:rsid w:val="0055285B"/>
    <w:rsid w:val="00557FF9"/>
    <w:rsid w:val="005719FD"/>
    <w:rsid w:val="00572E9E"/>
    <w:rsid w:val="00576378"/>
    <w:rsid w:val="005767C6"/>
    <w:rsid w:val="00577945"/>
    <w:rsid w:val="00577B76"/>
    <w:rsid w:val="00577E38"/>
    <w:rsid w:val="00585322"/>
    <w:rsid w:val="005857C6"/>
    <w:rsid w:val="00586F98"/>
    <w:rsid w:val="00592F6E"/>
    <w:rsid w:val="00593AD1"/>
    <w:rsid w:val="005A611F"/>
    <w:rsid w:val="005A68B6"/>
    <w:rsid w:val="005A798B"/>
    <w:rsid w:val="005C5570"/>
    <w:rsid w:val="005C79A4"/>
    <w:rsid w:val="005D2CEA"/>
    <w:rsid w:val="005D2DDB"/>
    <w:rsid w:val="005D5442"/>
    <w:rsid w:val="005E625B"/>
    <w:rsid w:val="005E6631"/>
    <w:rsid w:val="005F384B"/>
    <w:rsid w:val="00603F32"/>
    <w:rsid w:val="00606C7A"/>
    <w:rsid w:val="00632398"/>
    <w:rsid w:val="00640FC3"/>
    <w:rsid w:val="00642020"/>
    <w:rsid w:val="00644EF7"/>
    <w:rsid w:val="00646206"/>
    <w:rsid w:val="0065337B"/>
    <w:rsid w:val="0065419D"/>
    <w:rsid w:val="006559E6"/>
    <w:rsid w:val="006604D8"/>
    <w:rsid w:val="0066367F"/>
    <w:rsid w:val="00664A5B"/>
    <w:rsid w:val="0067198B"/>
    <w:rsid w:val="006745AC"/>
    <w:rsid w:val="006763D2"/>
    <w:rsid w:val="00680C08"/>
    <w:rsid w:val="00687466"/>
    <w:rsid w:val="006931B1"/>
    <w:rsid w:val="006950FF"/>
    <w:rsid w:val="006A15C0"/>
    <w:rsid w:val="006A3AED"/>
    <w:rsid w:val="006B703B"/>
    <w:rsid w:val="006B74A7"/>
    <w:rsid w:val="006C130C"/>
    <w:rsid w:val="006C35E6"/>
    <w:rsid w:val="006C3E2A"/>
    <w:rsid w:val="006C642F"/>
    <w:rsid w:val="006C66D9"/>
    <w:rsid w:val="006D039F"/>
    <w:rsid w:val="006D03E5"/>
    <w:rsid w:val="006D5D3E"/>
    <w:rsid w:val="006E08B3"/>
    <w:rsid w:val="006E4AE8"/>
    <w:rsid w:val="006F17AC"/>
    <w:rsid w:val="006F2796"/>
    <w:rsid w:val="006F572E"/>
    <w:rsid w:val="007046D6"/>
    <w:rsid w:val="00705DB0"/>
    <w:rsid w:val="00722B57"/>
    <w:rsid w:val="007377E6"/>
    <w:rsid w:val="0074253D"/>
    <w:rsid w:val="0074429B"/>
    <w:rsid w:val="007513B4"/>
    <w:rsid w:val="007615BC"/>
    <w:rsid w:val="00762F05"/>
    <w:rsid w:val="0076322C"/>
    <w:rsid w:val="007652FF"/>
    <w:rsid w:val="00770EF1"/>
    <w:rsid w:val="00771DFD"/>
    <w:rsid w:val="007739C0"/>
    <w:rsid w:val="00773EF7"/>
    <w:rsid w:val="00774E1D"/>
    <w:rsid w:val="0077675A"/>
    <w:rsid w:val="00780355"/>
    <w:rsid w:val="007811E1"/>
    <w:rsid w:val="00785721"/>
    <w:rsid w:val="00787A7E"/>
    <w:rsid w:val="00793A59"/>
    <w:rsid w:val="007A0D28"/>
    <w:rsid w:val="007A62CC"/>
    <w:rsid w:val="007B6E9F"/>
    <w:rsid w:val="007C0286"/>
    <w:rsid w:val="007C1216"/>
    <w:rsid w:val="007C1AF7"/>
    <w:rsid w:val="007C67EC"/>
    <w:rsid w:val="007E6E27"/>
    <w:rsid w:val="007E76F2"/>
    <w:rsid w:val="007F30B4"/>
    <w:rsid w:val="00800294"/>
    <w:rsid w:val="00805D27"/>
    <w:rsid w:val="00821776"/>
    <w:rsid w:val="00827B06"/>
    <w:rsid w:val="008321F5"/>
    <w:rsid w:val="00832369"/>
    <w:rsid w:val="00834660"/>
    <w:rsid w:val="00836BC2"/>
    <w:rsid w:val="008414A0"/>
    <w:rsid w:val="00843E03"/>
    <w:rsid w:val="00852230"/>
    <w:rsid w:val="0085641B"/>
    <w:rsid w:val="00857136"/>
    <w:rsid w:val="00861739"/>
    <w:rsid w:val="00864E65"/>
    <w:rsid w:val="00880857"/>
    <w:rsid w:val="00886D15"/>
    <w:rsid w:val="00887DD8"/>
    <w:rsid w:val="00896018"/>
    <w:rsid w:val="008960DD"/>
    <w:rsid w:val="0089635C"/>
    <w:rsid w:val="008A2B9D"/>
    <w:rsid w:val="008A5E0B"/>
    <w:rsid w:val="008A67FC"/>
    <w:rsid w:val="008A6D59"/>
    <w:rsid w:val="008B4B03"/>
    <w:rsid w:val="008B596F"/>
    <w:rsid w:val="008B5A3E"/>
    <w:rsid w:val="008C159F"/>
    <w:rsid w:val="008C1623"/>
    <w:rsid w:val="008C1850"/>
    <w:rsid w:val="008C51A9"/>
    <w:rsid w:val="008D3541"/>
    <w:rsid w:val="008D770F"/>
    <w:rsid w:val="008E7846"/>
    <w:rsid w:val="008F1CCC"/>
    <w:rsid w:val="008F2967"/>
    <w:rsid w:val="008F5964"/>
    <w:rsid w:val="008F6943"/>
    <w:rsid w:val="00902A21"/>
    <w:rsid w:val="0091302A"/>
    <w:rsid w:val="00920330"/>
    <w:rsid w:val="009219D7"/>
    <w:rsid w:val="00922D53"/>
    <w:rsid w:val="00923B70"/>
    <w:rsid w:val="00924482"/>
    <w:rsid w:val="00930237"/>
    <w:rsid w:val="00934CC8"/>
    <w:rsid w:val="00936202"/>
    <w:rsid w:val="00944D3E"/>
    <w:rsid w:val="00946EA5"/>
    <w:rsid w:val="0095160F"/>
    <w:rsid w:val="00951956"/>
    <w:rsid w:val="00963C08"/>
    <w:rsid w:val="0096580A"/>
    <w:rsid w:val="0098585A"/>
    <w:rsid w:val="0098669D"/>
    <w:rsid w:val="009875D3"/>
    <w:rsid w:val="009A4CED"/>
    <w:rsid w:val="009A6272"/>
    <w:rsid w:val="009A690D"/>
    <w:rsid w:val="009B0AB9"/>
    <w:rsid w:val="009B1D12"/>
    <w:rsid w:val="009B416B"/>
    <w:rsid w:val="009B5445"/>
    <w:rsid w:val="009C2C5F"/>
    <w:rsid w:val="009C4BD5"/>
    <w:rsid w:val="009C7520"/>
    <w:rsid w:val="009D1856"/>
    <w:rsid w:val="009D4878"/>
    <w:rsid w:val="009D7B77"/>
    <w:rsid w:val="009E0BB0"/>
    <w:rsid w:val="009E3FBB"/>
    <w:rsid w:val="009F4CEC"/>
    <w:rsid w:val="00A07A0A"/>
    <w:rsid w:val="00A102E4"/>
    <w:rsid w:val="00A12C42"/>
    <w:rsid w:val="00A14DF7"/>
    <w:rsid w:val="00A20523"/>
    <w:rsid w:val="00A235D9"/>
    <w:rsid w:val="00A25E01"/>
    <w:rsid w:val="00A3246D"/>
    <w:rsid w:val="00A36FA7"/>
    <w:rsid w:val="00A44029"/>
    <w:rsid w:val="00A475B7"/>
    <w:rsid w:val="00A47AF7"/>
    <w:rsid w:val="00A47C3E"/>
    <w:rsid w:val="00A50226"/>
    <w:rsid w:val="00A55A25"/>
    <w:rsid w:val="00A574ED"/>
    <w:rsid w:val="00A60BAD"/>
    <w:rsid w:val="00A611D0"/>
    <w:rsid w:val="00A77E2B"/>
    <w:rsid w:val="00A831BE"/>
    <w:rsid w:val="00A942C1"/>
    <w:rsid w:val="00A964D1"/>
    <w:rsid w:val="00AA0462"/>
    <w:rsid w:val="00AA0ED0"/>
    <w:rsid w:val="00AA2BAA"/>
    <w:rsid w:val="00AA3499"/>
    <w:rsid w:val="00AC2B40"/>
    <w:rsid w:val="00AC2BB2"/>
    <w:rsid w:val="00AC2C3C"/>
    <w:rsid w:val="00AC4589"/>
    <w:rsid w:val="00AC512D"/>
    <w:rsid w:val="00AC6473"/>
    <w:rsid w:val="00AD4077"/>
    <w:rsid w:val="00AD5861"/>
    <w:rsid w:val="00AE01C2"/>
    <w:rsid w:val="00AE5236"/>
    <w:rsid w:val="00AE65EB"/>
    <w:rsid w:val="00AE67A7"/>
    <w:rsid w:val="00AF1D94"/>
    <w:rsid w:val="00AF60C5"/>
    <w:rsid w:val="00AF7969"/>
    <w:rsid w:val="00B009C6"/>
    <w:rsid w:val="00B01548"/>
    <w:rsid w:val="00B02208"/>
    <w:rsid w:val="00B056CA"/>
    <w:rsid w:val="00B11B2C"/>
    <w:rsid w:val="00B1425E"/>
    <w:rsid w:val="00B21D29"/>
    <w:rsid w:val="00B25034"/>
    <w:rsid w:val="00B33588"/>
    <w:rsid w:val="00B33863"/>
    <w:rsid w:val="00B37D17"/>
    <w:rsid w:val="00B4175E"/>
    <w:rsid w:val="00B452CE"/>
    <w:rsid w:val="00B4680A"/>
    <w:rsid w:val="00B5198A"/>
    <w:rsid w:val="00B54C25"/>
    <w:rsid w:val="00B60CF1"/>
    <w:rsid w:val="00B76B91"/>
    <w:rsid w:val="00B77EB1"/>
    <w:rsid w:val="00B811C6"/>
    <w:rsid w:val="00B8479C"/>
    <w:rsid w:val="00B85A87"/>
    <w:rsid w:val="00B902E3"/>
    <w:rsid w:val="00B90934"/>
    <w:rsid w:val="00B92E08"/>
    <w:rsid w:val="00B94636"/>
    <w:rsid w:val="00B946B0"/>
    <w:rsid w:val="00B96EBE"/>
    <w:rsid w:val="00B97EF2"/>
    <w:rsid w:val="00BA59E6"/>
    <w:rsid w:val="00BB2A74"/>
    <w:rsid w:val="00BB7E14"/>
    <w:rsid w:val="00BC1EC1"/>
    <w:rsid w:val="00BC281D"/>
    <w:rsid w:val="00BC622A"/>
    <w:rsid w:val="00BD0385"/>
    <w:rsid w:val="00BD45E3"/>
    <w:rsid w:val="00BE0A78"/>
    <w:rsid w:val="00BE5FF1"/>
    <w:rsid w:val="00BE6252"/>
    <w:rsid w:val="00BE79F0"/>
    <w:rsid w:val="00BF046D"/>
    <w:rsid w:val="00BF1190"/>
    <w:rsid w:val="00BF2A37"/>
    <w:rsid w:val="00BF5D04"/>
    <w:rsid w:val="00C02CAC"/>
    <w:rsid w:val="00C1164D"/>
    <w:rsid w:val="00C15B46"/>
    <w:rsid w:val="00C16861"/>
    <w:rsid w:val="00C22678"/>
    <w:rsid w:val="00C33DCF"/>
    <w:rsid w:val="00C34FF6"/>
    <w:rsid w:val="00C3552B"/>
    <w:rsid w:val="00C37FD7"/>
    <w:rsid w:val="00C404A6"/>
    <w:rsid w:val="00C40A36"/>
    <w:rsid w:val="00C44419"/>
    <w:rsid w:val="00C4478A"/>
    <w:rsid w:val="00C45E7B"/>
    <w:rsid w:val="00C471B1"/>
    <w:rsid w:val="00C618F7"/>
    <w:rsid w:val="00C61D1D"/>
    <w:rsid w:val="00C6316B"/>
    <w:rsid w:val="00C634A9"/>
    <w:rsid w:val="00C64586"/>
    <w:rsid w:val="00C70D53"/>
    <w:rsid w:val="00C73D0B"/>
    <w:rsid w:val="00C772FF"/>
    <w:rsid w:val="00C801AF"/>
    <w:rsid w:val="00C80256"/>
    <w:rsid w:val="00C811C0"/>
    <w:rsid w:val="00C86B6B"/>
    <w:rsid w:val="00C91615"/>
    <w:rsid w:val="00C97E6A"/>
    <w:rsid w:val="00CB6BC0"/>
    <w:rsid w:val="00CC1B49"/>
    <w:rsid w:val="00CC1B7C"/>
    <w:rsid w:val="00CC2600"/>
    <w:rsid w:val="00CC727F"/>
    <w:rsid w:val="00CD366B"/>
    <w:rsid w:val="00CD754A"/>
    <w:rsid w:val="00CD7D31"/>
    <w:rsid w:val="00CE73EE"/>
    <w:rsid w:val="00CF0BD2"/>
    <w:rsid w:val="00CF15C3"/>
    <w:rsid w:val="00CF2B6F"/>
    <w:rsid w:val="00CF3678"/>
    <w:rsid w:val="00CF58B6"/>
    <w:rsid w:val="00D017ED"/>
    <w:rsid w:val="00D040D3"/>
    <w:rsid w:val="00D04C65"/>
    <w:rsid w:val="00D142F9"/>
    <w:rsid w:val="00D224FE"/>
    <w:rsid w:val="00D34643"/>
    <w:rsid w:val="00D36057"/>
    <w:rsid w:val="00D53A31"/>
    <w:rsid w:val="00D6493E"/>
    <w:rsid w:val="00D7301E"/>
    <w:rsid w:val="00D73362"/>
    <w:rsid w:val="00D83AE1"/>
    <w:rsid w:val="00D8541B"/>
    <w:rsid w:val="00D855D4"/>
    <w:rsid w:val="00D903D9"/>
    <w:rsid w:val="00D93466"/>
    <w:rsid w:val="00D93815"/>
    <w:rsid w:val="00DA1124"/>
    <w:rsid w:val="00DA4467"/>
    <w:rsid w:val="00DB22EB"/>
    <w:rsid w:val="00DB75B7"/>
    <w:rsid w:val="00DC2B9B"/>
    <w:rsid w:val="00DC6E02"/>
    <w:rsid w:val="00DC784B"/>
    <w:rsid w:val="00DD5E7C"/>
    <w:rsid w:val="00DD723B"/>
    <w:rsid w:val="00DE02AE"/>
    <w:rsid w:val="00DE1000"/>
    <w:rsid w:val="00DE17F9"/>
    <w:rsid w:val="00DE36EC"/>
    <w:rsid w:val="00DF1064"/>
    <w:rsid w:val="00DF1D7F"/>
    <w:rsid w:val="00DF4BE4"/>
    <w:rsid w:val="00DF74CB"/>
    <w:rsid w:val="00E02FB4"/>
    <w:rsid w:val="00E06D8E"/>
    <w:rsid w:val="00E06E01"/>
    <w:rsid w:val="00E07124"/>
    <w:rsid w:val="00E07F15"/>
    <w:rsid w:val="00E10955"/>
    <w:rsid w:val="00E20571"/>
    <w:rsid w:val="00E235F7"/>
    <w:rsid w:val="00E23659"/>
    <w:rsid w:val="00E239D4"/>
    <w:rsid w:val="00E26130"/>
    <w:rsid w:val="00E2741C"/>
    <w:rsid w:val="00E40B22"/>
    <w:rsid w:val="00E45619"/>
    <w:rsid w:val="00E4588F"/>
    <w:rsid w:val="00E46DA3"/>
    <w:rsid w:val="00E51BB1"/>
    <w:rsid w:val="00E624A5"/>
    <w:rsid w:val="00E65DE3"/>
    <w:rsid w:val="00E7344E"/>
    <w:rsid w:val="00E85644"/>
    <w:rsid w:val="00E87826"/>
    <w:rsid w:val="00E91025"/>
    <w:rsid w:val="00EB0798"/>
    <w:rsid w:val="00EB19B9"/>
    <w:rsid w:val="00EB40AD"/>
    <w:rsid w:val="00EB586E"/>
    <w:rsid w:val="00EB5FC8"/>
    <w:rsid w:val="00ED3CAD"/>
    <w:rsid w:val="00ED5A41"/>
    <w:rsid w:val="00EE1DE8"/>
    <w:rsid w:val="00EF5C33"/>
    <w:rsid w:val="00F033EC"/>
    <w:rsid w:val="00F04F68"/>
    <w:rsid w:val="00F12670"/>
    <w:rsid w:val="00F139B8"/>
    <w:rsid w:val="00F14B27"/>
    <w:rsid w:val="00F24342"/>
    <w:rsid w:val="00F25880"/>
    <w:rsid w:val="00F3148D"/>
    <w:rsid w:val="00F325C5"/>
    <w:rsid w:val="00F32FE0"/>
    <w:rsid w:val="00F35298"/>
    <w:rsid w:val="00F36227"/>
    <w:rsid w:val="00F47333"/>
    <w:rsid w:val="00F47C5D"/>
    <w:rsid w:val="00F47E37"/>
    <w:rsid w:val="00F53C07"/>
    <w:rsid w:val="00F54B65"/>
    <w:rsid w:val="00F640B6"/>
    <w:rsid w:val="00F6579F"/>
    <w:rsid w:val="00F77573"/>
    <w:rsid w:val="00F80E40"/>
    <w:rsid w:val="00F848D9"/>
    <w:rsid w:val="00FA38EC"/>
    <w:rsid w:val="00FA5B82"/>
    <w:rsid w:val="00FA639E"/>
    <w:rsid w:val="00FC1DB7"/>
    <w:rsid w:val="00FC25E4"/>
    <w:rsid w:val="00FC4EF7"/>
    <w:rsid w:val="00FC61E6"/>
    <w:rsid w:val="00FC6B15"/>
    <w:rsid w:val="00FD70DB"/>
    <w:rsid w:val="00FE1DEE"/>
    <w:rsid w:val="00FE7615"/>
    <w:rsid w:val="00FE7728"/>
    <w:rsid w:val="00FF2126"/>
    <w:rsid w:val="00FF317D"/>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54274">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A574ED"/>
    <w:pPr>
      <w:spacing w:before="120" w:after="120" w:line="240" w:lineRule="atLeast"/>
    </w:pPr>
    <w:rPr>
      <w:sz w:val="22"/>
      <w:szCs w:val="22"/>
      <w:lang w:eastAsia="en-US"/>
    </w:rPr>
  </w:style>
  <w:style w:type="paragraph" w:styleId="Heading1">
    <w:name w:val="heading 1"/>
    <w:basedOn w:val="Heading2"/>
    <w:next w:val="Normal"/>
    <w:link w:val="Heading1Char"/>
    <w:qFormat/>
    <w:rsid w:val="000C690F"/>
    <w:pPr>
      <w:spacing w:before="120" w:after="360"/>
      <w:outlineLvl w:val="0"/>
    </w:pPr>
    <w:rPr>
      <w:rFonts w:cs="Arial"/>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5"/>
      </w:numPr>
      <w:spacing w:after="60" w:line="180" w:lineRule="atLeast"/>
      <w:ind w:left="1984" w:hanging="1644"/>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Arial" w:eastAsia="Times New Roman" w:hAnsi="Arial" w:cs="Arial"/>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b/>
      <w:bCs/>
      <w:sz w:val="22"/>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qFormat/>
    <w:rsid w:val="00F3148D"/>
    <w:pPr>
      <w:spacing w:line="220" w:lineRule="atLeast"/>
    </w:pPr>
    <w:rPr>
      <w:b/>
    </w:rPr>
  </w:style>
  <w:style w:type="character" w:customStyle="1" w:styleId="Heading4Char">
    <w:name w:val="Heading 4 Char"/>
    <w:basedOn w:val="DefaultParagraphFont"/>
    <w:link w:val="Heading4"/>
    <w:rsid w:val="008D770F"/>
    <w:rPr>
      <w:rFonts w:eastAsia="MS Mincho"/>
      <w:b/>
      <w:bCs/>
      <w:sz w:val="22"/>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eastAsia="Times New Roman"/>
      <w:b/>
      <w:bCs/>
      <w:i/>
      <w:color w:val="001523"/>
      <w:sz w:val="22"/>
      <w:szCs w:val="21"/>
      <w:lang w:eastAsia="en-US"/>
    </w:rPr>
  </w:style>
  <w:style w:type="character" w:customStyle="1" w:styleId="Heading6Char">
    <w:name w:val="Heading 6 Char"/>
    <w:basedOn w:val="DefaultParagraphFont"/>
    <w:link w:val="Heading6"/>
    <w:uiPriority w:val="9"/>
    <w:rsid w:val="000F02F9"/>
    <w:rPr>
      <w:rFonts w:eastAsia="Times New Roman"/>
      <w:bCs/>
      <w:i/>
      <w:sz w:val="22"/>
      <w:szCs w:val="21"/>
      <w:lang w:eastAsia="en-US"/>
    </w:rPr>
  </w:style>
  <w:style w:type="character" w:customStyle="1" w:styleId="Heading7Char">
    <w:name w:val="Heading 7 Char"/>
    <w:basedOn w:val="DefaultParagraphFont"/>
    <w:link w:val="Heading7"/>
    <w:uiPriority w:val="9"/>
    <w:rsid w:val="000F02F9"/>
    <w:rPr>
      <w:rFonts w:eastAsia="Times New Roman"/>
      <w:bCs/>
      <w:sz w:val="18"/>
      <w:szCs w:val="24"/>
      <w:lang w:eastAsia="en-US"/>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ind w:left="170" w:right="170"/>
    </w:pPr>
    <w:rPr>
      <w:color w:val="000000"/>
      <w:szCs w:val="21"/>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ind w:left="170" w:right="170"/>
    </w:pPr>
    <w:rPr>
      <w:color w:val="000000"/>
      <w:szCs w:val="2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shd w:val="clear" w:color="auto" w:fill="000000"/>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contextualSpacing/>
    </w:pPr>
    <w:rPr>
      <w:rFonts w:ascii="Arial" w:eastAsia="Times New Roman" w:hAnsi="Arial"/>
      <w:spacing w:val="5"/>
      <w:kern w:val="28"/>
      <w:sz w:val="52"/>
      <w:szCs w:val="52"/>
      <w:lang w:eastAsia="en-US"/>
    </w:rPr>
  </w:style>
  <w:style w:type="character" w:customStyle="1" w:styleId="TitleChar">
    <w:name w:val="Title Char"/>
    <w:basedOn w:val="DefaultParagraphFont"/>
    <w:link w:val="Title"/>
    <w:uiPriority w:val="10"/>
    <w:rsid w:val="00F3148D"/>
    <w:rPr>
      <w:rFonts w:ascii="Arial" w:eastAsia="Times New Roman" w:hAnsi="Arial"/>
      <w:spacing w:val="5"/>
      <w:kern w:val="28"/>
      <w:sz w:val="52"/>
      <w:szCs w:val="52"/>
      <w:lang w:val="en-AU" w:eastAsia="en-US" w:bidi="ar-SA"/>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imes New Roman"/>
      <w:color w:val="002035"/>
      <w:sz w:val="28"/>
      <w:lang w:val="en-US"/>
    </w:rPr>
  </w:style>
  <w:style w:type="paragraph" w:styleId="FootnoteText">
    <w:name w:val="footnote text"/>
    <w:basedOn w:val="Normal"/>
    <w:link w:val="FootnoteTextChar"/>
    <w:uiPriority w:val="99"/>
    <w:semiHidden/>
    <w:unhideWhenUsed/>
    <w:rsid w:val="00A574ED"/>
    <w:pPr>
      <w:spacing w:before="0" w:after="0" w:line="240" w:lineRule="auto"/>
    </w:pPr>
    <w:rPr>
      <w:sz w:val="18"/>
      <w:szCs w:val="20"/>
    </w:rPr>
  </w:style>
  <w:style w:type="character" w:customStyle="1" w:styleId="FootnoteTextChar">
    <w:name w:val="Footnote Text Char"/>
    <w:basedOn w:val="DefaultParagraphFont"/>
    <w:link w:val="FootnoteText"/>
    <w:uiPriority w:val="99"/>
    <w:semiHidden/>
    <w:rsid w:val="00A574ED"/>
    <w:rPr>
      <w:sz w:val="18"/>
      <w:lang w:eastAsia="en-US"/>
    </w:rPr>
  </w:style>
  <w:style w:type="character" w:styleId="FootnoteReference">
    <w:name w:val="footnote reference"/>
    <w:basedOn w:val="DefaultParagraphFont"/>
    <w:uiPriority w:val="99"/>
    <w:semiHidden/>
    <w:unhideWhenUsed/>
    <w:rsid w:val="001A0BAC"/>
    <w:rPr>
      <w:vertAlign w:val="superscript"/>
    </w:rPr>
  </w:style>
  <w:style w:type="paragraph" w:customStyle="1" w:styleId="Bullet1">
    <w:name w:val="Bullet 1"/>
    <w:basedOn w:val="Normal"/>
    <w:rsid w:val="00FE7615"/>
    <w:pPr>
      <w:numPr>
        <w:numId w:val="6"/>
      </w:numPr>
      <w:spacing w:after="0" w:line="240" w:lineRule="auto"/>
      <w:jc w:val="both"/>
    </w:pPr>
    <w:rPr>
      <w:rFonts w:eastAsia="Times New Roman"/>
      <w:kern w:val="24"/>
      <w:szCs w:val="24"/>
      <w:lang w:eastAsia="en-AU"/>
    </w:rPr>
  </w:style>
  <w:style w:type="paragraph" w:customStyle="1" w:styleId="Default">
    <w:name w:val="Default"/>
    <w:rsid w:val="002829A3"/>
    <w:pPr>
      <w:autoSpaceDE w:val="0"/>
      <w:autoSpaceDN w:val="0"/>
      <w:adjustRightInd w:val="0"/>
    </w:pPr>
    <w:rPr>
      <w:rFonts w:ascii="Times New Roman" w:eastAsia="MS Mincho" w:hAnsi="Times New Roman"/>
      <w:color w:val="000000"/>
      <w:sz w:val="24"/>
      <w:szCs w:val="24"/>
      <w:lang w:eastAsia="ja-JP"/>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jpeg"/><Relationship Id="rId63" Type="http://schemas.openxmlformats.org/officeDocument/2006/relationships/header" Target="header4.xml"/><Relationship Id="rId68" Type="http://schemas.openxmlformats.org/officeDocument/2006/relationships/header" Target="header7.xml"/><Relationship Id="rId7" Type="http://schemas.openxmlformats.org/officeDocument/2006/relationships/endnotes" Target="endnotes.xml"/><Relationship Id="rId71"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header" Target="header1.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jpeg"/><Relationship Id="rId66"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61" Type="http://schemas.openxmlformats.org/officeDocument/2006/relationships/image" Target="media/image50.jpeg"/><Relationship Id="rId10" Type="http://schemas.openxmlformats.org/officeDocument/2006/relationships/hyperlink" Target="mailto:tga.copyright@tga.gov.au"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header" Target="header5.xm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tga.gov.au/hp/information-medicines-pi.htm"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footer" Target="footer2.xml"/><Relationship Id="rId69" Type="http://schemas.openxmlformats.org/officeDocument/2006/relationships/footer" Target="footer4.xml"/><Relationship Id="rId8" Type="http://schemas.openxmlformats.org/officeDocument/2006/relationships/hyperlink" Target="http://www.tga.gov.au" TargetMode="External"/><Relationship Id="rId51" Type="http://schemas.openxmlformats.org/officeDocument/2006/relationships/image" Target="media/image40.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png"/><Relationship Id="rId59" Type="http://schemas.openxmlformats.org/officeDocument/2006/relationships/image" Target="media/image48.jpeg"/><Relationship Id="rId67" Type="http://schemas.openxmlformats.org/officeDocument/2006/relationships/header" Target="header6.xml"/><Relationship Id="rId20" Type="http://schemas.openxmlformats.org/officeDocument/2006/relationships/image" Target="media/image9.jpeg"/><Relationship Id="rId41" Type="http://schemas.openxmlformats.org/officeDocument/2006/relationships/image" Target="media/image30.png"/><Relationship Id="rId54" Type="http://schemas.openxmlformats.org/officeDocument/2006/relationships/image" Target="media/image43.jpeg"/><Relationship Id="rId62" Type="http://schemas.openxmlformats.org/officeDocument/2006/relationships/header" Target="header3.xml"/><Relationship Id="rId7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s>
</file>

<file path=word/_rels/footer4.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B054B7-1A67-409C-BC08-334C2F6CF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64</Pages>
  <Words>18200</Words>
  <Characters>98649</Characters>
  <Application>Microsoft Office Word</Application>
  <DocSecurity>0</DocSecurity>
  <Lines>1700</Lines>
  <Paragraphs>725</Paragraphs>
  <ScaleCrop>false</ScaleCrop>
  <HeadingPairs>
    <vt:vector size="2" baseType="variant">
      <vt:variant>
        <vt:lpstr>Title</vt:lpstr>
      </vt:variant>
      <vt:variant>
        <vt:i4>1</vt:i4>
      </vt:variant>
    </vt:vector>
  </HeadingPairs>
  <TitlesOfParts>
    <vt:vector size="1" baseType="lpstr">
      <vt:lpstr>Extract from the Clinical Evaluation Report for interferon beta-1a</vt:lpstr>
    </vt:vector>
  </TitlesOfParts>
  <Company>TGA</Company>
  <LinksUpToDate>false</LinksUpToDate>
  <CharactersWithSpaces>116124</CharactersWithSpaces>
  <SharedDoc>false</SharedDoc>
  <HLinks>
    <vt:vector size="288" baseType="variant">
      <vt:variant>
        <vt:i4>1114168</vt:i4>
      </vt:variant>
      <vt:variant>
        <vt:i4>263</vt:i4>
      </vt:variant>
      <vt:variant>
        <vt:i4>0</vt:i4>
      </vt:variant>
      <vt:variant>
        <vt:i4>5</vt:i4>
      </vt:variant>
      <vt:variant>
        <vt:lpwstr/>
      </vt:variant>
      <vt:variant>
        <vt:lpwstr>_Toc369515301</vt:lpwstr>
      </vt:variant>
      <vt:variant>
        <vt:i4>1114168</vt:i4>
      </vt:variant>
      <vt:variant>
        <vt:i4>257</vt:i4>
      </vt:variant>
      <vt:variant>
        <vt:i4>0</vt:i4>
      </vt:variant>
      <vt:variant>
        <vt:i4>5</vt:i4>
      </vt:variant>
      <vt:variant>
        <vt:lpwstr/>
      </vt:variant>
      <vt:variant>
        <vt:lpwstr>_Toc369515300</vt:lpwstr>
      </vt:variant>
      <vt:variant>
        <vt:i4>1572921</vt:i4>
      </vt:variant>
      <vt:variant>
        <vt:i4>251</vt:i4>
      </vt:variant>
      <vt:variant>
        <vt:i4>0</vt:i4>
      </vt:variant>
      <vt:variant>
        <vt:i4>5</vt:i4>
      </vt:variant>
      <vt:variant>
        <vt:lpwstr/>
      </vt:variant>
      <vt:variant>
        <vt:lpwstr>_Toc369515299</vt:lpwstr>
      </vt:variant>
      <vt:variant>
        <vt:i4>1572921</vt:i4>
      </vt:variant>
      <vt:variant>
        <vt:i4>245</vt:i4>
      </vt:variant>
      <vt:variant>
        <vt:i4>0</vt:i4>
      </vt:variant>
      <vt:variant>
        <vt:i4>5</vt:i4>
      </vt:variant>
      <vt:variant>
        <vt:lpwstr/>
      </vt:variant>
      <vt:variant>
        <vt:lpwstr>_Toc369515298</vt:lpwstr>
      </vt:variant>
      <vt:variant>
        <vt:i4>1572921</vt:i4>
      </vt:variant>
      <vt:variant>
        <vt:i4>239</vt:i4>
      </vt:variant>
      <vt:variant>
        <vt:i4>0</vt:i4>
      </vt:variant>
      <vt:variant>
        <vt:i4>5</vt:i4>
      </vt:variant>
      <vt:variant>
        <vt:lpwstr/>
      </vt:variant>
      <vt:variant>
        <vt:lpwstr>_Toc369515297</vt:lpwstr>
      </vt:variant>
      <vt:variant>
        <vt:i4>1572921</vt:i4>
      </vt:variant>
      <vt:variant>
        <vt:i4>233</vt:i4>
      </vt:variant>
      <vt:variant>
        <vt:i4>0</vt:i4>
      </vt:variant>
      <vt:variant>
        <vt:i4>5</vt:i4>
      </vt:variant>
      <vt:variant>
        <vt:lpwstr/>
      </vt:variant>
      <vt:variant>
        <vt:lpwstr>_Toc369515296</vt:lpwstr>
      </vt:variant>
      <vt:variant>
        <vt:i4>1572921</vt:i4>
      </vt:variant>
      <vt:variant>
        <vt:i4>227</vt:i4>
      </vt:variant>
      <vt:variant>
        <vt:i4>0</vt:i4>
      </vt:variant>
      <vt:variant>
        <vt:i4>5</vt:i4>
      </vt:variant>
      <vt:variant>
        <vt:lpwstr/>
      </vt:variant>
      <vt:variant>
        <vt:lpwstr>_Toc369515295</vt:lpwstr>
      </vt:variant>
      <vt:variant>
        <vt:i4>1572921</vt:i4>
      </vt:variant>
      <vt:variant>
        <vt:i4>221</vt:i4>
      </vt:variant>
      <vt:variant>
        <vt:i4>0</vt:i4>
      </vt:variant>
      <vt:variant>
        <vt:i4>5</vt:i4>
      </vt:variant>
      <vt:variant>
        <vt:lpwstr/>
      </vt:variant>
      <vt:variant>
        <vt:lpwstr>_Toc369515294</vt:lpwstr>
      </vt:variant>
      <vt:variant>
        <vt:i4>1572921</vt:i4>
      </vt:variant>
      <vt:variant>
        <vt:i4>215</vt:i4>
      </vt:variant>
      <vt:variant>
        <vt:i4>0</vt:i4>
      </vt:variant>
      <vt:variant>
        <vt:i4>5</vt:i4>
      </vt:variant>
      <vt:variant>
        <vt:lpwstr/>
      </vt:variant>
      <vt:variant>
        <vt:lpwstr>_Toc369515293</vt:lpwstr>
      </vt:variant>
      <vt:variant>
        <vt:i4>1572921</vt:i4>
      </vt:variant>
      <vt:variant>
        <vt:i4>209</vt:i4>
      </vt:variant>
      <vt:variant>
        <vt:i4>0</vt:i4>
      </vt:variant>
      <vt:variant>
        <vt:i4>5</vt:i4>
      </vt:variant>
      <vt:variant>
        <vt:lpwstr/>
      </vt:variant>
      <vt:variant>
        <vt:lpwstr>_Toc369515292</vt:lpwstr>
      </vt:variant>
      <vt:variant>
        <vt:i4>1572921</vt:i4>
      </vt:variant>
      <vt:variant>
        <vt:i4>203</vt:i4>
      </vt:variant>
      <vt:variant>
        <vt:i4>0</vt:i4>
      </vt:variant>
      <vt:variant>
        <vt:i4>5</vt:i4>
      </vt:variant>
      <vt:variant>
        <vt:lpwstr/>
      </vt:variant>
      <vt:variant>
        <vt:lpwstr>_Toc369515291</vt:lpwstr>
      </vt:variant>
      <vt:variant>
        <vt:i4>1572921</vt:i4>
      </vt:variant>
      <vt:variant>
        <vt:i4>197</vt:i4>
      </vt:variant>
      <vt:variant>
        <vt:i4>0</vt:i4>
      </vt:variant>
      <vt:variant>
        <vt:i4>5</vt:i4>
      </vt:variant>
      <vt:variant>
        <vt:lpwstr/>
      </vt:variant>
      <vt:variant>
        <vt:lpwstr>_Toc369515290</vt:lpwstr>
      </vt:variant>
      <vt:variant>
        <vt:i4>1638457</vt:i4>
      </vt:variant>
      <vt:variant>
        <vt:i4>191</vt:i4>
      </vt:variant>
      <vt:variant>
        <vt:i4>0</vt:i4>
      </vt:variant>
      <vt:variant>
        <vt:i4>5</vt:i4>
      </vt:variant>
      <vt:variant>
        <vt:lpwstr/>
      </vt:variant>
      <vt:variant>
        <vt:lpwstr>_Toc369515289</vt:lpwstr>
      </vt:variant>
      <vt:variant>
        <vt:i4>1638457</vt:i4>
      </vt:variant>
      <vt:variant>
        <vt:i4>185</vt:i4>
      </vt:variant>
      <vt:variant>
        <vt:i4>0</vt:i4>
      </vt:variant>
      <vt:variant>
        <vt:i4>5</vt:i4>
      </vt:variant>
      <vt:variant>
        <vt:lpwstr/>
      </vt:variant>
      <vt:variant>
        <vt:lpwstr>_Toc369515288</vt:lpwstr>
      </vt:variant>
      <vt:variant>
        <vt:i4>1638457</vt:i4>
      </vt:variant>
      <vt:variant>
        <vt:i4>179</vt:i4>
      </vt:variant>
      <vt:variant>
        <vt:i4>0</vt:i4>
      </vt:variant>
      <vt:variant>
        <vt:i4>5</vt:i4>
      </vt:variant>
      <vt:variant>
        <vt:lpwstr/>
      </vt:variant>
      <vt:variant>
        <vt:lpwstr>_Toc369515287</vt:lpwstr>
      </vt:variant>
      <vt:variant>
        <vt:i4>1638457</vt:i4>
      </vt:variant>
      <vt:variant>
        <vt:i4>173</vt:i4>
      </vt:variant>
      <vt:variant>
        <vt:i4>0</vt:i4>
      </vt:variant>
      <vt:variant>
        <vt:i4>5</vt:i4>
      </vt:variant>
      <vt:variant>
        <vt:lpwstr/>
      </vt:variant>
      <vt:variant>
        <vt:lpwstr>_Toc369515286</vt:lpwstr>
      </vt:variant>
      <vt:variant>
        <vt:i4>1638457</vt:i4>
      </vt:variant>
      <vt:variant>
        <vt:i4>167</vt:i4>
      </vt:variant>
      <vt:variant>
        <vt:i4>0</vt:i4>
      </vt:variant>
      <vt:variant>
        <vt:i4>5</vt:i4>
      </vt:variant>
      <vt:variant>
        <vt:lpwstr/>
      </vt:variant>
      <vt:variant>
        <vt:lpwstr>_Toc369515285</vt:lpwstr>
      </vt:variant>
      <vt:variant>
        <vt:i4>1638457</vt:i4>
      </vt:variant>
      <vt:variant>
        <vt:i4>161</vt:i4>
      </vt:variant>
      <vt:variant>
        <vt:i4>0</vt:i4>
      </vt:variant>
      <vt:variant>
        <vt:i4>5</vt:i4>
      </vt:variant>
      <vt:variant>
        <vt:lpwstr/>
      </vt:variant>
      <vt:variant>
        <vt:lpwstr>_Toc369515284</vt:lpwstr>
      </vt:variant>
      <vt:variant>
        <vt:i4>1638457</vt:i4>
      </vt:variant>
      <vt:variant>
        <vt:i4>155</vt:i4>
      </vt:variant>
      <vt:variant>
        <vt:i4>0</vt:i4>
      </vt:variant>
      <vt:variant>
        <vt:i4>5</vt:i4>
      </vt:variant>
      <vt:variant>
        <vt:lpwstr/>
      </vt:variant>
      <vt:variant>
        <vt:lpwstr>_Toc369515283</vt:lpwstr>
      </vt:variant>
      <vt:variant>
        <vt:i4>1638457</vt:i4>
      </vt:variant>
      <vt:variant>
        <vt:i4>149</vt:i4>
      </vt:variant>
      <vt:variant>
        <vt:i4>0</vt:i4>
      </vt:variant>
      <vt:variant>
        <vt:i4>5</vt:i4>
      </vt:variant>
      <vt:variant>
        <vt:lpwstr/>
      </vt:variant>
      <vt:variant>
        <vt:lpwstr>_Toc369515282</vt:lpwstr>
      </vt:variant>
      <vt:variant>
        <vt:i4>1638457</vt:i4>
      </vt:variant>
      <vt:variant>
        <vt:i4>143</vt:i4>
      </vt:variant>
      <vt:variant>
        <vt:i4>0</vt:i4>
      </vt:variant>
      <vt:variant>
        <vt:i4>5</vt:i4>
      </vt:variant>
      <vt:variant>
        <vt:lpwstr/>
      </vt:variant>
      <vt:variant>
        <vt:lpwstr>_Toc369515281</vt:lpwstr>
      </vt:variant>
      <vt:variant>
        <vt:i4>1638457</vt:i4>
      </vt:variant>
      <vt:variant>
        <vt:i4>137</vt:i4>
      </vt:variant>
      <vt:variant>
        <vt:i4>0</vt:i4>
      </vt:variant>
      <vt:variant>
        <vt:i4>5</vt:i4>
      </vt:variant>
      <vt:variant>
        <vt:lpwstr/>
      </vt:variant>
      <vt:variant>
        <vt:lpwstr>_Toc369515280</vt:lpwstr>
      </vt:variant>
      <vt:variant>
        <vt:i4>1441849</vt:i4>
      </vt:variant>
      <vt:variant>
        <vt:i4>131</vt:i4>
      </vt:variant>
      <vt:variant>
        <vt:i4>0</vt:i4>
      </vt:variant>
      <vt:variant>
        <vt:i4>5</vt:i4>
      </vt:variant>
      <vt:variant>
        <vt:lpwstr/>
      </vt:variant>
      <vt:variant>
        <vt:lpwstr>_Toc369515279</vt:lpwstr>
      </vt:variant>
      <vt:variant>
        <vt:i4>1441849</vt:i4>
      </vt:variant>
      <vt:variant>
        <vt:i4>125</vt:i4>
      </vt:variant>
      <vt:variant>
        <vt:i4>0</vt:i4>
      </vt:variant>
      <vt:variant>
        <vt:i4>5</vt:i4>
      </vt:variant>
      <vt:variant>
        <vt:lpwstr/>
      </vt:variant>
      <vt:variant>
        <vt:lpwstr>_Toc369515278</vt:lpwstr>
      </vt:variant>
      <vt:variant>
        <vt:i4>1441849</vt:i4>
      </vt:variant>
      <vt:variant>
        <vt:i4>119</vt:i4>
      </vt:variant>
      <vt:variant>
        <vt:i4>0</vt:i4>
      </vt:variant>
      <vt:variant>
        <vt:i4>5</vt:i4>
      </vt:variant>
      <vt:variant>
        <vt:lpwstr/>
      </vt:variant>
      <vt:variant>
        <vt:lpwstr>_Toc369515277</vt:lpwstr>
      </vt:variant>
      <vt:variant>
        <vt:i4>1441849</vt:i4>
      </vt:variant>
      <vt:variant>
        <vt:i4>113</vt:i4>
      </vt:variant>
      <vt:variant>
        <vt:i4>0</vt:i4>
      </vt:variant>
      <vt:variant>
        <vt:i4>5</vt:i4>
      </vt:variant>
      <vt:variant>
        <vt:lpwstr/>
      </vt:variant>
      <vt:variant>
        <vt:lpwstr>_Toc369515276</vt:lpwstr>
      </vt:variant>
      <vt:variant>
        <vt:i4>1441849</vt:i4>
      </vt:variant>
      <vt:variant>
        <vt:i4>107</vt:i4>
      </vt:variant>
      <vt:variant>
        <vt:i4>0</vt:i4>
      </vt:variant>
      <vt:variant>
        <vt:i4>5</vt:i4>
      </vt:variant>
      <vt:variant>
        <vt:lpwstr/>
      </vt:variant>
      <vt:variant>
        <vt:lpwstr>_Toc369515275</vt:lpwstr>
      </vt:variant>
      <vt:variant>
        <vt:i4>1441849</vt:i4>
      </vt:variant>
      <vt:variant>
        <vt:i4>101</vt:i4>
      </vt:variant>
      <vt:variant>
        <vt:i4>0</vt:i4>
      </vt:variant>
      <vt:variant>
        <vt:i4>5</vt:i4>
      </vt:variant>
      <vt:variant>
        <vt:lpwstr/>
      </vt:variant>
      <vt:variant>
        <vt:lpwstr>_Toc369515274</vt:lpwstr>
      </vt:variant>
      <vt:variant>
        <vt:i4>1441849</vt:i4>
      </vt:variant>
      <vt:variant>
        <vt:i4>95</vt:i4>
      </vt:variant>
      <vt:variant>
        <vt:i4>0</vt:i4>
      </vt:variant>
      <vt:variant>
        <vt:i4>5</vt:i4>
      </vt:variant>
      <vt:variant>
        <vt:lpwstr/>
      </vt:variant>
      <vt:variant>
        <vt:lpwstr>_Toc369515273</vt:lpwstr>
      </vt:variant>
      <vt:variant>
        <vt:i4>1441849</vt:i4>
      </vt:variant>
      <vt:variant>
        <vt:i4>89</vt:i4>
      </vt:variant>
      <vt:variant>
        <vt:i4>0</vt:i4>
      </vt:variant>
      <vt:variant>
        <vt:i4>5</vt:i4>
      </vt:variant>
      <vt:variant>
        <vt:lpwstr/>
      </vt:variant>
      <vt:variant>
        <vt:lpwstr>_Toc369515272</vt:lpwstr>
      </vt:variant>
      <vt:variant>
        <vt:i4>1441849</vt:i4>
      </vt:variant>
      <vt:variant>
        <vt:i4>83</vt:i4>
      </vt:variant>
      <vt:variant>
        <vt:i4>0</vt:i4>
      </vt:variant>
      <vt:variant>
        <vt:i4>5</vt:i4>
      </vt:variant>
      <vt:variant>
        <vt:lpwstr/>
      </vt:variant>
      <vt:variant>
        <vt:lpwstr>_Toc369515271</vt:lpwstr>
      </vt:variant>
      <vt:variant>
        <vt:i4>1441849</vt:i4>
      </vt:variant>
      <vt:variant>
        <vt:i4>77</vt:i4>
      </vt:variant>
      <vt:variant>
        <vt:i4>0</vt:i4>
      </vt:variant>
      <vt:variant>
        <vt:i4>5</vt:i4>
      </vt:variant>
      <vt:variant>
        <vt:lpwstr/>
      </vt:variant>
      <vt:variant>
        <vt:lpwstr>_Toc369515270</vt:lpwstr>
      </vt:variant>
      <vt:variant>
        <vt:i4>1507385</vt:i4>
      </vt:variant>
      <vt:variant>
        <vt:i4>71</vt:i4>
      </vt:variant>
      <vt:variant>
        <vt:i4>0</vt:i4>
      </vt:variant>
      <vt:variant>
        <vt:i4>5</vt:i4>
      </vt:variant>
      <vt:variant>
        <vt:lpwstr/>
      </vt:variant>
      <vt:variant>
        <vt:lpwstr>_Toc369515269</vt:lpwstr>
      </vt:variant>
      <vt:variant>
        <vt:i4>1507385</vt:i4>
      </vt:variant>
      <vt:variant>
        <vt:i4>65</vt:i4>
      </vt:variant>
      <vt:variant>
        <vt:i4>0</vt:i4>
      </vt:variant>
      <vt:variant>
        <vt:i4>5</vt:i4>
      </vt:variant>
      <vt:variant>
        <vt:lpwstr/>
      </vt:variant>
      <vt:variant>
        <vt:lpwstr>_Toc369515268</vt:lpwstr>
      </vt:variant>
      <vt:variant>
        <vt:i4>1507385</vt:i4>
      </vt:variant>
      <vt:variant>
        <vt:i4>59</vt:i4>
      </vt:variant>
      <vt:variant>
        <vt:i4>0</vt:i4>
      </vt:variant>
      <vt:variant>
        <vt:i4>5</vt:i4>
      </vt:variant>
      <vt:variant>
        <vt:lpwstr/>
      </vt:variant>
      <vt:variant>
        <vt:lpwstr>_Toc369515267</vt:lpwstr>
      </vt:variant>
      <vt:variant>
        <vt:i4>1507385</vt:i4>
      </vt:variant>
      <vt:variant>
        <vt:i4>53</vt:i4>
      </vt:variant>
      <vt:variant>
        <vt:i4>0</vt:i4>
      </vt:variant>
      <vt:variant>
        <vt:i4>5</vt:i4>
      </vt:variant>
      <vt:variant>
        <vt:lpwstr/>
      </vt:variant>
      <vt:variant>
        <vt:lpwstr>_Toc369515266</vt:lpwstr>
      </vt:variant>
      <vt:variant>
        <vt:i4>1507385</vt:i4>
      </vt:variant>
      <vt:variant>
        <vt:i4>47</vt:i4>
      </vt:variant>
      <vt:variant>
        <vt:i4>0</vt:i4>
      </vt:variant>
      <vt:variant>
        <vt:i4>5</vt:i4>
      </vt:variant>
      <vt:variant>
        <vt:lpwstr/>
      </vt:variant>
      <vt:variant>
        <vt:lpwstr>_Toc369515265</vt:lpwstr>
      </vt:variant>
      <vt:variant>
        <vt:i4>1507385</vt:i4>
      </vt:variant>
      <vt:variant>
        <vt:i4>41</vt:i4>
      </vt:variant>
      <vt:variant>
        <vt:i4>0</vt:i4>
      </vt:variant>
      <vt:variant>
        <vt:i4>5</vt:i4>
      </vt:variant>
      <vt:variant>
        <vt:lpwstr/>
      </vt:variant>
      <vt:variant>
        <vt:lpwstr>_Toc369515264</vt:lpwstr>
      </vt:variant>
      <vt:variant>
        <vt:i4>1507385</vt:i4>
      </vt:variant>
      <vt:variant>
        <vt:i4>35</vt:i4>
      </vt:variant>
      <vt:variant>
        <vt:i4>0</vt:i4>
      </vt:variant>
      <vt:variant>
        <vt:i4>5</vt:i4>
      </vt:variant>
      <vt:variant>
        <vt:lpwstr/>
      </vt:variant>
      <vt:variant>
        <vt:lpwstr>_Toc369515263</vt:lpwstr>
      </vt:variant>
      <vt:variant>
        <vt:i4>1507385</vt:i4>
      </vt:variant>
      <vt:variant>
        <vt:i4>29</vt:i4>
      </vt:variant>
      <vt:variant>
        <vt:i4>0</vt:i4>
      </vt:variant>
      <vt:variant>
        <vt:i4>5</vt:i4>
      </vt:variant>
      <vt:variant>
        <vt:lpwstr/>
      </vt:variant>
      <vt:variant>
        <vt:lpwstr>_Toc369515262</vt:lpwstr>
      </vt:variant>
      <vt:variant>
        <vt:i4>1507385</vt:i4>
      </vt:variant>
      <vt:variant>
        <vt:i4>23</vt:i4>
      </vt:variant>
      <vt:variant>
        <vt:i4>0</vt:i4>
      </vt:variant>
      <vt:variant>
        <vt:i4>5</vt:i4>
      </vt:variant>
      <vt:variant>
        <vt:lpwstr/>
      </vt:variant>
      <vt:variant>
        <vt:lpwstr>_Toc369515261</vt:lpwstr>
      </vt:variant>
      <vt:variant>
        <vt:i4>1507385</vt:i4>
      </vt:variant>
      <vt:variant>
        <vt:i4>17</vt:i4>
      </vt:variant>
      <vt:variant>
        <vt:i4>0</vt:i4>
      </vt:variant>
      <vt:variant>
        <vt:i4>5</vt:i4>
      </vt:variant>
      <vt:variant>
        <vt:lpwstr/>
      </vt:variant>
      <vt:variant>
        <vt:lpwstr>_Toc369515260</vt:lpwstr>
      </vt:variant>
      <vt:variant>
        <vt:i4>1310777</vt:i4>
      </vt:variant>
      <vt:variant>
        <vt:i4>11</vt:i4>
      </vt:variant>
      <vt:variant>
        <vt:i4>0</vt:i4>
      </vt:variant>
      <vt:variant>
        <vt:i4>5</vt:i4>
      </vt:variant>
      <vt:variant>
        <vt:lpwstr/>
      </vt:variant>
      <vt:variant>
        <vt:lpwstr>_Toc369515259</vt:lpwstr>
      </vt:variant>
      <vt:variant>
        <vt:i4>6291548</vt:i4>
      </vt:variant>
      <vt:variant>
        <vt:i4>6</vt:i4>
      </vt:variant>
      <vt:variant>
        <vt:i4>0</vt:i4>
      </vt:variant>
      <vt:variant>
        <vt:i4>5</vt:i4>
      </vt:variant>
      <vt:variant>
        <vt:lpwstr>mailto:tga.copyright@tga.gov.au</vt:lpwstr>
      </vt:variant>
      <vt:variant>
        <vt:lpwstr/>
      </vt:variant>
      <vt:variant>
        <vt:i4>5701660</vt:i4>
      </vt:variant>
      <vt:variant>
        <vt:i4>3</vt:i4>
      </vt:variant>
      <vt:variant>
        <vt:i4>0</vt:i4>
      </vt:variant>
      <vt:variant>
        <vt:i4>5</vt:i4>
      </vt:variant>
      <vt:variant>
        <vt:lpwstr>http://www.tga.gov.au/hp/information-medicines-pi.htm</vt:lpwstr>
      </vt:variant>
      <vt:variant>
        <vt:lpwstr/>
      </vt:variant>
      <vt:variant>
        <vt:i4>6357037</vt:i4>
      </vt:variant>
      <vt:variant>
        <vt:i4>0</vt:i4>
      </vt:variant>
      <vt:variant>
        <vt:i4>0</vt:i4>
      </vt:variant>
      <vt:variant>
        <vt:i4>5</vt:i4>
      </vt:variant>
      <vt:variant>
        <vt:lpwstr>http://www.tga.gov.au/</vt:lpwstr>
      </vt:variant>
      <vt:variant>
        <vt:lpwstr/>
      </vt:variant>
      <vt:variant>
        <vt:i4>6357037</vt:i4>
      </vt:variant>
      <vt:variant>
        <vt:i4>18</vt:i4>
      </vt:variant>
      <vt:variant>
        <vt:i4>0</vt:i4>
      </vt:variant>
      <vt:variant>
        <vt:i4>5</vt:i4>
      </vt:variant>
      <vt:variant>
        <vt:lpwstr>http://www.tga.gov.au/</vt:lpwstr>
      </vt:variant>
      <vt:variant>
        <vt:lpwstr/>
      </vt:variant>
      <vt:variant>
        <vt:i4>5242926</vt:i4>
      </vt:variant>
      <vt:variant>
        <vt:i4>15</vt:i4>
      </vt:variant>
      <vt:variant>
        <vt:i4>0</vt:i4>
      </vt:variant>
      <vt:variant>
        <vt:i4>5</vt:i4>
      </vt:variant>
      <vt:variant>
        <vt:lpwstr>mailto:info@tga.gov.au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interferon beta-1a</dc:title>
  <dc:subject>prescription medicine regulation</dc:subject>
  <dc:creator>Therapeutic Goods Administration</dc:creator>
  <cp:keywords>clinical, evaluation, report, medicine, assessment, regulation, australia, interferon beta-1a, rebif</cp:keywords>
  <cp:lastModifiedBy>Sheppard, Fran</cp:lastModifiedBy>
  <cp:revision>4</cp:revision>
  <cp:lastPrinted>2010-12-20T21:59:00Z</cp:lastPrinted>
  <dcterms:created xsi:type="dcterms:W3CDTF">2013-12-04T02:48:00Z</dcterms:created>
  <dcterms:modified xsi:type="dcterms:W3CDTF">2013-12-04T03:10:00Z</dcterms:modified>
</cp:coreProperties>
</file>